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spacing w:line="360" w:lineRule="auto"/>
        <w:jc w:val="center"/>
        <w:rPr>
          <w:rFonts w:asciiTheme="majorEastAsia" w:hAnsiTheme="majorEastAsia" w:eastAsiaTheme="majorEastAsia"/>
          <w:b/>
          <w:bCs/>
          <w:sz w:val="48"/>
          <w:szCs w:val="48"/>
          <w:highlight w:val="none"/>
        </w:rPr>
      </w:pPr>
    </w:p>
    <w:p>
      <w:pPr>
        <w:tabs>
          <w:tab w:val="left" w:pos="426"/>
        </w:tabs>
        <w:spacing w:line="360" w:lineRule="auto"/>
        <w:jc w:val="center"/>
        <w:rPr>
          <w:rFonts w:hint="eastAsia" w:asciiTheme="majorEastAsia" w:hAnsiTheme="majorEastAsia" w:eastAsiaTheme="majorEastAsia"/>
          <w:sz w:val="36"/>
          <w:szCs w:val="36"/>
          <w:highlight w:val="none"/>
          <w:lang w:eastAsia="zh-CN"/>
        </w:rPr>
      </w:pPr>
      <w:r>
        <w:rPr>
          <w:rFonts w:hint="eastAsia" w:asciiTheme="majorEastAsia" w:hAnsiTheme="majorEastAsia" w:eastAsiaTheme="majorEastAsia"/>
          <w:sz w:val="36"/>
          <w:szCs w:val="36"/>
          <w:highlight w:val="none"/>
          <w:lang w:eastAsia="zh-CN"/>
        </w:rPr>
        <w:t>宁波广播电视集团</w:t>
      </w:r>
    </w:p>
    <w:p>
      <w:pPr>
        <w:tabs>
          <w:tab w:val="left" w:pos="426"/>
        </w:tabs>
        <w:spacing w:line="360" w:lineRule="auto"/>
        <w:jc w:val="center"/>
        <w:rPr>
          <w:rFonts w:hint="eastAsia" w:asciiTheme="majorEastAsia" w:hAnsiTheme="majorEastAsia" w:eastAsiaTheme="majorEastAsia"/>
          <w:sz w:val="36"/>
          <w:szCs w:val="36"/>
          <w:highlight w:val="none"/>
          <w:lang w:eastAsia="zh-CN"/>
        </w:rPr>
      </w:pPr>
      <w:r>
        <w:rPr>
          <w:rFonts w:hint="eastAsia" w:asciiTheme="majorEastAsia" w:hAnsiTheme="majorEastAsia" w:eastAsiaTheme="majorEastAsia"/>
          <w:sz w:val="36"/>
          <w:szCs w:val="36"/>
          <w:highlight w:val="none"/>
          <w:lang w:eastAsia="zh-CN"/>
        </w:rPr>
        <w:t>采购新大楼</w:t>
      </w:r>
      <w:r>
        <w:rPr>
          <w:rFonts w:hint="eastAsia" w:asciiTheme="majorEastAsia" w:hAnsiTheme="majorEastAsia" w:eastAsiaTheme="majorEastAsia"/>
          <w:sz w:val="36"/>
          <w:szCs w:val="36"/>
          <w:highlight w:val="none"/>
          <w:lang w:val="en-US" w:eastAsia="zh-CN"/>
        </w:rPr>
        <w:t>演播室核心业务</w:t>
      </w:r>
      <w:r>
        <w:rPr>
          <w:rFonts w:hint="eastAsia" w:asciiTheme="majorEastAsia" w:hAnsiTheme="majorEastAsia" w:eastAsiaTheme="majorEastAsia"/>
          <w:sz w:val="36"/>
          <w:szCs w:val="36"/>
          <w:highlight w:val="none"/>
          <w:lang w:eastAsia="zh-CN"/>
        </w:rPr>
        <w:t>共享系统（一期）建设项目</w:t>
      </w:r>
    </w:p>
    <w:p>
      <w:pPr>
        <w:spacing w:after="120"/>
        <w:jc w:val="center"/>
        <w:rPr>
          <w:rFonts w:hint="eastAsia" w:cs="宋体" w:asciiTheme="majorEastAsia" w:hAnsiTheme="majorEastAsia" w:eastAsiaTheme="majorEastAsia"/>
          <w:sz w:val="32"/>
          <w:szCs w:val="32"/>
          <w:highlight w:val="none"/>
          <w:lang w:eastAsia="zh-CN"/>
        </w:rPr>
      </w:pPr>
      <w:r>
        <w:rPr>
          <w:rFonts w:hint="eastAsia" w:cs="宋体" w:asciiTheme="majorEastAsia" w:hAnsiTheme="majorEastAsia" w:eastAsiaTheme="majorEastAsia"/>
          <w:sz w:val="32"/>
          <w:szCs w:val="32"/>
          <w:highlight w:val="none"/>
        </w:rPr>
        <w:t>项目编号：</w:t>
      </w:r>
      <w:r>
        <w:rPr>
          <w:rFonts w:hint="eastAsia" w:cs="宋体" w:asciiTheme="majorEastAsia" w:hAnsiTheme="majorEastAsia" w:eastAsiaTheme="majorEastAsia"/>
          <w:sz w:val="32"/>
          <w:szCs w:val="32"/>
          <w:highlight w:val="none"/>
          <w:lang w:eastAsia="zh-CN"/>
        </w:rPr>
        <w:t>NBMC-202411024G</w:t>
      </w:r>
    </w:p>
    <w:p>
      <w:pPr>
        <w:spacing w:after="120"/>
        <w:jc w:val="center"/>
        <w:rPr>
          <w:rFonts w:cs="宋体" w:asciiTheme="majorEastAsia" w:hAnsiTheme="majorEastAsia" w:eastAsiaTheme="majorEastAsia"/>
          <w:b/>
          <w:bCs/>
          <w:sz w:val="32"/>
          <w:szCs w:val="32"/>
          <w:highlight w:val="none"/>
        </w:rPr>
      </w:pPr>
    </w:p>
    <w:p>
      <w:pPr>
        <w:spacing w:after="120"/>
        <w:jc w:val="center"/>
        <w:rPr>
          <w:rFonts w:cs="宋体" w:asciiTheme="majorEastAsia" w:hAnsiTheme="majorEastAsia" w:eastAsiaTheme="majorEastAsia"/>
          <w:b/>
          <w:bCs/>
          <w:sz w:val="32"/>
          <w:szCs w:val="32"/>
          <w:highlight w:val="none"/>
        </w:rPr>
      </w:pPr>
    </w:p>
    <w:p>
      <w:pPr>
        <w:spacing w:after="120"/>
        <w:jc w:val="center"/>
        <w:rPr>
          <w:rFonts w:cs="宋体" w:asciiTheme="majorEastAsia" w:hAnsiTheme="majorEastAsia" w:eastAsiaTheme="majorEastAsia"/>
          <w:b/>
          <w:bCs/>
          <w:sz w:val="32"/>
          <w:szCs w:val="32"/>
          <w:highlight w:val="none"/>
        </w:rPr>
      </w:pPr>
    </w:p>
    <w:p>
      <w:pPr>
        <w:spacing w:after="240"/>
        <w:jc w:val="center"/>
        <w:rPr>
          <w:rFonts w:cs="宋体" w:asciiTheme="majorEastAsia" w:hAnsiTheme="majorEastAsia" w:eastAsiaTheme="majorEastAsia"/>
          <w:b/>
          <w:bCs/>
          <w:sz w:val="72"/>
          <w:szCs w:val="72"/>
          <w:highlight w:val="none"/>
        </w:rPr>
      </w:pPr>
      <w:r>
        <w:rPr>
          <w:rFonts w:hint="eastAsia" w:cs="宋体" w:asciiTheme="majorEastAsia" w:hAnsiTheme="majorEastAsia" w:eastAsiaTheme="majorEastAsia"/>
          <w:b/>
          <w:bCs/>
          <w:sz w:val="72"/>
          <w:szCs w:val="72"/>
          <w:highlight w:val="none"/>
        </w:rPr>
        <w:t>公开招标文件</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（政府采购电子交易项目</w:t>
      </w:r>
      <w:r>
        <w:rPr>
          <w:rFonts w:hint="eastAsia" w:ascii="宋体" w:hAnsi="宋体" w:cs="宋体"/>
          <w:sz w:val="32"/>
          <w:szCs w:val="32"/>
          <w:highlight w:val="none"/>
        </w:rPr>
        <w:t>·货物类</w:t>
      </w:r>
      <w:r>
        <w:rPr>
          <w:rFonts w:hint="eastAsia" w:asciiTheme="majorEastAsia" w:hAnsiTheme="majorEastAsia" w:eastAsiaTheme="majorEastAsia"/>
          <w:sz w:val="32"/>
          <w:szCs w:val="32"/>
          <w:highlight w:val="none"/>
        </w:rPr>
        <w:t>）</w:t>
      </w: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Lines="50" w:line="480" w:lineRule="exact"/>
        <w:outlineLvl w:val="0"/>
        <w:rPr>
          <w:rFonts w:asciiTheme="majorEastAsia" w:hAnsiTheme="majorEastAsia" w:eastAsiaTheme="majorEastAsia"/>
          <w:b/>
          <w:bCs/>
          <w:sz w:val="44"/>
          <w:szCs w:val="44"/>
          <w:highlight w:val="none"/>
        </w:rPr>
      </w:pPr>
    </w:p>
    <w:p>
      <w:pPr>
        <w:spacing w:afterLines="50" w:line="480" w:lineRule="exact"/>
        <w:jc w:val="center"/>
        <w:outlineLvl w:val="0"/>
        <w:rPr>
          <w:rFonts w:asciiTheme="majorEastAsia" w:hAnsiTheme="majorEastAsia" w:eastAsiaTheme="majorEastAsia"/>
          <w:b/>
          <w:bCs/>
          <w:sz w:val="44"/>
          <w:szCs w:val="44"/>
          <w:highlight w:val="none"/>
        </w:rPr>
      </w:pPr>
    </w:p>
    <w:p>
      <w:pPr>
        <w:spacing w:after="240"/>
        <w:jc w:val="center"/>
        <w:rPr>
          <w:rFonts w:hint="eastAsia" w:asciiTheme="majorEastAsia" w:hAnsiTheme="majorEastAsia" w:eastAsiaTheme="majorEastAsia"/>
          <w:sz w:val="32"/>
          <w:szCs w:val="32"/>
          <w:highlight w:val="none"/>
          <w:lang w:eastAsia="zh-CN"/>
        </w:rPr>
      </w:pPr>
      <w:r>
        <w:rPr>
          <w:rFonts w:hint="eastAsia" w:asciiTheme="majorEastAsia" w:hAnsiTheme="majorEastAsia" w:eastAsiaTheme="majorEastAsia"/>
          <w:sz w:val="32"/>
          <w:szCs w:val="32"/>
          <w:highlight w:val="none"/>
        </w:rPr>
        <w:t>采购人：</w:t>
      </w:r>
      <w:r>
        <w:rPr>
          <w:rFonts w:hint="eastAsia" w:asciiTheme="majorEastAsia" w:hAnsiTheme="majorEastAsia" w:eastAsiaTheme="majorEastAsia"/>
          <w:sz w:val="32"/>
          <w:szCs w:val="32"/>
          <w:highlight w:val="none"/>
          <w:lang w:eastAsia="zh-CN"/>
        </w:rPr>
        <w:t>宁波广播电视集团</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代理机构：宁波名诚招标代理有限公司</w:t>
      </w:r>
    </w:p>
    <w:p>
      <w:pPr>
        <w:spacing w:after="240"/>
        <w:jc w:val="center"/>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编制日期：</w:t>
      </w:r>
      <w:r>
        <w:rPr>
          <w:rFonts w:hint="eastAsia" w:asciiTheme="majorEastAsia" w:hAnsiTheme="majorEastAsia" w:eastAsiaTheme="majorEastAsia"/>
          <w:sz w:val="32"/>
          <w:szCs w:val="32"/>
          <w:highlight w:val="none"/>
          <w:lang w:eastAsia="zh-CN"/>
        </w:rPr>
        <w:t>2024年</w:t>
      </w:r>
      <w:r>
        <w:rPr>
          <w:rFonts w:hint="eastAsia" w:asciiTheme="majorEastAsia" w:hAnsiTheme="majorEastAsia" w:eastAsiaTheme="majorEastAsia"/>
          <w:sz w:val="32"/>
          <w:szCs w:val="32"/>
          <w:highlight w:val="none"/>
          <w:lang w:val="en-US" w:eastAsia="zh-CN"/>
        </w:rPr>
        <w:t>4</w:t>
      </w:r>
      <w:r>
        <w:rPr>
          <w:rFonts w:hint="eastAsia" w:asciiTheme="majorEastAsia" w:hAnsiTheme="majorEastAsia" w:eastAsiaTheme="majorEastAsia"/>
          <w:sz w:val="32"/>
          <w:szCs w:val="32"/>
          <w:highlight w:val="none"/>
        </w:rPr>
        <w:t>月</w:t>
      </w:r>
    </w:p>
    <w:p>
      <w:pPr>
        <w:spacing w:after="240"/>
        <w:jc w:val="center"/>
        <w:rPr>
          <w:rFonts w:asciiTheme="majorEastAsia" w:hAnsiTheme="majorEastAsia" w:eastAsiaTheme="majorEastAsia"/>
          <w:sz w:val="32"/>
          <w:szCs w:val="32"/>
          <w:highlight w:val="none"/>
        </w:rPr>
      </w:pPr>
    </w:p>
    <w:p>
      <w:pPr>
        <w:spacing w:after="240"/>
        <w:rPr>
          <w:rFonts w:asciiTheme="majorEastAsia" w:hAnsiTheme="majorEastAsia" w:eastAsiaTheme="majorEastAsia"/>
          <w:sz w:val="32"/>
          <w:szCs w:val="32"/>
          <w:highlight w:val="none"/>
        </w:rPr>
        <w:sectPr>
          <w:footerReference r:id="rId7" w:type="first"/>
          <w:headerReference r:id="rId3" w:type="default"/>
          <w:footerReference r:id="rId5" w:type="default"/>
          <w:headerReference r:id="rId4" w:type="even"/>
          <w:footerReference r:id="rId6" w:type="even"/>
          <w:pgSz w:w="11906" w:h="16838"/>
          <w:pgMar w:top="1440" w:right="1440" w:bottom="1440" w:left="1610" w:header="851" w:footer="851" w:gutter="0"/>
          <w:pgNumType w:fmt="decimal"/>
          <w:cols w:space="720" w:num="1"/>
          <w:titlePg/>
          <w:docGrid w:linePitch="312" w:charSpace="0"/>
        </w:sectPr>
      </w:pPr>
    </w:p>
    <w:p>
      <w:pPr>
        <w:pStyle w:val="277"/>
        <w:spacing w:before="0" w:after="0" w:line="360" w:lineRule="auto"/>
        <w:jc w:val="center"/>
        <w:rPr>
          <w:rFonts w:asciiTheme="majorEastAsia" w:hAnsiTheme="majorEastAsia" w:eastAsiaTheme="majorEastAsia"/>
          <w:sz w:val="24"/>
          <w:highlight w:val="none"/>
        </w:rPr>
      </w:pPr>
      <w:r>
        <w:rPr>
          <w:rFonts w:asciiTheme="majorEastAsia" w:hAnsiTheme="majorEastAsia" w:eastAsiaTheme="majorEastAsia"/>
          <w:sz w:val="24"/>
          <w:highlight w:val="none"/>
        </w:rPr>
        <w:t>目</w:t>
      </w:r>
      <w:r>
        <w:rPr>
          <w:rFonts w:hint="eastAsia" w:asciiTheme="majorEastAsia" w:hAnsiTheme="majorEastAsia" w:eastAsiaTheme="majorEastAsia"/>
          <w:sz w:val="24"/>
          <w:highlight w:val="none"/>
        </w:rPr>
        <w:t xml:space="preserve">  </w:t>
      </w:r>
      <w:r>
        <w:rPr>
          <w:rFonts w:asciiTheme="majorEastAsia" w:hAnsiTheme="majorEastAsia" w:eastAsiaTheme="majorEastAsia"/>
          <w:sz w:val="24"/>
          <w:highlight w:val="none"/>
        </w:rPr>
        <w:t>录</w:t>
      </w:r>
    </w:p>
    <w:p>
      <w:pPr>
        <w:pStyle w:val="31"/>
        <w:tabs>
          <w:tab w:val="right" w:leader="dot" w:pos="8846"/>
        </w:tabs>
        <w:spacing w:line="360" w:lineRule="auto"/>
        <w:rPr>
          <w:rFonts w:asciiTheme="majorEastAsia" w:hAnsiTheme="majorEastAsia" w:eastAsiaTheme="majorEastAsia"/>
          <w:sz w:val="24"/>
          <w:highlight w:val="none"/>
        </w:rPr>
      </w:pPr>
      <w:r>
        <w:rPr>
          <w:rFonts w:asciiTheme="majorEastAsia" w:hAnsiTheme="majorEastAsia" w:eastAsiaTheme="majorEastAsia"/>
          <w:highlight w:val="none"/>
        </w:rPr>
        <w:fldChar w:fldCharType="begin"/>
      </w:r>
      <w:r>
        <w:rPr>
          <w:rFonts w:asciiTheme="majorEastAsia" w:hAnsiTheme="majorEastAsia" w:eastAsiaTheme="majorEastAsia"/>
          <w:highlight w:val="none"/>
        </w:rPr>
        <w:instrText xml:space="preserve"> TOC \o "1-3" \h \z \u </w:instrText>
      </w:r>
      <w:r>
        <w:rPr>
          <w:rFonts w:asciiTheme="majorEastAsia" w:hAnsiTheme="majorEastAsia" w:eastAsiaTheme="majorEastAsia"/>
          <w:highlight w:val="none"/>
        </w:rPr>
        <w:fldChar w:fldCharType="separate"/>
      </w:r>
      <w:r>
        <w:rPr>
          <w:highlight w:val="none"/>
        </w:rPr>
        <w:fldChar w:fldCharType="begin"/>
      </w:r>
      <w:r>
        <w:rPr>
          <w:highlight w:val="none"/>
        </w:rPr>
        <w:instrText xml:space="preserve"> HYPERLINK \l "_Toc34844741" </w:instrText>
      </w:r>
      <w:r>
        <w:rPr>
          <w:highlight w:val="none"/>
        </w:rPr>
        <w:fldChar w:fldCharType="separate"/>
      </w:r>
      <w:r>
        <w:rPr>
          <w:rStyle w:val="51"/>
          <w:rFonts w:hint="eastAsia" w:asciiTheme="majorEastAsia" w:hAnsiTheme="majorEastAsia" w:eastAsiaTheme="majorEastAsia"/>
          <w:color w:val="auto"/>
          <w:sz w:val="24"/>
          <w:highlight w:val="none"/>
        </w:rPr>
        <w:t>第一章  投标邀请</w:t>
      </w:r>
      <w:r>
        <w:rPr>
          <w:rFonts w:asciiTheme="majorEastAsia" w:hAnsiTheme="majorEastAsia" w:eastAsiaTheme="majorEastAsia"/>
          <w:sz w:val="24"/>
          <w:highlight w:val="none"/>
        </w:rPr>
        <w:tab/>
      </w:r>
      <w:r>
        <w:rPr>
          <w:rFonts w:asciiTheme="majorEastAsia" w:hAnsiTheme="majorEastAsia" w:eastAsiaTheme="majorEastAsia"/>
          <w:sz w:val="24"/>
          <w:highlight w:val="none"/>
        </w:rPr>
        <w:fldChar w:fldCharType="begin"/>
      </w:r>
      <w:r>
        <w:rPr>
          <w:rFonts w:asciiTheme="majorEastAsia" w:hAnsiTheme="majorEastAsia" w:eastAsiaTheme="majorEastAsia"/>
          <w:sz w:val="24"/>
          <w:highlight w:val="none"/>
        </w:rPr>
        <w:instrText xml:space="preserve"> PAGEREF _Toc34844741 \h </w:instrText>
      </w:r>
      <w:r>
        <w:rPr>
          <w:rFonts w:asciiTheme="majorEastAsia" w:hAnsiTheme="majorEastAsia" w:eastAsiaTheme="majorEastAsia"/>
          <w:sz w:val="24"/>
          <w:highlight w:val="none"/>
        </w:rPr>
        <w:fldChar w:fldCharType="separate"/>
      </w:r>
      <w:r>
        <w:rPr>
          <w:rFonts w:asciiTheme="majorEastAsia" w:hAnsiTheme="majorEastAsia" w:eastAsiaTheme="majorEastAsia"/>
          <w:sz w:val="24"/>
          <w:highlight w:val="none"/>
        </w:rPr>
        <w:t>3</w:t>
      </w:r>
      <w:r>
        <w:rPr>
          <w:rFonts w:asciiTheme="majorEastAsia" w:hAnsiTheme="majorEastAsia" w:eastAsiaTheme="majorEastAsia"/>
          <w:sz w:val="24"/>
          <w:highlight w:val="none"/>
        </w:rPr>
        <w:fldChar w:fldCharType="end"/>
      </w:r>
      <w:r>
        <w:rPr>
          <w:rFonts w:asciiTheme="majorEastAsia" w:hAnsiTheme="majorEastAsia" w:eastAsiaTheme="majorEastAsia"/>
          <w:sz w:val="24"/>
          <w:highlight w:val="none"/>
        </w:rPr>
        <w:fldChar w:fldCharType="end"/>
      </w:r>
    </w:p>
    <w:p>
      <w:pPr>
        <w:pStyle w:val="31"/>
        <w:tabs>
          <w:tab w:val="right" w:leader="dot" w:pos="8846"/>
        </w:tabs>
        <w:spacing w:line="360" w:lineRule="auto"/>
        <w:rPr>
          <w:rFonts w:asciiTheme="majorEastAsia" w:hAnsiTheme="majorEastAsia" w:eastAsiaTheme="majorEastAsia"/>
          <w:sz w:val="24"/>
          <w:highlight w:val="none"/>
        </w:rPr>
      </w:pPr>
      <w:r>
        <w:rPr>
          <w:highlight w:val="none"/>
        </w:rPr>
        <w:fldChar w:fldCharType="begin"/>
      </w:r>
      <w:r>
        <w:rPr>
          <w:highlight w:val="none"/>
        </w:rPr>
        <w:instrText xml:space="preserve"> HYPERLINK \l "_Toc34844742" </w:instrText>
      </w:r>
      <w:r>
        <w:rPr>
          <w:highlight w:val="none"/>
        </w:rPr>
        <w:fldChar w:fldCharType="separate"/>
      </w:r>
      <w:r>
        <w:rPr>
          <w:rStyle w:val="51"/>
          <w:rFonts w:hint="eastAsia" w:asciiTheme="majorEastAsia" w:hAnsiTheme="majorEastAsia" w:eastAsiaTheme="majorEastAsia"/>
          <w:color w:val="auto"/>
          <w:sz w:val="24"/>
          <w:highlight w:val="none"/>
        </w:rPr>
        <w:t>第二章  采购需求</w:t>
      </w:r>
      <w:r>
        <w:rPr>
          <w:rFonts w:asciiTheme="majorEastAsia" w:hAnsiTheme="majorEastAsia" w:eastAsiaTheme="majorEastAsia"/>
          <w:sz w:val="24"/>
          <w:highlight w:val="none"/>
        </w:rPr>
        <w:tab/>
      </w:r>
      <w:r>
        <w:rPr>
          <w:rFonts w:asciiTheme="majorEastAsia" w:hAnsiTheme="majorEastAsia" w:eastAsiaTheme="majorEastAsia"/>
          <w:sz w:val="24"/>
          <w:highlight w:val="none"/>
        </w:rPr>
        <w:fldChar w:fldCharType="begin"/>
      </w:r>
      <w:r>
        <w:rPr>
          <w:rFonts w:asciiTheme="majorEastAsia" w:hAnsiTheme="majorEastAsia" w:eastAsiaTheme="majorEastAsia"/>
          <w:sz w:val="24"/>
          <w:highlight w:val="none"/>
        </w:rPr>
        <w:instrText xml:space="preserve"> PAGEREF _Toc34844742 \h </w:instrText>
      </w:r>
      <w:r>
        <w:rPr>
          <w:rFonts w:asciiTheme="majorEastAsia" w:hAnsiTheme="majorEastAsia" w:eastAsiaTheme="majorEastAsia"/>
          <w:sz w:val="24"/>
          <w:highlight w:val="none"/>
        </w:rPr>
        <w:fldChar w:fldCharType="separate"/>
      </w:r>
      <w:r>
        <w:rPr>
          <w:rFonts w:asciiTheme="majorEastAsia" w:hAnsiTheme="majorEastAsia" w:eastAsiaTheme="majorEastAsia"/>
          <w:sz w:val="24"/>
          <w:highlight w:val="none"/>
        </w:rPr>
        <w:t>6</w:t>
      </w:r>
      <w:r>
        <w:rPr>
          <w:rFonts w:asciiTheme="majorEastAsia" w:hAnsiTheme="majorEastAsia" w:eastAsiaTheme="majorEastAsia"/>
          <w:sz w:val="24"/>
          <w:highlight w:val="none"/>
        </w:rPr>
        <w:fldChar w:fldCharType="end"/>
      </w:r>
      <w:r>
        <w:rPr>
          <w:rFonts w:asciiTheme="majorEastAsia" w:hAnsiTheme="majorEastAsia" w:eastAsiaTheme="majorEastAsia"/>
          <w:sz w:val="24"/>
          <w:highlight w:val="none"/>
        </w:rPr>
        <w:fldChar w:fldCharType="end"/>
      </w:r>
    </w:p>
    <w:p>
      <w:pPr>
        <w:pStyle w:val="31"/>
        <w:tabs>
          <w:tab w:val="right" w:leader="dot" w:pos="8846"/>
        </w:tabs>
        <w:spacing w:line="360" w:lineRule="auto"/>
        <w:rPr>
          <w:rFonts w:asciiTheme="majorEastAsia" w:hAnsiTheme="majorEastAsia" w:eastAsiaTheme="majorEastAsia"/>
          <w:sz w:val="24"/>
          <w:highlight w:val="none"/>
        </w:rPr>
      </w:pPr>
      <w:r>
        <w:rPr>
          <w:highlight w:val="none"/>
        </w:rPr>
        <w:fldChar w:fldCharType="begin"/>
      </w:r>
      <w:r>
        <w:rPr>
          <w:highlight w:val="none"/>
        </w:rPr>
        <w:instrText xml:space="preserve"> HYPERLINK \l "_Toc34844743" </w:instrText>
      </w:r>
      <w:r>
        <w:rPr>
          <w:highlight w:val="none"/>
        </w:rPr>
        <w:fldChar w:fldCharType="separate"/>
      </w:r>
      <w:r>
        <w:rPr>
          <w:rStyle w:val="51"/>
          <w:rFonts w:hint="eastAsia" w:asciiTheme="majorEastAsia" w:hAnsiTheme="majorEastAsia" w:eastAsiaTheme="majorEastAsia"/>
          <w:color w:val="auto"/>
          <w:sz w:val="24"/>
          <w:highlight w:val="none"/>
        </w:rPr>
        <w:t>第三章  投标人须知</w:t>
      </w:r>
      <w:r>
        <w:rPr>
          <w:rFonts w:asciiTheme="majorEastAsia" w:hAnsiTheme="majorEastAsia" w:eastAsiaTheme="majorEastAsia"/>
          <w:sz w:val="24"/>
          <w:highlight w:val="none"/>
        </w:rPr>
        <w:tab/>
      </w:r>
      <w:r>
        <w:rPr>
          <w:rFonts w:asciiTheme="majorEastAsia" w:hAnsiTheme="majorEastAsia" w:eastAsiaTheme="majorEastAsia"/>
          <w:sz w:val="24"/>
          <w:highlight w:val="none"/>
        </w:rPr>
        <w:fldChar w:fldCharType="begin"/>
      </w:r>
      <w:r>
        <w:rPr>
          <w:rFonts w:asciiTheme="majorEastAsia" w:hAnsiTheme="majorEastAsia" w:eastAsiaTheme="majorEastAsia"/>
          <w:sz w:val="24"/>
          <w:highlight w:val="none"/>
        </w:rPr>
        <w:instrText xml:space="preserve"> PAGEREF _Toc34844743 \h </w:instrText>
      </w:r>
      <w:r>
        <w:rPr>
          <w:rFonts w:asciiTheme="majorEastAsia" w:hAnsiTheme="majorEastAsia" w:eastAsiaTheme="majorEastAsia"/>
          <w:sz w:val="24"/>
          <w:highlight w:val="none"/>
        </w:rPr>
        <w:fldChar w:fldCharType="separate"/>
      </w:r>
      <w:r>
        <w:rPr>
          <w:rFonts w:asciiTheme="majorEastAsia" w:hAnsiTheme="majorEastAsia" w:eastAsiaTheme="majorEastAsia"/>
          <w:sz w:val="24"/>
          <w:highlight w:val="none"/>
        </w:rPr>
        <w:t>17</w:t>
      </w:r>
      <w:r>
        <w:rPr>
          <w:rFonts w:asciiTheme="majorEastAsia" w:hAnsiTheme="majorEastAsia" w:eastAsiaTheme="majorEastAsia"/>
          <w:sz w:val="24"/>
          <w:highlight w:val="none"/>
        </w:rPr>
        <w:fldChar w:fldCharType="end"/>
      </w:r>
      <w:r>
        <w:rPr>
          <w:rFonts w:asciiTheme="majorEastAsia" w:hAnsiTheme="majorEastAsia" w:eastAsiaTheme="majorEastAsia"/>
          <w:sz w:val="24"/>
          <w:highlight w:val="none"/>
        </w:rPr>
        <w:fldChar w:fldCharType="end"/>
      </w:r>
    </w:p>
    <w:p>
      <w:pPr>
        <w:pStyle w:val="31"/>
        <w:tabs>
          <w:tab w:val="right" w:leader="dot" w:pos="8846"/>
        </w:tabs>
        <w:spacing w:line="360" w:lineRule="auto"/>
        <w:rPr>
          <w:rFonts w:asciiTheme="majorEastAsia" w:hAnsiTheme="majorEastAsia" w:eastAsiaTheme="majorEastAsia"/>
          <w:sz w:val="24"/>
          <w:highlight w:val="none"/>
        </w:rPr>
      </w:pPr>
      <w:r>
        <w:rPr>
          <w:highlight w:val="none"/>
        </w:rPr>
        <w:fldChar w:fldCharType="begin"/>
      </w:r>
      <w:r>
        <w:rPr>
          <w:highlight w:val="none"/>
        </w:rPr>
        <w:instrText xml:space="preserve"> HYPERLINK \l "_Toc34844744" </w:instrText>
      </w:r>
      <w:r>
        <w:rPr>
          <w:highlight w:val="none"/>
        </w:rPr>
        <w:fldChar w:fldCharType="separate"/>
      </w:r>
      <w:r>
        <w:rPr>
          <w:rStyle w:val="51"/>
          <w:rFonts w:hint="eastAsia" w:asciiTheme="majorEastAsia" w:hAnsiTheme="majorEastAsia" w:eastAsiaTheme="majorEastAsia"/>
          <w:color w:val="auto"/>
          <w:sz w:val="24"/>
          <w:highlight w:val="none"/>
        </w:rPr>
        <w:t>第四章  评标方法及评标标准</w:t>
      </w:r>
      <w:r>
        <w:rPr>
          <w:rFonts w:asciiTheme="majorEastAsia" w:hAnsiTheme="majorEastAsia" w:eastAsiaTheme="majorEastAsia"/>
          <w:sz w:val="24"/>
          <w:highlight w:val="none"/>
        </w:rPr>
        <w:tab/>
      </w:r>
      <w:r>
        <w:rPr>
          <w:rFonts w:asciiTheme="majorEastAsia" w:hAnsiTheme="majorEastAsia" w:eastAsiaTheme="majorEastAsia"/>
          <w:sz w:val="24"/>
          <w:highlight w:val="none"/>
        </w:rPr>
        <w:fldChar w:fldCharType="begin"/>
      </w:r>
      <w:r>
        <w:rPr>
          <w:rFonts w:asciiTheme="majorEastAsia" w:hAnsiTheme="majorEastAsia" w:eastAsiaTheme="majorEastAsia"/>
          <w:sz w:val="24"/>
          <w:highlight w:val="none"/>
        </w:rPr>
        <w:instrText xml:space="preserve"> PAGEREF _Toc34844744 \h </w:instrText>
      </w:r>
      <w:r>
        <w:rPr>
          <w:rFonts w:asciiTheme="majorEastAsia" w:hAnsiTheme="majorEastAsia" w:eastAsiaTheme="majorEastAsia"/>
          <w:sz w:val="24"/>
          <w:highlight w:val="none"/>
        </w:rPr>
        <w:fldChar w:fldCharType="separate"/>
      </w:r>
      <w:r>
        <w:rPr>
          <w:rFonts w:asciiTheme="majorEastAsia" w:hAnsiTheme="majorEastAsia" w:eastAsiaTheme="majorEastAsia"/>
          <w:sz w:val="24"/>
          <w:highlight w:val="none"/>
        </w:rPr>
        <w:t>29</w:t>
      </w:r>
      <w:r>
        <w:rPr>
          <w:rFonts w:asciiTheme="majorEastAsia" w:hAnsiTheme="majorEastAsia" w:eastAsiaTheme="majorEastAsia"/>
          <w:sz w:val="24"/>
          <w:highlight w:val="none"/>
        </w:rPr>
        <w:fldChar w:fldCharType="end"/>
      </w:r>
      <w:r>
        <w:rPr>
          <w:rFonts w:asciiTheme="majorEastAsia" w:hAnsiTheme="majorEastAsia" w:eastAsiaTheme="majorEastAsia"/>
          <w:sz w:val="24"/>
          <w:highlight w:val="none"/>
        </w:rPr>
        <w:fldChar w:fldCharType="end"/>
      </w:r>
    </w:p>
    <w:p>
      <w:pPr>
        <w:pStyle w:val="31"/>
        <w:tabs>
          <w:tab w:val="right" w:leader="dot" w:pos="8846"/>
        </w:tabs>
        <w:spacing w:line="360" w:lineRule="auto"/>
        <w:rPr>
          <w:rFonts w:asciiTheme="majorEastAsia" w:hAnsiTheme="majorEastAsia" w:eastAsiaTheme="majorEastAsia"/>
          <w:sz w:val="24"/>
          <w:highlight w:val="none"/>
        </w:rPr>
      </w:pPr>
      <w:r>
        <w:rPr>
          <w:highlight w:val="none"/>
        </w:rPr>
        <w:fldChar w:fldCharType="begin"/>
      </w:r>
      <w:r>
        <w:rPr>
          <w:highlight w:val="none"/>
        </w:rPr>
        <w:instrText xml:space="preserve"> HYPERLINK \l "_Toc34844745" </w:instrText>
      </w:r>
      <w:r>
        <w:rPr>
          <w:highlight w:val="none"/>
        </w:rPr>
        <w:fldChar w:fldCharType="separate"/>
      </w:r>
      <w:r>
        <w:rPr>
          <w:rStyle w:val="51"/>
          <w:rFonts w:hint="eastAsia" w:asciiTheme="majorEastAsia" w:hAnsiTheme="majorEastAsia" w:eastAsiaTheme="majorEastAsia"/>
          <w:color w:val="auto"/>
          <w:sz w:val="24"/>
          <w:highlight w:val="none"/>
        </w:rPr>
        <w:t>第五章  合同文本</w:t>
      </w:r>
      <w:r>
        <w:rPr>
          <w:rFonts w:asciiTheme="majorEastAsia" w:hAnsiTheme="majorEastAsia" w:eastAsiaTheme="majorEastAsia"/>
          <w:sz w:val="24"/>
          <w:highlight w:val="none"/>
        </w:rPr>
        <w:tab/>
      </w:r>
      <w:r>
        <w:rPr>
          <w:rFonts w:asciiTheme="majorEastAsia" w:hAnsiTheme="majorEastAsia" w:eastAsiaTheme="majorEastAsia"/>
          <w:sz w:val="24"/>
          <w:highlight w:val="none"/>
        </w:rPr>
        <w:fldChar w:fldCharType="begin"/>
      </w:r>
      <w:r>
        <w:rPr>
          <w:rFonts w:asciiTheme="majorEastAsia" w:hAnsiTheme="majorEastAsia" w:eastAsiaTheme="majorEastAsia"/>
          <w:sz w:val="24"/>
          <w:highlight w:val="none"/>
        </w:rPr>
        <w:instrText xml:space="preserve"> PAGEREF _Toc34844745 \h </w:instrText>
      </w:r>
      <w:r>
        <w:rPr>
          <w:rFonts w:asciiTheme="majorEastAsia" w:hAnsiTheme="majorEastAsia" w:eastAsiaTheme="majorEastAsia"/>
          <w:sz w:val="24"/>
          <w:highlight w:val="none"/>
        </w:rPr>
        <w:fldChar w:fldCharType="separate"/>
      </w:r>
      <w:r>
        <w:rPr>
          <w:rFonts w:asciiTheme="majorEastAsia" w:hAnsiTheme="majorEastAsia" w:eastAsiaTheme="majorEastAsia"/>
          <w:sz w:val="24"/>
          <w:highlight w:val="none"/>
        </w:rPr>
        <w:t>33</w:t>
      </w:r>
      <w:r>
        <w:rPr>
          <w:rFonts w:asciiTheme="majorEastAsia" w:hAnsiTheme="majorEastAsia" w:eastAsiaTheme="majorEastAsia"/>
          <w:sz w:val="24"/>
          <w:highlight w:val="none"/>
        </w:rPr>
        <w:fldChar w:fldCharType="end"/>
      </w:r>
      <w:r>
        <w:rPr>
          <w:rFonts w:asciiTheme="majorEastAsia" w:hAnsiTheme="majorEastAsia" w:eastAsiaTheme="majorEastAsia"/>
          <w:sz w:val="24"/>
          <w:highlight w:val="none"/>
        </w:rPr>
        <w:fldChar w:fldCharType="end"/>
      </w:r>
    </w:p>
    <w:p>
      <w:pPr>
        <w:pStyle w:val="31"/>
        <w:tabs>
          <w:tab w:val="right" w:leader="dot" w:pos="8846"/>
        </w:tabs>
        <w:spacing w:line="360" w:lineRule="auto"/>
        <w:rPr>
          <w:rFonts w:hint="eastAsia" w:asciiTheme="majorEastAsia" w:hAnsiTheme="majorEastAsia" w:eastAsiaTheme="majorEastAsia"/>
          <w:szCs w:val="22"/>
          <w:highlight w:val="none"/>
          <w:lang w:val="en-US" w:eastAsia="zh-CN"/>
        </w:rPr>
      </w:pPr>
      <w:r>
        <w:rPr>
          <w:highlight w:val="none"/>
        </w:rPr>
        <w:fldChar w:fldCharType="begin"/>
      </w:r>
      <w:r>
        <w:rPr>
          <w:highlight w:val="none"/>
        </w:rPr>
        <w:instrText xml:space="preserve"> HYPERLINK \l "_Toc34844746" </w:instrText>
      </w:r>
      <w:r>
        <w:rPr>
          <w:highlight w:val="none"/>
        </w:rPr>
        <w:fldChar w:fldCharType="separate"/>
      </w:r>
      <w:r>
        <w:rPr>
          <w:rStyle w:val="51"/>
          <w:rFonts w:hint="eastAsia" w:asciiTheme="majorEastAsia" w:hAnsiTheme="majorEastAsia" w:eastAsiaTheme="majorEastAsia"/>
          <w:color w:val="auto"/>
          <w:sz w:val="24"/>
          <w:highlight w:val="none"/>
        </w:rPr>
        <w:t>第六章  投标文件格式</w:t>
      </w:r>
      <w:r>
        <w:rPr>
          <w:rFonts w:asciiTheme="majorEastAsia" w:hAnsiTheme="majorEastAsia" w:eastAsiaTheme="majorEastAsia"/>
          <w:sz w:val="24"/>
          <w:highlight w:val="none"/>
        </w:rPr>
        <w:tab/>
      </w:r>
      <w:r>
        <w:rPr>
          <w:rFonts w:hint="eastAsia" w:asciiTheme="majorEastAsia" w:hAnsiTheme="majorEastAsia" w:eastAsiaTheme="majorEastAsia"/>
          <w:sz w:val="24"/>
          <w:highlight w:val="none"/>
          <w:lang w:val="en-US" w:eastAsia="zh-CN"/>
        </w:rPr>
        <w:t>4</w:t>
      </w:r>
      <w:r>
        <w:rPr>
          <w:rFonts w:asciiTheme="majorEastAsia" w:hAnsiTheme="majorEastAsia" w:eastAsiaTheme="majorEastAsia"/>
          <w:sz w:val="24"/>
          <w:highlight w:val="none"/>
        </w:rPr>
        <w:fldChar w:fldCharType="end"/>
      </w:r>
      <w:r>
        <w:rPr>
          <w:rFonts w:hint="eastAsia" w:asciiTheme="majorEastAsia" w:hAnsiTheme="majorEastAsia" w:eastAsiaTheme="majorEastAsia"/>
          <w:sz w:val="24"/>
          <w:highlight w:val="none"/>
          <w:lang w:val="en-US" w:eastAsia="zh-CN"/>
        </w:rPr>
        <w:t>0</w:t>
      </w:r>
    </w:p>
    <w:p>
      <w:pPr>
        <w:spacing w:line="360" w:lineRule="auto"/>
        <w:rPr>
          <w:rFonts w:asciiTheme="majorEastAsia" w:hAnsiTheme="majorEastAsia" w:eastAsiaTheme="majorEastAsia"/>
          <w:b/>
          <w:bCs/>
          <w:highlight w:val="none"/>
          <w:lang w:val="zh-CN"/>
        </w:rPr>
      </w:pPr>
      <w:r>
        <w:rPr>
          <w:rFonts w:asciiTheme="majorEastAsia" w:hAnsiTheme="majorEastAsia" w:eastAsiaTheme="majorEastAsia"/>
          <w:b/>
          <w:bCs/>
          <w:highlight w:val="none"/>
          <w:lang w:val="zh-CN"/>
        </w:rPr>
        <w:fldChar w:fldCharType="end"/>
      </w:r>
    </w:p>
    <w:p>
      <w:pPr>
        <w:widowControl/>
        <w:jc w:val="left"/>
        <w:rPr>
          <w:rFonts w:asciiTheme="majorEastAsia" w:hAnsiTheme="majorEastAsia" w:eastAsiaTheme="majorEastAsia"/>
          <w:b/>
          <w:bCs/>
          <w:highlight w:val="none"/>
          <w:lang w:val="zh-CN"/>
        </w:rPr>
        <w:sectPr>
          <w:headerReference r:id="rId8" w:type="default"/>
          <w:footerReference r:id="rId9" w:type="even"/>
          <w:pgSz w:w="11906" w:h="16838"/>
          <w:pgMar w:top="1276" w:right="1440" w:bottom="1276" w:left="1610" w:header="851" w:footer="851" w:gutter="0"/>
          <w:pgNumType w:fmt="decimal"/>
          <w:cols w:space="720" w:num="1"/>
          <w:docGrid w:linePitch="312" w:charSpace="0"/>
        </w:sectPr>
      </w:pPr>
      <w:r>
        <w:rPr>
          <w:rFonts w:asciiTheme="majorEastAsia" w:hAnsiTheme="majorEastAsia" w:eastAsiaTheme="majorEastAsia"/>
          <w:b/>
          <w:bCs/>
          <w:highlight w:val="none"/>
          <w:lang w:val="zh-CN"/>
        </w:rPr>
        <w:br w:type="page"/>
      </w:r>
    </w:p>
    <w:p>
      <w:pPr>
        <w:pStyle w:val="277"/>
        <w:spacing w:before="0" w:after="0" w:line="360" w:lineRule="auto"/>
        <w:jc w:val="center"/>
        <w:rPr>
          <w:rFonts w:asciiTheme="majorEastAsia" w:hAnsiTheme="majorEastAsia" w:eastAsiaTheme="majorEastAsia"/>
          <w:sz w:val="24"/>
          <w:highlight w:val="none"/>
        </w:rPr>
      </w:pPr>
      <w:bookmarkStart w:id="0" w:name="_Toc34844741"/>
      <w:r>
        <w:rPr>
          <w:rFonts w:hint="eastAsia" w:asciiTheme="majorEastAsia" w:hAnsiTheme="majorEastAsia" w:eastAsiaTheme="majorEastAsia"/>
          <w:sz w:val="24"/>
          <w:highlight w:val="none"/>
        </w:rPr>
        <w:t>第一章  投标邀请</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ajorEastAsia" w:hAnsiTheme="majorEastAsia" w:eastAsiaTheme="majorEastAsia"/>
          <w:szCs w:val="28"/>
          <w:highlight w:val="none"/>
        </w:rPr>
      </w:pPr>
      <w:r>
        <w:rPr>
          <w:rFonts w:hint="eastAsia" w:asciiTheme="majorEastAsia" w:hAnsiTheme="majorEastAsia" w:eastAsiaTheme="majorEastAsia"/>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Theme="majorEastAsia" w:hAnsiTheme="majorEastAsia" w:eastAsiaTheme="majorEastAsia"/>
          <w:szCs w:val="28"/>
          <w:highlight w:val="none"/>
        </w:rPr>
      </w:pPr>
      <w:bookmarkStart w:id="1" w:name="_Toc28359002"/>
      <w:bookmarkStart w:id="2" w:name="_Toc35393790"/>
      <w:bookmarkStart w:id="3" w:name="_Toc35393621"/>
      <w:bookmarkStart w:id="4" w:name="_Toc28359079"/>
      <w:bookmarkStart w:id="5" w:name="_Hlk24379207"/>
      <w:r>
        <w:rPr>
          <w:rFonts w:hint="eastAsia" w:asciiTheme="majorEastAsia" w:hAnsiTheme="majorEastAsia" w:eastAsiaTheme="majorEastAsia"/>
          <w:szCs w:val="28"/>
          <w:highlight w:val="none"/>
          <w:u w:val="single"/>
          <w:lang w:eastAsia="zh-CN"/>
        </w:rPr>
        <w:t>宁波广播电视集团采购新大楼</w:t>
      </w:r>
      <w:r>
        <w:rPr>
          <w:rFonts w:hint="eastAsia" w:asciiTheme="majorEastAsia" w:hAnsiTheme="majorEastAsia" w:eastAsiaTheme="majorEastAsia"/>
          <w:szCs w:val="28"/>
          <w:highlight w:val="none"/>
          <w:u w:val="single"/>
          <w:lang w:val="en-US" w:eastAsia="zh-CN"/>
        </w:rPr>
        <w:t>演播室核心</w:t>
      </w:r>
      <w:r>
        <w:rPr>
          <w:rFonts w:hint="eastAsia" w:asciiTheme="majorEastAsia" w:hAnsiTheme="majorEastAsia" w:eastAsiaTheme="majorEastAsia"/>
          <w:szCs w:val="28"/>
          <w:highlight w:val="none"/>
          <w:u w:val="single"/>
          <w:lang w:eastAsia="zh-CN"/>
        </w:rPr>
        <w:t>业务共享系统（一期）建设项目</w:t>
      </w:r>
      <w:r>
        <w:rPr>
          <w:rFonts w:hint="eastAsia" w:asciiTheme="majorEastAsia" w:hAnsiTheme="majorEastAsia" w:eastAsiaTheme="majorEastAsia"/>
          <w:szCs w:val="28"/>
          <w:highlight w:val="none"/>
        </w:rPr>
        <w:t>的潜在投标人应在</w:t>
      </w:r>
      <w:r>
        <w:rPr>
          <w:rFonts w:hint="eastAsia" w:asciiTheme="majorEastAsia" w:hAnsiTheme="majorEastAsia" w:eastAsiaTheme="majorEastAsia"/>
          <w:highlight w:val="none"/>
          <w:u w:val="single"/>
        </w:rPr>
        <w:t>政采云平台（</w:t>
      </w:r>
      <w:r>
        <w:rPr>
          <w:highlight w:val="none"/>
        </w:rPr>
        <w:fldChar w:fldCharType="begin"/>
      </w:r>
      <w:r>
        <w:rPr>
          <w:highlight w:val="none"/>
        </w:rPr>
        <w:instrText xml:space="preserve"> HYPERLINK "https://www.zcygov.cn）获取招标文件，并于2023年8月" </w:instrText>
      </w:r>
      <w:r>
        <w:rPr>
          <w:highlight w:val="none"/>
        </w:rPr>
        <w:fldChar w:fldCharType="separate"/>
      </w:r>
      <w:r>
        <w:rPr>
          <w:rStyle w:val="51"/>
          <w:rFonts w:hint="eastAsia" w:asciiTheme="majorEastAsia" w:hAnsiTheme="majorEastAsia" w:eastAsiaTheme="majorEastAsia"/>
          <w:color w:val="auto"/>
          <w:highlight w:val="none"/>
        </w:rPr>
        <w:t>https://www.zcygov.cn）</w:t>
      </w:r>
      <w:r>
        <w:rPr>
          <w:rStyle w:val="51"/>
          <w:rFonts w:hint="eastAsia" w:asciiTheme="majorEastAsia" w:hAnsiTheme="majorEastAsia" w:eastAsiaTheme="majorEastAsia"/>
          <w:color w:val="auto"/>
          <w:szCs w:val="28"/>
          <w:highlight w:val="none"/>
        </w:rPr>
        <w:t>获取招标文件，并于</w:t>
      </w:r>
      <w:r>
        <w:rPr>
          <w:rStyle w:val="51"/>
          <w:rFonts w:hint="eastAsia" w:asciiTheme="majorEastAsia" w:hAnsiTheme="majorEastAsia" w:eastAsiaTheme="majorEastAsia"/>
          <w:color w:val="auto"/>
          <w:szCs w:val="28"/>
          <w:highlight w:val="none"/>
          <w:lang w:eastAsia="zh-CN"/>
        </w:rPr>
        <w:t>2024年</w:t>
      </w:r>
      <w:r>
        <w:rPr>
          <w:rStyle w:val="51"/>
          <w:rFonts w:hint="eastAsia" w:asciiTheme="majorEastAsia" w:hAnsiTheme="majorEastAsia" w:eastAsiaTheme="majorEastAsia"/>
          <w:bCs/>
          <w:color w:val="auto"/>
          <w:szCs w:val="28"/>
          <w:highlight w:val="none"/>
          <w:lang w:val="en-US" w:eastAsia="zh-CN"/>
        </w:rPr>
        <w:t>5</w:t>
      </w:r>
      <w:r>
        <w:rPr>
          <w:rStyle w:val="51"/>
          <w:rFonts w:hint="eastAsia" w:asciiTheme="majorEastAsia" w:hAnsiTheme="majorEastAsia" w:eastAsiaTheme="majorEastAsia"/>
          <w:bCs/>
          <w:color w:val="auto"/>
          <w:szCs w:val="28"/>
          <w:highlight w:val="none"/>
        </w:rPr>
        <w:t>月</w:t>
      </w:r>
      <w:r>
        <w:rPr>
          <w:rStyle w:val="51"/>
          <w:rFonts w:hint="eastAsia" w:asciiTheme="majorEastAsia" w:hAnsiTheme="majorEastAsia" w:eastAsiaTheme="majorEastAsia"/>
          <w:bCs/>
          <w:color w:val="auto"/>
          <w:szCs w:val="28"/>
          <w:highlight w:val="none"/>
        </w:rPr>
        <w:fldChar w:fldCharType="end"/>
      </w:r>
      <w:r>
        <w:rPr>
          <w:rFonts w:hint="eastAsia" w:asciiTheme="majorEastAsia" w:hAnsiTheme="majorEastAsia" w:eastAsiaTheme="majorEastAsia"/>
          <w:bCs/>
          <w:szCs w:val="28"/>
          <w:highlight w:val="none"/>
          <w:u w:val="single"/>
          <w:lang w:val="en-US" w:eastAsia="zh-CN"/>
        </w:rPr>
        <w:t>14</w:t>
      </w:r>
      <w:r>
        <w:rPr>
          <w:rFonts w:hint="eastAsia" w:asciiTheme="majorEastAsia" w:hAnsiTheme="majorEastAsia" w:eastAsiaTheme="majorEastAsia"/>
          <w:bCs/>
          <w:szCs w:val="28"/>
          <w:highlight w:val="none"/>
          <w:u w:val="single"/>
        </w:rPr>
        <w:t>日</w:t>
      </w:r>
      <w:r>
        <w:rPr>
          <w:rFonts w:hint="eastAsia" w:asciiTheme="majorEastAsia" w:hAnsiTheme="majorEastAsia" w:eastAsiaTheme="majorEastAsia"/>
          <w:bCs/>
          <w:szCs w:val="28"/>
          <w:highlight w:val="none"/>
          <w:u w:val="single"/>
          <w:lang w:val="en-US" w:eastAsia="zh-CN"/>
        </w:rPr>
        <w:t>14</w:t>
      </w:r>
      <w:r>
        <w:rPr>
          <w:rFonts w:hint="eastAsia" w:asciiTheme="majorEastAsia" w:hAnsiTheme="majorEastAsia" w:eastAsiaTheme="majorEastAsia"/>
          <w:bCs/>
          <w:szCs w:val="28"/>
          <w:highlight w:val="none"/>
          <w:u w:val="single"/>
        </w:rPr>
        <w:t>点</w:t>
      </w:r>
      <w:r>
        <w:rPr>
          <w:rFonts w:hint="eastAsia" w:asciiTheme="majorEastAsia" w:hAnsiTheme="majorEastAsia" w:eastAsiaTheme="majorEastAsia"/>
          <w:bCs/>
          <w:szCs w:val="28"/>
          <w:highlight w:val="none"/>
          <w:u w:val="single"/>
          <w:lang w:val="en-US" w:eastAsia="zh-CN"/>
        </w:rPr>
        <w:t>00</w:t>
      </w:r>
      <w:r>
        <w:rPr>
          <w:rFonts w:hint="eastAsia" w:asciiTheme="majorEastAsia" w:hAnsiTheme="majorEastAsia" w:eastAsiaTheme="majorEastAsia"/>
          <w:bCs/>
          <w:szCs w:val="28"/>
          <w:highlight w:val="none"/>
          <w:u w:val="single"/>
        </w:rPr>
        <w:t>分</w:t>
      </w:r>
      <w:r>
        <w:rPr>
          <w:rFonts w:hint="eastAsia" w:asciiTheme="majorEastAsia" w:hAnsiTheme="majorEastAsia" w:eastAsiaTheme="majorEastAsia"/>
          <w:bCs/>
          <w:szCs w:val="28"/>
          <w:highlight w:val="none"/>
        </w:rPr>
        <w:t>（北京时间）前递交投标</w:t>
      </w:r>
      <w:r>
        <w:rPr>
          <w:rFonts w:asciiTheme="majorEastAsia" w:hAnsiTheme="majorEastAsia" w:eastAsiaTheme="majorEastAsia"/>
          <w:bCs/>
          <w:szCs w:val="28"/>
          <w:highlight w:val="none"/>
        </w:rPr>
        <w:t>文件</w:t>
      </w:r>
      <w:r>
        <w:rPr>
          <w:rFonts w:hint="eastAsia" w:asciiTheme="majorEastAsia" w:hAnsiTheme="majorEastAsia" w:eastAsiaTheme="majorEastAsia"/>
          <w:szCs w:val="28"/>
          <w:highlight w:val="none"/>
        </w:rPr>
        <w:t>。</w:t>
      </w:r>
    </w:p>
    <w:p>
      <w:pPr>
        <w:snapToGrid w:val="0"/>
        <w:spacing w:line="400" w:lineRule="exac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一、项目基本情况</w:t>
      </w:r>
      <w:bookmarkEnd w:id="1"/>
      <w:bookmarkEnd w:id="2"/>
      <w:bookmarkEnd w:id="3"/>
      <w:bookmarkEnd w:id="4"/>
    </w:p>
    <w:p>
      <w:pPr>
        <w:spacing w:line="400" w:lineRule="exact"/>
        <w:ind w:firstLine="420" w:firstLineChars="200"/>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项目编号：</w:t>
      </w:r>
      <w:r>
        <w:rPr>
          <w:rFonts w:hint="eastAsia" w:asciiTheme="majorEastAsia" w:hAnsiTheme="majorEastAsia" w:eastAsiaTheme="majorEastAsia"/>
          <w:szCs w:val="21"/>
          <w:highlight w:val="none"/>
          <w:lang w:eastAsia="zh-CN"/>
        </w:rPr>
        <w:t>NBMC-202411024G</w:t>
      </w:r>
    </w:p>
    <w:p>
      <w:pPr>
        <w:spacing w:line="400" w:lineRule="exact"/>
        <w:ind w:firstLine="420" w:firstLineChars="200"/>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项目名称：</w:t>
      </w:r>
      <w:r>
        <w:rPr>
          <w:rFonts w:hint="eastAsia" w:asciiTheme="majorEastAsia" w:hAnsiTheme="majorEastAsia" w:eastAsiaTheme="majorEastAsia"/>
          <w:szCs w:val="21"/>
          <w:highlight w:val="none"/>
          <w:lang w:eastAsia="zh-CN"/>
        </w:rPr>
        <w:t>宁波广播电视集团采购新大楼</w:t>
      </w:r>
      <w:r>
        <w:rPr>
          <w:rFonts w:hint="eastAsia" w:asciiTheme="majorEastAsia" w:hAnsiTheme="majorEastAsia" w:eastAsiaTheme="majorEastAsia"/>
          <w:szCs w:val="21"/>
          <w:highlight w:val="none"/>
          <w:lang w:val="en-US" w:eastAsia="zh-CN"/>
        </w:rPr>
        <w:t>演播室核心</w:t>
      </w:r>
      <w:r>
        <w:rPr>
          <w:rFonts w:hint="eastAsia" w:asciiTheme="majorEastAsia" w:hAnsiTheme="majorEastAsia" w:eastAsiaTheme="majorEastAsia"/>
          <w:szCs w:val="21"/>
          <w:highlight w:val="none"/>
          <w:lang w:eastAsia="zh-CN"/>
        </w:rPr>
        <w:t>业务共享系统（一期）建设项目</w:t>
      </w:r>
    </w:p>
    <w:bookmarkEnd w:id="5"/>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标项1</w:t>
      </w:r>
    </w:p>
    <w:p>
      <w:pPr>
        <w:spacing w:line="400" w:lineRule="exact"/>
        <w:ind w:firstLine="420" w:firstLineChars="200"/>
        <w:rPr>
          <w:rFonts w:hint="eastAsia" w:cs="Times New Roman"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标的名称: </w:t>
      </w:r>
      <w:r>
        <w:rPr>
          <w:rFonts w:hint="eastAsia" w:cs="Times New Roman" w:asciiTheme="majorEastAsia" w:hAnsiTheme="majorEastAsia" w:eastAsiaTheme="majorEastAsia"/>
          <w:szCs w:val="21"/>
          <w:highlight w:val="none"/>
          <w:lang w:eastAsia="zh-CN"/>
        </w:rPr>
        <w:t>新大楼</w:t>
      </w:r>
      <w:r>
        <w:rPr>
          <w:rFonts w:hint="eastAsia" w:cs="Times New Roman" w:asciiTheme="majorEastAsia" w:hAnsiTheme="majorEastAsia" w:eastAsiaTheme="majorEastAsia"/>
          <w:szCs w:val="21"/>
          <w:highlight w:val="none"/>
          <w:lang w:val="en-US" w:eastAsia="zh-CN"/>
        </w:rPr>
        <w:t>演播室核心</w:t>
      </w:r>
      <w:r>
        <w:rPr>
          <w:rFonts w:hint="eastAsia" w:cs="Times New Roman" w:asciiTheme="majorEastAsia" w:hAnsiTheme="majorEastAsia" w:eastAsiaTheme="majorEastAsia"/>
          <w:szCs w:val="21"/>
          <w:highlight w:val="none"/>
          <w:lang w:eastAsia="zh-CN"/>
        </w:rPr>
        <w:t>业务共享系统（一期）建设项目</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预算金额：</w:t>
      </w:r>
      <w:r>
        <w:rPr>
          <w:rFonts w:hint="eastAsia" w:asciiTheme="majorEastAsia" w:hAnsiTheme="majorEastAsia" w:eastAsiaTheme="majorEastAsia"/>
          <w:szCs w:val="21"/>
          <w:highlight w:val="none"/>
          <w:lang w:val="en-US" w:eastAsia="zh-CN"/>
        </w:rPr>
        <w:t>150</w:t>
      </w:r>
      <w:r>
        <w:rPr>
          <w:rFonts w:hint="eastAsia" w:asciiTheme="majorEastAsia" w:hAnsiTheme="majorEastAsia" w:eastAsiaTheme="majorEastAsia"/>
          <w:szCs w:val="21"/>
          <w:highlight w:val="none"/>
        </w:rPr>
        <w:t>万元</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最高限价：</w:t>
      </w:r>
      <w:r>
        <w:rPr>
          <w:rFonts w:hint="eastAsia" w:asciiTheme="majorEastAsia" w:hAnsiTheme="majorEastAsia" w:eastAsiaTheme="majorEastAsia"/>
          <w:szCs w:val="21"/>
          <w:highlight w:val="none"/>
          <w:lang w:val="en-US" w:eastAsia="zh-CN"/>
        </w:rPr>
        <w:t>150</w:t>
      </w:r>
      <w:r>
        <w:rPr>
          <w:rFonts w:hint="eastAsia" w:asciiTheme="majorEastAsia" w:hAnsiTheme="majorEastAsia" w:eastAsiaTheme="majorEastAsia"/>
          <w:szCs w:val="21"/>
          <w:highlight w:val="none"/>
        </w:rPr>
        <w:t>万元</w:t>
      </w:r>
    </w:p>
    <w:p>
      <w:pPr>
        <w:spacing w:line="400" w:lineRule="exact"/>
        <w:ind w:firstLine="420" w:firstLineChars="200"/>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rPr>
        <w:t>数量:</w:t>
      </w:r>
      <w:r>
        <w:rPr>
          <w:rFonts w:hint="eastAsia" w:asciiTheme="majorEastAsia" w:hAnsiTheme="majorEastAsia" w:eastAsiaTheme="majorEastAsia"/>
          <w:szCs w:val="21"/>
          <w:highlight w:val="none"/>
          <w:lang w:val="en-US" w:eastAsia="zh-CN"/>
        </w:rPr>
        <w:t>1批</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简要技术需求:</w:t>
      </w:r>
      <w:r>
        <w:rPr>
          <w:rFonts w:hint="eastAsia" w:ascii="宋体" w:hAnsi="宋体" w:eastAsia="宋体" w:cs="宋体"/>
          <w:highlight w:val="none"/>
        </w:rPr>
        <w:t>系统具备全天候多档节目内容的制作，格式转换和播出能力，且要能够满足新闻类节目的直播要求</w:t>
      </w:r>
      <w:r>
        <w:rPr>
          <w:rFonts w:hint="eastAsia" w:asciiTheme="majorEastAsia" w:hAnsiTheme="majorEastAsia" w:eastAsiaTheme="majorEastAsia"/>
          <w:szCs w:val="21"/>
          <w:highlight w:val="none"/>
        </w:rPr>
        <w:t>等</w:t>
      </w:r>
      <w:r>
        <w:rPr>
          <w:rFonts w:asciiTheme="majorEastAsia" w:hAnsiTheme="majorEastAsia" w:eastAsiaTheme="majorEastAsia"/>
          <w:szCs w:val="21"/>
          <w:highlight w:val="none"/>
        </w:rPr>
        <w:t>。</w:t>
      </w:r>
    </w:p>
    <w:p>
      <w:pPr>
        <w:spacing w:line="400" w:lineRule="exact"/>
        <w:ind w:firstLine="420" w:firstLineChars="200"/>
        <w:rPr>
          <w:rFonts w:hint="eastAsia" w:eastAsia="宋体" w:asciiTheme="majorEastAsia" w:hAnsiTheme="majorEastAsia"/>
          <w:szCs w:val="21"/>
          <w:highlight w:val="none"/>
          <w:lang w:eastAsia="zh-CN"/>
        </w:rPr>
      </w:pPr>
      <w:r>
        <w:rPr>
          <w:rFonts w:asciiTheme="majorEastAsia" w:hAnsiTheme="majorEastAsia" w:eastAsiaTheme="majorEastAsia"/>
          <w:szCs w:val="21"/>
          <w:highlight w:val="none"/>
        </w:rPr>
        <w:t>合同履约期限</w:t>
      </w:r>
      <w:r>
        <w:rPr>
          <w:rFonts w:hint="eastAsia" w:asciiTheme="majorEastAsia" w:hAnsiTheme="majorEastAsia" w:eastAsiaTheme="majorEastAsia"/>
          <w:szCs w:val="21"/>
          <w:highlight w:val="none"/>
        </w:rPr>
        <w:t>：</w:t>
      </w:r>
      <w:r>
        <w:rPr>
          <w:rFonts w:hint="eastAsia" w:ascii="宋体" w:hAnsi="宋体"/>
          <w:highlight w:val="none"/>
        </w:rPr>
        <w:t>自合同生效之日至合同全部权利义务履行完毕之日止</w:t>
      </w:r>
      <w:r>
        <w:rPr>
          <w:rFonts w:hint="eastAsia" w:ascii="宋体" w:hAnsi="宋体"/>
          <w:highlight w:val="none"/>
          <w:lang w:eastAsia="zh-CN"/>
        </w:rPr>
        <w:t>。</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本项目不接受联合体投标。</w:t>
      </w:r>
    </w:p>
    <w:p>
      <w:pPr>
        <w:snapToGrid w:val="0"/>
        <w:spacing w:line="400" w:lineRule="exact"/>
        <w:rPr>
          <w:rFonts w:cs="Arial" w:asciiTheme="majorEastAsia" w:hAnsiTheme="majorEastAsia" w:eastAsiaTheme="majorEastAsia"/>
          <w:szCs w:val="21"/>
          <w:highlight w:val="none"/>
        </w:rPr>
      </w:pPr>
      <w:bookmarkStart w:id="6" w:name="_Toc28359080"/>
      <w:bookmarkStart w:id="7" w:name="_Toc28359003"/>
      <w:bookmarkStart w:id="8" w:name="_Toc35393622"/>
      <w:bookmarkStart w:id="9" w:name="_Toc35393791"/>
      <w:r>
        <w:rPr>
          <w:rFonts w:hint="eastAsia" w:cs="Arial" w:asciiTheme="majorEastAsia" w:hAnsiTheme="majorEastAsia" w:eastAsiaTheme="majorEastAsia"/>
          <w:szCs w:val="21"/>
          <w:highlight w:val="none"/>
        </w:rPr>
        <w:t>二、申请人的资格要求：</w:t>
      </w:r>
      <w:bookmarkEnd w:id="6"/>
      <w:bookmarkEnd w:id="7"/>
      <w:bookmarkEnd w:id="8"/>
      <w:bookmarkEnd w:id="9"/>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1.满足《中华人民共和国政府采购法》第二十二条</w:t>
      </w:r>
      <w:r>
        <w:rPr>
          <w:rFonts w:hint="eastAsia" w:asciiTheme="majorEastAsia" w:hAnsiTheme="majorEastAsia" w:eastAsiaTheme="majorEastAsia"/>
          <w:highlight w:val="none"/>
        </w:rPr>
        <w:t>第一款的</w:t>
      </w:r>
      <w:r>
        <w:rPr>
          <w:rFonts w:hint="eastAsia" w:asciiTheme="majorEastAsia" w:hAnsiTheme="majorEastAsia" w:eastAsiaTheme="majorEastAsia"/>
          <w:szCs w:val="21"/>
          <w:highlight w:val="none"/>
        </w:rPr>
        <w:t>规定；</w:t>
      </w:r>
    </w:p>
    <w:p>
      <w:pPr>
        <w:spacing w:line="40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highlight w:val="none"/>
        </w:rPr>
        <w:t>未被“信用中国”网站</w:t>
      </w:r>
      <w:r>
        <w:rPr>
          <w:rFonts w:asciiTheme="majorEastAsia" w:hAnsiTheme="majorEastAsia" w:eastAsiaTheme="majorEastAsia"/>
          <w:highlight w:val="none"/>
        </w:rPr>
        <w:t>(</w:t>
      </w:r>
      <w:r>
        <w:rPr>
          <w:highlight w:val="none"/>
        </w:rPr>
        <w:fldChar w:fldCharType="begin"/>
      </w:r>
      <w:r>
        <w:rPr>
          <w:highlight w:val="none"/>
        </w:rPr>
        <w:instrText xml:space="preserve"> HYPERLINK "http://www.creditchina" </w:instrText>
      </w:r>
      <w:r>
        <w:rPr>
          <w:highlight w:val="none"/>
        </w:rPr>
        <w:fldChar w:fldCharType="separate"/>
      </w:r>
      <w:r>
        <w:rPr>
          <w:rStyle w:val="51"/>
          <w:rFonts w:asciiTheme="majorEastAsia" w:hAnsiTheme="majorEastAsia" w:eastAsiaTheme="majorEastAsia"/>
          <w:color w:val="auto"/>
          <w:highlight w:val="none"/>
        </w:rPr>
        <w:t>www.creditchina</w:t>
      </w:r>
      <w:r>
        <w:rPr>
          <w:rStyle w:val="51"/>
          <w:rFonts w:asciiTheme="majorEastAsia" w:hAnsiTheme="majorEastAsia" w:eastAsiaTheme="majorEastAsia"/>
          <w:color w:val="auto"/>
          <w:highlight w:val="none"/>
        </w:rPr>
        <w:fldChar w:fldCharType="end"/>
      </w:r>
      <w:r>
        <w:rPr>
          <w:rFonts w:asciiTheme="majorEastAsia" w:hAnsiTheme="majorEastAsia" w:eastAsiaTheme="majorEastAsia"/>
          <w:highlight w:val="none"/>
        </w:rPr>
        <w:t xml:space="preserve">. gov.cn) </w:t>
      </w:r>
      <w:r>
        <w:rPr>
          <w:rFonts w:hint="eastAsia" w:asciiTheme="majorEastAsia" w:hAnsiTheme="majorEastAsia" w:eastAsiaTheme="majorEastAsia"/>
          <w:highlight w:val="none"/>
        </w:rPr>
        <w:t>列入“失信被执行人或重大税收违法案件当事人名单或政府采购严重违法失信行为记录名单”；未被中国政府采购网</w:t>
      </w:r>
      <w:r>
        <w:rPr>
          <w:rFonts w:asciiTheme="majorEastAsia" w:hAnsiTheme="majorEastAsia" w:eastAsiaTheme="majorEastAsia"/>
          <w:highlight w:val="none"/>
        </w:rPr>
        <w:t>(www.ccgp.gov.cn)“政府采购严重违法失信行为信息记录”中列入禁止参加政府采购活动期间。</w:t>
      </w:r>
    </w:p>
    <w:p>
      <w:pPr>
        <w:spacing w:line="400" w:lineRule="exact"/>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highlight w:val="none"/>
        </w:rPr>
        <w:t>3.单位负责人为同一人或者存在直接控股、管理关系的不同供应商，不得同时参加本项目的政府采购活动；为本项目提供整体设计、规范编制或者项目管理、监理、检测等服务的供应商，不得再参加本项目的投标。</w:t>
      </w:r>
    </w:p>
    <w:p>
      <w:pPr>
        <w:spacing w:line="400" w:lineRule="exact"/>
        <w:ind w:firstLine="420" w:firstLineChars="200"/>
        <w:rPr>
          <w:rFonts w:asciiTheme="majorEastAsia" w:hAnsiTheme="majorEastAsia" w:eastAsiaTheme="majorEastAsia"/>
          <w:highlight w:val="none"/>
        </w:rPr>
      </w:pPr>
      <w:bookmarkStart w:id="10" w:name="_Toc28359081"/>
      <w:bookmarkStart w:id="11" w:name="_Toc28359004"/>
      <w:r>
        <w:rPr>
          <w:rFonts w:hint="eastAsia" w:asciiTheme="majorEastAsia" w:hAnsiTheme="majorEastAsia" w:eastAsiaTheme="majorEastAsia"/>
          <w:highlight w:val="none"/>
        </w:rPr>
        <w:t>4.落实政府采购政策需满足的资格要求：</w:t>
      </w:r>
      <w:r>
        <w:rPr>
          <w:rFonts w:hint="eastAsia" w:asciiTheme="majorEastAsia" w:hAnsiTheme="majorEastAsia" w:eastAsiaTheme="majorEastAsia"/>
          <w:iCs/>
          <w:szCs w:val="21"/>
          <w:highlight w:val="none"/>
          <w:u w:val="single"/>
        </w:rPr>
        <w:t>/</w:t>
      </w:r>
    </w:p>
    <w:p>
      <w:pPr>
        <w:snapToGrid w:val="0"/>
        <w:spacing w:line="400" w:lineRule="exact"/>
        <w:rPr>
          <w:rFonts w:cs="Arial" w:asciiTheme="majorEastAsia" w:hAnsiTheme="majorEastAsia" w:eastAsiaTheme="majorEastAsia"/>
          <w:szCs w:val="21"/>
          <w:highlight w:val="none"/>
        </w:rPr>
      </w:pPr>
      <w:bookmarkStart w:id="12" w:name="_Toc35393623"/>
      <w:bookmarkStart w:id="13" w:name="_Toc35393792"/>
      <w:r>
        <w:rPr>
          <w:rFonts w:hint="eastAsia" w:cs="Arial" w:asciiTheme="majorEastAsia" w:hAnsiTheme="majorEastAsia" w:eastAsiaTheme="majorEastAsia"/>
          <w:szCs w:val="21"/>
          <w:highlight w:val="none"/>
        </w:rPr>
        <w:t>三、获取招标文件</w:t>
      </w:r>
      <w:bookmarkEnd w:id="10"/>
      <w:bookmarkEnd w:id="11"/>
      <w:bookmarkEnd w:id="12"/>
      <w:bookmarkEnd w:id="13"/>
    </w:p>
    <w:p>
      <w:pPr>
        <w:snapToGrid w:val="0"/>
        <w:spacing w:line="400" w:lineRule="exact"/>
        <w:ind w:firstLine="411" w:firstLineChars="196"/>
        <w:rPr>
          <w:rFonts w:cs="宋体" w:asciiTheme="majorEastAsia" w:hAnsiTheme="majorEastAsia" w:eastAsiaTheme="majorEastAsia"/>
          <w:b/>
          <w:szCs w:val="21"/>
          <w:highlight w:val="none"/>
        </w:rPr>
      </w:pPr>
      <w:r>
        <w:rPr>
          <w:rFonts w:hint="eastAsia" w:cs="宋体" w:asciiTheme="majorEastAsia" w:hAnsiTheme="majorEastAsia" w:eastAsiaTheme="majorEastAsia"/>
          <w:szCs w:val="21"/>
          <w:highlight w:val="none"/>
        </w:rPr>
        <w:t>时间：</w:t>
      </w:r>
      <w:r>
        <w:rPr>
          <w:rFonts w:hint="eastAsia" w:cs="宋体" w:asciiTheme="majorEastAsia" w:hAnsiTheme="majorEastAsia" w:eastAsiaTheme="majorEastAsia"/>
          <w:szCs w:val="21"/>
          <w:highlight w:val="none"/>
          <w:lang w:eastAsia="zh-CN"/>
        </w:rPr>
        <w:t>2024年</w:t>
      </w:r>
      <w:r>
        <w:rPr>
          <w:rFonts w:hint="eastAsia" w:cs="宋体" w:asciiTheme="majorEastAsia" w:hAnsiTheme="majorEastAsia" w:eastAsiaTheme="majorEastAsia"/>
          <w:szCs w:val="21"/>
          <w:highlight w:val="none"/>
          <w:lang w:val="en-US" w:eastAsia="zh-CN"/>
        </w:rPr>
        <w:t>4</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lang w:val="en-US" w:eastAsia="zh-CN"/>
        </w:rPr>
        <w:t>23</w:t>
      </w:r>
      <w:r>
        <w:rPr>
          <w:rFonts w:hint="eastAsia" w:cs="宋体" w:asciiTheme="majorEastAsia" w:hAnsiTheme="majorEastAsia" w:eastAsiaTheme="majorEastAsia"/>
          <w:szCs w:val="21"/>
          <w:highlight w:val="none"/>
        </w:rPr>
        <w:t>日至</w:t>
      </w:r>
      <w:r>
        <w:rPr>
          <w:rFonts w:hint="eastAsia" w:cs="宋体" w:asciiTheme="majorEastAsia" w:hAnsiTheme="majorEastAsia" w:eastAsiaTheme="majorEastAsia"/>
          <w:szCs w:val="21"/>
          <w:highlight w:val="none"/>
          <w:lang w:eastAsia="zh-CN"/>
        </w:rPr>
        <w:t>2024年</w:t>
      </w:r>
      <w:r>
        <w:rPr>
          <w:rFonts w:hint="eastAsia" w:cs="宋体" w:asciiTheme="majorEastAsia" w:hAnsiTheme="majorEastAsia" w:eastAsiaTheme="majorEastAsia"/>
          <w:szCs w:val="21"/>
          <w:highlight w:val="none"/>
          <w:lang w:val="en-US" w:eastAsia="zh-CN"/>
        </w:rPr>
        <w:t>4</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lang w:val="en-US" w:eastAsia="zh-CN"/>
        </w:rPr>
        <w:t>29</w:t>
      </w:r>
      <w:r>
        <w:rPr>
          <w:rFonts w:hint="eastAsia" w:cs="宋体" w:asciiTheme="majorEastAsia" w:hAnsiTheme="majorEastAsia" w:eastAsiaTheme="majorEastAsia"/>
          <w:szCs w:val="21"/>
          <w:highlight w:val="none"/>
        </w:rPr>
        <w:t>日，每天上午</w:t>
      </w:r>
      <w:r>
        <w:rPr>
          <w:rFonts w:hint="eastAsia" w:cs="宋体" w:asciiTheme="majorEastAsia" w:hAnsiTheme="majorEastAsia" w:eastAsiaTheme="majorEastAsia"/>
          <w:szCs w:val="21"/>
          <w:highlight w:val="none"/>
          <w:u w:val="single"/>
        </w:rPr>
        <w:t>00：00</w:t>
      </w:r>
      <w:r>
        <w:rPr>
          <w:rFonts w:hint="eastAsia" w:cs="宋体" w:asciiTheme="majorEastAsia" w:hAnsiTheme="majorEastAsia" w:eastAsiaTheme="majorEastAsia"/>
          <w:szCs w:val="21"/>
          <w:highlight w:val="none"/>
        </w:rPr>
        <w:t>至</w:t>
      </w:r>
      <w:r>
        <w:rPr>
          <w:rFonts w:hint="eastAsia" w:cs="宋体" w:asciiTheme="majorEastAsia" w:hAnsiTheme="majorEastAsia" w:eastAsiaTheme="majorEastAsia"/>
          <w:szCs w:val="21"/>
          <w:highlight w:val="none"/>
          <w:u w:val="single"/>
        </w:rPr>
        <w:t>12：00</w:t>
      </w:r>
      <w:r>
        <w:rPr>
          <w:rFonts w:hint="eastAsia" w:cs="宋体" w:asciiTheme="majorEastAsia" w:hAnsiTheme="majorEastAsia" w:eastAsiaTheme="majorEastAsia"/>
          <w:szCs w:val="21"/>
          <w:highlight w:val="none"/>
        </w:rPr>
        <w:t>，下午</w:t>
      </w:r>
      <w:r>
        <w:rPr>
          <w:rFonts w:hint="eastAsia" w:cs="宋体" w:asciiTheme="majorEastAsia" w:hAnsiTheme="majorEastAsia" w:eastAsiaTheme="majorEastAsia"/>
          <w:szCs w:val="21"/>
          <w:highlight w:val="none"/>
          <w:u w:val="single"/>
        </w:rPr>
        <w:t>12：00</w:t>
      </w:r>
      <w:r>
        <w:rPr>
          <w:rFonts w:hint="eastAsia" w:cs="宋体" w:asciiTheme="majorEastAsia" w:hAnsiTheme="majorEastAsia" w:eastAsiaTheme="majorEastAsia"/>
          <w:szCs w:val="21"/>
          <w:highlight w:val="none"/>
        </w:rPr>
        <w:t>至</w:t>
      </w:r>
      <w:r>
        <w:rPr>
          <w:rFonts w:hint="eastAsia" w:cs="宋体" w:asciiTheme="majorEastAsia" w:hAnsiTheme="majorEastAsia" w:eastAsiaTheme="majorEastAsia"/>
          <w:szCs w:val="21"/>
          <w:highlight w:val="none"/>
          <w:u w:val="single"/>
        </w:rPr>
        <w:t>23：59</w:t>
      </w:r>
      <w:r>
        <w:rPr>
          <w:rFonts w:hint="eastAsia" w:cs="宋体" w:asciiTheme="majorEastAsia" w:hAnsiTheme="majorEastAsia" w:eastAsiaTheme="majorEastAsia"/>
          <w:szCs w:val="21"/>
          <w:highlight w:val="none"/>
        </w:rPr>
        <w:t>（北京时间）</w:t>
      </w:r>
    </w:p>
    <w:p>
      <w:pPr>
        <w:snapToGrid w:val="0"/>
        <w:spacing w:line="400" w:lineRule="exact"/>
        <w:ind w:firstLine="411" w:firstLineChars="196"/>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地点：</w:t>
      </w:r>
      <w:r>
        <w:rPr>
          <w:rFonts w:hint="eastAsia" w:asciiTheme="majorEastAsia" w:hAnsiTheme="majorEastAsia" w:eastAsiaTheme="majorEastAsia"/>
          <w:highlight w:val="none"/>
          <w:u w:val="single"/>
        </w:rPr>
        <w:t>政采云平台（https://www.zcygov.cn）</w:t>
      </w:r>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方式：</w:t>
      </w:r>
      <w:r>
        <w:rPr>
          <w:rFonts w:hint="eastAsia" w:asciiTheme="majorEastAsia" w:hAnsiTheme="majorEastAsia" w:eastAsiaTheme="majorEastAsia"/>
          <w:szCs w:val="21"/>
          <w:highlight w:val="none"/>
        </w:rPr>
        <w:t>依法</w:t>
      </w:r>
      <w:r>
        <w:rPr>
          <w:rFonts w:asciiTheme="majorEastAsia" w:hAnsiTheme="majorEastAsia" w:eastAsiaTheme="majorEastAsia"/>
          <w:szCs w:val="21"/>
          <w:highlight w:val="none"/>
        </w:rPr>
        <w:t>获取</w:t>
      </w:r>
      <w:r>
        <w:rPr>
          <w:rFonts w:hint="eastAsia" w:asciiTheme="majorEastAsia" w:hAnsiTheme="majorEastAsia" w:eastAsiaTheme="majorEastAsia"/>
          <w:szCs w:val="21"/>
          <w:highlight w:val="none"/>
        </w:rPr>
        <w:t>本项目招标文件的</w:t>
      </w:r>
      <w:r>
        <w:rPr>
          <w:rFonts w:asciiTheme="majorEastAsia" w:hAnsiTheme="majorEastAsia" w:eastAsiaTheme="majorEastAsia"/>
          <w:szCs w:val="21"/>
          <w:highlight w:val="none"/>
        </w:rPr>
        <w:t>方式</w:t>
      </w:r>
      <w:r>
        <w:rPr>
          <w:rFonts w:hint="eastAsia" w:asciiTheme="majorEastAsia" w:hAnsiTheme="majorEastAsia" w:eastAsiaTheme="majorEastAsia"/>
          <w:szCs w:val="21"/>
          <w:highlight w:val="none"/>
        </w:rPr>
        <w:t>为</w:t>
      </w:r>
      <w:r>
        <w:rPr>
          <w:rFonts w:hint="eastAsia" w:cs="Arial" w:asciiTheme="majorEastAsia" w:hAnsiTheme="majorEastAsia" w:eastAsiaTheme="majorEastAsia"/>
          <w:szCs w:val="21"/>
          <w:highlight w:val="none"/>
        </w:rPr>
        <w:t>潜在投标人登陆政采云平台，根据政采云平台的规定步骤进行操作并在线申请获取招标文件。仅需浏览招标文件的只需点击“游客，浏览采购文件”直接下载招标文件进行浏览。</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任何网站显示的本项目招标公告附件中提供的招标文件仅供阅览使用，未按照招标文件规定程序依法获取招标文件的潜在投标人，对招标文件提起质疑的，按照无效质疑处理。采购代理机构拒绝接收未依法获取本项目招标</w:t>
      </w:r>
      <w:r>
        <w:rPr>
          <w:rFonts w:cs="Arial" w:asciiTheme="majorEastAsia" w:hAnsiTheme="majorEastAsia" w:eastAsiaTheme="majorEastAsia"/>
          <w:szCs w:val="21"/>
          <w:highlight w:val="none"/>
        </w:rPr>
        <w:t>文件</w:t>
      </w:r>
      <w:r>
        <w:rPr>
          <w:rFonts w:hint="eastAsia" w:cs="Arial" w:asciiTheme="majorEastAsia" w:hAnsiTheme="majorEastAsia" w:eastAsiaTheme="majorEastAsia"/>
          <w:szCs w:val="21"/>
          <w:highlight w:val="none"/>
        </w:rPr>
        <w:t>的投标人提交的投标文件。</w:t>
      </w:r>
    </w:p>
    <w:p>
      <w:pPr>
        <w:spacing w:line="400" w:lineRule="exact"/>
        <w:ind w:firstLine="54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售价：0元</w:t>
      </w:r>
    </w:p>
    <w:p>
      <w:pPr>
        <w:snapToGrid w:val="0"/>
        <w:spacing w:line="400" w:lineRule="exact"/>
        <w:rPr>
          <w:rFonts w:cs="Arial" w:asciiTheme="majorEastAsia" w:hAnsiTheme="majorEastAsia" w:eastAsiaTheme="majorEastAsia"/>
          <w:szCs w:val="21"/>
          <w:highlight w:val="none"/>
        </w:rPr>
      </w:pPr>
      <w:bookmarkStart w:id="14" w:name="_Toc28359082"/>
      <w:bookmarkStart w:id="15" w:name="_Toc28359005"/>
      <w:bookmarkStart w:id="16" w:name="_Toc35393793"/>
      <w:bookmarkStart w:id="17" w:name="_Toc35393624"/>
      <w:r>
        <w:rPr>
          <w:rFonts w:hint="eastAsia" w:cs="Arial" w:asciiTheme="majorEastAsia" w:hAnsiTheme="majorEastAsia" w:eastAsiaTheme="majorEastAsia"/>
          <w:szCs w:val="21"/>
          <w:highlight w:val="none"/>
        </w:rPr>
        <w:t>四、提交投标文件</w:t>
      </w:r>
      <w:bookmarkEnd w:id="14"/>
      <w:bookmarkEnd w:id="15"/>
      <w:r>
        <w:rPr>
          <w:rFonts w:hint="eastAsia" w:cs="Arial" w:asciiTheme="majorEastAsia" w:hAnsiTheme="majorEastAsia" w:eastAsiaTheme="majorEastAsia"/>
          <w:szCs w:val="21"/>
          <w:highlight w:val="none"/>
        </w:rPr>
        <w:t>截止时间、开标时间和地点</w:t>
      </w:r>
      <w:bookmarkEnd w:id="16"/>
      <w:bookmarkEnd w:id="17"/>
    </w:p>
    <w:p>
      <w:pPr>
        <w:spacing w:line="400" w:lineRule="exact"/>
        <w:ind w:firstLine="420" w:firstLineChars="200"/>
        <w:rPr>
          <w:rFonts w:asciiTheme="majorEastAsia" w:hAnsiTheme="majorEastAsia" w:eastAsiaTheme="majorEastAsia"/>
          <w:bCs/>
          <w:szCs w:val="21"/>
          <w:highlight w:val="none"/>
        </w:rPr>
      </w:pPr>
      <w:r>
        <w:rPr>
          <w:rFonts w:hint="eastAsia" w:cs="Arial" w:asciiTheme="majorEastAsia" w:hAnsiTheme="majorEastAsia" w:eastAsiaTheme="majorEastAsia"/>
          <w:szCs w:val="21"/>
          <w:highlight w:val="none"/>
        </w:rPr>
        <w:t>提交投标文件截止时间：</w:t>
      </w:r>
      <w:r>
        <w:rPr>
          <w:rFonts w:hint="eastAsia" w:asciiTheme="majorEastAsia" w:hAnsiTheme="majorEastAsia" w:eastAsiaTheme="majorEastAsia"/>
          <w:bCs/>
          <w:szCs w:val="21"/>
          <w:highlight w:val="none"/>
          <w:u w:val="single"/>
          <w:lang w:eastAsia="zh-CN"/>
        </w:rPr>
        <w:t>2024年</w:t>
      </w:r>
      <w:r>
        <w:rPr>
          <w:rFonts w:hint="eastAsia" w:asciiTheme="majorEastAsia" w:hAnsiTheme="majorEastAsia" w:eastAsiaTheme="majorEastAsia"/>
          <w:bCs/>
          <w:szCs w:val="21"/>
          <w:highlight w:val="none"/>
          <w:u w:val="single"/>
          <w:lang w:val="en-US" w:eastAsia="zh-CN"/>
        </w:rPr>
        <w:t>5</w:t>
      </w:r>
      <w:r>
        <w:rPr>
          <w:rFonts w:hint="eastAsia" w:asciiTheme="majorEastAsia" w:hAnsiTheme="majorEastAsia" w:eastAsiaTheme="majorEastAsia"/>
          <w:bCs/>
          <w:szCs w:val="21"/>
          <w:highlight w:val="none"/>
          <w:u w:val="single"/>
        </w:rPr>
        <w:t>月</w:t>
      </w:r>
      <w:r>
        <w:rPr>
          <w:rFonts w:hint="eastAsia" w:asciiTheme="majorEastAsia" w:hAnsiTheme="majorEastAsia" w:eastAsiaTheme="majorEastAsia"/>
          <w:bCs/>
          <w:szCs w:val="21"/>
          <w:highlight w:val="none"/>
          <w:u w:val="single"/>
          <w:lang w:val="en-US" w:eastAsia="zh-CN"/>
        </w:rPr>
        <w:t>14</w:t>
      </w:r>
      <w:r>
        <w:rPr>
          <w:rFonts w:hint="eastAsia" w:asciiTheme="majorEastAsia" w:hAnsiTheme="majorEastAsia" w:eastAsiaTheme="majorEastAsia"/>
          <w:bCs/>
          <w:szCs w:val="21"/>
          <w:highlight w:val="none"/>
          <w:u w:val="single"/>
        </w:rPr>
        <w:t>日</w:t>
      </w:r>
      <w:r>
        <w:rPr>
          <w:rFonts w:hint="eastAsia" w:asciiTheme="majorEastAsia" w:hAnsiTheme="majorEastAsia" w:eastAsiaTheme="majorEastAsia"/>
          <w:bCs/>
          <w:szCs w:val="21"/>
          <w:highlight w:val="none"/>
          <w:u w:val="single"/>
          <w:lang w:val="en-US" w:eastAsia="zh-CN"/>
        </w:rPr>
        <w:t>14</w:t>
      </w:r>
      <w:r>
        <w:rPr>
          <w:rFonts w:hint="eastAsia" w:asciiTheme="majorEastAsia" w:hAnsiTheme="majorEastAsia" w:eastAsiaTheme="majorEastAsia"/>
          <w:bCs/>
          <w:szCs w:val="21"/>
          <w:highlight w:val="none"/>
          <w:u w:val="single"/>
        </w:rPr>
        <w:t>点</w:t>
      </w:r>
      <w:r>
        <w:rPr>
          <w:rFonts w:hint="eastAsia" w:asciiTheme="majorEastAsia" w:hAnsiTheme="majorEastAsia" w:eastAsiaTheme="majorEastAsia"/>
          <w:bCs/>
          <w:szCs w:val="21"/>
          <w:highlight w:val="none"/>
          <w:u w:val="single"/>
          <w:lang w:val="en-US" w:eastAsia="zh-CN"/>
        </w:rPr>
        <w:t>00</w:t>
      </w:r>
      <w:r>
        <w:rPr>
          <w:rFonts w:hint="eastAsia" w:asciiTheme="majorEastAsia" w:hAnsiTheme="majorEastAsia" w:eastAsiaTheme="majorEastAsia"/>
          <w:bCs/>
          <w:szCs w:val="21"/>
          <w:highlight w:val="none"/>
          <w:u w:val="single"/>
        </w:rPr>
        <w:t>分</w:t>
      </w:r>
      <w:r>
        <w:rPr>
          <w:rFonts w:hint="eastAsia" w:asciiTheme="majorEastAsia" w:hAnsiTheme="majorEastAsia" w:eastAsiaTheme="majorEastAsia"/>
          <w:bCs/>
          <w:szCs w:val="21"/>
          <w:highlight w:val="none"/>
        </w:rPr>
        <w:t>（北京时间）</w:t>
      </w:r>
    </w:p>
    <w:p>
      <w:pPr>
        <w:spacing w:line="400" w:lineRule="exact"/>
        <w:ind w:firstLine="420" w:firstLineChars="200"/>
        <w:rPr>
          <w:rFonts w:asciiTheme="majorEastAsia" w:hAnsiTheme="majorEastAsia" w:eastAsiaTheme="majorEastAsia"/>
          <w:bCs/>
          <w:szCs w:val="21"/>
          <w:highlight w:val="none"/>
        </w:rPr>
      </w:pPr>
      <w:r>
        <w:rPr>
          <w:rFonts w:hint="eastAsia" w:cs="Arial" w:asciiTheme="majorEastAsia" w:hAnsiTheme="majorEastAsia" w:eastAsiaTheme="majorEastAsia"/>
          <w:szCs w:val="21"/>
          <w:highlight w:val="none"/>
        </w:rPr>
        <w:t>提交投标文件</w:t>
      </w:r>
      <w:r>
        <w:rPr>
          <w:rFonts w:hint="eastAsia" w:asciiTheme="majorEastAsia" w:hAnsiTheme="majorEastAsia" w:eastAsiaTheme="majorEastAsia"/>
          <w:bCs/>
          <w:szCs w:val="21"/>
          <w:highlight w:val="none"/>
        </w:rPr>
        <w:t>地点（网址）：</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1）电子加密投标文件：</w:t>
      </w:r>
      <w:r>
        <w:rPr>
          <w:rFonts w:hint="eastAsia" w:asciiTheme="majorEastAsia" w:hAnsiTheme="majorEastAsia" w:eastAsiaTheme="majorEastAsia"/>
          <w:highlight w:val="none"/>
          <w:u w:val="single"/>
        </w:rPr>
        <w:t>政采云平台（https://www.zcygov.cn）</w:t>
      </w:r>
      <w:r>
        <w:rPr>
          <w:rFonts w:hint="eastAsia" w:asciiTheme="majorEastAsia" w:hAnsiTheme="majorEastAsia" w:eastAsiaTheme="majorEastAsia"/>
          <w:bCs/>
          <w:szCs w:val="21"/>
          <w:highlight w:val="none"/>
        </w:rPr>
        <w:t>在线提交；</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2）备份投标文件：</w:t>
      </w:r>
      <w:r>
        <w:rPr>
          <w:rFonts w:hint="eastAsia" w:cs="Arial" w:asciiTheme="majorEastAsia" w:hAnsiTheme="majorEastAsia" w:eastAsiaTheme="majorEastAsia"/>
          <w:szCs w:val="21"/>
          <w:highlight w:val="none"/>
        </w:rPr>
        <w:t>宁波名诚招标代理有限公司开标室(地址：</w:t>
      </w:r>
      <w:r>
        <w:rPr>
          <w:rFonts w:hint="eastAsia" w:cs="Arial" w:asciiTheme="majorEastAsia" w:hAnsiTheme="majorEastAsia" w:eastAsiaTheme="majorEastAsia"/>
          <w:szCs w:val="21"/>
          <w:highlight w:val="none"/>
          <w:lang w:eastAsia="zh-CN"/>
        </w:rPr>
        <w:t>宁波市海曙区江汇城496号姚江时代14幢3楼</w:t>
      </w:r>
      <w:r>
        <w:rPr>
          <w:rFonts w:hint="eastAsia" w:cs="Arial" w:asciiTheme="majorEastAsia" w:hAnsiTheme="majorEastAsia" w:eastAsiaTheme="majorEastAsia"/>
          <w:szCs w:val="21"/>
          <w:highlight w:val="none"/>
        </w:rPr>
        <w:t>，详见指示牌公告），拒绝接收</w:t>
      </w:r>
      <w:r>
        <w:rPr>
          <w:rFonts w:cs="Arial" w:asciiTheme="majorEastAsia" w:hAnsiTheme="majorEastAsia" w:eastAsiaTheme="majorEastAsia"/>
          <w:szCs w:val="21"/>
          <w:highlight w:val="none"/>
        </w:rPr>
        <w:t>逾期送达或者未按照招标文件要求密封</w:t>
      </w:r>
      <w:r>
        <w:rPr>
          <w:rFonts w:hint="eastAsia" w:cs="Arial" w:asciiTheme="majorEastAsia" w:hAnsiTheme="majorEastAsia" w:eastAsiaTheme="majorEastAsia"/>
          <w:szCs w:val="21"/>
          <w:highlight w:val="none"/>
        </w:rPr>
        <w:t>及盖章</w:t>
      </w:r>
      <w:r>
        <w:rPr>
          <w:rFonts w:cs="Arial" w:asciiTheme="majorEastAsia" w:hAnsiTheme="majorEastAsia" w:eastAsiaTheme="majorEastAsia"/>
          <w:szCs w:val="21"/>
          <w:highlight w:val="none"/>
        </w:rPr>
        <w:t>的</w:t>
      </w:r>
      <w:r>
        <w:rPr>
          <w:rFonts w:hint="eastAsia" w:cs="Arial" w:asciiTheme="majorEastAsia" w:hAnsiTheme="majorEastAsia" w:eastAsiaTheme="majorEastAsia"/>
          <w:szCs w:val="21"/>
          <w:highlight w:val="none"/>
        </w:rPr>
        <w:t>备份投标文件。</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开标时间：</w:t>
      </w:r>
      <w:r>
        <w:rPr>
          <w:rFonts w:hint="eastAsia" w:asciiTheme="majorEastAsia" w:hAnsiTheme="majorEastAsia" w:eastAsiaTheme="majorEastAsia"/>
          <w:bCs/>
          <w:szCs w:val="21"/>
          <w:highlight w:val="none"/>
          <w:u w:val="single"/>
          <w:lang w:eastAsia="zh-CN"/>
        </w:rPr>
        <w:t>2024年</w:t>
      </w:r>
      <w:r>
        <w:rPr>
          <w:rFonts w:hint="eastAsia" w:asciiTheme="majorEastAsia" w:hAnsiTheme="majorEastAsia" w:eastAsiaTheme="majorEastAsia"/>
          <w:bCs/>
          <w:szCs w:val="21"/>
          <w:highlight w:val="none"/>
          <w:u w:val="single"/>
          <w:lang w:val="en-US" w:eastAsia="zh-CN"/>
        </w:rPr>
        <w:t>5</w:t>
      </w:r>
      <w:r>
        <w:rPr>
          <w:rFonts w:hint="eastAsia" w:asciiTheme="majorEastAsia" w:hAnsiTheme="majorEastAsia" w:eastAsiaTheme="majorEastAsia"/>
          <w:bCs/>
          <w:szCs w:val="21"/>
          <w:highlight w:val="none"/>
          <w:u w:val="single"/>
        </w:rPr>
        <w:t>月</w:t>
      </w:r>
      <w:r>
        <w:rPr>
          <w:rFonts w:hint="eastAsia" w:asciiTheme="majorEastAsia" w:hAnsiTheme="majorEastAsia" w:eastAsiaTheme="majorEastAsia"/>
          <w:bCs/>
          <w:szCs w:val="21"/>
          <w:highlight w:val="none"/>
          <w:u w:val="single"/>
          <w:lang w:val="en-US" w:eastAsia="zh-CN"/>
        </w:rPr>
        <w:t>14</w:t>
      </w:r>
      <w:r>
        <w:rPr>
          <w:rFonts w:hint="eastAsia" w:asciiTheme="majorEastAsia" w:hAnsiTheme="majorEastAsia" w:eastAsiaTheme="majorEastAsia"/>
          <w:bCs/>
          <w:szCs w:val="21"/>
          <w:highlight w:val="none"/>
          <w:u w:val="single"/>
        </w:rPr>
        <w:t>日</w:t>
      </w:r>
      <w:r>
        <w:rPr>
          <w:rFonts w:hint="eastAsia" w:asciiTheme="majorEastAsia" w:hAnsiTheme="majorEastAsia" w:eastAsiaTheme="majorEastAsia"/>
          <w:bCs/>
          <w:szCs w:val="21"/>
          <w:highlight w:val="none"/>
          <w:u w:val="single"/>
          <w:lang w:val="en-US" w:eastAsia="zh-CN"/>
        </w:rPr>
        <w:t>14</w:t>
      </w:r>
      <w:r>
        <w:rPr>
          <w:rFonts w:hint="eastAsia" w:asciiTheme="majorEastAsia" w:hAnsiTheme="majorEastAsia" w:eastAsiaTheme="majorEastAsia"/>
          <w:bCs/>
          <w:szCs w:val="21"/>
          <w:highlight w:val="none"/>
          <w:u w:val="single"/>
        </w:rPr>
        <w:t>点</w:t>
      </w:r>
      <w:r>
        <w:rPr>
          <w:rFonts w:hint="eastAsia" w:asciiTheme="majorEastAsia" w:hAnsiTheme="majorEastAsia" w:eastAsiaTheme="majorEastAsia"/>
          <w:bCs/>
          <w:szCs w:val="21"/>
          <w:highlight w:val="none"/>
          <w:u w:val="single"/>
          <w:lang w:val="en-US" w:eastAsia="zh-CN"/>
        </w:rPr>
        <w:t>00</w:t>
      </w:r>
      <w:r>
        <w:rPr>
          <w:rFonts w:hint="eastAsia" w:asciiTheme="majorEastAsia" w:hAnsiTheme="majorEastAsia" w:eastAsiaTheme="majorEastAsia"/>
          <w:bCs/>
          <w:szCs w:val="21"/>
          <w:highlight w:val="none"/>
          <w:u w:val="single"/>
        </w:rPr>
        <w:t>分（北京时间）</w:t>
      </w:r>
    </w:p>
    <w:p>
      <w:pPr>
        <w:spacing w:line="400" w:lineRule="exact"/>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开标地点（网址）：</w:t>
      </w:r>
      <w:r>
        <w:rPr>
          <w:rFonts w:hint="eastAsia" w:asciiTheme="majorEastAsia" w:hAnsiTheme="majorEastAsia" w:eastAsiaTheme="majorEastAsia"/>
          <w:highlight w:val="none"/>
          <w:u w:val="single"/>
        </w:rPr>
        <w:t>政采云平台（https://www.zcygov.cn）</w:t>
      </w:r>
    </w:p>
    <w:p>
      <w:pPr>
        <w:snapToGrid w:val="0"/>
        <w:spacing w:line="400" w:lineRule="exact"/>
        <w:rPr>
          <w:rFonts w:cs="Arial" w:asciiTheme="majorEastAsia" w:hAnsiTheme="majorEastAsia" w:eastAsiaTheme="majorEastAsia"/>
          <w:szCs w:val="21"/>
          <w:highlight w:val="none"/>
        </w:rPr>
      </w:pPr>
      <w:bookmarkStart w:id="18" w:name="_Toc28359084"/>
      <w:bookmarkStart w:id="19" w:name="_Toc28359007"/>
      <w:bookmarkStart w:id="20" w:name="_Toc35393625"/>
      <w:bookmarkStart w:id="21" w:name="_Toc35393794"/>
      <w:r>
        <w:rPr>
          <w:rFonts w:hint="eastAsia" w:cs="Arial" w:asciiTheme="majorEastAsia" w:hAnsiTheme="majorEastAsia" w:eastAsiaTheme="majorEastAsia"/>
          <w:szCs w:val="21"/>
          <w:highlight w:val="none"/>
        </w:rPr>
        <w:t>五、公告期限</w:t>
      </w:r>
      <w:bookmarkEnd w:id="18"/>
      <w:bookmarkEnd w:id="19"/>
      <w:bookmarkEnd w:id="20"/>
      <w:bookmarkEnd w:id="21"/>
    </w:p>
    <w:p>
      <w:pPr>
        <w:spacing w:line="400" w:lineRule="exact"/>
        <w:ind w:firstLine="420" w:firstLineChars="200"/>
        <w:rPr>
          <w:rFonts w:cs="宋体" w:asciiTheme="majorEastAsia" w:hAnsiTheme="majorEastAsia" w:eastAsiaTheme="majorEastAsia"/>
          <w:kern w:val="0"/>
          <w:szCs w:val="21"/>
          <w:highlight w:val="none"/>
        </w:rPr>
      </w:pPr>
      <w:r>
        <w:rPr>
          <w:rFonts w:hint="eastAsia" w:cs="宋体" w:asciiTheme="majorEastAsia" w:hAnsiTheme="majorEastAsia" w:eastAsiaTheme="majorEastAsia"/>
          <w:kern w:val="0"/>
          <w:szCs w:val="21"/>
          <w:highlight w:val="none"/>
        </w:rPr>
        <w:t>自本公告发布之日起5个工作日。</w:t>
      </w:r>
    </w:p>
    <w:bookmarkEnd w:id="0"/>
    <w:p>
      <w:pPr>
        <w:snapToGrid w:val="0"/>
        <w:spacing w:line="400" w:lineRule="exact"/>
        <w:rPr>
          <w:rFonts w:cs="Arial" w:asciiTheme="majorEastAsia" w:hAnsiTheme="majorEastAsia" w:eastAsiaTheme="majorEastAsia"/>
          <w:szCs w:val="21"/>
          <w:highlight w:val="none"/>
        </w:rPr>
      </w:pPr>
      <w:bookmarkStart w:id="22" w:name="_Toc35393626"/>
      <w:bookmarkStart w:id="23" w:name="_Toc35393795"/>
      <w:r>
        <w:rPr>
          <w:rFonts w:hint="eastAsia" w:cs="Arial" w:asciiTheme="majorEastAsia" w:hAnsiTheme="majorEastAsia" w:eastAsiaTheme="majorEastAsia"/>
          <w:szCs w:val="21"/>
          <w:highlight w:val="none"/>
        </w:rPr>
        <w:t>六、其他补充事宜</w:t>
      </w:r>
      <w:bookmarkEnd w:id="22"/>
      <w:bookmarkEnd w:id="23"/>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1.为依法获取本项目招标文件及投标响应，潜在投标人应当按照《浙江省政府采购供应商注册及诚信管理暂行办法》的规定在“浙江政府采购网(</w:t>
      </w:r>
      <w:r>
        <w:rPr>
          <w:rFonts w:cs="Arial" w:asciiTheme="majorEastAsia" w:hAnsiTheme="majorEastAsia" w:eastAsiaTheme="majorEastAsia"/>
          <w:szCs w:val="21"/>
          <w:highlight w:val="none"/>
        </w:rPr>
        <w:t>http://zfcg.czt.zj.gov.cn/</w:t>
      </w:r>
      <w:r>
        <w:rPr>
          <w:rFonts w:hint="eastAsia" w:cs="Arial" w:asciiTheme="majorEastAsia" w:hAnsiTheme="majorEastAsia" w:eastAsiaTheme="majorEastAsia"/>
          <w:szCs w:val="21"/>
          <w:highlight w:val="none"/>
        </w:rPr>
        <w:t>)”政采云平台注册登记。中标人必须成为注册供应商，未注册的投标人，请注意注册所需时间，由此产生的后果自行承担。</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2.本项目依据《浙江省政府采购项目电子交易管理暂行办法》，通过政采云平台(</w:t>
      </w:r>
      <w:r>
        <w:rPr>
          <w:rFonts w:hint="eastAsia" w:asciiTheme="majorEastAsia" w:hAnsiTheme="majorEastAsia" w:eastAsiaTheme="majorEastAsia"/>
          <w:highlight w:val="none"/>
          <w:u w:val="single"/>
        </w:rPr>
        <w:t>https://www.zcygov.cn</w:t>
      </w:r>
      <w:r>
        <w:rPr>
          <w:rFonts w:hint="eastAsia" w:cs="Arial" w:asciiTheme="majorEastAsia" w:hAnsiTheme="majorEastAsia" w:eastAsiaTheme="majorEastAsia"/>
          <w:szCs w:val="21"/>
          <w:highlight w:val="none"/>
        </w:rPr>
        <w:t>）实行电子交易（在线投标响应）。潜在投标人在参与本项目投标前应当完成“政府采购云平台”的账号注册、身份认证（CA数字证书申领）、“政采云电子交易客户端”下载安装，相关操作指南参考如下：</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1）供应商注册（入驻）：https://middle.zcygov.cn/v-settle-front/registry；</w:t>
      </w:r>
    </w:p>
    <w:p>
      <w:pPr>
        <w:snapToGrid w:val="0"/>
        <w:spacing w:line="400" w:lineRule="exact"/>
        <w:ind w:firstLine="411" w:firstLineChars="196"/>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2</w:t>
      </w:r>
      <w:r>
        <w:rPr>
          <w:rFonts w:hint="eastAsia" w:cs="Arial" w:asciiTheme="majorEastAsia" w:hAnsiTheme="majorEastAsia" w:eastAsiaTheme="majorEastAsia"/>
          <w:szCs w:val="21"/>
          <w:highlight w:val="none"/>
        </w:rPr>
        <w:t>）浙江省“电子交易/不见面开评标”学习专题（网址https://edu.zcygov.cn/luban/e-biding）</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3）“政府采购云平台”服务热线电话：</w:t>
      </w:r>
      <w:r>
        <w:rPr>
          <w:rFonts w:cs="Arial" w:asciiTheme="majorEastAsia" w:hAnsiTheme="majorEastAsia" w:eastAsiaTheme="majorEastAsia"/>
          <w:szCs w:val="21"/>
          <w:highlight w:val="none"/>
        </w:rPr>
        <w:t>95763</w:t>
      </w:r>
      <w:r>
        <w:rPr>
          <w:rFonts w:hint="eastAsia" w:cs="Arial" w:asciiTheme="majorEastAsia" w:hAnsiTheme="majorEastAsia" w:eastAsiaTheme="majorEastAsia"/>
          <w:szCs w:val="21"/>
          <w:highlight w:val="none"/>
        </w:rPr>
        <w:t>。</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3.对符合财政扶持政策的中小企业（小型、微型）、监狱企业、残疾人福利性单位给予价格优惠，执行扶持不发达地区和少数民族地区政府采购政策，执行政府采购节能、环保政策。</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4.电子投标注意事项</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1）投标人应于提交投标文件截止时间前将电子加密投标文件上传到政府采购云平台</w:t>
      </w:r>
      <w:r>
        <w:rPr>
          <w:rFonts w:hint="eastAsia" w:cs="宋体" w:asciiTheme="majorEastAsia" w:hAnsiTheme="majorEastAsia" w:eastAsiaTheme="majorEastAsia"/>
          <w:szCs w:val="21"/>
          <w:highlight w:val="none"/>
        </w:rPr>
        <w:t>www.zcygov.cn，未按规定上传电子加密投标文件，视为投标人放弃投标。</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投标人在“政府采购云平台”完成“电子加密投标文件”的上传提交之外，还可以在投标截止时间前提交以U盘为介质存储的备份投标文件，备份投标文件递交可采用现场或邮寄递交的方式，但此项并非强制要求。</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开标后，在解密指令发出30分钟内投标人应当登录政采云平台，用“项目采购-开标评标”功能解密电子加密投标文件。若投标人在规定时间内无法解密或解密失败且未提供备份投标文件的，视为投标人放弃投标；如已按照招标文件规定提交备份投标文件的，则采购代理机构按照“政采云平台”的操作规范处理，若使用备份投标文件仍然无法成功的，</w:t>
      </w:r>
      <w:r>
        <w:rPr>
          <w:rFonts w:hint="eastAsia" w:asciiTheme="majorEastAsia" w:hAnsiTheme="majorEastAsia" w:eastAsiaTheme="majorEastAsia"/>
          <w:b/>
          <w:szCs w:val="21"/>
          <w:highlight w:val="none"/>
        </w:rPr>
        <w:t>视为投标人放弃投标</w:t>
      </w:r>
      <w:r>
        <w:rPr>
          <w:rFonts w:hint="eastAsia" w:asciiTheme="majorEastAsia" w:hAnsiTheme="majorEastAsia" w:eastAsiaTheme="majorEastAsia"/>
          <w:szCs w:val="21"/>
          <w:highlight w:val="none"/>
        </w:rPr>
        <w:t>，因此产生的后果投标人自行承担</w:t>
      </w:r>
      <w:r>
        <w:rPr>
          <w:rFonts w:hint="eastAsia" w:cs="宋体" w:asciiTheme="majorEastAsia" w:hAnsiTheme="majorEastAsia" w:eastAsiaTheme="majorEastAsia"/>
          <w:szCs w:val="21"/>
          <w:highlight w:val="none"/>
        </w:rPr>
        <w:t>。</w:t>
      </w:r>
    </w:p>
    <w:p>
      <w:pPr>
        <w:snapToGrid w:val="0"/>
        <w:spacing w:line="400" w:lineRule="exact"/>
        <w:ind w:firstLine="411" w:firstLineChars="196"/>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电子加密投标文件按时解密的，备份投标文件自动失效。</w:t>
      </w:r>
    </w:p>
    <w:p>
      <w:pPr>
        <w:snapToGrid w:val="0"/>
        <w:spacing w:line="400" w:lineRule="exact"/>
        <w:ind w:firstLine="413"/>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5.政府采购行政监管及投诉受理部门</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政府采购行政监管及投诉受理部门：宁波市财政局政府采购办公室</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联系人：李老师</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联系电话：0574-89388042</w:t>
      </w:r>
    </w:p>
    <w:p>
      <w:pPr>
        <w:snapToGrid w:val="0"/>
        <w:spacing w:line="400" w:lineRule="exact"/>
        <w:ind w:firstLine="420"/>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联系地址：宁波市海曙区中山西路19号</w:t>
      </w:r>
    </w:p>
    <w:p>
      <w:pPr>
        <w:snapToGrid w:val="0"/>
        <w:spacing w:line="400" w:lineRule="exact"/>
        <w:rPr>
          <w:rFonts w:cs="Arial" w:asciiTheme="majorEastAsia" w:hAnsiTheme="majorEastAsia" w:eastAsiaTheme="majorEastAsia"/>
          <w:szCs w:val="21"/>
          <w:highlight w:val="none"/>
        </w:rPr>
      </w:pPr>
      <w:bookmarkStart w:id="24" w:name="_Toc35393627"/>
      <w:bookmarkStart w:id="25" w:name="_Toc28359008"/>
      <w:bookmarkStart w:id="26" w:name="_Toc35393796"/>
      <w:bookmarkStart w:id="27" w:name="_Toc28359085"/>
      <w:r>
        <w:rPr>
          <w:rFonts w:hint="eastAsia" w:cs="Arial" w:asciiTheme="majorEastAsia" w:hAnsiTheme="majorEastAsia" w:eastAsiaTheme="majorEastAsia"/>
          <w:szCs w:val="21"/>
          <w:highlight w:val="none"/>
        </w:rPr>
        <w:t>七、对本次招标提出询问，请按</w:t>
      </w:r>
      <w:r>
        <w:rPr>
          <w:rFonts w:cs="Arial" w:asciiTheme="majorEastAsia" w:hAnsiTheme="majorEastAsia" w:eastAsiaTheme="majorEastAsia"/>
          <w:szCs w:val="21"/>
          <w:highlight w:val="none"/>
        </w:rPr>
        <w:t>以下方式</w:t>
      </w:r>
      <w:r>
        <w:rPr>
          <w:rFonts w:hint="eastAsia" w:cs="Arial" w:asciiTheme="majorEastAsia" w:hAnsiTheme="majorEastAsia" w:eastAsiaTheme="majorEastAsia"/>
          <w:szCs w:val="21"/>
          <w:highlight w:val="none"/>
        </w:rPr>
        <w:t>联系。</w:t>
      </w:r>
      <w:bookmarkEnd w:id="24"/>
      <w:bookmarkEnd w:id="25"/>
      <w:bookmarkEnd w:id="26"/>
      <w:bookmarkEnd w:id="27"/>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1.采购人信息</w:t>
      </w:r>
    </w:p>
    <w:p>
      <w:pPr>
        <w:snapToGrid w:val="0"/>
        <w:spacing w:line="400" w:lineRule="exact"/>
        <w:ind w:firstLine="411" w:firstLineChars="196"/>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名称：</w:t>
      </w:r>
      <w:r>
        <w:rPr>
          <w:rFonts w:hint="eastAsia" w:asciiTheme="majorEastAsia" w:hAnsiTheme="majorEastAsia" w:eastAsiaTheme="majorEastAsia"/>
          <w:szCs w:val="21"/>
          <w:highlight w:val="none"/>
          <w:lang w:eastAsia="zh-CN"/>
        </w:rPr>
        <w:t>宁波广播电视集团</w:t>
      </w:r>
    </w:p>
    <w:p>
      <w:pPr>
        <w:snapToGrid w:val="0"/>
        <w:spacing w:line="400" w:lineRule="exact"/>
        <w:ind w:firstLine="411" w:firstLineChars="196"/>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地址：</w:t>
      </w:r>
      <w:r>
        <w:rPr>
          <w:rFonts w:hint="eastAsia" w:ascii="宋体" w:hAnsi="宋体" w:eastAsiaTheme="majorEastAsia"/>
          <w:highlight w:val="none"/>
          <w:lang w:eastAsia="zh-CN"/>
        </w:rPr>
        <w:t>浙江省宁波市高新区凤竹路5号</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联系人：</w:t>
      </w:r>
      <w:r>
        <w:rPr>
          <w:rFonts w:hint="eastAsia" w:ascii="宋体" w:hAnsi="宋体"/>
          <w:szCs w:val="21"/>
          <w:highlight w:val="none"/>
          <w:lang w:val="en-US" w:eastAsia="zh-CN"/>
        </w:rPr>
        <w:t>陈</w:t>
      </w:r>
      <w:r>
        <w:rPr>
          <w:rFonts w:hint="eastAsia" w:cs="Arial" w:asciiTheme="majorEastAsia" w:hAnsiTheme="majorEastAsia" w:eastAsiaTheme="majorEastAsia"/>
          <w:highlight w:val="none"/>
        </w:rPr>
        <w:t>老师</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联系方式：</w:t>
      </w:r>
      <w:bookmarkStart w:id="28" w:name="_Toc28359086"/>
      <w:bookmarkStart w:id="29" w:name="_Toc28359009"/>
      <w:r>
        <w:rPr>
          <w:rFonts w:ascii="宋体" w:hAnsi="宋体" w:cs="Arial"/>
          <w:highlight w:val="none"/>
        </w:rPr>
        <w:t>0574-</w:t>
      </w:r>
      <w:r>
        <w:rPr>
          <w:rFonts w:hint="eastAsia" w:ascii="宋体" w:hAnsi="宋体" w:cs="Arial"/>
          <w:highlight w:val="none"/>
        </w:rPr>
        <w:t>56111001</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质疑联系人：</w:t>
      </w:r>
      <w:r>
        <w:rPr>
          <w:rFonts w:hint="eastAsia" w:ascii="宋体" w:hAnsi="宋体"/>
          <w:szCs w:val="21"/>
          <w:highlight w:val="none"/>
        </w:rPr>
        <w:t>邱</w:t>
      </w:r>
      <w:r>
        <w:rPr>
          <w:rFonts w:hint="eastAsia" w:ascii="宋体" w:hAnsi="宋体" w:cs="Arial"/>
          <w:highlight w:val="none"/>
        </w:rPr>
        <w:t>老师</w:t>
      </w:r>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质疑联系人电话：</w:t>
      </w:r>
      <w:r>
        <w:rPr>
          <w:rFonts w:hint="eastAsia" w:ascii="宋体" w:hAnsi="宋体" w:cs="宋体"/>
          <w:highlight w:val="none"/>
        </w:rPr>
        <w:t>0574-56110038</w:t>
      </w:r>
    </w:p>
    <w:p>
      <w:pPr>
        <w:snapToGrid w:val="0"/>
        <w:spacing w:line="400" w:lineRule="exact"/>
        <w:ind w:firstLine="411" w:firstLineChars="196"/>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2.采购代理机构信息</w:t>
      </w:r>
      <w:bookmarkEnd w:id="28"/>
      <w:bookmarkEnd w:id="29"/>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名称：宁波名诚招标代理有限公司</w:t>
      </w:r>
    </w:p>
    <w:p>
      <w:pPr>
        <w:snapToGrid w:val="0"/>
        <w:spacing w:line="400" w:lineRule="exact"/>
        <w:ind w:firstLine="411" w:firstLineChars="196"/>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地址：</w:t>
      </w:r>
      <w:r>
        <w:rPr>
          <w:rFonts w:hint="eastAsia" w:asciiTheme="majorEastAsia" w:hAnsiTheme="majorEastAsia" w:eastAsiaTheme="majorEastAsia"/>
          <w:szCs w:val="21"/>
          <w:highlight w:val="none"/>
          <w:lang w:eastAsia="zh-CN"/>
        </w:rPr>
        <w:t>宁波市海曙区江汇城496号姚江时代14幢3楼</w:t>
      </w:r>
    </w:p>
    <w:p>
      <w:pPr>
        <w:snapToGrid w:val="0"/>
        <w:spacing w:line="400" w:lineRule="exact"/>
        <w:ind w:firstLine="411" w:firstLineChars="196"/>
        <w:rPr>
          <w:rFonts w:cs="Arial" w:asciiTheme="majorEastAsia" w:hAnsiTheme="majorEastAsia" w:eastAsiaTheme="majorEastAsia"/>
          <w:szCs w:val="21"/>
          <w:highlight w:val="none"/>
        </w:rPr>
      </w:pPr>
      <w:bookmarkStart w:id="30" w:name="_Toc28359087"/>
      <w:bookmarkStart w:id="31" w:name="_Toc28359010"/>
      <w:r>
        <w:rPr>
          <w:rFonts w:hint="eastAsia" w:cs="Arial" w:asciiTheme="majorEastAsia" w:hAnsiTheme="majorEastAsia" w:eastAsiaTheme="majorEastAsia"/>
          <w:szCs w:val="21"/>
          <w:highlight w:val="none"/>
        </w:rPr>
        <w:t>单位传真：</w:t>
      </w:r>
      <w:r>
        <w:rPr>
          <w:rFonts w:cs="Arial" w:asciiTheme="majorEastAsia" w:hAnsiTheme="majorEastAsia" w:eastAsiaTheme="majorEastAsia"/>
          <w:szCs w:val="21"/>
          <w:highlight w:val="none"/>
        </w:rPr>
        <w:t>0574-87103586</w:t>
      </w:r>
    </w:p>
    <w:p>
      <w:pPr>
        <w:snapToGrid w:val="0"/>
        <w:spacing w:line="400" w:lineRule="exact"/>
        <w:ind w:firstLine="411" w:firstLineChars="196"/>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财务联系电话：</w:t>
      </w:r>
      <w:r>
        <w:rPr>
          <w:rFonts w:cs="Arial" w:asciiTheme="majorEastAsia" w:hAnsiTheme="majorEastAsia" w:eastAsiaTheme="majorEastAsia"/>
          <w:szCs w:val="21"/>
          <w:highlight w:val="none"/>
        </w:rPr>
        <w:t>0574-87101276</w:t>
      </w:r>
    </w:p>
    <w:p>
      <w:pPr>
        <w:snapToGrid w:val="0"/>
        <w:spacing w:line="400" w:lineRule="exact"/>
        <w:ind w:firstLine="411" w:firstLineChars="196"/>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质疑联系人：方芳</w:t>
      </w:r>
    </w:p>
    <w:p>
      <w:pPr>
        <w:snapToGrid w:val="0"/>
        <w:spacing w:line="400" w:lineRule="exact"/>
        <w:ind w:firstLine="411" w:firstLineChars="196"/>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质疑联系人电话：0574-87101271</w:t>
      </w:r>
    </w:p>
    <w:p>
      <w:pPr>
        <w:snapToGrid w:val="0"/>
        <w:spacing w:line="400" w:lineRule="exact"/>
        <w:ind w:firstLine="411" w:firstLineChars="196"/>
        <w:rPr>
          <w:rFonts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3.项目</w:t>
      </w:r>
      <w:r>
        <w:rPr>
          <w:rFonts w:cs="宋体" w:asciiTheme="majorEastAsia" w:hAnsiTheme="majorEastAsia" w:eastAsiaTheme="majorEastAsia"/>
          <w:szCs w:val="21"/>
          <w:highlight w:val="none"/>
        </w:rPr>
        <w:t>联系方式</w:t>
      </w:r>
      <w:bookmarkEnd w:id="30"/>
      <w:bookmarkEnd w:id="31"/>
    </w:p>
    <w:p>
      <w:pPr>
        <w:snapToGrid w:val="0"/>
        <w:spacing w:line="400" w:lineRule="exact"/>
        <w:ind w:firstLine="411" w:firstLineChars="196"/>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项目联系人：张啸科、洪心怡、</w:t>
      </w:r>
      <w:r>
        <w:rPr>
          <w:rFonts w:hint="eastAsia" w:asciiTheme="majorEastAsia" w:hAnsiTheme="majorEastAsia" w:eastAsiaTheme="majorEastAsia"/>
          <w:szCs w:val="21"/>
          <w:highlight w:val="none"/>
          <w:lang w:val="en-US" w:eastAsia="zh-CN"/>
        </w:rPr>
        <w:t>杨洁、</w:t>
      </w:r>
      <w:r>
        <w:rPr>
          <w:rFonts w:hint="eastAsia" w:asciiTheme="majorEastAsia" w:hAnsiTheme="majorEastAsia" w:eastAsiaTheme="majorEastAsia"/>
          <w:szCs w:val="21"/>
          <w:highlight w:val="none"/>
        </w:rPr>
        <w:t>王裕挺、张林琳</w:t>
      </w:r>
    </w:p>
    <w:p>
      <w:pPr>
        <w:snapToGrid w:val="0"/>
        <w:spacing w:line="400" w:lineRule="exact"/>
        <w:ind w:firstLine="411" w:firstLineChars="196"/>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电话：0574-83863352</w:t>
      </w:r>
    </w:p>
    <w:p>
      <w:pPr>
        <w:pStyle w:val="41"/>
        <w:spacing w:line="360" w:lineRule="auto"/>
        <w:rPr>
          <w:rFonts w:hint="eastAsia" w:asciiTheme="majorEastAsia" w:hAnsiTheme="majorEastAsia" w:eastAsiaTheme="majorEastAsia"/>
          <w:sz w:val="24"/>
          <w:highlight w:val="none"/>
        </w:rPr>
      </w:pPr>
      <w:r>
        <w:rPr>
          <w:rFonts w:asciiTheme="majorEastAsia" w:hAnsiTheme="majorEastAsia" w:eastAsiaTheme="majorEastAsia"/>
          <w:highlight w:val="none"/>
        </w:rPr>
        <w:br w:type="page"/>
      </w:r>
      <w:bookmarkStart w:id="32" w:name="_Toc34844742"/>
      <w:r>
        <w:rPr>
          <w:rFonts w:hint="eastAsia" w:asciiTheme="majorEastAsia" w:hAnsiTheme="majorEastAsia" w:eastAsiaTheme="majorEastAsia"/>
          <w:sz w:val="24"/>
          <w:highlight w:val="none"/>
        </w:rPr>
        <w:t>第二章  采购需求</w:t>
      </w:r>
      <w:bookmarkEnd w:id="3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bookmarkStart w:id="33" w:name="_Toc95484013"/>
      <w:bookmarkStart w:id="34" w:name="_Toc121325805"/>
      <w:r>
        <w:rPr>
          <w:rFonts w:hint="eastAsia" w:cs="Times New Roman" w:asciiTheme="majorEastAsia" w:hAnsiTheme="majorEastAsia" w:eastAsiaTheme="majorEastAsia"/>
          <w:b/>
          <w:kern w:val="1"/>
          <w:szCs w:val="21"/>
          <w:highlight w:val="none"/>
          <w:lang w:val="en-US" w:eastAsia="zh-CN"/>
        </w:rPr>
        <w:t>一、项目背景</w:t>
      </w:r>
      <w:bookmarkEnd w:id="33"/>
      <w:bookmarkEnd w:id="34"/>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cs="Times New Roman" w:asciiTheme="majorEastAsia" w:hAnsiTheme="majorEastAsia" w:eastAsiaTheme="majorEastAsia"/>
          <w:szCs w:val="21"/>
          <w:highlight w:val="none"/>
          <w:lang w:eastAsia="zh-CN"/>
        </w:rPr>
      </w:pPr>
      <w:r>
        <w:rPr>
          <w:rFonts w:hint="eastAsia" w:cs="Times New Roman" w:asciiTheme="majorEastAsia" w:hAnsiTheme="majorEastAsia" w:eastAsiaTheme="majorEastAsia"/>
          <w:szCs w:val="21"/>
          <w:highlight w:val="none"/>
          <w:lang w:eastAsia="zh-CN"/>
        </w:rPr>
        <w:t>《广播电视和网络视听“十四五”发展规划》提出：健全现代化安防播控体系，筑牢守好广播电视和网络视听阵地。强化安全播出新技术应用，“以技术对技术，以技术管技术”，完善制播传输、安全管理、指挥调度、预警监测、应急处置系统，提升数字化、网络化、智能化、信息化水平。 适应系统边界开放化、信号IP化、网络融合化、终端智能化的发展方向，加强智慧广电安全大脑建设。</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cs="Times New Roman" w:asciiTheme="majorEastAsia" w:hAnsiTheme="majorEastAsia" w:eastAsiaTheme="majorEastAsia"/>
          <w:szCs w:val="21"/>
          <w:highlight w:val="none"/>
          <w:lang w:eastAsia="zh-CN"/>
        </w:rPr>
      </w:pPr>
      <w:r>
        <w:rPr>
          <w:rFonts w:hint="eastAsia" w:cs="Times New Roman" w:asciiTheme="majorEastAsia" w:hAnsiTheme="majorEastAsia" w:eastAsiaTheme="majorEastAsia"/>
          <w:szCs w:val="21"/>
          <w:highlight w:val="none"/>
          <w:lang w:eastAsia="zh-CN"/>
        </w:rPr>
        <w:t>国家广播电视总局于2018年11月印发了《关于促进智慧广电发展的指导意见》,对加快智慧广电传播体系建设提出了“构建高速、泛在、智慧、安全的新型综合广播电视传播覆盖体系和用户服务体系”的要求。</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cs="Times New Roman" w:asciiTheme="majorEastAsia" w:hAnsiTheme="majorEastAsia" w:eastAsiaTheme="majorEastAsia"/>
          <w:szCs w:val="21"/>
          <w:highlight w:val="none"/>
          <w:lang w:eastAsia="zh-CN"/>
        </w:rPr>
      </w:pPr>
      <w:r>
        <w:rPr>
          <w:rFonts w:hint="eastAsia" w:cs="Times New Roman" w:asciiTheme="majorEastAsia" w:hAnsiTheme="majorEastAsia" w:eastAsiaTheme="majorEastAsia"/>
          <w:szCs w:val="21"/>
          <w:highlight w:val="none"/>
          <w:lang w:eastAsia="zh-CN"/>
        </w:rPr>
        <w:t>随着网络技术和音视频技术的发展，高新视频将成为主流的媒体业务形态，电视台原有的系统难以支撑现在及未来的多样化的应用和适配新形势下的需求。面对行业的风险和挑战，运用5G、AI、大数据、云计算等新兴技术提升智慧广电业务响应能力和规模化创新能力建设。</w:t>
      </w:r>
    </w:p>
    <w:p>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szCs w:val="21"/>
          <w:highlight w:val="none"/>
          <w:lang w:eastAsia="zh-CN"/>
        </w:rPr>
        <w:t>宁波广电为加速探索推动媒体融合创新发展，建设一套</w:t>
      </w:r>
      <w:r>
        <w:rPr>
          <w:rFonts w:hint="eastAsia" w:cs="Times New Roman" w:asciiTheme="majorEastAsia" w:hAnsiTheme="majorEastAsia" w:eastAsiaTheme="majorEastAsia"/>
          <w:szCs w:val="21"/>
          <w:highlight w:val="none"/>
          <w:lang w:val="en-US" w:eastAsia="zh-CN"/>
        </w:rPr>
        <w:t>演播室核心</w:t>
      </w:r>
      <w:r>
        <w:rPr>
          <w:rFonts w:hint="eastAsia" w:cs="Times New Roman" w:asciiTheme="majorEastAsia" w:hAnsiTheme="majorEastAsia" w:eastAsiaTheme="majorEastAsia"/>
          <w:szCs w:val="21"/>
          <w:highlight w:val="none"/>
          <w:lang w:eastAsia="zh-CN"/>
        </w:rPr>
        <w:t>业务共享系统，能够支撑台内内容的快速汇聚，快速制作与分发，前端信号可覆盖移动端、专业拍摄设备、台内演播室信号、卫星收录信号、5G回传信号、台内播控播出信号、第三方IP信号。通过调度分发，覆盖宁波台的媒体矩阵，提高宁波</w:t>
      </w:r>
      <w:r>
        <w:rPr>
          <w:rFonts w:hint="eastAsia" w:cs="Times New Roman" w:asciiTheme="majorEastAsia" w:hAnsiTheme="majorEastAsia" w:eastAsiaTheme="majorEastAsia"/>
          <w:szCs w:val="21"/>
          <w:highlight w:val="none"/>
          <w:lang w:val="en-US" w:eastAsia="zh-CN"/>
        </w:rPr>
        <w:t>广电</w:t>
      </w:r>
      <w:r>
        <w:rPr>
          <w:rFonts w:hint="eastAsia" w:cs="Times New Roman" w:asciiTheme="majorEastAsia" w:hAnsiTheme="majorEastAsia" w:eastAsiaTheme="majorEastAsia"/>
          <w:szCs w:val="21"/>
          <w:highlight w:val="none"/>
          <w:lang w:eastAsia="zh-CN"/>
        </w:rPr>
        <w:t>内容的传播覆盖率。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二、总体设计原则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highlight w:val="none"/>
        </w:rPr>
      </w:pPr>
      <w:r>
        <w:rPr>
          <w:rFonts w:hint="eastAsia" w:ascii="宋体" w:hAnsi="宋体" w:eastAsia="宋体" w:cs="宋体"/>
          <w:b/>
          <w:bCs/>
          <w:highlight w:val="none"/>
        </w:rPr>
        <w:t>1.安全性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系统具备全天候多档节目内容的制作，格式转换和播出能力，且要能够满足新闻类节目的直播要求，系统设备具备长时间的稳定运行能力，系统设计充分考到安全性的设计，并且具备完善的安全备份及应急响应机制。</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highlight w:val="none"/>
        </w:rPr>
      </w:pPr>
      <w:r>
        <w:rPr>
          <w:rFonts w:hint="eastAsia" w:ascii="宋体" w:hAnsi="宋体" w:eastAsia="宋体" w:cs="宋体"/>
          <w:b/>
          <w:bCs/>
          <w:highlight w:val="none"/>
        </w:rPr>
        <w:t>2.稳定性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在设备选型上，选择同类设备中性能优异，使用达到高标准、高质量、高稳定性能的产品；软件在操作上做到了简单方便、安全可靠，所安装软件均为正版软件；设备具有良好的环保性能、抗电磁干扰；系统符合广播级应用要求，符合7×24小时的安全稳定的应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highlight w:val="none"/>
        </w:rPr>
      </w:pPr>
      <w:r>
        <w:rPr>
          <w:rFonts w:hint="eastAsia" w:ascii="宋体" w:hAnsi="宋体" w:eastAsia="宋体" w:cs="宋体"/>
          <w:b/>
          <w:bCs/>
          <w:highlight w:val="none"/>
        </w:rPr>
        <w:t>3.先进性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系统必须严格遵循国际标准和国家标准规范要求，符合广电行业的发展趋势，技术处于国内领先水平。系统设备需采用稳定成熟的先进技术，整体指标均衡一致。系统的全媒体业务共享处理能力要达到业内领先，确保今后一段时间内持续发展需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highlight w:val="none"/>
        </w:rPr>
      </w:pPr>
      <w:r>
        <w:rPr>
          <w:rFonts w:hint="eastAsia" w:ascii="宋体" w:hAnsi="宋体" w:eastAsia="宋体" w:cs="宋体"/>
          <w:b/>
          <w:bCs/>
          <w:highlight w:val="none"/>
        </w:rPr>
        <w:t>4.可扩展性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此次项目的系统建设符合“长远考虑”的建设原则，整个系统设计支持按需扩展，在保证系统功能完善的基础上，预留系统扩充接口，为今后的系统升级留有余地，满足电视技术的发展变化和节目制作需求。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bCs/>
          <w:highlight w:val="none"/>
        </w:rPr>
      </w:pPr>
      <w:r>
        <w:rPr>
          <w:rFonts w:hint="eastAsia" w:ascii="宋体" w:hAnsi="宋体" w:eastAsia="宋体" w:cs="宋体"/>
          <w:b/>
          <w:bCs/>
          <w:highlight w:val="none"/>
        </w:rPr>
        <w:t>5.可维护性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提供对系统硬件的监测和控制，并实时进行控制及故障处理。系统结构清晰，维护便捷，支持对系统的监测和管理，能实时进行控制及故障处理，满足安全播出要求。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三、技术标准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highlight w:val="none"/>
        </w:rPr>
      </w:pPr>
      <w:r>
        <w:rPr>
          <w:rFonts w:hint="eastAsia" w:ascii="宋体" w:hAnsi="宋体" w:eastAsia="宋体" w:cs="宋体"/>
          <w:highlight w:val="none"/>
        </w:rPr>
        <w:t>整个系统设计主要依据国家广播电影电视总局有关地市级电视台建设标准，技术指标应符合国家广播电影电视总局颁布的行业标准。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155—2000 《高清晰度电视节目制作及交换用视频参数值》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157—2000 《演播室高清晰度电视数字视频信号接口》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GB/T 14857-</w:t>
      </w:r>
      <w:r>
        <w:rPr>
          <w:rFonts w:ascii="宋体" w:hAnsi="宋体" w:eastAsia="宋体" w:cs="宋体"/>
          <w:highlight w:val="none"/>
        </w:rPr>
        <w:t>19</w:t>
      </w:r>
      <w:r>
        <w:rPr>
          <w:rFonts w:hint="eastAsia" w:ascii="宋体" w:hAnsi="宋体" w:eastAsia="宋体" w:cs="宋体"/>
          <w:highlight w:val="none"/>
        </w:rPr>
        <w:t xml:space="preserve">93  《演播室数字电视编码参数规范》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GB/T 17953-2000 《4:2:2数字分量图像信号的接口》（等效于SMPTE 259M）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158—2000 《演播室数字音频信号接口》（等效于ITU-R BS.647-2）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160—2000 《数字分量演播室接口中的附属数据信号格式》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GY/T 161—200</w:t>
      </w:r>
      <w:r>
        <w:rPr>
          <w:rFonts w:ascii="宋体" w:hAnsi="宋体" w:eastAsia="宋体" w:cs="宋体"/>
          <w:highlight w:val="none"/>
        </w:rPr>
        <w:t>0</w:t>
      </w:r>
      <w:r>
        <w:rPr>
          <w:rFonts w:hint="eastAsia" w:ascii="宋体" w:hAnsi="宋体" w:eastAsia="宋体" w:cs="宋体"/>
          <w:highlight w:val="none"/>
        </w:rPr>
        <w:t xml:space="preserve">《数字电视附属数据空间内数字音频和辅助数据的传输规范》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162—2000 《高清晰度电视串行接口中作为附属数据信号的24比特数字音频格式》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 xml:space="preserve">GY/T 164—2000 《演播室串行数字光纤传输系统》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GY/T 165－2000 《电视中心播控系统数字播出通路技术指标和测量方法》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GY/T167-2000《数字分量演播室的同步基准信号》</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GY/T134-1998 《数字电视图像质量主观评价方法》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GY/T165-2000 《广播电视演播系统的视音频和脉冲设备安全要求》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GB 50054-2011 《低压配电设计规范》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GB 50168-2018 《电气装置安装工程 电缆线路施工及验收标准》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eastAsia="宋体" w:cs="宋体"/>
          <w:highlight w:val="none"/>
        </w:rPr>
      </w:pPr>
      <w:r>
        <w:rPr>
          <w:rFonts w:hint="eastAsia" w:ascii="宋体" w:hAnsi="宋体" w:eastAsia="宋体" w:cs="宋体"/>
          <w:highlight w:val="none"/>
        </w:rPr>
        <w:t>GB 50169-2016 《电气装置安装工程 接地装置施工及验收规范》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四、项目总体目标及要求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cs="宋体"/>
          <w:highlight w:val="none"/>
          <w:lang w:val="en-US" w:eastAsia="zh-CN"/>
        </w:rPr>
        <w:t>本项目目标</w:t>
      </w:r>
      <w:r>
        <w:rPr>
          <w:rFonts w:hint="eastAsia" w:ascii="宋体" w:hAnsi="宋体" w:eastAsia="宋体" w:cs="宋体"/>
          <w:highlight w:val="none"/>
        </w:rPr>
        <w:t>规划建设一套全</w:t>
      </w:r>
      <w:r>
        <w:rPr>
          <w:rFonts w:ascii="宋体" w:hAnsi="宋体" w:eastAsia="宋体" w:cs="宋体"/>
          <w:highlight w:val="none"/>
        </w:rPr>
        <w:t>IP调度</w:t>
      </w:r>
      <w:r>
        <w:rPr>
          <w:rFonts w:hint="eastAsia" w:ascii="宋体" w:hAnsi="宋体" w:eastAsia="宋体" w:cs="宋体"/>
          <w:highlight w:val="none"/>
        </w:rPr>
        <w:t>系统</w:t>
      </w:r>
      <w:r>
        <w:rPr>
          <w:rFonts w:ascii="宋体" w:hAnsi="宋体" w:eastAsia="宋体" w:cs="宋体"/>
          <w:highlight w:val="none"/>
        </w:rPr>
        <w:t>，采用</w:t>
      </w:r>
      <w:r>
        <w:rPr>
          <w:rFonts w:hint="eastAsia" w:ascii="宋体" w:hAnsi="宋体" w:eastAsia="宋体" w:cs="宋体"/>
          <w:highlight w:val="none"/>
        </w:rPr>
        <w:t>具备</w:t>
      </w:r>
      <w:r>
        <w:rPr>
          <w:rFonts w:ascii="宋体" w:hAnsi="宋体" w:eastAsia="宋体" w:cs="宋体"/>
          <w:highlight w:val="none"/>
        </w:rPr>
        <w:t>三层组播能力的交换机完成基础网络构建，用于直播信号的接收、处理以及分发。IP调度</w:t>
      </w:r>
      <w:r>
        <w:rPr>
          <w:rFonts w:hint="eastAsia" w:ascii="宋体" w:hAnsi="宋体" w:eastAsia="宋体" w:cs="宋体"/>
          <w:highlight w:val="none"/>
        </w:rPr>
        <w:t>系统</w:t>
      </w:r>
      <w:r>
        <w:rPr>
          <w:rFonts w:ascii="宋体" w:hAnsi="宋体" w:eastAsia="宋体" w:cs="宋体"/>
          <w:highlight w:val="none"/>
        </w:rPr>
        <w:t>包含直播接入与分发</w:t>
      </w:r>
      <w:r>
        <w:rPr>
          <w:rFonts w:hint="eastAsia" w:ascii="宋体" w:hAnsi="宋体" w:eastAsia="宋体" w:cs="宋体"/>
          <w:highlight w:val="none"/>
        </w:rPr>
        <w:t>单元，</w:t>
      </w:r>
      <w:r>
        <w:rPr>
          <w:rFonts w:ascii="宋体" w:hAnsi="宋体" w:eastAsia="宋体" w:cs="宋体"/>
          <w:highlight w:val="none"/>
        </w:rPr>
        <w:t>满足多路直播源汇聚与转码后多路信号面向多渠道的分发</w:t>
      </w:r>
      <w:r>
        <w:rPr>
          <w:rFonts w:hint="eastAsia" w:ascii="宋体" w:hAnsi="宋体" w:cs="宋体"/>
          <w:highlight w:val="none"/>
          <w:lang w:val="en-US" w:eastAsia="zh-CN"/>
        </w:rPr>
        <w:t>功能</w:t>
      </w:r>
      <w:r>
        <w:rPr>
          <w:rFonts w:ascii="宋体" w:hAnsi="宋体" w:eastAsia="宋体" w:cs="宋体"/>
          <w:highlight w:val="none"/>
        </w:rPr>
        <w:t>；调度管理</w:t>
      </w:r>
      <w:r>
        <w:rPr>
          <w:rFonts w:hint="eastAsia" w:ascii="宋体" w:hAnsi="宋体" w:eastAsia="宋体" w:cs="宋体"/>
          <w:highlight w:val="none"/>
        </w:rPr>
        <w:t>单元，</w:t>
      </w:r>
      <w:r>
        <w:rPr>
          <w:rFonts w:ascii="宋体" w:hAnsi="宋体" w:eastAsia="宋体" w:cs="宋体"/>
          <w:highlight w:val="none"/>
        </w:rPr>
        <w:t>完成转码后直播信号的调度管理</w:t>
      </w:r>
      <w:r>
        <w:rPr>
          <w:rFonts w:hint="eastAsia" w:ascii="宋体" w:hAnsi="宋体" w:cs="宋体"/>
          <w:highlight w:val="none"/>
          <w:lang w:val="en-US" w:eastAsia="zh-CN"/>
        </w:rPr>
        <w:t>功能</w:t>
      </w:r>
      <w:r>
        <w:rPr>
          <w:rFonts w:hint="eastAsia" w:ascii="宋体" w:hAnsi="宋体" w:eastAsia="宋体" w:cs="宋体"/>
          <w:highlight w:val="none"/>
        </w:rPr>
        <w:t>；</w:t>
      </w:r>
      <w:r>
        <w:rPr>
          <w:rFonts w:ascii="宋体" w:hAnsi="宋体" w:eastAsia="宋体" w:cs="宋体"/>
          <w:highlight w:val="none"/>
        </w:rPr>
        <w:t>转码服务</w:t>
      </w:r>
      <w:r>
        <w:rPr>
          <w:rFonts w:hint="eastAsia" w:ascii="宋体" w:hAnsi="宋体" w:eastAsia="宋体" w:cs="宋体"/>
          <w:highlight w:val="none"/>
        </w:rPr>
        <w:t>单元，</w:t>
      </w:r>
      <w:r>
        <w:rPr>
          <w:rFonts w:ascii="宋体" w:hAnsi="宋体" w:eastAsia="宋体" w:cs="宋体"/>
          <w:highlight w:val="none"/>
        </w:rPr>
        <w:t>完成高清和4K直播信号的转码</w:t>
      </w:r>
      <w:r>
        <w:rPr>
          <w:rFonts w:hint="eastAsia" w:ascii="宋体" w:hAnsi="宋体" w:cs="宋体"/>
          <w:highlight w:val="none"/>
          <w:lang w:val="en-US" w:eastAsia="zh-CN"/>
        </w:rPr>
        <w:t>功能</w:t>
      </w:r>
      <w:r>
        <w:rPr>
          <w:rFonts w:hint="eastAsia" w:ascii="宋体" w:hAnsi="宋体" w:eastAsia="宋体" w:cs="宋体"/>
          <w:highlight w:val="none"/>
        </w:rPr>
        <w:t>；</w:t>
      </w:r>
      <w:r>
        <w:rPr>
          <w:rFonts w:ascii="宋体" w:hAnsi="宋体" w:eastAsia="宋体" w:cs="宋体"/>
          <w:highlight w:val="none"/>
        </w:rPr>
        <w:t>管理</w:t>
      </w:r>
      <w:r>
        <w:rPr>
          <w:rFonts w:hint="eastAsia" w:ascii="宋体" w:hAnsi="宋体" w:eastAsia="宋体" w:cs="宋体"/>
          <w:highlight w:val="none"/>
        </w:rPr>
        <w:t>单元，</w:t>
      </w:r>
      <w:r>
        <w:rPr>
          <w:rFonts w:ascii="宋体" w:hAnsi="宋体" w:eastAsia="宋体" w:cs="宋体"/>
          <w:highlight w:val="none"/>
        </w:rPr>
        <w:t>完成转码配置、IP调度管理以及大屏监看</w:t>
      </w:r>
      <w:r>
        <w:rPr>
          <w:rFonts w:hint="eastAsia" w:ascii="宋体" w:hAnsi="宋体" w:cs="宋体"/>
          <w:highlight w:val="none"/>
          <w:lang w:val="en-US" w:eastAsia="zh-CN"/>
        </w:rPr>
        <w:t>的功能</w:t>
      </w:r>
      <w:r>
        <w:rPr>
          <w:rFonts w:hint="eastAsia" w:ascii="宋体" w:hAnsi="宋体" w:eastAsia="宋体" w:cs="宋体"/>
          <w:highlight w:val="none"/>
        </w:rPr>
        <w:t>。可提供从前端内容拍摄、信号传输、节目实时制作、信号转码、信号调度、内容审核、直播收录、直播分发、采集端和播放端SDK全流程端到端的服务</w:t>
      </w:r>
      <w:r>
        <w:rPr>
          <w:rFonts w:hint="eastAsia" w:ascii="宋体" w:hAnsi="宋体" w:cs="宋体"/>
          <w:highlight w:val="none"/>
          <w:lang w:val="en-US" w:eastAsia="zh-CN"/>
        </w:rPr>
        <w:t>功能</w:t>
      </w:r>
      <w:r>
        <w:rPr>
          <w:rFonts w:hint="eastAsia" w:ascii="宋体" w:hAnsi="宋体" w:eastAsia="宋体" w:cs="宋体"/>
          <w:highlight w:val="none"/>
        </w:rPr>
        <w:t>。</w:t>
      </w:r>
      <w:r>
        <w:rPr>
          <w:rFonts w:hint="eastAsia" w:ascii="宋体" w:hAnsi="宋体" w:eastAsia="宋体" w:cs="宋体"/>
          <w:highlight w:val="none"/>
          <w:lang w:val="en-US" w:eastAsia="zh-CN"/>
        </w:rPr>
        <w:t>该</w:t>
      </w:r>
      <w:r>
        <w:rPr>
          <w:rFonts w:hint="eastAsia" w:ascii="宋体" w:hAnsi="宋体" w:eastAsia="宋体" w:cs="宋体"/>
          <w:highlight w:val="none"/>
        </w:rPr>
        <w:t>系统可与</w:t>
      </w:r>
      <w:r>
        <w:rPr>
          <w:rFonts w:hint="eastAsia" w:ascii="宋体" w:hAnsi="宋体" w:cs="宋体"/>
          <w:highlight w:val="none"/>
          <w:lang w:val="en-US" w:eastAsia="zh-CN"/>
        </w:rPr>
        <w:t>宁波广播电视集团</w:t>
      </w:r>
      <w:r>
        <w:rPr>
          <w:rFonts w:hint="eastAsia" w:ascii="宋体" w:hAnsi="宋体" w:eastAsia="宋体" w:cs="宋体"/>
          <w:highlight w:val="none"/>
          <w:lang w:val="en-US" w:eastAsia="zh-CN"/>
        </w:rPr>
        <w:t>其他</w:t>
      </w:r>
      <w:r>
        <w:rPr>
          <w:rFonts w:hint="eastAsia" w:ascii="宋体" w:hAnsi="宋体" w:eastAsia="宋体" w:cs="宋体"/>
          <w:highlight w:val="none"/>
        </w:rPr>
        <w:t>系统相结合，完成信号存储、审核、智能处理等服务</w:t>
      </w:r>
      <w:r>
        <w:rPr>
          <w:rFonts w:hint="eastAsia" w:ascii="宋体" w:hAnsi="宋体" w:cs="宋体"/>
          <w:highlight w:val="none"/>
          <w:lang w:val="en-US" w:eastAsia="zh-CN"/>
        </w:rPr>
        <w:t>功能</w:t>
      </w:r>
      <w:r>
        <w:rPr>
          <w:rFonts w:hint="eastAsia" w:ascii="宋体" w:hAnsi="宋体" w:eastAsia="宋体" w:cs="宋体"/>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在此次项目建设</w:t>
      </w:r>
      <w:r>
        <w:rPr>
          <w:rFonts w:hint="eastAsia" w:ascii="宋体" w:hAnsi="宋体" w:cs="宋体"/>
          <w:highlight w:val="none"/>
          <w:lang w:val="en-US" w:eastAsia="zh-CN"/>
        </w:rPr>
        <w:t>应用场景</w:t>
      </w:r>
      <w:r>
        <w:rPr>
          <w:rFonts w:hint="eastAsia" w:ascii="宋体" w:hAnsi="宋体" w:eastAsia="宋体" w:cs="宋体"/>
          <w:highlight w:val="none"/>
        </w:rPr>
        <w:t>中，先完成IP信号调度与转码系统建设，为现有直播流的接入、转码、调度、分发提供服务。I</w:t>
      </w:r>
      <w:r>
        <w:rPr>
          <w:rFonts w:ascii="宋体" w:hAnsi="宋体" w:eastAsia="宋体" w:cs="宋体"/>
          <w:highlight w:val="none"/>
        </w:rPr>
        <w:t>P</w:t>
      </w:r>
      <w:r>
        <w:rPr>
          <w:rFonts w:hint="eastAsia" w:ascii="宋体" w:hAnsi="宋体" w:eastAsia="宋体" w:cs="宋体"/>
          <w:highlight w:val="none"/>
        </w:rPr>
        <w:t>流调度与转码系统，可完成台里4</w:t>
      </w:r>
      <w:r>
        <w:rPr>
          <w:rFonts w:ascii="宋体" w:hAnsi="宋体" w:eastAsia="宋体" w:cs="宋体"/>
          <w:highlight w:val="none"/>
        </w:rPr>
        <w:t>0</w:t>
      </w:r>
      <w:r>
        <w:rPr>
          <w:rFonts w:hint="eastAsia" w:ascii="宋体" w:hAnsi="宋体" w:eastAsia="宋体" w:cs="宋体"/>
          <w:highlight w:val="none"/>
        </w:rPr>
        <w:t>路I</w:t>
      </w:r>
      <w:r>
        <w:rPr>
          <w:rFonts w:ascii="宋体" w:hAnsi="宋体" w:eastAsia="宋体" w:cs="宋体"/>
          <w:highlight w:val="none"/>
        </w:rPr>
        <w:t>P</w:t>
      </w:r>
      <w:r>
        <w:rPr>
          <w:rFonts w:hint="eastAsia" w:ascii="宋体" w:hAnsi="宋体" w:eastAsia="宋体" w:cs="宋体"/>
          <w:highlight w:val="none"/>
        </w:rPr>
        <w:t>流的统一转码、调度，面向多个媒体平台进行分发，提高</w:t>
      </w:r>
      <w:r>
        <w:rPr>
          <w:rFonts w:hint="eastAsia" w:ascii="宋体" w:hAnsi="宋体" w:eastAsia="宋体" w:cs="宋体"/>
          <w:highlight w:val="none"/>
          <w:lang w:val="en-US" w:eastAsia="zh-CN"/>
        </w:rPr>
        <w:t>宁波广电</w:t>
      </w:r>
      <w:r>
        <w:rPr>
          <w:rFonts w:hint="eastAsia" w:ascii="宋体" w:hAnsi="宋体" w:eastAsia="宋体" w:cs="宋体"/>
          <w:highlight w:val="none"/>
        </w:rPr>
        <w:t>内容的传播覆盖率，完成从流汇聚、流转码、流调度、流分发、数据监控、人员管理、信号监看等功能于一体的</w:t>
      </w:r>
      <w:r>
        <w:rPr>
          <w:rFonts w:hint="eastAsia" w:ascii="宋体" w:hAnsi="宋体" w:eastAsia="宋体" w:cs="宋体"/>
          <w:highlight w:val="none"/>
          <w:lang w:val="en-US" w:eastAsia="zh-CN"/>
        </w:rPr>
        <w:t>系统</w:t>
      </w:r>
      <w:r>
        <w:rPr>
          <w:rFonts w:hint="eastAsia" w:ascii="宋体" w:hAnsi="宋体" w:eastAsia="宋体" w:cs="宋体"/>
          <w:highlight w:val="none"/>
        </w:rPr>
        <w:t>，保证台内直播信号的安全传输。</w:t>
      </w:r>
    </w:p>
    <w:p>
      <w:pPr>
        <w:pStyle w:val="54"/>
        <w:rPr>
          <w:rFonts w:hint="eastAsia" w:eastAsiaTheme="minorEastAsia"/>
          <w:highlight w:val="none"/>
          <w:lang w:val="en-US" w:eastAsia="zh-CN"/>
        </w:rPr>
      </w:pPr>
      <w:r>
        <w:rPr>
          <w:highlight w:val="none"/>
        </w:rPr>
        <w:drawing>
          <wp:inline distT="0" distB="0" distL="0" distR="0">
            <wp:extent cx="5693410" cy="3503930"/>
            <wp:effectExtent l="0" t="0" r="2540" b="1270"/>
            <wp:docPr id="1554343174" name="图片 3"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43174" name="图片 3" descr="图形用户界面, 应用程序, Teams&#10;&#10;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93410" cy="3503930"/>
                    </a:xfrm>
                    <a:prstGeom prst="rect">
                      <a:avLst/>
                    </a:prstGeom>
                  </pic:spPr>
                </pic:pic>
              </a:graphicData>
            </a:graphic>
          </wp:inline>
        </w:drawing>
      </w:r>
    </w:p>
    <w:p>
      <w:pPr>
        <w:numPr>
          <w:ilvl w:val="0"/>
          <w:numId w:val="0"/>
        </w:num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1、投标人为</w:t>
      </w:r>
      <w:r>
        <w:rPr>
          <w:rFonts w:hint="eastAsia" w:ascii="宋体" w:hAnsi="宋体" w:eastAsia="宋体" w:cs="宋体"/>
          <w:highlight w:val="none"/>
          <w:lang w:val="en-US" w:eastAsia="zh-CN"/>
        </w:rPr>
        <w:t>项目制定项目实施方案。</w:t>
      </w:r>
    </w:p>
    <w:p>
      <w:p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2</w:t>
      </w:r>
      <w:r>
        <w:rPr>
          <w:rFonts w:hint="eastAsia" w:ascii="宋体" w:hAnsi="宋体" w:eastAsia="宋体" w:cs="宋体"/>
          <w:highlight w:val="none"/>
          <w:lang w:val="en-US" w:eastAsia="zh-CN"/>
        </w:rPr>
        <w:t>、</w:t>
      </w:r>
      <w:r>
        <w:rPr>
          <w:rFonts w:hint="eastAsia" w:ascii="宋体" w:hAnsi="宋体" w:cs="宋体"/>
          <w:highlight w:val="none"/>
          <w:lang w:val="en-US" w:eastAsia="zh-CN"/>
        </w:rPr>
        <w:t>投标人</w:t>
      </w:r>
      <w:r>
        <w:rPr>
          <w:rFonts w:hint="eastAsia" w:ascii="宋体" w:hAnsi="宋体" w:eastAsia="宋体" w:cs="宋体"/>
          <w:highlight w:val="none"/>
          <w:lang w:val="en-US" w:eastAsia="zh-CN"/>
        </w:rPr>
        <w:t>具有管理体系和服务管理模式</w:t>
      </w:r>
      <w:r>
        <w:rPr>
          <w:rFonts w:hint="eastAsia" w:ascii="宋体" w:hAnsi="宋体" w:cs="宋体"/>
          <w:highlight w:val="none"/>
          <w:lang w:val="en-US" w:eastAsia="zh-CN"/>
        </w:rPr>
        <w:t>并制定售后服务方及培训方案</w:t>
      </w:r>
      <w:r>
        <w:rPr>
          <w:rFonts w:hint="eastAsia" w:ascii="宋体" w:hAnsi="宋体" w:eastAsia="宋体" w:cs="宋体"/>
          <w:highlight w:val="none"/>
          <w:lang w:val="en-US" w:eastAsia="zh-CN"/>
        </w:rPr>
        <w:t>。</w:t>
      </w:r>
    </w:p>
    <w:p>
      <w:pPr>
        <w:numPr>
          <w:ilvl w:val="0"/>
          <w:numId w:val="0"/>
        </w:numPr>
        <w:spacing w:line="360" w:lineRule="auto"/>
        <w:rPr>
          <w:rFonts w:hint="eastAsia" w:ascii="宋体" w:hAnsi="宋体" w:eastAsia="宋体" w:cs="宋体"/>
          <w:highlight w:val="none"/>
        </w:rPr>
      </w:pPr>
      <w:r>
        <w:rPr>
          <w:rFonts w:hint="eastAsia" w:ascii="宋体" w:hAnsi="宋体" w:cs="宋体"/>
          <w:highlight w:val="none"/>
          <w:lang w:val="en-US" w:eastAsia="zh-CN"/>
        </w:rPr>
        <w:t>3、投标人为</w:t>
      </w:r>
      <w:r>
        <w:rPr>
          <w:rFonts w:hint="eastAsia" w:ascii="宋体" w:hAnsi="宋体" w:eastAsia="宋体" w:cs="宋体"/>
          <w:highlight w:val="none"/>
          <w:lang w:val="en-US" w:eastAsia="zh-CN"/>
        </w:rPr>
        <w:t>本项目成立服务团队</w:t>
      </w:r>
      <w:r>
        <w:rPr>
          <w:rFonts w:hint="eastAsia" w:ascii="宋体" w:hAnsi="宋体" w:cs="宋体"/>
          <w:highlight w:val="none"/>
          <w:lang w:val="en-US" w:eastAsia="zh-CN"/>
        </w:rPr>
        <w:t>并制定人员配备方案</w:t>
      </w:r>
      <w:r>
        <w:rPr>
          <w:rFonts w:hint="eastAsia" w:ascii="宋体" w:hAnsi="宋体" w:eastAsia="宋体" w:cs="宋体"/>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五、采购清单</w:t>
      </w:r>
    </w:p>
    <w:tbl>
      <w:tblPr>
        <w:tblStyle w:val="44"/>
        <w:tblW w:w="8813" w:type="dxa"/>
        <w:jc w:val="center"/>
        <w:tblLayout w:type="fixed"/>
        <w:tblCellMar>
          <w:top w:w="0" w:type="dxa"/>
          <w:left w:w="0" w:type="dxa"/>
          <w:bottom w:w="0" w:type="dxa"/>
          <w:right w:w="0" w:type="dxa"/>
        </w:tblCellMar>
      </w:tblPr>
      <w:tblGrid>
        <w:gridCol w:w="776"/>
        <w:gridCol w:w="7432"/>
        <w:gridCol w:w="605"/>
      </w:tblGrid>
      <w:tr>
        <w:tblPrEx>
          <w:tblCellMar>
            <w:top w:w="0" w:type="dxa"/>
            <w:left w:w="0" w:type="dxa"/>
            <w:bottom w:w="0" w:type="dxa"/>
            <w:right w:w="0" w:type="dxa"/>
          </w:tblCellMar>
        </w:tblPrEx>
        <w:trPr>
          <w:trHeight w:val="405"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ind w:left="-105" w:leftChars="-50" w:right="-105" w:rightChars="-50"/>
              <w:contextualSpacing/>
              <w:jc w:val="center"/>
              <w:rPr>
                <w:rFonts w:cs="宋体" w:asciiTheme="majorEastAsia" w:hAnsiTheme="majorEastAsia" w:eastAsiaTheme="majorEastAsia"/>
                <w:kern w:val="0"/>
                <w:szCs w:val="21"/>
                <w:highlight w:val="none"/>
              </w:rPr>
            </w:pPr>
            <w:r>
              <w:rPr>
                <w:rFonts w:hint="eastAsia" w:cs="宋体" w:asciiTheme="majorEastAsia" w:hAnsiTheme="majorEastAsia" w:eastAsiaTheme="majorEastAsia"/>
                <w:b/>
                <w:bCs/>
                <w:kern w:val="0"/>
                <w:szCs w:val="21"/>
                <w:highlight w:val="none"/>
              </w:rPr>
              <w:t>序号</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ind w:right="-105" w:rightChars="-50" w:firstLine="2951" w:firstLineChars="1400"/>
              <w:contextualSpacing/>
              <w:jc w:val="both"/>
              <w:rPr>
                <w:rFonts w:cs="宋体" w:asciiTheme="majorEastAsia" w:hAnsiTheme="majorEastAsia" w:eastAsiaTheme="majorEastAsia"/>
                <w:b/>
                <w:bCs/>
                <w:kern w:val="0"/>
                <w:szCs w:val="21"/>
                <w:highlight w:val="none"/>
              </w:rPr>
            </w:pPr>
            <w:r>
              <w:rPr>
                <w:rFonts w:cs="宋体" w:asciiTheme="majorEastAsia" w:hAnsiTheme="majorEastAsia" w:eastAsiaTheme="majorEastAsia"/>
                <w:b/>
                <w:bCs/>
                <w:kern w:val="0"/>
                <w:szCs w:val="21"/>
                <w:highlight w:val="none"/>
              </w:rPr>
              <w:t>设备名称</w:t>
            </w:r>
          </w:p>
        </w:tc>
        <w:tc>
          <w:tcPr>
            <w:tcW w:w="605"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line="240" w:lineRule="exact"/>
              <w:ind w:left="-105" w:leftChars="-50" w:right="-105" w:rightChars="-50"/>
              <w:contextualSpacing/>
              <w:jc w:val="center"/>
              <w:rPr>
                <w:rFonts w:cs="宋体" w:asciiTheme="majorEastAsia" w:hAnsiTheme="majorEastAsia" w:eastAsiaTheme="majorEastAsia"/>
                <w:b/>
                <w:bCs/>
                <w:kern w:val="0"/>
                <w:szCs w:val="21"/>
                <w:highlight w:val="none"/>
              </w:rPr>
            </w:pPr>
            <w:r>
              <w:rPr>
                <w:rFonts w:cs="宋体" w:asciiTheme="majorEastAsia" w:hAnsiTheme="majorEastAsia" w:eastAsiaTheme="majorEastAsia"/>
                <w:b/>
                <w:bCs/>
                <w:kern w:val="0"/>
                <w:szCs w:val="21"/>
                <w:highlight w:val="none"/>
              </w:rPr>
              <w:t>数量</w:t>
            </w:r>
          </w:p>
        </w:tc>
      </w:tr>
      <w:tr>
        <w:tblPrEx>
          <w:tblCellMar>
            <w:top w:w="0" w:type="dxa"/>
            <w:left w:w="0" w:type="dxa"/>
            <w:bottom w:w="0" w:type="dxa"/>
            <w:right w:w="0" w:type="dxa"/>
          </w:tblCellMar>
        </w:tblPrEx>
        <w:trPr>
          <w:trHeight w:val="310" w:hRule="atLeast"/>
          <w:jc w:val="center"/>
        </w:trPr>
        <w:tc>
          <w:tcPr>
            <w:tcW w:w="8813" w:type="dxa"/>
            <w:gridSpan w:val="3"/>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240" w:lineRule="exact"/>
              <w:ind w:left="-105" w:leftChars="-50" w:right="-105" w:rightChars="-50" w:firstLine="3795" w:firstLineChars="1800"/>
              <w:contextualSpacing/>
              <w:jc w:val="both"/>
              <w:rPr>
                <w:rFonts w:cs="宋体" w:asciiTheme="majorEastAsia" w:hAnsiTheme="majorEastAsia" w:eastAsiaTheme="majorEastAsia"/>
                <w:b/>
                <w:bCs/>
                <w:kern w:val="0"/>
                <w:szCs w:val="21"/>
                <w:highlight w:val="none"/>
              </w:rPr>
            </w:pPr>
            <w:r>
              <w:rPr>
                <w:rFonts w:hint="eastAsia" w:cs="宋体" w:asciiTheme="majorEastAsia" w:hAnsiTheme="majorEastAsia" w:eastAsiaTheme="majorEastAsia"/>
                <w:b/>
                <w:bCs/>
                <w:kern w:val="0"/>
                <w:szCs w:val="21"/>
                <w:highlight w:val="none"/>
              </w:rPr>
              <w:t>系统部分</w:t>
            </w:r>
          </w:p>
        </w:tc>
      </w:tr>
      <w:tr>
        <w:tblPrEx>
          <w:tblCellMar>
            <w:top w:w="0" w:type="dxa"/>
            <w:left w:w="0" w:type="dxa"/>
            <w:bottom w:w="0" w:type="dxa"/>
            <w:right w:w="0" w:type="dxa"/>
          </w:tblCellMar>
        </w:tblPrEx>
        <w:trPr>
          <w:trHeight w:val="54"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left="420" w:leftChars="0" w:firstLine="1890" w:firstLineChars="900"/>
              <w:jc w:val="both"/>
              <w:rPr>
                <w:rFonts w:hint="eastAsia" w:ascii="宋体" w:hAnsi="宋体" w:eastAsia="宋体" w:cs="宋体"/>
                <w:color w:val="000000"/>
                <w:kern w:val="0"/>
                <w:sz w:val="20"/>
                <w:szCs w:val="20"/>
                <w:highlight w:val="none"/>
              </w:rPr>
            </w:pPr>
            <w:r>
              <w:rPr>
                <w:rFonts w:hint="eastAsia"/>
                <w:highlight w:val="none"/>
              </w:rPr>
              <w:t>信源汇聚与分发服务系统</w:t>
            </w:r>
          </w:p>
        </w:tc>
        <w:tc>
          <w:tcPr>
            <w:tcW w:w="605"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line="300" w:lineRule="exact"/>
              <w:contextualSpacing/>
              <w:jc w:val="cente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1套</w:t>
            </w:r>
          </w:p>
        </w:tc>
      </w:tr>
      <w:tr>
        <w:tblPrEx>
          <w:tblCellMar>
            <w:top w:w="0" w:type="dxa"/>
            <w:left w:w="0" w:type="dxa"/>
            <w:bottom w:w="0" w:type="dxa"/>
            <w:right w:w="0" w:type="dxa"/>
          </w:tblCellMar>
        </w:tblPrEx>
        <w:trPr>
          <w:trHeight w:val="54"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2</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left="420" w:leftChars="0" w:firstLine="2100" w:firstLineChars="1000"/>
              <w:jc w:val="both"/>
              <w:rPr>
                <w:rFonts w:hint="eastAsia" w:ascii="宋体" w:hAnsi="宋体" w:eastAsia="宋体" w:cs="宋体"/>
                <w:color w:val="000000"/>
                <w:kern w:val="0"/>
                <w:sz w:val="20"/>
                <w:szCs w:val="20"/>
                <w:highlight w:val="none"/>
                <w:lang w:val="en-US" w:eastAsia="zh-CN"/>
              </w:rPr>
            </w:pPr>
            <w:r>
              <w:rPr>
                <w:rFonts w:hint="eastAsia"/>
                <w:highlight w:val="none"/>
              </w:rPr>
              <w:t>调度管理服务系统</w:t>
            </w:r>
          </w:p>
        </w:tc>
        <w:tc>
          <w:tcPr>
            <w:tcW w:w="605" w:type="dxa"/>
            <w:tcBorders>
              <w:top w:val="single" w:color="auto" w:sz="8" w:space="0"/>
              <w:left w:val="single" w:color="auto" w:sz="4" w:space="0"/>
              <w:bottom w:val="single" w:color="auto" w:sz="8" w:space="0"/>
              <w:right w:val="single" w:color="auto" w:sz="4" w:space="0"/>
            </w:tcBorders>
            <w:vAlign w:val="center"/>
          </w:tcPr>
          <w:p>
            <w:pPr>
              <w:widowControl/>
              <w:spacing w:before="100" w:beforeAutospacing="1" w:after="100" w:afterAutospacing="1" w:line="300" w:lineRule="exact"/>
              <w:contextualSpacing/>
              <w:jc w:val="center"/>
              <w:rPr>
                <w:rFonts w:cs="宋体" w:asciiTheme="majorEastAsia" w:hAnsiTheme="majorEastAsia" w:eastAsiaTheme="majorEastAsia"/>
                <w:bCs/>
                <w:kern w:val="0"/>
                <w:szCs w:val="21"/>
                <w:highlight w:val="none"/>
              </w:rPr>
            </w:pPr>
            <w:r>
              <w:rPr>
                <w:rFonts w:hint="eastAsia" w:asciiTheme="majorEastAsia" w:hAnsiTheme="majorEastAsia" w:eastAsiaTheme="majorEastAsia"/>
                <w:szCs w:val="21"/>
                <w:highlight w:val="none"/>
                <w:lang w:val="en-US" w:eastAsia="zh-CN"/>
              </w:rPr>
              <w:t>1套</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3</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left="420" w:leftChars="0" w:firstLine="2100" w:firstLineChars="1000"/>
              <w:jc w:val="both"/>
              <w:rPr>
                <w:rFonts w:hint="eastAsia" w:ascii="宋体" w:hAnsi="宋体" w:eastAsia="宋体" w:cs="宋体"/>
                <w:color w:val="000000"/>
                <w:kern w:val="0"/>
                <w:sz w:val="20"/>
                <w:szCs w:val="20"/>
                <w:highlight w:val="none"/>
                <w:lang w:val="en-US" w:eastAsia="zh-CN"/>
              </w:rPr>
            </w:pPr>
            <w:r>
              <w:rPr>
                <w:rFonts w:hint="eastAsia"/>
                <w:highlight w:val="none"/>
              </w:rPr>
              <w:t>●格式转换系统</w:t>
            </w:r>
          </w:p>
        </w:tc>
        <w:tc>
          <w:tcPr>
            <w:tcW w:w="605" w:type="dxa"/>
            <w:tcBorders>
              <w:top w:val="single" w:color="auto" w:sz="8" w:space="0"/>
              <w:left w:val="single" w:color="auto" w:sz="4" w:space="0"/>
              <w:bottom w:val="single" w:color="auto" w:sz="8" w:space="0"/>
              <w:right w:val="single" w:color="auto" w:sz="4" w:space="0"/>
            </w:tcBorders>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1套</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4</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firstLine="2310" w:firstLineChars="1100"/>
              <w:jc w:val="both"/>
              <w:rPr>
                <w:rFonts w:hint="eastAsia"/>
                <w:highlight w:val="none"/>
              </w:rPr>
            </w:pPr>
            <w:r>
              <w:rPr>
                <w:rFonts w:hint="eastAsia"/>
                <w:highlight w:val="none"/>
                <w:lang w:val="en-US" w:eastAsia="zh-CN"/>
              </w:rPr>
              <w:t>统一认证和网络安全</w:t>
            </w:r>
          </w:p>
        </w:tc>
        <w:tc>
          <w:tcPr>
            <w:tcW w:w="605" w:type="dxa"/>
            <w:tcBorders>
              <w:top w:val="single" w:color="auto" w:sz="8" w:space="0"/>
              <w:left w:val="single" w:color="auto" w:sz="4" w:space="0"/>
              <w:bottom w:val="single" w:color="auto" w:sz="8" w:space="0"/>
              <w:right w:val="single" w:color="auto" w:sz="4" w:space="0"/>
            </w:tcBorders>
            <w:vAlign w:val="top"/>
          </w:tcPr>
          <w:p>
            <w:pP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 xml:space="preserve"> 1项</w:t>
            </w:r>
          </w:p>
        </w:tc>
      </w:tr>
      <w:tr>
        <w:tblPrEx>
          <w:tblCellMar>
            <w:top w:w="0" w:type="dxa"/>
            <w:left w:w="0" w:type="dxa"/>
            <w:bottom w:w="0" w:type="dxa"/>
            <w:right w:w="0" w:type="dxa"/>
          </w:tblCellMar>
        </w:tblPrEx>
        <w:trPr>
          <w:trHeight w:val="56" w:hRule="atLeast"/>
          <w:jc w:val="center"/>
        </w:trPr>
        <w:tc>
          <w:tcPr>
            <w:tcW w:w="8813" w:type="dxa"/>
            <w:gridSpan w:val="3"/>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300" w:lineRule="exact"/>
              <w:ind w:firstLine="3584" w:firstLineChars="1700"/>
              <w:jc w:val="both"/>
              <w:rPr>
                <w:rFonts w:hint="default" w:asciiTheme="majorEastAsia" w:hAnsiTheme="majorEastAsia" w:eastAsiaTheme="majorEastAsia"/>
                <w:szCs w:val="21"/>
                <w:highlight w:val="none"/>
                <w:lang w:val="en-US" w:eastAsia="zh-CN"/>
              </w:rPr>
            </w:pPr>
            <w:r>
              <w:rPr>
                <w:rFonts w:hint="eastAsia" w:cs="宋体" w:asciiTheme="majorEastAsia" w:hAnsiTheme="majorEastAsia" w:eastAsiaTheme="majorEastAsia"/>
                <w:b/>
                <w:bCs/>
                <w:kern w:val="0"/>
                <w:szCs w:val="21"/>
                <w:highlight w:val="none"/>
                <w:lang w:val="en-US" w:eastAsia="zh-CN"/>
              </w:rPr>
              <w:t>其他设备</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firstLine="2730" w:firstLineChars="1300"/>
              <w:jc w:val="both"/>
              <w:rPr>
                <w:rFonts w:hint="eastAsia"/>
                <w:highlight w:val="none"/>
              </w:rPr>
            </w:pPr>
            <w:r>
              <w:rPr>
                <w:rFonts w:hint="eastAsia"/>
                <w:highlight w:val="none"/>
              </w:rPr>
              <w:t>控制终端</w:t>
            </w:r>
          </w:p>
        </w:tc>
        <w:tc>
          <w:tcPr>
            <w:tcW w:w="605" w:type="dxa"/>
            <w:tcBorders>
              <w:top w:val="single" w:color="auto" w:sz="8" w:space="0"/>
              <w:left w:val="single" w:color="auto" w:sz="4" w:space="0"/>
              <w:bottom w:val="single" w:color="auto" w:sz="8" w:space="0"/>
              <w:right w:val="single" w:color="auto" w:sz="4" w:space="0"/>
            </w:tcBorders>
          </w:tcPr>
          <w:p>
            <w:pPr>
              <w:spacing w:line="300" w:lineRule="exact"/>
              <w:jc w:val="cente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1台</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left="420" w:leftChars="0" w:firstLine="2310" w:firstLineChars="1100"/>
              <w:jc w:val="both"/>
              <w:rPr>
                <w:rFonts w:hint="eastAsia"/>
                <w:highlight w:val="none"/>
              </w:rPr>
            </w:pPr>
            <w:r>
              <w:rPr>
                <w:rFonts w:hint="eastAsia"/>
                <w:highlight w:val="none"/>
              </w:rPr>
              <w:t>交换</w:t>
            </w:r>
            <w:r>
              <w:rPr>
                <w:rFonts w:hint="eastAsia"/>
                <w:highlight w:val="none"/>
                <w:lang w:val="en-US" w:eastAsia="zh-CN"/>
              </w:rPr>
              <w:t>单元</w:t>
            </w:r>
          </w:p>
        </w:tc>
        <w:tc>
          <w:tcPr>
            <w:tcW w:w="605" w:type="dxa"/>
            <w:tcBorders>
              <w:top w:val="single" w:color="auto" w:sz="8" w:space="0"/>
              <w:left w:val="single" w:color="auto" w:sz="4" w:space="0"/>
              <w:bottom w:val="single" w:color="auto" w:sz="8" w:space="0"/>
              <w:right w:val="single" w:color="auto" w:sz="4" w:space="0"/>
            </w:tcBorders>
          </w:tcPr>
          <w:p>
            <w:pPr>
              <w:spacing w:line="300" w:lineRule="exact"/>
              <w:jc w:val="cente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1台</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w:t>
            </w:r>
          </w:p>
        </w:tc>
        <w:tc>
          <w:tcPr>
            <w:tcW w:w="7432"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left="420" w:leftChars="0" w:firstLine="2310" w:firstLineChars="1100"/>
              <w:jc w:val="both"/>
              <w:rPr>
                <w:rFonts w:hint="eastAsia"/>
                <w:highlight w:val="none"/>
              </w:rPr>
            </w:pPr>
            <w:r>
              <w:rPr>
                <w:rFonts w:hint="eastAsia"/>
                <w:highlight w:val="none"/>
              </w:rPr>
              <w:t>KVM设备</w:t>
            </w:r>
          </w:p>
        </w:tc>
        <w:tc>
          <w:tcPr>
            <w:tcW w:w="605" w:type="dxa"/>
            <w:tcBorders>
              <w:top w:val="single" w:color="auto" w:sz="8" w:space="0"/>
              <w:left w:val="single" w:color="auto" w:sz="4" w:space="0"/>
              <w:bottom w:val="single" w:color="auto" w:sz="8" w:space="0"/>
              <w:right w:val="single" w:color="auto" w:sz="4" w:space="0"/>
            </w:tcBorders>
          </w:tcPr>
          <w:p>
            <w:pPr>
              <w:spacing w:line="300" w:lineRule="exact"/>
              <w:jc w:val="cente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2台</w:t>
            </w:r>
          </w:p>
        </w:tc>
      </w:tr>
      <w:tr>
        <w:tblPrEx>
          <w:tblCellMar>
            <w:top w:w="0" w:type="dxa"/>
            <w:left w:w="0" w:type="dxa"/>
            <w:bottom w:w="0" w:type="dxa"/>
            <w:right w:w="0" w:type="dxa"/>
          </w:tblCellMar>
        </w:tblPrEx>
        <w:trPr>
          <w:trHeight w:val="56" w:hRule="atLeast"/>
          <w:jc w:val="center"/>
        </w:trPr>
        <w:tc>
          <w:tcPr>
            <w:tcW w:w="776"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ind w:firstLine="0" w:firstLineChars="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7432" w:type="dxa"/>
            <w:tcBorders>
              <w:top w:val="single" w:color="auto" w:sz="8"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left="420" w:leftChars="0" w:firstLine="2520" w:firstLineChars="1200"/>
              <w:jc w:val="both"/>
              <w:rPr>
                <w:rFonts w:hint="eastAsia"/>
                <w:highlight w:val="none"/>
              </w:rPr>
            </w:pPr>
            <w:r>
              <w:rPr>
                <w:rFonts w:hint="eastAsia"/>
                <w:highlight w:val="none"/>
              </w:rPr>
              <w:t>机柜</w:t>
            </w:r>
          </w:p>
        </w:tc>
        <w:tc>
          <w:tcPr>
            <w:tcW w:w="605" w:type="dxa"/>
            <w:tcBorders>
              <w:top w:val="single" w:color="auto" w:sz="8" w:space="0"/>
              <w:left w:val="single" w:color="auto" w:sz="4" w:space="0"/>
              <w:bottom w:val="single" w:color="auto" w:sz="4" w:space="0"/>
              <w:right w:val="single" w:color="auto" w:sz="4" w:space="0"/>
            </w:tcBorders>
          </w:tcPr>
          <w:p>
            <w:pPr>
              <w:spacing w:line="300" w:lineRule="exact"/>
              <w:jc w:val="cente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3个</w:t>
            </w:r>
          </w:p>
        </w:tc>
      </w:tr>
    </w:tbl>
    <w:p>
      <w:pPr>
        <w:pStyle w:val="19"/>
        <w:ind w:firstLine="420"/>
        <w:rPr>
          <w:rFonts w:cs="宋体" w:asciiTheme="majorEastAsia" w:hAnsiTheme="majorEastAsia" w:eastAsiaTheme="majorEastAsia"/>
          <w:b/>
          <w:bCs/>
          <w:sz w:val="21"/>
          <w:szCs w:val="21"/>
          <w:highlight w:val="none"/>
        </w:rPr>
      </w:pPr>
      <w:r>
        <w:rPr>
          <w:rFonts w:hint="eastAsia" w:cs="宋体" w:asciiTheme="majorEastAsia" w:hAnsiTheme="majorEastAsia" w:eastAsiaTheme="majorEastAsia"/>
          <w:b/>
          <w:bCs/>
          <w:sz w:val="21"/>
          <w:szCs w:val="21"/>
          <w:highlight w:val="none"/>
        </w:rPr>
        <w:t>备注：上表中打“●”设备为本项目核心产品，作为判断同品牌产品的依据。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系统技术要求</w:t>
      </w:r>
    </w:p>
    <w:tbl>
      <w:tblPr>
        <w:tblStyle w:val="44"/>
        <w:tblW w:w="8813" w:type="dxa"/>
        <w:jc w:val="center"/>
        <w:tblLayout w:type="fixed"/>
        <w:tblCellMar>
          <w:top w:w="0" w:type="dxa"/>
          <w:left w:w="0" w:type="dxa"/>
          <w:bottom w:w="0" w:type="dxa"/>
          <w:right w:w="0" w:type="dxa"/>
        </w:tblCellMar>
      </w:tblPr>
      <w:tblGrid>
        <w:gridCol w:w="773"/>
        <w:gridCol w:w="7430"/>
        <w:gridCol w:w="610"/>
      </w:tblGrid>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技术参数</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投标响应</w:t>
            </w:r>
          </w:p>
        </w:tc>
      </w:tr>
      <w:tr>
        <w:tblPrEx>
          <w:tblCellMar>
            <w:top w:w="0" w:type="dxa"/>
            <w:left w:w="0" w:type="dxa"/>
            <w:bottom w:w="0" w:type="dxa"/>
            <w:right w:w="0" w:type="dxa"/>
          </w:tblCellMar>
        </w:tblPrEx>
        <w:trPr>
          <w:trHeight w:val="119"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kern w:val="1"/>
                <w:szCs w:val="21"/>
                <w:highlight w:val="none"/>
                <w:lang w:eastAsia="zh-CN"/>
              </w:rPr>
            </w:pPr>
            <w:r>
              <w:rPr>
                <w:rFonts w:hint="eastAsia" w:ascii="宋体" w:hAnsi="宋体" w:eastAsia="宋体" w:cs="宋体"/>
                <w:b/>
                <w:bCs/>
                <w:highlight w:val="none"/>
                <w:lang w:val="en-US" w:eastAsia="zh-CN"/>
              </w:rPr>
              <w:t>信源汇聚与分发服务系统</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要求系统可支持UDP-TS/HTTP-TS/HTTP-FLV/RTMP-FLV/SRT/RTP协议输入；</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支持UDP-TS/HTTP-TS/HTTP-FLV/SRT/RTP协议输出；</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转码系统需满足40路高清H.264节目转码需求，且转码输出至少满足24路；</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支持分辨率、帧率自动识别功能，支持标清至高清的各种常规视频分辨率（1920×1080，1280×720，720×576）设置；</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视频格式支持MPEG1/2/4、H.263、H.264、H.265、AV1、MPEG2、AVS+等主流编码格式输入，H.264、H.265转码格式输出；</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支持码流控制模式设置：VBR/CBR/ABR；</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支持帧编码与场编码格式转换；支持去隔行；</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1.8</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音频格式至少支持MPEG-1LayerII、AAC-LC、AC3、音频透传；音频编码支持44100Hz/48000Hz等多采样率选择；音频码率支持128kbps/256kbps/448kbps等多码率选择；音频编码采样位深≥16bit；支持声道数选择，支持音量大小设置，支持音量归一化设置，避免音量忽高忽低；</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1.9</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支持添加台标功能，位置和缩放比例可调，台标文件格式须支持TAG、PNG等带alpha通道的图片文件；</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1.10</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支持GOP结构灵活调整，包括GOP长度、B帧数量、I帧类型；支持Open GOP或Closed GOP类型的设置；</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信号编码输出延迟应低于3秒；</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视频解码需支持H.264格式；量化精度10bit/8bit;色域空间BT.709;动态范围SDR;色度采样4:2:0/4:2:2；</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实现一进多出，能够一次性将视频转码成适合各种设备的格式及分辨率；</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支持H.264 H.265 H.266,AV1转码，满足至少50%以上的码率压缩并且保持清晰度；</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通过智能场景识别、动态编码技术、CTU/行/帧三级码率精准控制模型，使直播（视频流）、点播（视频文件）等业务能够以更低的码率（至少节省30%+）提供更高清的流媒体服务；</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通过过综合实时视频画面质量评估分析，支持插帧（可实时倍帧，实现25fps倍帧为60fps）、去噪、USM、CDEF、色彩增强、ROI编码的修复相关技术；</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提供智能场景识别、码流控制、编码参数匹配、前置处理、编码动态优化、码率智能控制、ROI处理等；</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rPr>
              <w:t>1.18</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支持NDI|HX协议输入、输出。</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调度管理服务系统</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支持完备的垫片机制，当信源出问题或业务需要时，能够自动或者手动切换垫片；</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支持多信源主备机制，支持自动切换和手动切换功能；</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对于固定频道可做主备切换，每路输出信号可单独配置至少主备两路输入信号作为信源，可实时监测码流状态，出现断流时自动切换到备流，主流正常后可自动切回；</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支持对输入和输出信号进行主备流配对，切换时主、备流同步切换；</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支持TS Over UDP、TS Over HTTP、FLV Over HTTP、Adobe RTMP、HLS、SRT、NDI|HX（预计5月份可提供升级）的流调度切换；</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支持点阵模式调度矩阵，横向代表输出频道，纵向代表输入频道，通过选择输入与输出对应关系进行信号的调度切换；</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支持输出频道信号加锁功能，对于加锁链路，无法进行调度切换，需要进行解锁后才能进行正常切换操作；</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2.8</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能对访问管控平台的人员的账号进行角色分配和权限管理，对不同角色的管理员可以使用的系统功能不同；</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2.9</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支持查看用户ID、用户名称、用户密码，支持用户编辑与删除；</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2.10</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查询和展示对应流的历史数据，包含视频频率、视频码率、音频频率、音频码率；</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8"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2.11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eastAsia="宋体" w:cs="宋体"/>
                <w:highlight w:val="none"/>
              </w:rPr>
              <w:t>支持设备IP、使用模块、设备状态、内存数据、内存利用率、GPU利用率、CPU核数、CPU利用率等数据展示，用户可在后台进行阈值设置，如相关数据达到设定阈值，通知告警平台；</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2.12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支持对系统或应用程序产生的日志进行收集、存储、分析、搜索和展示的过程。通过日志管理，可以追踪系统或应用程序的运行状态，监测异常和故障，进行安全审计和问题排查；</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b/>
                <w:bCs/>
                <w:highlight w:val="none"/>
                <w:lang w:val="en-US" w:eastAsia="zh-CN"/>
              </w:rPr>
              <w:t>格式转换系统</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输入封装格式：MP4、TS、PS、AVI、WMV、ASF、RM、RMVB、MOV、FLV、F4V、MKV、MXF、3GP、HLS；</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输入视频编码格式：MPEG1/2/4、DIVX、H.263、WMV、H.264、H265、MJPG、VP8、RM、DV、AVS+/AVS、ProRess422、Prore、DNxHD；</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音频输入格式：AC3、DTS、DTS-HD、MP1/2/3、WMA、AAC、AMR、Real audio、OGG audio、Dolby Digital、Dolby Digital Plus；</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文件输入协议：FTP/HTTP/CIFS/NFS等离线文件输入协议；</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视频编码方式： MPEG2 、MPEG 4、H.263、H.264、H.265、AVS+/AVS；</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输出声道：单声道、立体声、5.1、7.1，Dolby Digital、Dolby Digital Plus；</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分辨率支持：视频长短边限制在128, 4096，支持保持原分辨率转码；</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3.8</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音频码率：8kbps~384kbps连续可调；</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rPr>
            </w:pPr>
            <w:r>
              <w:rPr>
                <w:rFonts w:hint="eastAsia" w:ascii="宋体" w:hAnsi="宋体" w:eastAsia="宋体" w:cs="宋体"/>
                <w:highlight w:val="none"/>
                <w:lang w:val="en-US" w:eastAsia="zh-CN"/>
              </w:rPr>
              <w:t>3.9</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支持水印、logo添加。</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3.10</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kern w:val="1"/>
                <w:szCs w:val="21"/>
                <w:highlight w:val="none"/>
              </w:rPr>
            </w:pPr>
            <w:r>
              <w:rPr>
                <w:rFonts w:hint="eastAsia" w:ascii="宋体" w:hAnsi="宋体" w:eastAsia="宋体" w:cs="宋体"/>
                <w:highlight w:val="none"/>
              </w:rPr>
              <w:t>支持对系统或应用程序产生的日志进行收集、存储、分析、搜索和展示的过程。通过日志管理，可以追踪系统或应用程序的运行状态，监测异常和故障，进行安全审计和问题排查；</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bl>
    <w:p>
      <w:pPr>
        <w:pStyle w:val="54"/>
        <w:rPr>
          <w:rFonts w:hint="eastAsia"/>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产品技术要求</w:t>
      </w:r>
    </w:p>
    <w:tbl>
      <w:tblPr>
        <w:tblStyle w:val="44"/>
        <w:tblW w:w="8813" w:type="dxa"/>
        <w:jc w:val="center"/>
        <w:tblLayout w:type="fixed"/>
        <w:tblCellMar>
          <w:top w:w="0" w:type="dxa"/>
          <w:left w:w="0" w:type="dxa"/>
          <w:bottom w:w="0" w:type="dxa"/>
          <w:right w:w="0" w:type="dxa"/>
        </w:tblCellMar>
      </w:tblPr>
      <w:tblGrid>
        <w:gridCol w:w="773"/>
        <w:gridCol w:w="1287"/>
        <w:gridCol w:w="6133"/>
        <w:gridCol w:w="10"/>
        <w:gridCol w:w="10"/>
        <w:gridCol w:w="600"/>
      </w:tblGrid>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1287"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产品名称</w:t>
            </w:r>
          </w:p>
        </w:tc>
        <w:tc>
          <w:tcPr>
            <w:tcW w:w="6133"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b/>
                <w:bCs/>
                <w:highlight w:val="none"/>
              </w:rPr>
            </w:pPr>
            <w:r>
              <w:rPr>
                <w:rFonts w:hint="eastAsia" w:ascii="宋体" w:hAnsi="宋体" w:eastAsia="宋体" w:cs="宋体"/>
                <w:b/>
                <w:bCs/>
                <w:highlight w:val="none"/>
              </w:rPr>
              <w:t>技术参数</w:t>
            </w:r>
          </w:p>
        </w:tc>
        <w:tc>
          <w:tcPr>
            <w:tcW w:w="620" w:type="dxa"/>
            <w:gridSpan w:val="3"/>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b/>
                <w:bCs/>
                <w:highlight w:val="none"/>
              </w:rPr>
            </w:pPr>
            <w:r>
              <w:rPr>
                <w:rFonts w:hint="eastAsia" w:ascii="宋体" w:hAnsi="宋体" w:eastAsia="宋体" w:cs="宋体"/>
                <w:b/>
                <w:bCs/>
                <w:highlight w:val="none"/>
                <w:lang w:val="en-US" w:eastAsia="zh-CN"/>
              </w:rPr>
              <w:t>投标响应</w:t>
            </w:r>
          </w:p>
        </w:tc>
      </w:tr>
      <w:tr>
        <w:tblPrEx>
          <w:tblCellMar>
            <w:top w:w="0" w:type="dxa"/>
            <w:left w:w="0" w:type="dxa"/>
            <w:bottom w:w="0" w:type="dxa"/>
            <w:right w:w="0" w:type="dxa"/>
          </w:tblCellMar>
        </w:tblPrEx>
        <w:trPr>
          <w:trHeight w:val="208" w:hRule="atLeast"/>
          <w:jc w:val="center"/>
        </w:trPr>
        <w:tc>
          <w:tcPr>
            <w:tcW w:w="8813" w:type="dxa"/>
            <w:gridSpan w:val="6"/>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kern w:val="1"/>
                <w:highlight w:val="none"/>
              </w:rPr>
            </w:pPr>
            <w:r>
              <w:rPr>
                <w:rFonts w:hint="eastAsia" w:ascii="宋体" w:hAnsi="宋体" w:eastAsia="宋体" w:cs="宋体"/>
                <w:b/>
                <w:bCs/>
                <w:highlight w:val="none"/>
              </w:rPr>
              <w:t>系统部分</w:t>
            </w:r>
          </w:p>
        </w:tc>
      </w:tr>
      <w:tr>
        <w:tblPrEx>
          <w:tblCellMar>
            <w:top w:w="0" w:type="dxa"/>
            <w:left w:w="0" w:type="dxa"/>
            <w:bottom w:w="0" w:type="dxa"/>
            <w:right w:w="0" w:type="dxa"/>
          </w:tblCellMar>
        </w:tblPrEx>
        <w:trPr>
          <w:trHeight w:val="90" w:hRule="atLeast"/>
          <w:jc w:val="center"/>
        </w:trPr>
        <w:tc>
          <w:tcPr>
            <w:tcW w:w="773" w:type="dxa"/>
            <w:vMerge w:val="restart"/>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1</w:t>
            </w:r>
          </w:p>
        </w:tc>
        <w:tc>
          <w:tcPr>
            <w:tcW w:w="1287" w:type="dxa"/>
            <w:vMerge w:val="restart"/>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szCs w:val="21"/>
                <w:highlight w:val="none"/>
              </w:rPr>
            </w:pPr>
            <w:r>
              <w:rPr>
                <w:rFonts w:hint="eastAsia" w:ascii="宋体" w:hAnsi="宋体" w:eastAsia="宋体" w:cs="宋体"/>
                <w:highlight w:val="none"/>
                <w:lang w:val="en-US" w:eastAsia="zh-CN"/>
              </w:rPr>
              <w:t>信源汇聚</w:t>
            </w:r>
            <w:r>
              <w:rPr>
                <w:rFonts w:hint="eastAsia" w:ascii="宋体" w:hAnsi="宋体" w:eastAsia="宋体" w:cs="宋体"/>
                <w:highlight w:val="none"/>
              </w:rPr>
              <w:t>与分发服务系统</w:t>
            </w: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流接入与分发服务单元</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CPU：Xeon Silver 4216 *2（32核或以上，2.1G）；</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内存：64GB DDR4 寄存式 (RDIMM)以上；</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6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系统硬盘：480G SATA SSD*2 或以上；</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50"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智能阵列：RAID 控制器, 2GB NV 缓存控制器；</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0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冗余热插拔风扇/DVD-ROM/冗余热插拔电源；</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配置万兆光纤单口网卡（含模块）。</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0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具备直播流接入功能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9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支持主流音视频传输格式：UDP-TS/HTTP-TS/HTTP-FLV/RTMP-FLV/SRT/RTP协议输入；</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20"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支持主流视频编码格式输入：AV1、AVS2、H.264/AVC、H.263、 H.263+、H.265、MPEG-1、MPEG-2、MPEG-4、MJPEG、VP8、VP9、RealVideo、Windows Media Video、Quicktime；</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支持主流音频格式输入：AAC、ADPCM、AMR、DSD、MP1、MP2、MP3、PCM、RealAudio、Windows Media Audio、VORBIS、AC-3；</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20"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支持SRT协议，支持SRT推流与拉流。</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具备直播分发服务功能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支持直播推流或第三方拉流；</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支持拉流转推；</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b/>
                <w:bCs/>
                <w:highlight w:val="none"/>
              </w:rPr>
            </w:pPr>
            <w:r>
              <w:rPr>
                <w:rFonts w:hint="eastAsia" w:ascii="宋体" w:hAnsi="宋体" w:eastAsia="宋体" w:cs="宋体"/>
                <w:highlight w:val="none"/>
              </w:rPr>
              <w:t>协议设置支持UDP-TS/HTTP-TS/HTTP-FLV/SRT/RTP协议输出；</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支持单设备的带宽、分发流数的历史信息查看；</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支持分发任务新建，平台信号源选择接入，支持多路分发配置，可单独配置视频轨道和音频轨道PID；</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支持从第三方厂商，回源的方式获取信号源，包含支持将内部信号，通过推流的方式推到外部的直播平台；</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支持回源、加速、收敛；</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65" w:hRule="atLeast"/>
          <w:jc w:val="center"/>
        </w:trPr>
        <w:tc>
          <w:tcPr>
            <w:tcW w:w="773" w:type="dxa"/>
            <w:vMerge w:val="continue"/>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支持直播分发水印添加。</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restart"/>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r>
              <w:rPr>
                <w:rFonts w:hint="eastAsia" w:ascii="宋体" w:hAnsi="宋体" w:eastAsia="宋体" w:cs="宋体"/>
                <w:highlight w:val="none"/>
              </w:rPr>
              <w:t>2</w:t>
            </w:r>
          </w:p>
        </w:tc>
        <w:tc>
          <w:tcPr>
            <w:tcW w:w="1287" w:type="dxa"/>
            <w:vMerge w:val="restart"/>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调度管理服务系统</w:t>
            </w: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调度管理服务单元</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CPU：Xeon Silver 4214R *1(12核或以上，2.4G)；</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内存：32GB DDR4 寄存式 (RDIMM)以上；</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系统硬盘：480G SATA SSD*2或以上；</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智能阵列： RAID 控制器, 2GB NV 缓存控制器；</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冗余热插拔风扇/DVD-ROM/冗余热插拔电源；</w:t>
            </w:r>
          </w:p>
        </w:tc>
        <w:tc>
          <w:tcPr>
            <w:tcW w:w="620" w:type="dxa"/>
            <w:gridSpan w:val="3"/>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6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配置万兆光纤单口网卡（含模块）。</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6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支持用户管理：能对访问管控平台的人员的账号进行角色分配和权限管理，对不同角色的管理员可以使用的系统功能不同；</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6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支持用户列表查看：支持查看用户ID、用户名称、用户密码，支持用户编辑与删除；</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支持用户新建、修改和删除；</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具备数据监控功能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支持设备数据监控：支持查看服务器和服务节点基本信息，及时发现异常。可监控设备集群，可监控设备的内存、网络、存储等性能数据；</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支持输入接入名称、流名称，选择时间范围进行查询，勾选查询项目生成相应波形图；</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支持上行接入，转码，直播分发，流状态等信息收集，监控服务运行状态，如果出现异常及时进行告警，以及进行业务数据可视化展示；</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具备告警功能与日志管理功能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系统支持直播告警管理，可显示告警事件、告警登记、告警模块、告警类型、源IP、接入服务器、告警详情等信息；</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告警内容可在平台上进行告警提示；</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9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支持数据查询：输入接入名称、流名称，选择时间范围进行查询，勾选查询项目生成相应波形图；</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日志管理功能支持用户日志查看，包括操作时间、操作IP、操作人、操作模块、操作项和操作详情等，可按时间范围选择日志查询；</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具备设备管理功能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支持查看服务器和服务节点基本信息，及时发现异常；</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可监控设备集群，可监控设备的内存、网络、存储等性能数据，相关信息可提供给告警管理系统，通过设备管理，可以提高设备的可用性和稳定性，提高系统的安全性和效率；</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设备管理支持设备IP、使用模块、设备状态、内存数据、内存利用率、GPU利用率、CPU核数、CPU利用率等数据展示，用户可在后台进行阈值设置，如相关数据达到设定阈值，通知告警平台；</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具备IP信源调度功能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支持完备的垫片机制，当信源出问题或业务需要时，能够自动或者手动切换垫片；</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支持多信源主备机制，支持自动切换和手动切换功能；</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对于固定频道可做主备切换，每路输出信号可单独配置至少主备两路输入信号作为信源，可实时监测码流状态，出现断流时自动切换到备流，主流正常后可自动切回；</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支持对输入和输出信号进行主备流配对，切换时主、备流同步切换；</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支持TS Over UDP、TS Over HTTP、FLV Over HTTP、Adobe RTMP、HLS、SRT、NDI|HX；</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支持点阵模式调度矩阵，横向代表输出频道，纵向代表输入频道，通过选择输入与输出对应关系进行信号的调度切换；</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0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支持输出频道信号加锁功能，对于加锁链路，无法进行调度切换，需要进行解锁后才能进行正常切换操作；</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8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接入适配，提供标准化接口，可完成与台内其他系统对接；</w:t>
            </w:r>
          </w:p>
        </w:tc>
        <w:tc>
          <w:tcPr>
            <w:tcW w:w="6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50" w:hRule="atLeast"/>
          <w:jc w:val="center"/>
        </w:trPr>
        <w:tc>
          <w:tcPr>
            <w:tcW w:w="773" w:type="dxa"/>
            <w:vMerge w:val="restart"/>
            <w:tcBorders>
              <w:top w:val="single" w:color="auto" w:sz="8" w:space="0"/>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3</w:t>
            </w:r>
          </w:p>
        </w:tc>
        <w:tc>
          <w:tcPr>
            <w:tcW w:w="1287" w:type="dxa"/>
            <w:vMerge w:val="restart"/>
            <w:tcBorders>
              <w:top w:val="single" w:color="auto" w:sz="8" w:space="0"/>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lang w:eastAsia="zh-CN"/>
              </w:rPr>
            </w:pPr>
            <w:r>
              <w:rPr>
                <w:rFonts w:hint="eastAsia" w:ascii="宋体" w:hAnsi="宋体" w:eastAsia="宋体" w:cs="宋体"/>
                <w:highlight w:val="none"/>
                <w:lang w:val="en-US" w:eastAsia="zh-CN"/>
              </w:rPr>
              <w:t>格式转换系统</w:t>
            </w:r>
          </w:p>
        </w:tc>
        <w:tc>
          <w:tcPr>
            <w:tcW w:w="6133" w:type="dxa"/>
            <w:tcBorders>
              <w:top w:val="single" w:color="auto" w:sz="8"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容器管理服务单元</w:t>
            </w:r>
          </w:p>
        </w:tc>
        <w:tc>
          <w:tcPr>
            <w:tcW w:w="620" w:type="dxa"/>
            <w:gridSpan w:val="3"/>
            <w:tcBorders>
              <w:top w:val="single" w:color="auto" w:sz="8"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CPU：Xeon Silver 4214R *2(12核或以上，2.4G)；</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5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内存：32GB DDR4 寄存式 (RDIMM)以上；</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系统硬盘：480G SATA SSD*2或以上；</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34"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智能阵列： RAID 控制器, 2GB NV 缓存控制器；</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5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冗余热插拔风扇/DVD-ROM/冗余热插拔电源；</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6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配置万兆光纤单口网卡（含模块）。</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117"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33"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支持容器管理服务功能。</w:t>
            </w:r>
          </w:p>
        </w:tc>
        <w:tc>
          <w:tcPr>
            <w:tcW w:w="620"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视频转码服务单元</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CPU：AMD EPYC 7542 单颗32核心或以上 基本主频2.9 *2颗处理器；</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内存：64GB DDR4 寄存式 (RDIMM)以上；</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系统硬盘：480G SATA SSD*2或以上；</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highlight w:val="none"/>
              </w:rPr>
            </w:pPr>
            <w:r>
              <w:rPr>
                <w:rFonts w:hint="eastAsia" w:ascii="宋体" w:hAnsi="宋体" w:eastAsia="宋体" w:cs="宋体"/>
                <w:highlight w:val="none"/>
              </w:rPr>
              <w:t>智能阵列： RAID 控制器, 2GB NV 缓存控制器；</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03"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冗余热插拔风扇/DVD-ROM/冗余热插拔电源；</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配置万兆光纤单口网卡（含模块）。</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要求系统可支持UDP-TS/HTTP-TS/HTTP-FLV/RTMP-FLV/SRT/RTP协议输入；支持UDP-TS/HTTP-TS/HTTP-FLV/SRT/RTP协议输出；</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支持分辨率、帧率自动识别功能，支持标清至高清的各种常规视频分辨率（1920×1080，1280×720，720×576）设置；</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视频格式支持H.264、MPEG2、AVS+等主流编码格式输入；</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highlight w:val="none"/>
              </w:rPr>
              <w:t>支持H.264、H.265、AV1、H.266编码方式；</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支持码流控制模式设置：VBR/CBR/ABR；</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支持帧编码与场编码格式转换；支持去隔行；</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音频格式至少支持MPEG-1LayerII、AAC-LC、AC3、音频透传；音频编码支持44100Hz/48000Hz等多采样率选择；音频码率支持128kbps/256kbps/448kbps等多码率选择；音频编码采样位深≥16bit；支持声道数选择，支持音量大小设置，支持音量归一化设置；</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支持添加台标功能，位置和缩放比例可调，台标文件格式须支持TAG、PNG等带alpha通道的图片文件；</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highlight w:val="none"/>
              </w:rPr>
              <w:t>可以根据业务场景的具体需要创建满足使用需求的服务编排流程和配置信息，提供可视化的服务编排工具，按照业务流程需要进行服务编排流程搭建及配置；</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支持完备的垫片机制，当信源出问题或业务需要时，能够自动或者手动切换垫片；</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支持日志、告警、通知等功能；</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支持多信源主备机制，支持自动切换和手动切换功能；</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支持GOP结构灵活调整，包括GOP长度、B帧数量、I帧类型；支持Open GOP或Closed GOP类型的设置；</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信号编码输出延迟应低于3秒；</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0"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视频解码需支持H.264格式；量化精度10bit/8bit;色域空间BT.709;动态范围SDR;色度采样4:2:0/4:2:2；</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8"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43"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系统支持40路转码并发。</w:t>
            </w:r>
          </w:p>
        </w:tc>
        <w:tc>
          <w:tcPr>
            <w:tcW w:w="610" w:type="dxa"/>
            <w:gridSpan w:val="2"/>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点播转码管理服务单元</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w:t>
            </w: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CPU：Xeon Silver 4214R *1(12核或以上，2.4G)；</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内存：32GB DDR4 寄存式 (RDIMM)以上；</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系统硬盘：480G SATA SSD*2或以上；</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智能阵列： RAID 控制器, 2GB NV 缓存控制器；</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冗余热插拔风扇/DVD-ROM/冗余热插拔电源；</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配置万兆光纤单口网卡（含模块）。</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点播文件接入：支持接入磁盘矩阵/http、ftp/cos/oss以及用户定制等多种存储方式。</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具备点播文件转码功能</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输入封装格式：MP4、TS、PS、AVI、WMV、ASF、RM、RMVB、MOV、FLV、F4V、MKV、MXF、3GP、HLS；</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输入视频编码格式：MPEG1/2/4、DIVX、H.263、WMV、H.264、H265、MJPG、VP8、RM、DV、AVS+/AVS；</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音频输入格式：AC3、DTS、DTS-HD、MP1/2/3、WMA、AAC、AMR、Real audio、OGG audio、Dolby Digital、Dolby Digital Plus；</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文件输入协议：FTP/HTTP/CIFS/NFS等离线文件输入协议；</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271" w:hRule="atLeast"/>
          <w:jc w:val="center"/>
        </w:trPr>
        <w:tc>
          <w:tcPr>
            <w:tcW w:w="773" w:type="dxa"/>
            <w:vMerge w:val="continue"/>
            <w:tcBorders>
              <w:left w:val="single" w:color="auto" w:sz="8"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eastAsia="宋体" w:cs="宋体"/>
                <w:highlight w:val="none"/>
              </w:rPr>
              <w:t>视频编码方式： MPEG2 、MPEG 4、H.263、H.264、H.265、AVS+/AVS；</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82" w:hRule="atLeast"/>
          <w:jc w:val="center"/>
        </w:trPr>
        <w:tc>
          <w:tcPr>
            <w:tcW w:w="773" w:type="dxa"/>
            <w:vMerge w:val="continue"/>
            <w:tcBorders>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rPr>
            </w:pPr>
          </w:p>
        </w:tc>
        <w:tc>
          <w:tcPr>
            <w:tcW w:w="1287" w:type="dxa"/>
            <w:vMerge w:val="continue"/>
            <w:tcBorders>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宋体" w:hAnsi="宋体" w:eastAsia="宋体" w:cs="宋体"/>
                <w:highlight w:val="none"/>
              </w:rPr>
            </w:pP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输出声道：单声道、立体声、5.1、7.1，Dolby Digital、Dolby Digital Plus；</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统一认证和网络安全</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网络边界需要有安全防护策略，统一认证需要接入宁波广电内容中台，详细策略在二期细化，预留好应用接口</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8813" w:type="dxa"/>
            <w:gridSpan w:val="6"/>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其他设备</w:t>
            </w: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控制终端</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 xml:space="preserve">笔记本电脑 CPU:酷睿Ultra7-155H  内存：32G  硬盘：1TBSSD  显示屏：14英寸3A-OLED 分辨率不小于2.8K刷新率不小于120Hz   </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6</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both"/>
              <w:rPr>
                <w:rFonts w:hint="eastAsia" w:ascii="宋体" w:hAnsi="宋体" w:eastAsia="宋体" w:cs="宋体"/>
                <w:highlight w:val="none"/>
              </w:rPr>
            </w:pPr>
            <w:r>
              <w:rPr>
                <w:rFonts w:hint="eastAsia" w:ascii="宋体" w:hAnsi="宋体" w:eastAsia="宋体" w:cs="宋体"/>
                <w:highlight w:val="none"/>
              </w:rPr>
              <w:t>交换单元</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配置48个10/100/1000Base-T以太网端口,4个万兆SFP+,单子卡槽位,含1个150W交流电源，另配1个150W 交流电源模块(黑色)。</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eastAsia="zh-CN"/>
              </w:rPr>
            </w:pPr>
            <w:r>
              <w:rPr>
                <w:rFonts w:hint="eastAsia" w:ascii="宋体" w:hAnsi="宋体" w:eastAsia="宋体" w:cs="宋体"/>
                <w:highlight w:val="none"/>
                <w:lang w:val="en-US" w:eastAsia="zh-CN"/>
              </w:rPr>
              <w:t>7</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KVM设备</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KVM一体机（8口、17液晶）,抽拉式设计，支持键盘多语言。</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8</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hint="eastAsia" w:ascii="宋体" w:hAnsi="宋体" w:eastAsia="宋体" w:cs="宋体"/>
                <w:highlight w:val="none"/>
              </w:rPr>
              <w:t>机柜</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highlight w:val="none"/>
              </w:rPr>
            </w:pPr>
            <w:r>
              <w:rPr>
                <w:rFonts w:hint="eastAsia" w:ascii="宋体" w:hAnsi="宋体" w:eastAsia="宋体" w:cs="宋体"/>
                <w:highlight w:val="none"/>
              </w:rPr>
              <w:t>42RU标准机柜，1m深，3个</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r>
        <w:tblPrEx>
          <w:tblCellMar>
            <w:top w:w="0" w:type="dxa"/>
            <w:left w:w="0" w:type="dxa"/>
            <w:bottom w:w="0" w:type="dxa"/>
            <w:right w:w="0" w:type="dxa"/>
          </w:tblCellMar>
        </w:tblPrEx>
        <w:trPr>
          <w:trHeight w:val="77" w:hRule="atLeast"/>
          <w:jc w:val="center"/>
        </w:trPr>
        <w:tc>
          <w:tcPr>
            <w:tcW w:w="773"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eastAsia="宋体" w:cs="宋体"/>
                <w:highlight w:val="none"/>
              </w:rPr>
            </w:pPr>
            <w:r>
              <w:rPr>
                <w:rFonts w:asciiTheme="majorEastAsia" w:hAnsiTheme="majorEastAsia" w:eastAsiaTheme="majorEastAsia"/>
                <w:highlight w:val="none"/>
              </w:rPr>
              <w:t>包装要求</w:t>
            </w:r>
          </w:p>
        </w:tc>
        <w:tc>
          <w:tcPr>
            <w:tcW w:w="6153" w:type="dxa"/>
            <w:gridSpan w:val="3"/>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r>
              <w:rPr>
                <w:rFonts w:hint="eastAsia" w:ascii="宋体" w:hAnsi="宋体" w:cs="宋体"/>
                <w:highlight w:val="none"/>
                <w:lang w:val="en-US" w:eastAsia="zh-CN"/>
              </w:rPr>
              <w:t>中标人</w:t>
            </w:r>
            <w:r>
              <w:rPr>
                <w:rFonts w:hint="eastAsia" w:ascii="宋体" w:hAnsi="宋体" w:eastAsia="宋体" w:cs="宋体"/>
                <w:highlight w:val="none"/>
              </w:rPr>
              <w:t>应提供货物</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其他设备</w:t>
            </w:r>
            <w:r>
              <w:rPr>
                <w:rFonts w:hint="eastAsia" w:ascii="宋体" w:hAnsi="宋体" w:eastAsia="宋体" w:cs="宋体"/>
                <w:highlight w:val="none"/>
                <w:lang w:eastAsia="zh-CN"/>
              </w:rPr>
              <w:t>）</w:t>
            </w:r>
            <w:r>
              <w:rPr>
                <w:rFonts w:hint="eastAsia" w:ascii="宋体" w:hAnsi="宋体" w:eastAsia="宋体" w:cs="宋体"/>
                <w:highlight w:val="none"/>
              </w:rPr>
              <w:t>运至合同规定的最终目的地所需要的包装，以防止货物在转运过程中损坏或变质。此类包装应采取防潮、防晒、防锈、腐蚀、防震动及防止其它损坏的必要措施，从而保护货物能够经受多次搬运、装卸及远洋和内陆的长途运输。</w:t>
            </w:r>
            <w:r>
              <w:rPr>
                <w:rFonts w:hint="eastAsia" w:ascii="宋体" w:hAnsi="宋体" w:cs="宋体"/>
                <w:highlight w:val="none"/>
                <w:lang w:val="en-US" w:eastAsia="zh-CN"/>
              </w:rPr>
              <w:t>中标人</w:t>
            </w:r>
            <w:r>
              <w:rPr>
                <w:rFonts w:hint="eastAsia" w:ascii="宋体" w:hAnsi="宋体" w:eastAsia="宋体" w:cs="宋体"/>
                <w:highlight w:val="none"/>
              </w:rPr>
              <w:t>应承担由于其包装或防护措施不妥而引起的货物锈蚀、损坏和丢失的任何损失的责任或费用。</w:t>
            </w:r>
          </w:p>
        </w:tc>
        <w:tc>
          <w:tcPr>
            <w:tcW w:w="600"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highlight w:val="none"/>
              </w:rPr>
            </w:pPr>
          </w:p>
        </w:tc>
      </w:tr>
    </w:tbl>
    <w:p>
      <w:pPr>
        <w:widowControl/>
        <w:jc w:val="left"/>
        <w:rPr>
          <w:rFonts w:hint="eastAsia" w:asciiTheme="majorEastAsia" w:hAnsiTheme="majorEastAsia" w:eastAsiaTheme="majorEastAsia"/>
          <w:b/>
          <w:highlight w:val="none"/>
        </w:rPr>
      </w:pPr>
      <w:r>
        <w:rPr>
          <w:rFonts w:hint="eastAsia" w:asciiTheme="majorEastAsia" w:hAnsiTheme="majorEastAsia" w:eastAsiaTheme="majorEastAsia"/>
          <w:b/>
          <w:kern w:val="1"/>
          <w:szCs w:val="21"/>
          <w:highlight w:val="none"/>
          <w:lang w:val="en-US" w:eastAsia="zh-CN"/>
        </w:rPr>
        <w:t>备注：</w:t>
      </w:r>
      <w:r>
        <w:rPr>
          <w:rFonts w:hint="eastAsia" w:asciiTheme="majorEastAsia" w:hAnsiTheme="majorEastAsia" w:eastAsiaTheme="majorEastAsia"/>
          <w:b/>
          <w:highlight w:val="none"/>
        </w:rPr>
        <w:t>上表中打“</w:t>
      </w:r>
      <w:r>
        <w:rPr>
          <w:rFonts w:hint="eastAsia" w:cs="宋体" w:asciiTheme="majorEastAsia" w:hAnsiTheme="majorEastAsia" w:eastAsiaTheme="majorEastAsia"/>
          <w:kern w:val="0"/>
          <w:szCs w:val="21"/>
          <w:highlight w:val="none"/>
        </w:rPr>
        <w:t>★</w:t>
      </w:r>
      <w:r>
        <w:rPr>
          <w:rFonts w:hint="eastAsia" w:asciiTheme="majorEastAsia" w:hAnsiTheme="majorEastAsia" w:eastAsiaTheme="majorEastAsia"/>
          <w:b/>
          <w:highlight w:val="none"/>
        </w:rPr>
        <w:t>”条款为实质性条款，任何负偏离或未响应的</w:t>
      </w:r>
      <w:r>
        <w:rPr>
          <w:rFonts w:hint="eastAsia" w:asciiTheme="majorEastAsia" w:hAnsiTheme="majorEastAsia" w:eastAsiaTheme="majorEastAsia"/>
          <w:b/>
          <w:highlight w:val="none"/>
          <w:lang w:val="en-US" w:eastAsia="zh-CN"/>
        </w:rPr>
        <w:t>评分项着重扣分</w:t>
      </w:r>
      <w:r>
        <w:rPr>
          <w:rFonts w:hint="eastAsia" w:asciiTheme="majorEastAsia" w:hAnsiTheme="majorEastAsia" w:eastAsiaTheme="majorEastAsia"/>
          <w:b/>
          <w:highlight w:val="none"/>
        </w:rPr>
        <w:t>。</w:t>
      </w:r>
    </w:p>
    <w:p>
      <w:pPr>
        <w:rPr>
          <w:rFonts w:hint="eastAsia" w:cs="Times New Roman" w:asciiTheme="majorEastAsia" w:hAnsiTheme="majorEastAsia" w:eastAsiaTheme="majorEastAsia"/>
          <w:b/>
          <w:kern w:val="1"/>
          <w:szCs w:val="21"/>
          <w:highlight w:val="none"/>
          <w:lang w:val="en-US" w:eastAsia="zh-CN"/>
        </w:rPr>
      </w:pPr>
    </w:p>
    <w:p>
      <w:pPr>
        <w:rPr>
          <w:rFonts w:hint="eastAsia" w:cs="Times New Roman" w:asciiTheme="majorEastAsia" w:hAnsiTheme="majorEastAsia" w:eastAsiaTheme="majorEastAsia"/>
          <w:b/>
          <w:kern w:val="1"/>
          <w:szCs w:val="21"/>
          <w:highlight w:val="none"/>
          <w:lang w:val="en-US" w:eastAsia="zh-CN"/>
        </w:rPr>
      </w:pPr>
    </w:p>
    <w:p>
      <w:pPr>
        <w:rPr>
          <w:rFonts w:hint="eastAsia" w:cs="Times New Roman" w:asciiTheme="majorEastAsia" w:hAnsiTheme="majorEastAsia" w:eastAsiaTheme="majorEastAsia"/>
          <w:b/>
          <w:kern w:val="1"/>
          <w:szCs w:val="21"/>
          <w:highlight w:val="none"/>
          <w:lang w:val="en-US" w:eastAsia="zh-CN"/>
        </w:rPr>
      </w:pPr>
      <w:r>
        <w:rPr>
          <w:rFonts w:hint="eastAsia" w:cs="Times New Roman" w:asciiTheme="majorEastAsia" w:hAnsiTheme="majorEastAsia" w:eastAsiaTheme="majorEastAsia"/>
          <w:b/>
          <w:kern w:val="1"/>
          <w:szCs w:val="21"/>
          <w:highlight w:val="none"/>
          <w:lang w:val="en-US" w:eastAsia="zh-CN"/>
        </w:rPr>
        <w:t>八、服务要求</w:t>
      </w:r>
    </w:p>
    <w:tbl>
      <w:tblPr>
        <w:tblStyle w:val="44"/>
        <w:tblW w:w="8813" w:type="dxa"/>
        <w:jc w:val="center"/>
        <w:tblLayout w:type="fixed"/>
        <w:tblCellMar>
          <w:top w:w="0" w:type="dxa"/>
          <w:left w:w="0" w:type="dxa"/>
          <w:bottom w:w="0" w:type="dxa"/>
          <w:right w:w="0" w:type="dxa"/>
        </w:tblCellMar>
      </w:tblPr>
      <w:tblGrid>
        <w:gridCol w:w="773"/>
        <w:gridCol w:w="7430"/>
        <w:gridCol w:w="610"/>
      </w:tblGrid>
      <w:tr>
        <w:tblPrEx>
          <w:tblCellMar>
            <w:top w:w="0" w:type="dxa"/>
            <w:left w:w="0" w:type="dxa"/>
            <w:bottom w:w="0" w:type="dxa"/>
            <w:right w:w="0" w:type="dxa"/>
          </w:tblCellMar>
        </w:tblPrEx>
        <w:trPr>
          <w:trHeight w:val="405"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rPr>
                <w:rFonts w:hint="default" w:ascii="宋体" w:hAnsi="宋体" w:eastAsia="宋体" w:cs="宋体"/>
                <w:b/>
                <w:bCs/>
                <w:highlight w:val="none"/>
                <w:lang w:val="en-US" w:eastAsia="zh-CN"/>
              </w:rPr>
            </w:pPr>
            <w:r>
              <w:rPr>
                <w:rFonts w:hint="eastAsia" w:ascii="宋体" w:hAnsi="宋体" w:cs="宋体"/>
                <w:b/>
                <w:bCs/>
                <w:highlight w:val="none"/>
                <w:lang w:val="en-US" w:eastAsia="zh-CN"/>
              </w:rPr>
              <w:t>服务要求</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投标响应</w:t>
            </w:r>
          </w:p>
        </w:tc>
      </w:tr>
      <w:tr>
        <w:tblPrEx>
          <w:tblCellMar>
            <w:top w:w="0" w:type="dxa"/>
            <w:left w:w="0" w:type="dxa"/>
            <w:bottom w:w="0" w:type="dxa"/>
            <w:right w:w="0" w:type="dxa"/>
          </w:tblCellMar>
        </w:tblPrEx>
        <w:trPr>
          <w:trHeight w:val="119"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b/>
                <w:bCs/>
                <w:highlight w:val="none"/>
                <w:lang w:val="en-US" w:eastAsia="zh-CN"/>
              </w:rPr>
            </w:pPr>
            <w:r>
              <w:rPr>
                <w:rFonts w:hint="eastAsia" w:ascii="宋体" w:hAnsi="宋体" w:cs="宋体"/>
                <w:b w:val="0"/>
                <w:bCs w:val="0"/>
                <w:highlight w:val="none"/>
                <w:lang w:val="en-US" w:eastAsia="zh-CN"/>
              </w:rPr>
              <w:t>1</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kern w:val="1"/>
                <w:szCs w:val="21"/>
                <w:highlight w:val="none"/>
                <w:lang w:eastAsia="zh-CN"/>
              </w:rPr>
            </w:pPr>
            <w:r>
              <w:rPr>
                <w:rFonts w:hint="eastAsia" w:ascii="宋体" w:hAnsi="宋体"/>
                <w:highlight w:val="none"/>
                <w:lang w:val="en-US" w:eastAsia="zh-CN"/>
              </w:rPr>
              <w:t>中标人</w:t>
            </w:r>
            <w:r>
              <w:rPr>
                <w:rFonts w:hint="eastAsia" w:ascii="宋体" w:hAnsi="宋体"/>
                <w:highlight w:val="none"/>
              </w:rPr>
              <w:t>提供7*24小时电话技术支持服务。解决系统故障或异常、应急处置。</w:t>
            </w:r>
          </w:p>
        </w:tc>
        <w:tc>
          <w:tcPr>
            <w:tcW w:w="610" w:type="dxa"/>
            <w:tcBorders>
              <w:top w:val="single" w:color="auto" w:sz="8" w:space="0"/>
              <w:left w:val="single" w:color="auto" w:sz="4" w:space="0"/>
              <w:bottom w:val="single" w:color="auto" w:sz="8" w:space="0"/>
              <w:right w:val="single" w:color="auto" w:sz="4" w:space="0"/>
            </w:tcBorders>
            <w:vAlign w:val="center"/>
          </w:tcPr>
          <w:p>
            <w:pPr>
              <w:jc w:val="center"/>
              <w:rPr>
                <w:rFonts w:hint="eastAsia" w:ascii="宋体" w:hAnsi="宋体" w:eastAsia="宋体" w:cs="宋体"/>
                <w:highlight w:val="none"/>
                <w:lang w:val="en-US" w:eastAsia="zh-CN"/>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2</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Theme="majorEastAsia" w:hAnsiTheme="majorEastAsia" w:eastAsiaTheme="majorEastAsia"/>
                <w:highlight w:val="none"/>
              </w:rPr>
              <w:t>响应时间：自接到</w:t>
            </w:r>
            <w:r>
              <w:rPr>
                <w:rFonts w:hint="eastAsia" w:asciiTheme="majorEastAsia" w:hAnsiTheme="majorEastAsia" w:eastAsiaTheme="majorEastAsia"/>
                <w:highlight w:val="none"/>
                <w:lang w:val="en-US" w:eastAsia="zh-CN"/>
              </w:rPr>
              <w:t>招标人</w:t>
            </w:r>
            <w:r>
              <w:rPr>
                <w:rFonts w:hint="eastAsia" w:asciiTheme="majorEastAsia" w:hAnsiTheme="majorEastAsia" w:eastAsiaTheme="majorEastAsia"/>
                <w:highlight w:val="none"/>
              </w:rPr>
              <w:t>通知后</w:t>
            </w: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小时内作出响应，</w:t>
            </w:r>
            <w:r>
              <w:rPr>
                <w:rFonts w:hint="eastAsia" w:asciiTheme="majorEastAsia" w:hAnsiTheme="majorEastAsia" w:eastAsiaTheme="majorEastAsia"/>
                <w:highlight w:val="none"/>
                <w:lang w:val="en-US" w:eastAsia="zh-CN"/>
              </w:rPr>
              <w:t>48</w:t>
            </w:r>
            <w:r>
              <w:rPr>
                <w:rFonts w:hint="eastAsia" w:asciiTheme="majorEastAsia" w:hAnsiTheme="majorEastAsia" w:eastAsiaTheme="majorEastAsia"/>
                <w:highlight w:val="none"/>
              </w:rPr>
              <w:t>小时到达现场并解决相关问题。</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3</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Theme="majorEastAsia" w:hAnsiTheme="majorEastAsia" w:eastAsiaTheme="majorEastAsia"/>
                <w:highlight w:val="none"/>
              </w:rPr>
              <w:t>培训要求：对</w:t>
            </w:r>
            <w:r>
              <w:rPr>
                <w:rFonts w:hint="eastAsia" w:asciiTheme="majorEastAsia" w:hAnsiTheme="majorEastAsia" w:eastAsiaTheme="majorEastAsia"/>
                <w:highlight w:val="none"/>
                <w:lang w:val="en-US" w:eastAsia="zh-CN"/>
              </w:rPr>
              <w:t>招标人</w:t>
            </w:r>
            <w:r>
              <w:rPr>
                <w:rFonts w:hint="eastAsia" w:asciiTheme="majorEastAsia" w:hAnsiTheme="majorEastAsia" w:eastAsiaTheme="majorEastAsia"/>
                <w:highlight w:val="none"/>
              </w:rPr>
              <w:t>相关人员进行针对性的设备操作、维护和常见故障的处理等培训，直至</w:t>
            </w:r>
            <w:r>
              <w:rPr>
                <w:rFonts w:hint="eastAsia" w:asciiTheme="majorEastAsia" w:hAnsiTheme="majorEastAsia" w:eastAsiaTheme="majorEastAsia"/>
                <w:highlight w:val="none"/>
                <w:lang w:val="en-US" w:eastAsia="zh-CN"/>
              </w:rPr>
              <w:t>招标人</w:t>
            </w:r>
            <w:r>
              <w:rPr>
                <w:rFonts w:hint="eastAsia" w:asciiTheme="majorEastAsia" w:hAnsiTheme="majorEastAsia" w:eastAsiaTheme="majorEastAsia"/>
                <w:highlight w:val="none"/>
              </w:rPr>
              <w:t>相关人员掌握为止</w:t>
            </w:r>
            <w:r>
              <w:rPr>
                <w:rFonts w:asciiTheme="majorEastAsia" w:hAnsiTheme="majorEastAsia" w:eastAsiaTheme="majorEastAsia"/>
                <w:highlight w:val="none"/>
              </w:rPr>
              <w:t>。</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4</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default" w:eastAsia="宋体" w:asciiTheme="majorEastAsia" w:hAnsiTheme="majorEastAsia"/>
                <w:highlight w:val="none"/>
                <w:lang w:val="en-US" w:eastAsia="zh-CN"/>
              </w:rPr>
            </w:pPr>
            <w:r>
              <w:rPr>
                <w:rFonts w:hint="eastAsia" w:ascii="宋体" w:hAnsi="宋体"/>
                <w:highlight w:val="none"/>
              </w:rPr>
              <w:t>在质保期内</w:t>
            </w:r>
            <w:r>
              <w:rPr>
                <w:rFonts w:hint="eastAsia" w:ascii="宋体" w:hAnsi="宋体"/>
                <w:highlight w:val="none"/>
                <w:lang w:val="en-US" w:eastAsia="zh-CN"/>
              </w:rPr>
              <w:t>对软件系统进行免费升级</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cs="宋体"/>
                <w:highlight w:val="none"/>
                <w:lang w:val="en-US" w:eastAsia="zh-CN"/>
              </w:rPr>
            </w:pPr>
            <w:r>
              <w:rPr>
                <w:rFonts w:hint="eastAsia" w:ascii="宋体" w:hAnsi="宋体" w:cs="宋体"/>
                <w:highlight w:val="none"/>
                <w:lang w:val="en-US" w:eastAsia="zh-CN"/>
              </w:rPr>
              <w:t>5</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default" w:asciiTheme="majorEastAsia" w:hAnsiTheme="majorEastAsia" w:eastAsiaTheme="majorEastAsia"/>
                <w:highlight w:val="none"/>
                <w:lang w:val="en-US" w:eastAsia="zh-CN"/>
              </w:rPr>
            </w:pPr>
            <w:r>
              <w:rPr>
                <w:rFonts w:hint="eastAsia" w:ascii="宋体" w:hAnsi="宋体"/>
                <w:highlight w:val="none"/>
              </w:rPr>
              <w:t>在质保期内应能提供充足的备品备件和专用工具，保证系统正常稳定运行。</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default" w:ascii="宋体" w:hAnsi="宋体" w:cs="宋体"/>
                <w:highlight w:val="none"/>
                <w:lang w:val="en-US" w:eastAsia="zh-CN"/>
              </w:rPr>
            </w:pPr>
            <w:r>
              <w:rPr>
                <w:rFonts w:hint="eastAsia" w:ascii="宋体" w:hAnsi="宋体" w:cs="宋体"/>
                <w:highlight w:val="none"/>
                <w:lang w:val="en-US" w:eastAsia="zh-CN"/>
              </w:rPr>
              <w:t>6</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highlight w:val="none"/>
                <w:lang w:val="en-US" w:eastAsia="zh-CN"/>
              </w:rPr>
            </w:pPr>
            <w:r>
              <w:rPr>
                <w:rFonts w:hint="eastAsia" w:ascii="宋体" w:hAnsi="宋体"/>
                <w:szCs w:val="21"/>
                <w:highlight w:val="none"/>
              </w:rPr>
              <w:t>质量保证期届满后，</w:t>
            </w:r>
            <w:r>
              <w:rPr>
                <w:rFonts w:hint="eastAsia" w:ascii="宋体" w:hAnsi="宋体"/>
                <w:szCs w:val="21"/>
                <w:highlight w:val="none"/>
                <w:lang w:val="en-US" w:eastAsia="zh-CN"/>
              </w:rPr>
              <w:t>招标人</w:t>
            </w:r>
            <w:r>
              <w:rPr>
                <w:rFonts w:hint="eastAsia" w:ascii="宋体" w:hAnsi="宋体"/>
                <w:szCs w:val="21"/>
                <w:highlight w:val="none"/>
              </w:rPr>
              <w:t>要求</w:t>
            </w:r>
            <w:r>
              <w:rPr>
                <w:rFonts w:hint="eastAsia" w:ascii="宋体" w:hAnsi="宋体"/>
                <w:szCs w:val="21"/>
                <w:highlight w:val="none"/>
                <w:lang w:val="en-US" w:eastAsia="zh-CN"/>
              </w:rPr>
              <w:t>中标人</w:t>
            </w:r>
            <w:r>
              <w:rPr>
                <w:rFonts w:hint="eastAsia" w:ascii="宋体" w:hAnsi="宋体"/>
                <w:szCs w:val="21"/>
                <w:highlight w:val="none"/>
              </w:rPr>
              <w:t>修理的</w:t>
            </w:r>
            <w:r>
              <w:rPr>
                <w:rFonts w:hint="eastAsia" w:ascii="宋体" w:hAnsi="宋体"/>
                <w:szCs w:val="21"/>
                <w:highlight w:val="none"/>
                <w:lang w:val="en-US" w:eastAsia="zh-CN"/>
              </w:rPr>
              <w:t>中标人</w:t>
            </w:r>
            <w:r>
              <w:rPr>
                <w:rFonts w:hint="eastAsia" w:ascii="宋体" w:hAnsi="宋体"/>
                <w:szCs w:val="21"/>
                <w:highlight w:val="none"/>
              </w:rPr>
              <w:t>应积极主动提供技术服务</w:t>
            </w:r>
            <w:r>
              <w:rPr>
                <w:rFonts w:hint="eastAsia" w:ascii="宋体" w:hAnsi="宋体"/>
                <w:szCs w:val="21"/>
                <w:highlight w:val="none"/>
                <w:lang w:eastAsia="zh-CN"/>
              </w:rPr>
              <w:t>。</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r>
        <w:tblPrEx>
          <w:tblCellMar>
            <w:top w:w="0" w:type="dxa"/>
            <w:left w:w="0" w:type="dxa"/>
            <w:bottom w:w="0" w:type="dxa"/>
            <w:right w:w="0" w:type="dxa"/>
          </w:tblCellMar>
        </w:tblPrEx>
        <w:trPr>
          <w:trHeight w:val="316" w:hRule="atLeast"/>
          <w:jc w:val="center"/>
        </w:trPr>
        <w:tc>
          <w:tcPr>
            <w:tcW w:w="773" w:type="dxa"/>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ind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7</w:t>
            </w:r>
          </w:p>
        </w:tc>
        <w:tc>
          <w:tcPr>
            <w:tcW w:w="7430" w:type="dxa"/>
            <w:tcBorders>
              <w:top w:val="single" w:color="auto" w:sz="8" w:space="0"/>
              <w:left w:val="single" w:color="auto" w:sz="4" w:space="0"/>
              <w:bottom w:val="single" w:color="auto" w:sz="8" w:space="0"/>
              <w:right w:val="single" w:color="auto" w:sz="4" w:space="0"/>
            </w:tcBorders>
            <w:tcMar>
              <w:top w:w="0" w:type="dxa"/>
              <w:left w:w="108" w:type="dxa"/>
              <w:bottom w:w="0" w:type="dxa"/>
              <w:right w:w="108" w:type="dxa"/>
            </w:tcMar>
            <w:vAlign w:val="center"/>
          </w:tcPr>
          <w:p>
            <w:pPr>
              <w:rPr>
                <w:rFonts w:hint="eastAsia" w:ascii="宋体" w:hAnsi="宋体" w:eastAsia="宋体" w:cs="宋体"/>
                <w:b/>
                <w:bCs/>
                <w:highlight w:val="none"/>
              </w:rPr>
            </w:pPr>
            <w:r>
              <w:rPr>
                <w:rFonts w:hint="eastAsia" w:ascii="宋体" w:hAnsi="宋体" w:cs="宋体"/>
                <w:sz w:val="21"/>
                <w:szCs w:val="21"/>
                <w:highlight w:val="none"/>
                <w:lang w:val="en-US" w:eastAsia="zh-CN"/>
              </w:rPr>
              <w:t>人员要求：中标人配备项目负责人1名，全面负责项目组织实施工作。</w:t>
            </w:r>
          </w:p>
        </w:tc>
        <w:tc>
          <w:tcPr>
            <w:tcW w:w="610" w:type="dxa"/>
            <w:tcBorders>
              <w:top w:val="single" w:color="auto" w:sz="8" w:space="0"/>
              <w:left w:val="single" w:color="auto" w:sz="4" w:space="0"/>
              <w:bottom w:val="single" w:color="auto" w:sz="8" w:space="0"/>
              <w:right w:val="single" w:color="auto" w:sz="4" w:space="0"/>
            </w:tcBorders>
            <w:vAlign w:val="center"/>
          </w:tcPr>
          <w:p>
            <w:pPr>
              <w:rPr>
                <w:rFonts w:hint="eastAsia" w:ascii="宋体" w:hAnsi="宋体" w:eastAsia="宋体" w:cs="宋体"/>
                <w:highlight w:val="none"/>
              </w:rPr>
            </w:pPr>
          </w:p>
        </w:tc>
      </w:tr>
    </w:tbl>
    <w:p>
      <w:pPr>
        <w:widowControl/>
        <w:jc w:val="left"/>
        <w:rPr>
          <w:rFonts w:asciiTheme="majorEastAsia" w:hAnsiTheme="majorEastAsia" w:eastAsiaTheme="majorEastAsia"/>
          <w:b/>
          <w:kern w:val="1"/>
          <w:szCs w:val="21"/>
          <w:highlight w:val="none"/>
        </w:rPr>
      </w:pPr>
      <w:r>
        <w:rPr>
          <w:rFonts w:asciiTheme="majorEastAsia" w:hAnsiTheme="majorEastAsia" w:eastAsiaTheme="majorEastAsia"/>
          <w:b/>
          <w:kern w:val="1"/>
          <w:szCs w:val="21"/>
          <w:highlight w:val="none"/>
        </w:rPr>
        <w:br w:type="page"/>
      </w:r>
      <w:r>
        <w:rPr>
          <w:rFonts w:hint="eastAsia" w:asciiTheme="majorEastAsia" w:hAnsiTheme="majorEastAsia" w:eastAsiaTheme="majorEastAsia"/>
          <w:szCs w:val="21"/>
          <w:highlight w:val="none"/>
        </w:rPr>
        <w:t>▲</w:t>
      </w:r>
      <w:r>
        <w:rPr>
          <w:rFonts w:hint="eastAsia" w:asciiTheme="majorEastAsia" w:hAnsiTheme="majorEastAsia" w:eastAsiaTheme="majorEastAsia"/>
          <w:b/>
          <w:kern w:val="1"/>
          <w:szCs w:val="21"/>
          <w:highlight w:val="none"/>
          <w:lang w:val="en-US" w:eastAsia="zh-CN"/>
        </w:rPr>
        <w:t>九</w:t>
      </w:r>
      <w:r>
        <w:rPr>
          <w:rFonts w:hint="eastAsia" w:asciiTheme="majorEastAsia" w:hAnsiTheme="majorEastAsia" w:eastAsiaTheme="majorEastAsia"/>
          <w:b/>
          <w:kern w:val="1"/>
          <w:szCs w:val="21"/>
          <w:highlight w:val="none"/>
        </w:rPr>
        <w:t>、商务要求</w:t>
      </w:r>
    </w:p>
    <w:tbl>
      <w:tblPr>
        <w:tblStyle w:val="44"/>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179"/>
        <w:gridCol w:w="5"/>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b/>
                <w:highlight w:val="none"/>
              </w:rPr>
            </w:pPr>
            <w:r>
              <w:rPr>
                <w:rFonts w:hint="eastAsia" w:asciiTheme="majorEastAsia" w:hAnsiTheme="majorEastAsia" w:eastAsiaTheme="majorEastAsia"/>
                <w:b/>
                <w:highlight w:val="none"/>
              </w:rPr>
              <w:t>序号</w:t>
            </w:r>
          </w:p>
        </w:tc>
        <w:tc>
          <w:tcPr>
            <w:tcW w:w="7179" w:type="dxa"/>
            <w:vAlign w:val="center"/>
          </w:tcPr>
          <w:p>
            <w:pPr>
              <w:spacing w:line="300" w:lineRule="exact"/>
              <w:jc w:val="center"/>
              <w:rPr>
                <w:rFonts w:asciiTheme="majorEastAsia" w:hAnsiTheme="majorEastAsia" w:eastAsiaTheme="majorEastAsia"/>
                <w:b/>
                <w:highlight w:val="none"/>
              </w:rPr>
            </w:pPr>
            <w:r>
              <w:rPr>
                <w:rFonts w:hint="eastAsia" w:asciiTheme="majorEastAsia" w:hAnsiTheme="majorEastAsia" w:eastAsiaTheme="majorEastAsia"/>
                <w:b/>
                <w:highlight w:val="none"/>
              </w:rPr>
              <w:t>商务要求</w:t>
            </w:r>
          </w:p>
        </w:tc>
        <w:tc>
          <w:tcPr>
            <w:tcW w:w="52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rPr>
                <w:rFonts w:hint="default" w:asciiTheme="majorEastAsia" w:hAnsiTheme="majorEastAsia" w:eastAsiaTheme="majorEastAsia"/>
                <w:b/>
                <w:highlight w:val="none"/>
                <w:lang w:val="en-US" w:eastAsia="zh-CN"/>
              </w:rPr>
            </w:pPr>
            <w:r>
              <w:rPr>
                <w:rFonts w:hint="eastAsia" w:asciiTheme="majorEastAsia" w:hAnsiTheme="majorEastAsia" w:eastAsiaTheme="majorEastAsia"/>
                <w:b/>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7179" w:type="dxa"/>
            <w:vAlign w:val="center"/>
          </w:tcPr>
          <w:p>
            <w:pPr>
              <w:spacing w:line="300" w:lineRule="exact"/>
              <w:rPr>
                <w:rFonts w:asciiTheme="majorEastAsia" w:hAnsiTheme="majorEastAsia" w:eastAsiaTheme="majorEastAsia"/>
                <w:highlight w:val="none"/>
              </w:rPr>
            </w:pPr>
            <w:r>
              <w:rPr>
                <w:rFonts w:asciiTheme="majorEastAsia" w:hAnsiTheme="majorEastAsia" w:eastAsiaTheme="majorEastAsia"/>
                <w:szCs w:val="21"/>
                <w:highlight w:val="none"/>
              </w:rPr>
              <w:t>合同履约期限</w:t>
            </w:r>
            <w:r>
              <w:rPr>
                <w:rFonts w:hint="eastAsia" w:asciiTheme="majorEastAsia" w:hAnsiTheme="majorEastAsia" w:eastAsiaTheme="majorEastAsia"/>
                <w:szCs w:val="21"/>
                <w:highlight w:val="none"/>
              </w:rPr>
              <w:t>：</w:t>
            </w:r>
            <w:r>
              <w:rPr>
                <w:rFonts w:hint="eastAsia" w:ascii="宋体" w:hAnsi="宋体"/>
                <w:highlight w:val="none"/>
              </w:rPr>
              <w:t>自合同生效之日至合同全部权利义务履行完毕之日止</w:t>
            </w:r>
          </w:p>
        </w:tc>
        <w:tc>
          <w:tcPr>
            <w:tcW w:w="520" w:type="dxa"/>
            <w:gridSpan w:val="2"/>
            <w:vAlign w:val="center"/>
          </w:tcPr>
          <w:p>
            <w:pPr>
              <w:spacing w:line="300" w:lineRule="exact"/>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2</w:t>
            </w:r>
          </w:p>
        </w:tc>
        <w:tc>
          <w:tcPr>
            <w:tcW w:w="7179" w:type="dxa"/>
            <w:vAlign w:val="center"/>
          </w:tcPr>
          <w:p>
            <w:pPr>
              <w:spacing w:line="300" w:lineRule="exact"/>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交货期：</w:t>
            </w:r>
            <w:r>
              <w:rPr>
                <w:rFonts w:hint="eastAsia" w:asciiTheme="majorEastAsia" w:hAnsiTheme="majorEastAsia" w:eastAsiaTheme="majorEastAsia"/>
                <w:szCs w:val="21"/>
                <w:highlight w:val="none"/>
              </w:rPr>
              <w:t>合同签订生效之日起</w:t>
            </w:r>
            <w:r>
              <w:rPr>
                <w:rFonts w:hint="eastAsia" w:asciiTheme="majorEastAsia" w:hAnsiTheme="majorEastAsia" w:eastAsiaTheme="majorEastAsia"/>
                <w:szCs w:val="21"/>
                <w:highlight w:val="none"/>
                <w:lang w:val="en-US" w:eastAsia="zh-CN"/>
              </w:rPr>
              <w:t>60日</w:t>
            </w:r>
            <w:r>
              <w:rPr>
                <w:rFonts w:hint="eastAsia" w:asciiTheme="majorEastAsia" w:hAnsiTheme="majorEastAsia" w:eastAsiaTheme="majorEastAsia"/>
                <w:szCs w:val="21"/>
                <w:highlight w:val="none"/>
              </w:rPr>
              <w:t>内货到指定地点，安装调试</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测试</w:t>
            </w:r>
            <w:r>
              <w:rPr>
                <w:rFonts w:hint="eastAsia" w:asciiTheme="majorEastAsia" w:hAnsiTheme="majorEastAsia" w:eastAsiaTheme="majorEastAsia"/>
                <w:szCs w:val="21"/>
                <w:highlight w:val="none"/>
              </w:rPr>
              <w:t>完成直至通过</w:t>
            </w:r>
            <w:r>
              <w:rPr>
                <w:rFonts w:hint="eastAsia" w:asciiTheme="majorEastAsia" w:hAnsiTheme="majorEastAsia" w:eastAsiaTheme="majorEastAsia"/>
                <w:szCs w:val="21"/>
                <w:highlight w:val="none"/>
                <w:lang w:val="en-US" w:eastAsia="zh-CN"/>
              </w:rPr>
              <w:t>甲方</w:t>
            </w:r>
            <w:r>
              <w:rPr>
                <w:rFonts w:hint="eastAsia" w:asciiTheme="majorEastAsia" w:hAnsiTheme="majorEastAsia" w:eastAsiaTheme="majorEastAsia"/>
                <w:szCs w:val="21"/>
                <w:highlight w:val="none"/>
              </w:rPr>
              <w:t>验收合格。</w:t>
            </w:r>
          </w:p>
        </w:tc>
        <w:tc>
          <w:tcPr>
            <w:tcW w:w="520" w:type="dxa"/>
            <w:gridSpan w:val="2"/>
            <w:vAlign w:val="center"/>
          </w:tcPr>
          <w:p>
            <w:pPr>
              <w:spacing w:line="300" w:lineRule="exact"/>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3</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交货地点：甲方指定地点</w:t>
            </w:r>
            <w:r>
              <w:rPr>
                <w:rFonts w:asciiTheme="majorEastAsia" w:hAnsiTheme="majorEastAsia" w:eastAsiaTheme="majorEastAsia"/>
                <w:highlight w:val="none"/>
              </w:rPr>
              <w:t xml:space="preserve"> </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4</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质量标准</w:t>
            </w:r>
          </w:p>
          <w:p>
            <w:pPr>
              <w:pStyle w:val="41"/>
              <w:spacing w:before="0" w:after="0" w:line="300" w:lineRule="exact"/>
              <w:jc w:val="both"/>
              <w:rPr>
                <w:rFonts w:asciiTheme="majorEastAsia" w:hAnsiTheme="majorEastAsia" w:eastAsiaTheme="majorEastAsia"/>
                <w:b w:val="0"/>
                <w:kern w:val="1"/>
                <w:sz w:val="21"/>
                <w:szCs w:val="21"/>
                <w:highlight w:val="none"/>
              </w:rPr>
            </w:pPr>
            <w:r>
              <w:rPr>
                <w:rFonts w:hint="eastAsia" w:asciiTheme="majorEastAsia" w:hAnsiTheme="majorEastAsia" w:eastAsiaTheme="majorEastAsia"/>
                <w:b w:val="0"/>
                <w:kern w:val="1"/>
                <w:sz w:val="21"/>
                <w:szCs w:val="21"/>
                <w:highlight w:val="none"/>
              </w:rPr>
              <w:t>产品质量必须执行国家相关标准、行业标准、地方标准或者其它标准、规范（从严）：</w:t>
            </w:r>
          </w:p>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1、具有国家标准及规范的，按最新的标准及规范执行；</w:t>
            </w:r>
          </w:p>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2、具有行业标准及规范的，按最新的标准及规范执行；</w:t>
            </w:r>
          </w:p>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3、具有其他标准及规范的，按照最新的标准及规范执行。</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5</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验收要求</w:t>
            </w:r>
            <w:r>
              <w:rPr>
                <w:rFonts w:hint="eastAsia" w:asciiTheme="majorEastAsia" w:hAnsiTheme="majorEastAsia" w:eastAsiaTheme="majorEastAsia"/>
                <w:highlight w:val="none"/>
                <w:lang w:eastAsia="zh-CN"/>
              </w:rPr>
              <w:t>：</w:t>
            </w:r>
          </w:p>
        </w:tc>
        <w:tc>
          <w:tcPr>
            <w:tcW w:w="520" w:type="dxa"/>
            <w:gridSpan w:val="2"/>
            <w:vAlign w:val="center"/>
          </w:tcPr>
          <w:p>
            <w:pPr>
              <w:spacing w:line="30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5.1</w:t>
            </w:r>
          </w:p>
        </w:tc>
        <w:tc>
          <w:tcPr>
            <w:tcW w:w="7179" w:type="dxa"/>
            <w:vAlign w:val="center"/>
          </w:tcPr>
          <w:p>
            <w:pPr>
              <w:spacing w:line="300" w:lineRule="exact"/>
              <w:rPr>
                <w:rFonts w:hint="eastAsia" w:asciiTheme="majorEastAsia" w:hAnsiTheme="majorEastAsia" w:eastAsiaTheme="majorEastAsia"/>
                <w:highlight w:val="none"/>
              </w:rPr>
            </w:pPr>
            <w:r>
              <w:rPr>
                <w:rFonts w:hint="eastAsia" w:ascii="宋体" w:hAnsi="宋体" w:cs="宋体"/>
                <w:szCs w:val="21"/>
                <w:highlight w:val="none"/>
              </w:rPr>
              <w:t>根据《宁波市政府采购履约验收管理办法》甬财采【2021】1051号文件规定及采购文件有关内容要求，由甲方自行或委托第三方服务机构组织验收；</w:t>
            </w:r>
          </w:p>
        </w:tc>
        <w:tc>
          <w:tcPr>
            <w:tcW w:w="520" w:type="dxa"/>
            <w:gridSpan w:val="2"/>
            <w:vAlign w:val="center"/>
          </w:tcPr>
          <w:p>
            <w:pPr>
              <w:spacing w:line="300" w:lineRule="exac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5</w:t>
            </w:r>
            <w:r>
              <w:rPr>
                <w:rFonts w:hint="eastAsia" w:asciiTheme="majorEastAsia" w:hAnsiTheme="majorEastAsia" w:eastAsiaTheme="majorEastAsia"/>
                <w:highlight w:val="none"/>
              </w:rPr>
              <w:t>.2</w:t>
            </w:r>
          </w:p>
        </w:tc>
        <w:tc>
          <w:tcPr>
            <w:tcW w:w="7179" w:type="dxa"/>
            <w:vAlign w:val="center"/>
          </w:tcPr>
          <w:p>
            <w:pPr>
              <w:spacing w:line="300" w:lineRule="exact"/>
              <w:rPr>
                <w:rFonts w:asciiTheme="majorEastAsia" w:hAnsiTheme="majorEastAsia" w:eastAsiaTheme="majorEastAsia"/>
                <w:highlight w:val="none"/>
              </w:rPr>
            </w:pPr>
            <w:r>
              <w:rPr>
                <w:rFonts w:asciiTheme="majorEastAsia" w:hAnsiTheme="majorEastAsia" w:eastAsiaTheme="majorEastAsia"/>
                <w:highlight w:val="none"/>
              </w:rPr>
              <w:t>由</w:t>
            </w:r>
            <w:r>
              <w:rPr>
                <w:rFonts w:hint="eastAsia" w:asciiTheme="majorEastAsia" w:hAnsiTheme="majorEastAsia" w:eastAsiaTheme="majorEastAsia"/>
                <w:highlight w:val="none"/>
              </w:rPr>
              <w:t>甲方</w:t>
            </w:r>
            <w:r>
              <w:rPr>
                <w:rFonts w:asciiTheme="majorEastAsia" w:hAnsiTheme="majorEastAsia" w:eastAsiaTheme="majorEastAsia"/>
                <w:highlight w:val="none"/>
              </w:rPr>
              <w:t>组织专家和用户代表，或第三方机构，按照</w:t>
            </w:r>
            <w:r>
              <w:rPr>
                <w:rFonts w:hint="eastAsia" w:asciiTheme="majorEastAsia" w:hAnsiTheme="majorEastAsia" w:eastAsiaTheme="majorEastAsia"/>
                <w:highlight w:val="none"/>
              </w:rPr>
              <w:t>采购</w:t>
            </w:r>
            <w:r>
              <w:rPr>
                <w:rFonts w:asciiTheme="majorEastAsia" w:hAnsiTheme="majorEastAsia" w:eastAsiaTheme="majorEastAsia"/>
                <w:highlight w:val="none"/>
              </w:rPr>
              <w:t>文件、合同条款、</w:t>
            </w:r>
            <w:r>
              <w:rPr>
                <w:rFonts w:hint="eastAsia" w:asciiTheme="majorEastAsia" w:hAnsiTheme="majorEastAsia" w:eastAsiaTheme="majorEastAsia"/>
                <w:highlight w:val="none"/>
              </w:rPr>
              <w:t>硬件参数、</w:t>
            </w:r>
            <w:r>
              <w:rPr>
                <w:rFonts w:asciiTheme="majorEastAsia" w:hAnsiTheme="majorEastAsia" w:eastAsiaTheme="majorEastAsia"/>
                <w:highlight w:val="none"/>
              </w:rPr>
              <w:t>软件要求和实际应用效果对项目进行验收</w:t>
            </w:r>
          </w:p>
        </w:tc>
        <w:tc>
          <w:tcPr>
            <w:tcW w:w="520" w:type="dxa"/>
            <w:gridSpan w:val="2"/>
            <w:vAlign w:val="center"/>
          </w:tcPr>
          <w:p>
            <w:pPr>
              <w:spacing w:line="300" w:lineRule="exact"/>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6</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签订合同时间：成交通知书发出之日起30日内签订合同。</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7</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szCs w:val="21"/>
                <w:highlight w:val="none"/>
                <w:lang w:val="en-US" w:eastAsia="zh-CN"/>
              </w:rPr>
              <w:t>质保期：</w:t>
            </w:r>
            <w:r>
              <w:rPr>
                <w:rFonts w:hint="eastAsia" w:ascii="宋体" w:hAnsi="宋体"/>
                <w:highlight w:val="none"/>
              </w:rPr>
              <w:t>系统所涉及的所有产品自甲方最终验收合格之日起整体质保三年，</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8</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付款条件及方式:</w:t>
            </w:r>
            <w:r>
              <w:rPr>
                <w:rFonts w:hint="eastAsia" w:ascii="宋体" w:hAnsi="宋体"/>
                <w:highlight w:val="none"/>
              </w:rPr>
              <w:t>合同生效及具备实施条件后7个工作日内，向乙方支付合同总价的40%；货到指定地点安装调试</w:t>
            </w:r>
            <w:r>
              <w:rPr>
                <w:rFonts w:hint="eastAsia" w:ascii="宋体" w:hAnsi="宋体"/>
                <w:highlight w:val="none"/>
                <w:lang w:eastAsia="zh-CN"/>
              </w:rPr>
              <w:t>、</w:t>
            </w:r>
            <w:r>
              <w:rPr>
                <w:rFonts w:hint="eastAsia" w:ascii="宋体" w:hAnsi="宋体"/>
                <w:highlight w:val="none"/>
                <w:lang w:val="en-US" w:eastAsia="zh-CN"/>
              </w:rPr>
              <w:t>测试</w:t>
            </w:r>
            <w:r>
              <w:rPr>
                <w:rFonts w:hint="eastAsia" w:ascii="宋体" w:hAnsi="宋体"/>
                <w:highlight w:val="none"/>
              </w:rPr>
              <w:t>完成并经甲方验收通过后</w:t>
            </w:r>
            <w:r>
              <w:rPr>
                <w:rFonts w:hint="eastAsia" w:ascii="宋体" w:hAnsi="宋体"/>
                <w:highlight w:val="none"/>
                <w:lang w:val="en-US" w:eastAsia="zh-CN"/>
              </w:rPr>
              <w:t>7个工作日</w:t>
            </w:r>
            <w:r>
              <w:rPr>
                <w:rFonts w:hint="eastAsia" w:ascii="宋体" w:hAnsi="宋体"/>
                <w:highlight w:val="none"/>
              </w:rPr>
              <w:t>内支付至合同金额的100%。</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9</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发票要求</w:t>
            </w:r>
          </w:p>
        </w:tc>
        <w:tc>
          <w:tcPr>
            <w:tcW w:w="520" w:type="dxa"/>
            <w:gridSpan w:val="2"/>
            <w:vAlign w:val="center"/>
          </w:tcPr>
          <w:p>
            <w:pPr>
              <w:spacing w:line="30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9.1</w:t>
            </w:r>
          </w:p>
        </w:tc>
        <w:tc>
          <w:tcPr>
            <w:tcW w:w="7179" w:type="dxa"/>
            <w:vAlign w:val="center"/>
          </w:tcPr>
          <w:p>
            <w:pPr>
              <w:spacing w:line="300" w:lineRule="exact"/>
              <w:ind w:right="34" w:rightChars="16"/>
              <w:rPr>
                <w:rFonts w:asciiTheme="majorEastAsia" w:hAnsiTheme="majorEastAsia" w:eastAsiaTheme="majorEastAsia"/>
                <w:highlight w:val="none"/>
              </w:rPr>
            </w:pPr>
            <w:r>
              <w:rPr>
                <w:rFonts w:hint="eastAsia" w:asciiTheme="majorEastAsia" w:hAnsiTheme="majorEastAsia" w:eastAsiaTheme="majorEastAsia"/>
                <w:highlight w:val="none"/>
              </w:rPr>
              <w:t>乙方应在甲方支付费用前，依据相应的金额，先行向甲方提供足额且符合税法规定的增值税发票。甲方在收到乙方提供的增值税发票后在合同约定的时间支付相应款项，否则甲方有权延迟支付相应费用而不被视为违约，亦无须承担任何违约责任。</w:t>
            </w:r>
          </w:p>
        </w:tc>
        <w:tc>
          <w:tcPr>
            <w:tcW w:w="520" w:type="dxa"/>
            <w:gridSpan w:val="2"/>
            <w:vAlign w:val="center"/>
          </w:tcPr>
          <w:p>
            <w:pPr>
              <w:spacing w:line="300" w:lineRule="exact"/>
              <w:ind w:right="34" w:rightChars="16"/>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9.2</w:t>
            </w:r>
          </w:p>
        </w:tc>
        <w:tc>
          <w:tcPr>
            <w:tcW w:w="7179" w:type="dxa"/>
            <w:vAlign w:val="center"/>
          </w:tcPr>
          <w:p>
            <w:pPr>
              <w:spacing w:line="300" w:lineRule="exact"/>
              <w:ind w:right="34" w:rightChars="16"/>
              <w:rPr>
                <w:rFonts w:asciiTheme="majorEastAsia" w:hAnsiTheme="majorEastAsia" w:eastAsiaTheme="majorEastAsia"/>
                <w:highlight w:val="none"/>
              </w:rPr>
            </w:pPr>
            <w:r>
              <w:rPr>
                <w:rFonts w:hint="eastAsia" w:asciiTheme="majorEastAsia" w:hAnsiTheme="majorEastAsia" w:eastAsiaTheme="majorEastAsia"/>
                <w:highlight w:val="none"/>
              </w:rPr>
              <w:t>如因乙方未按期提供发票或发票不合规等原因，自行承担由此对甲方造成的一切损失。</w:t>
            </w:r>
          </w:p>
        </w:tc>
        <w:tc>
          <w:tcPr>
            <w:tcW w:w="520" w:type="dxa"/>
            <w:gridSpan w:val="2"/>
            <w:vAlign w:val="center"/>
          </w:tcPr>
          <w:p>
            <w:pPr>
              <w:spacing w:line="300" w:lineRule="exact"/>
              <w:ind w:right="34" w:rightChars="16"/>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9.3</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本项目合同签署的乙方名称与发票开具单位及收款单位一致，乙方不得以其他理由在合同执行过程中要求调整发票开具单位或收款单位（依法变更单位名称除外），否则视为乙方违约并自行承担相关责任，且须承担由此对甲方造成的一切损失。</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履约保证金：</w:t>
            </w:r>
            <w:r>
              <w:rPr>
                <w:rFonts w:hint="eastAsia" w:ascii="宋体" w:hAnsi="宋体"/>
                <w:szCs w:val="21"/>
                <w:highlight w:val="none"/>
              </w:rPr>
              <w:t>无需缴纳</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11</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其他</w:t>
            </w:r>
          </w:p>
        </w:tc>
        <w:tc>
          <w:tcPr>
            <w:tcW w:w="520" w:type="dxa"/>
            <w:gridSpan w:val="2"/>
            <w:vAlign w:val="center"/>
          </w:tcPr>
          <w:p>
            <w:pPr>
              <w:spacing w:line="30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11.1</w:t>
            </w:r>
          </w:p>
        </w:tc>
        <w:tc>
          <w:tcPr>
            <w:tcW w:w="7179" w:type="dxa"/>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在采购及合同执行过程中，乙方应承担由其行为所造成的人身伤害、财产损失或损坏的责任。</w:t>
            </w:r>
          </w:p>
        </w:tc>
        <w:tc>
          <w:tcPr>
            <w:tcW w:w="520" w:type="dxa"/>
            <w:gridSpan w:val="2"/>
            <w:vAlign w:val="center"/>
          </w:tcPr>
          <w:p>
            <w:pPr>
              <w:spacing w:line="300" w:lineRule="exact"/>
              <w:rPr>
                <w:rFonts w:hint="eastAsia"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30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11.2</w:t>
            </w:r>
          </w:p>
        </w:tc>
        <w:tc>
          <w:tcPr>
            <w:tcW w:w="7184" w:type="dxa"/>
            <w:gridSpan w:val="2"/>
            <w:vAlign w:val="center"/>
          </w:tcPr>
          <w:p>
            <w:pPr>
              <w:spacing w:line="300" w:lineRule="exact"/>
              <w:rPr>
                <w:rFonts w:asciiTheme="majorEastAsia" w:hAnsiTheme="majorEastAsia" w:eastAsiaTheme="majorEastAsia"/>
                <w:highlight w:val="none"/>
              </w:rPr>
            </w:pPr>
            <w:r>
              <w:rPr>
                <w:rFonts w:hint="eastAsia" w:asciiTheme="majorEastAsia" w:hAnsiTheme="majorEastAsia" w:eastAsiaTheme="majorEastAsia"/>
                <w:highlight w:val="none"/>
              </w:rPr>
              <w:t>乙方在收到成交通知书至签订合同前，向甲方提供贰套纸质响应文件并加盖乙方公章及壹份电子响应文件（U盘），纸质投标文件应与投标时的电子加密文件内容一致，内容不一致的以电子加密文件为准。后期针对本项目审计、审查时，如因乙方提供的响应文件内容不一致给甲方造成损失，甲方有权向乙方追责。</w:t>
            </w:r>
          </w:p>
        </w:tc>
        <w:tc>
          <w:tcPr>
            <w:tcW w:w="515" w:type="dxa"/>
            <w:vAlign w:val="center"/>
          </w:tcPr>
          <w:p>
            <w:pPr>
              <w:spacing w:line="300" w:lineRule="exact"/>
              <w:rPr>
                <w:rFonts w:hint="eastAsia" w:asciiTheme="majorEastAsia" w:hAnsiTheme="majorEastAsia" w:eastAsiaTheme="majorEastAsia"/>
                <w:highlight w:val="none"/>
              </w:rPr>
            </w:pPr>
          </w:p>
        </w:tc>
      </w:tr>
    </w:tbl>
    <w:p>
      <w:pPr>
        <w:widowControl/>
        <w:tabs>
          <w:tab w:val="left" w:pos="420"/>
          <w:tab w:val="left" w:pos="851"/>
        </w:tabs>
        <w:spacing w:line="360" w:lineRule="auto"/>
        <w:jc w:val="left"/>
        <w:rPr>
          <w:rFonts w:hint="eastAsia" w:asciiTheme="majorEastAsia" w:hAnsiTheme="majorEastAsia" w:eastAsiaTheme="majorEastAsia"/>
          <w:sz w:val="24"/>
          <w:highlight w:val="none"/>
        </w:rPr>
      </w:pPr>
      <w:bookmarkStart w:id="35" w:name="_Toc34844743"/>
      <w:bookmarkStart w:id="41" w:name="_GoBack"/>
      <w:bookmarkEnd w:id="41"/>
      <w:r>
        <w:rPr>
          <w:rFonts w:hint="eastAsia" w:asciiTheme="majorEastAsia" w:hAnsiTheme="majorEastAsia" w:eastAsiaTheme="majorEastAsia"/>
          <w:sz w:val="24"/>
          <w:highlight w:val="none"/>
        </w:rPr>
        <w:br w:type="page"/>
      </w:r>
    </w:p>
    <w:p>
      <w:pPr>
        <w:pStyle w:val="41"/>
        <w:spacing w:line="360" w:lineRule="auto"/>
        <w:rPr>
          <w:rFonts w:asciiTheme="majorEastAsia" w:hAnsiTheme="majorEastAsia" w:eastAsiaTheme="majorEastAsia"/>
          <w:sz w:val="24"/>
          <w:highlight w:val="none"/>
        </w:rPr>
      </w:pPr>
      <w:r>
        <w:rPr>
          <w:rFonts w:hint="eastAsia" w:asciiTheme="majorEastAsia" w:hAnsiTheme="majorEastAsia" w:eastAsiaTheme="majorEastAsia"/>
          <w:sz w:val="24"/>
          <w:highlight w:val="none"/>
        </w:rPr>
        <w:t>第三章  投标人须知</w:t>
      </w:r>
      <w:bookmarkEnd w:id="35"/>
    </w:p>
    <w:p>
      <w:pPr>
        <w:spacing w:line="360" w:lineRule="auto"/>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《投标人须知前附表》</w:t>
      </w:r>
    </w:p>
    <w:p>
      <w:pPr>
        <w:spacing w:line="360" w:lineRule="auto"/>
        <w:ind w:firstLine="424" w:firstLineChars="202"/>
        <w:jc w:val="left"/>
        <w:rPr>
          <w:rStyle w:val="387"/>
          <w:rFonts w:hint="default" w:asciiTheme="majorEastAsia" w:hAnsiTheme="majorEastAsia" w:eastAsiaTheme="majorEastAsia"/>
          <w:color w:val="auto"/>
          <w:sz w:val="21"/>
          <w:highlight w:val="none"/>
        </w:rPr>
      </w:pPr>
      <w:r>
        <w:rPr>
          <w:rStyle w:val="387"/>
          <w:rFonts w:hint="default" w:asciiTheme="majorEastAsia" w:hAnsiTheme="majorEastAsia" w:eastAsiaTheme="majorEastAsia"/>
          <w:color w:val="auto"/>
          <w:sz w:val="21"/>
          <w:highlight w:val="none"/>
        </w:rPr>
        <w:t>说明：投标人应仔细阅读招标文件的《第三章  投标人须知》，下面所列资料是对“投标人须知”的具体补充和说明。如有矛盾，以本表为准。</w:t>
      </w:r>
    </w:p>
    <w:tbl>
      <w:tblPr>
        <w:tblStyle w:val="44"/>
        <w:tblW w:w="88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020"/>
        <w:gridCol w:w="1418"/>
        <w:gridCol w:w="57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序号</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条款号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条款名称</w:t>
            </w:r>
          </w:p>
        </w:tc>
        <w:tc>
          <w:tcPr>
            <w:tcW w:w="5757"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宁波广播电视集团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宁波名诚招标代理有限公司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heme="majorEastAsia" w:hAnsiTheme="majorEastAsia" w:eastAsiaTheme="majorEastAsia"/>
                <w:szCs w:val="21"/>
                <w:highlight w:val="none"/>
              </w:rPr>
            </w:pPr>
            <w:r>
              <w:rPr>
                <w:rFonts w:cs="Arial" w:asciiTheme="majorEastAsia" w:hAnsiTheme="majorEastAsia" w:eastAsiaTheme="majorEastAsia"/>
                <w:szCs w:val="21"/>
                <w:highlight w:val="none"/>
              </w:rPr>
              <w:t>转包</w:t>
            </w:r>
            <w:r>
              <w:rPr>
                <w:rFonts w:hint="eastAsia" w:cs="Arial" w:asciiTheme="majorEastAsia" w:hAnsiTheme="majorEastAsia" w:eastAsiaTheme="majorEastAsia"/>
                <w:szCs w:val="21"/>
                <w:highlight w:val="none"/>
              </w:rPr>
              <w:t>与分包</w:t>
            </w:r>
          </w:p>
        </w:tc>
        <w:tc>
          <w:tcPr>
            <w:tcW w:w="575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9.3</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质疑函的接收和发送</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联系人:方芳</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联系电话：0574-87101271</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电子邮箱：</w:t>
            </w:r>
            <w:r>
              <w:rPr>
                <w:rFonts w:asciiTheme="majorEastAsia" w:hAnsiTheme="majorEastAsia" w:eastAsiaTheme="majorEastAsia"/>
                <w:bCs/>
                <w:szCs w:val="21"/>
                <w:highlight w:val="none"/>
              </w:rPr>
              <w:t>791986246@qq.com</w:t>
            </w:r>
          </w:p>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通讯（邮寄）地址：</w:t>
            </w:r>
            <w:r>
              <w:rPr>
                <w:rFonts w:hint="eastAsia" w:asciiTheme="majorEastAsia" w:hAnsiTheme="majorEastAsia" w:eastAsiaTheme="majorEastAsia"/>
                <w:bCs/>
                <w:szCs w:val="21"/>
                <w:highlight w:val="none"/>
                <w:lang w:eastAsia="zh-CN"/>
              </w:rPr>
              <w:t>宁波市海曙区江汇城496号姚江时代14幢3楼</w:t>
            </w:r>
            <w:r>
              <w:rPr>
                <w:rFonts w:hint="eastAsia" w:asciiTheme="majorEastAsia" w:hAnsiTheme="majorEastAsia" w:eastAsiaTheme="majorEastAsia"/>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政府采购信息发布媒体</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宁波政府采购网、浙江政府采购网。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w:t>
            </w:r>
            <w:r>
              <w:rPr>
                <w:rFonts w:asciiTheme="majorEastAsia" w:hAnsiTheme="majorEastAsia" w:eastAsiaTheme="majorEastAsia"/>
                <w:szCs w:val="21"/>
                <w:highlight w:val="none"/>
              </w:rPr>
              <w:t>代理</w:t>
            </w:r>
            <w:r>
              <w:rPr>
                <w:rFonts w:hint="eastAsia" w:asciiTheme="majorEastAsia" w:hAnsiTheme="majorEastAsia" w:eastAsiaTheme="majorEastAsia"/>
                <w:szCs w:val="21"/>
                <w:highlight w:val="none"/>
              </w:rPr>
              <w:t>服务</w:t>
            </w:r>
            <w:r>
              <w:rPr>
                <w:rFonts w:asciiTheme="majorEastAsia" w:hAnsiTheme="majorEastAsia" w:eastAsiaTheme="majorEastAsia"/>
                <w:szCs w:val="21"/>
                <w:highlight w:val="none"/>
              </w:rPr>
              <w:t>费用的收取标准</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宋体" w:hAnsi="宋体"/>
                <w:bCs/>
                <w:szCs w:val="21"/>
                <w:highlight w:val="none"/>
              </w:rPr>
            </w:pPr>
            <w:r>
              <w:rPr>
                <w:rFonts w:hint="eastAsia" w:ascii="宋体" w:hAnsi="宋体"/>
                <w:bCs/>
                <w:szCs w:val="21"/>
                <w:highlight w:val="none"/>
              </w:rPr>
              <w:t>1）根据国家发改委发改办价格[2003]857号通知和原国家计委计价格[2002]1980号文件规定的收费费率为取费标准。</w:t>
            </w:r>
          </w:p>
          <w:p>
            <w:pPr>
              <w:ind w:firstLine="29" w:firstLineChars="14"/>
              <w:jc w:val="left"/>
              <w:rPr>
                <w:rFonts w:hint="eastAsia" w:ascii="宋体" w:hAnsi="宋体"/>
                <w:bCs/>
                <w:szCs w:val="21"/>
                <w:highlight w:val="none"/>
              </w:rPr>
            </w:pPr>
            <w:r>
              <w:rPr>
                <w:rFonts w:hint="eastAsia" w:ascii="宋体" w:hAnsi="宋体"/>
                <w:bCs/>
                <w:szCs w:val="21"/>
                <w:highlight w:val="none"/>
              </w:rPr>
              <w:t>2）以中标通知书确定的预算总金额为计算基数，结合上述费率标准</w:t>
            </w:r>
            <w:r>
              <w:rPr>
                <w:rFonts w:hint="eastAsia" w:ascii="宋体" w:hAnsi="宋体"/>
                <w:bCs/>
                <w:szCs w:val="21"/>
                <w:highlight w:val="none"/>
                <w:lang w:val="en-US" w:eastAsia="zh-CN"/>
              </w:rPr>
              <w:t>的7.5折</w:t>
            </w:r>
            <w:r>
              <w:rPr>
                <w:rFonts w:hint="eastAsia" w:ascii="宋体" w:hAnsi="宋体"/>
                <w:bCs/>
                <w:szCs w:val="21"/>
                <w:highlight w:val="none"/>
              </w:rPr>
              <w:t>计算本项目的</w:t>
            </w:r>
            <w:r>
              <w:rPr>
                <w:rFonts w:ascii="宋体" w:hAnsi="宋体"/>
                <w:bCs/>
                <w:szCs w:val="21"/>
                <w:highlight w:val="none"/>
              </w:rPr>
              <w:t>代理</w:t>
            </w:r>
            <w:r>
              <w:rPr>
                <w:rFonts w:hint="eastAsia" w:ascii="宋体" w:hAnsi="宋体"/>
                <w:bCs/>
                <w:szCs w:val="21"/>
                <w:highlight w:val="none"/>
              </w:rPr>
              <w:t>服务</w:t>
            </w:r>
            <w:r>
              <w:rPr>
                <w:rFonts w:ascii="宋体" w:hAnsi="宋体"/>
                <w:bCs/>
                <w:szCs w:val="21"/>
                <w:highlight w:val="none"/>
              </w:rPr>
              <w:t>费用</w:t>
            </w:r>
            <w:r>
              <w:rPr>
                <w:rFonts w:hint="eastAsia" w:ascii="宋体" w:hAnsi="宋体"/>
                <w:bCs/>
                <w:szCs w:val="21"/>
                <w:highlight w:val="none"/>
              </w:rPr>
              <w:t>。</w:t>
            </w:r>
          </w:p>
          <w:p>
            <w:pPr>
              <w:ind w:firstLine="29" w:firstLineChars="14"/>
              <w:jc w:val="left"/>
              <w:rPr>
                <w:rFonts w:hint="default" w:eastAsia="宋体"/>
                <w:highlight w:val="none"/>
                <w:lang w:val="en-US" w:eastAsia="zh-CN"/>
              </w:rPr>
            </w:pPr>
            <w:r>
              <w:rPr>
                <w:rFonts w:hint="eastAsia" w:ascii="宋体" w:hAnsi="宋体" w:eastAsia="宋体" w:cs="Times New Roman"/>
                <w:bCs/>
                <w:kern w:val="2"/>
                <w:sz w:val="21"/>
                <w:szCs w:val="21"/>
                <w:highlight w:val="none"/>
                <w:lang w:val="en-US" w:eastAsia="zh-CN" w:bidi="ar-SA"/>
              </w:rPr>
              <w:t>3）不足3000元，按3000元收取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采购代理服务费的支付</w:t>
            </w:r>
          </w:p>
        </w:tc>
        <w:tc>
          <w:tcPr>
            <w:tcW w:w="5757" w:type="dxa"/>
            <w:tcBorders>
              <w:top w:val="single" w:color="auto" w:sz="4" w:space="0"/>
              <w:left w:val="single" w:color="auto" w:sz="4" w:space="0"/>
              <w:bottom w:val="single" w:color="auto" w:sz="4" w:space="0"/>
              <w:right w:val="single" w:color="auto" w:sz="4" w:space="0"/>
            </w:tcBorders>
            <w:vAlign w:val="center"/>
          </w:tcPr>
          <w:p>
            <w:pPr>
              <w:ind w:firstLine="29" w:firstLineChars="14"/>
              <w:jc w:val="left"/>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本项目代理服务费由中标人支付，中标人在领取中标通知书时一次性全额支付，代理服务费不随项目合同金额的增减而浮动。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资格要求响应文件的组成</w:t>
            </w:r>
          </w:p>
        </w:tc>
        <w:tc>
          <w:tcPr>
            <w:tcW w:w="5757" w:type="dxa"/>
            <w:tcBorders>
              <w:top w:val="single" w:color="auto" w:sz="4" w:space="0"/>
              <w:left w:val="single" w:color="auto" w:sz="4" w:space="0"/>
              <w:right w:val="single" w:color="auto" w:sz="4" w:space="0"/>
            </w:tcBorders>
            <w:vAlign w:val="center"/>
          </w:tcPr>
          <w:p>
            <w:pPr>
              <w:spacing w:line="300" w:lineRule="exac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1）投标人资格声明函；</w:t>
            </w:r>
          </w:p>
          <w:p>
            <w:pPr>
              <w:spacing w:line="300" w:lineRule="exact"/>
              <w:rPr>
                <w:rFonts w:asciiTheme="majorEastAsia" w:hAnsiTheme="majorEastAsia" w:eastAsiaTheme="majorEastAsia"/>
                <w:bCs/>
                <w:szCs w:val="21"/>
                <w:highlight w:val="none"/>
              </w:rPr>
            </w:pPr>
            <w:r>
              <w:rPr>
                <w:rFonts w:hint="eastAsia" w:asciiTheme="majorEastAsia" w:hAnsiTheme="majorEastAsia" w:eastAsiaTheme="majorEastAsia"/>
                <w:szCs w:val="21"/>
                <w:highlight w:val="none"/>
              </w:rPr>
              <w:t>2）法人或者其他组织的营业执照等登记证明文件复印件</w:t>
            </w:r>
            <w:r>
              <w:rPr>
                <w:rFonts w:hint="eastAsia" w:asciiTheme="majorEastAsia" w:hAnsiTheme="majorEastAsia" w:eastAsiaTheme="majorEastAsia"/>
                <w:bCs/>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商务技术文件的组成</w:t>
            </w:r>
          </w:p>
        </w:tc>
        <w:tc>
          <w:tcPr>
            <w:tcW w:w="5757"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1）投标函；</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2）法定代表人身份证复印件（双面）或法定代表人授权委托书及其附件；</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r>
              <w:rPr>
                <w:rFonts w:asciiTheme="majorEastAsia" w:hAnsiTheme="majorEastAsia" w:eastAsiaTheme="majorEastAsia"/>
                <w:szCs w:val="21"/>
                <w:highlight w:val="none"/>
              </w:rPr>
              <w:t>）</w:t>
            </w:r>
            <w:r>
              <w:rPr>
                <w:rFonts w:hint="eastAsia" w:asciiTheme="majorEastAsia" w:hAnsiTheme="majorEastAsia" w:eastAsiaTheme="majorEastAsia"/>
                <w:szCs w:val="21"/>
                <w:highlight w:val="none"/>
              </w:rPr>
              <w:t>评委打分索引表；</w:t>
            </w:r>
          </w:p>
          <w:p>
            <w:pPr>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en-US" w:eastAsia="zh-CN"/>
              </w:rPr>
              <w:t>系统</w:t>
            </w:r>
            <w:r>
              <w:rPr>
                <w:rFonts w:hint="eastAsia" w:asciiTheme="majorEastAsia" w:hAnsiTheme="majorEastAsia" w:eastAsiaTheme="majorEastAsia"/>
                <w:szCs w:val="21"/>
                <w:highlight w:val="none"/>
              </w:rPr>
              <w:t>技术要求响应表；</w:t>
            </w:r>
          </w:p>
          <w:p>
            <w:pPr>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5</w:t>
            </w: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val="en-US" w:eastAsia="zh-CN"/>
              </w:rPr>
              <w:t>产品</w:t>
            </w:r>
            <w:r>
              <w:rPr>
                <w:rFonts w:hint="eastAsia" w:asciiTheme="majorEastAsia" w:hAnsiTheme="majorEastAsia" w:eastAsiaTheme="majorEastAsia"/>
                <w:szCs w:val="21"/>
                <w:highlight w:val="none"/>
              </w:rPr>
              <w:t>技术要求响应表；</w:t>
            </w:r>
          </w:p>
          <w:p>
            <w:pPr>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6）服务要求要求响应表；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7</w:t>
            </w:r>
            <w:r>
              <w:rPr>
                <w:rFonts w:hint="eastAsia" w:asciiTheme="majorEastAsia" w:hAnsiTheme="majorEastAsia" w:eastAsiaTheme="majorEastAsia"/>
                <w:szCs w:val="21"/>
                <w:highlight w:val="none"/>
              </w:rPr>
              <w:t>）</w:t>
            </w:r>
            <w:r>
              <w:rPr>
                <w:rFonts w:asciiTheme="majorEastAsia" w:hAnsiTheme="majorEastAsia" w:eastAsiaTheme="majorEastAsia"/>
                <w:szCs w:val="21"/>
                <w:highlight w:val="none"/>
              </w:rPr>
              <w:t>商务要求</w:t>
            </w:r>
            <w:r>
              <w:rPr>
                <w:rFonts w:hint="eastAsia" w:asciiTheme="majorEastAsia" w:hAnsiTheme="majorEastAsia" w:eastAsiaTheme="majorEastAsia"/>
                <w:szCs w:val="21"/>
                <w:highlight w:val="none"/>
              </w:rPr>
              <w:t>响应表；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8</w:t>
            </w:r>
            <w:r>
              <w:rPr>
                <w:rFonts w:hint="eastAsia" w:asciiTheme="majorEastAsia" w:hAnsiTheme="majorEastAsia" w:eastAsiaTheme="majorEastAsia"/>
                <w:szCs w:val="21"/>
                <w:highlight w:val="none"/>
              </w:rPr>
              <w:t>）项目实施人员情况表；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9</w:t>
            </w:r>
            <w:r>
              <w:rPr>
                <w:rFonts w:hint="eastAsia" w:asciiTheme="majorEastAsia" w:hAnsiTheme="majorEastAsia" w:eastAsiaTheme="majorEastAsia"/>
                <w:szCs w:val="21"/>
                <w:highlight w:val="none"/>
              </w:rPr>
              <w:t>）类似项目业绩一览表；</w:t>
            </w:r>
          </w:p>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10</w:t>
            </w:r>
            <w:r>
              <w:rPr>
                <w:rFonts w:hint="eastAsia" w:asciiTheme="majorEastAsia" w:hAnsiTheme="majorEastAsia" w:eastAsiaTheme="majorEastAsia"/>
                <w:szCs w:val="21"/>
                <w:highlight w:val="none"/>
              </w:rPr>
              <w:t>）与项目评审及合同实施有关的其他资料。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报价要求响应文件的组成</w:t>
            </w:r>
          </w:p>
        </w:tc>
        <w:tc>
          <w:tcPr>
            <w:tcW w:w="5757" w:type="dxa"/>
            <w:tcBorders>
              <w:top w:val="single" w:color="auto" w:sz="4" w:space="0"/>
              <w:left w:val="single" w:color="auto" w:sz="4" w:space="0"/>
              <w:right w:val="single" w:color="auto" w:sz="4" w:space="0"/>
            </w:tcBorders>
            <w:vAlign w:val="center"/>
          </w:tcPr>
          <w:p>
            <w:pPr>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1）开标一览表；</w:t>
            </w:r>
          </w:p>
          <w:p>
            <w:pPr>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2）投标报价组成明细表；</w:t>
            </w:r>
          </w:p>
          <w:p>
            <w:pPr>
              <w:rPr>
                <w:highlight w:val="none"/>
              </w:rPr>
            </w:pPr>
            <w:r>
              <w:rPr>
                <w:rFonts w:hint="eastAsia" w:asciiTheme="majorEastAsia" w:hAnsiTheme="majorEastAsia" w:eastAsiaTheme="majorEastAsia"/>
                <w:szCs w:val="21"/>
                <w:highlight w:val="none"/>
              </w:rPr>
              <w:t>3）中小企业声明函或残疾人福利性单位声明函或监狱企业证明文件。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投标文件的份数</w:t>
            </w:r>
          </w:p>
        </w:tc>
        <w:tc>
          <w:tcPr>
            <w:tcW w:w="5757" w:type="dxa"/>
            <w:tcBorders>
              <w:top w:val="single" w:color="auto" w:sz="4" w:space="0"/>
              <w:left w:val="single" w:color="auto" w:sz="4" w:space="0"/>
              <w:right w:val="single" w:color="auto" w:sz="4" w:space="0"/>
            </w:tcBorders>
            <w:vAlign w:val="center"/>
          </w:tcPr>
          <w:p>
            <w:pPr>
              <w:spacing w:line="300" w:lineRule="exact"/>
              <w:jc w:val="left"/>
              <w:rPr>
                <w:rFonts w:asciiTheme="majorEastAsia" w:hAnsiTheme="majorEastAsia" w:eastAsiaTheme="majorEastAsia"/>
                <w:highlight w:val="none"/>
              </w:rPr>
            </w:pPr>
            <w:r>
              <w:rPr>
                <w:rFonts w:hint="eastAsia" w:asciiTheme="majorEastAsia" w:hAnsiTheme="majorEastAsia" w:eastAsiaTheme="majorEastAsia"/>
                <w:highlight w:val="none"/>
              </w:rPr>
              <w:t>1）电子加密投标文件：1份；</w:t>
            </w:r>
          </w:p>
          <w:p>
            <w:pPr>
              <w:jc w:val="left"/>
              <w:rPr>
                <w:rFonts w:asciiTheme="majorEastAsia" w:hAnsiTheme="majorEastAsia" w:eastAsiaTheme="majorEastAsia"/>
                <w:szCs w:val="21"/>
                <w:highlight w:val="none"/>
              </w:rPr>
            </w:pPr>
            <w:r>
              <w:rPr>
                <w:rFonts w:hint="eastAsia" w:asciiTheme="majorEastAsia" w:hAnsiTheme="majorEastAsia" w:eastAsiaTheme="majorEastAsia"/>
                <w:highlight w:val="none"/>
              </w:rPr>
              <w:t>2）备份投标文件：1份，以U盘存储（不强制要求提供）。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w:t>
            </w:r>
          </w:p>
        </w:tc>
        <w:tc>
          <w:tcPr>
            <w:tcW w:w="1020" w:type="dxa"/>
            <w:tcBorders>
              <w:top w:val="single" w:color="auto" w:sz="4" w:space="0"/>
              <w:left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22.1</w:t>
            </w:r>
          </w:p>
        </w:tc>
        <w:tc>
          <w:tcPr>
            <w:tcW w:w="1418"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投标报价的组成</w:t>
            </w:r>
          </w:p>
        </w:tc>
        <w:tc>
          <w:tcPr>
            <w:tcW w:w="5757" w:type="dxa"/>
            <w:tcBorders>
              <w:top w:val="single" w:color="auto" w:sz="4" w:space="0"/>
              <w:left w:val="single" w:color="auto" w:sz="4" w:space="0"/>
              <w:right w:val="single" w:color="auto" w:sz="4" w:space="0"/>
            </w:tcBorders>
            <w:vAlign w:val="center"/>
          </w:tcPr>
          <w:p>
            <w:pPr>
              <w:tabs>
                <w:tab w:val="left" w:pos="647"/>
              </w:tabs>
              <w:spacing w:line="300" w:lineRule="exac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投标报价为完成本项目采购需求所包含的全部内容，达到合同目的的一切费用，包含但不仅限于产品费、人工费、运输费、</w:t>
            </w:r>
            <w:r>
              <w:rPr>
                <w:rFonts w:hint="eastAsia" w:asciiTheme="majorEastAsia" w:hAnsiTheme="majorEastAsia" w:eastAsiaTheme="majorEastAsia"/>
                <w:szCs w:val="21"/>
                <w:highlight w:val="none"/>
                <w:lang w:val="en-US" w:eastAsia="zh-CN"/>
              </w:rPr>
              <w:t>安装调试费、测试费、</w:t>
            </w:r>
            <w:r>
              <w:rPr>
                <w:rFonts w:hint="eastAsia" w:asciiTheme="majorEastAsia" w:hAnsiTheme="majorEastAsia" w:eastAsiaTheme="majorEastAsia"/>
                <w:szCs w:val="21"/>
                <w:highlight w:val="none"/>
              </w:rPr>
              <w:t>质保维护费、培训费、交通食宿费、采购</w:t>
            </w:r>
            <w:r>
              <w:rPr>
                <w:rFonts w:asciiTheme="majorEastAsia" w:hAnsiTheme="majorEastAsia" w:eastAsiaTheme="majorEastAsia"/>
                <w:szCs w:val="21"/>
                <w:highlight w:val="none"/>
              </w:rPr>
              <w:t>代理</w:t>
            </w:r>
            <w:r>
              <w:rPr>
                <w:rFonts w:hint="eastAsia" w:asciiTheme="majorEastAsia" w:hAnsiTheme="majorEastAsia" w:eastAsiaTheme="majorEastAsia"/>
                <w:szCs w:val="21"/>
                <w:highlight w:val="none"/>
              </w:rPr>
              <w:t>服务</w:t>
            </w:r>
            <w:r>
              <w:rPr>
                <w:rFonts w:asciiTheme="majorEastAsia" w:hAnsiTheme="majorEastAsia" w:eastAsiaTheme="majorEastAsia"/>
                <w:szCs w:val="21"/>
                <w:highlight w:val="none"/>
              </w:rPr>
              <w:t>费用</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税费、利润、合同实施过程中的应预见和不可预见费用等完成合同规定责任和义务一切费用。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w:t>
            </w:r>
            <w:r>
              <w:rPr>
                <w:rFonts w:asciiTheme="majorEastAsia" w:hAnsiTheme="majorEastAsia" w:eastAsiaTheme="majorEastAsia"/>
                <w:szCs w:val="21"/>
                <w:highlight w:val="none"/>
              </w:rPr>
              <w:t>有效期</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90日历天，</w:t>
            </w:r>
            <w:r>
              <w:rPr>
                <w:rFonts w:hint="eastAsia" w:asciiTheme="majorEastAsia" w:hAnsiTheme="majorEastAsia" w:eastAsiaTheme="majorEastAsia"/>
                <w:szCs w:val="21"/>
                <w:highlight w:val="none"/>
              </w:rPr>
              <w:t>自</w:t>
            </w:r>
            <w:r>
              <w:rPr>
                <w:rFonts w:asciiTheme="majorEastAsia" w:hAnsiTheme="majorEastAsia" w:eastAsiaTheme="majorEastAsia"/>
                <w:szCs w:val="21"/>
                <w:highlight w:val="none"/>
              </w:rPr>
              <w:t>提交投标文件的截止之日起算</w:t>
            </w:r>
            <w:r>
              <w:rPr>
                <w:rFonts w:hint="eastAsia" w:cs="Arial" w:asciiTheme="majorEastAsia" w:hAnsiTheme="majorEastAsia" w:eastAsiaTheme="majorEastAsia"/>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26.2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投标文件密封包装的标注和盖章</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投标文件的密封包装封面应当清楚的标明项目名称、项目编号、投标人名称。</w:t>
            </w:r>
          </w:p>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highlight w:val="none"/>
              </w:rPr>
              <w:t>备份</w:t>
            </w:r>
            <w:r>
              <w:rPr>
                <w:rFonts w:hint="eastAsia" w:asciiTheme="majorEastAsia" w:hAnsiTheme="majorEastAsia" w:eastAsiaTheme="majorEastAsia"/>
                <w:szCs w:val="21"/>
                <w:highlight w:val="none"/>
              </w:rPr>
              <w:t>投标文件的密封包装封面应当加盖公章。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29.2</w:t>
            </w: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投标文件开启步骤</w:t>
            </w:r>
          </w:p>
        </w:tc>
        <w:tc>
          <w:tcPr>
            <w:tcW w:w="5757"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所有投标文件（资格要求响应文件、商务技术文件和报价要求响应文件）同时开启；</w:t>
            </w:r>
          </w:p>
        </w:tc>
      </w:tr>
    </w:tbl>
    <w:p>
      <w:pPr>
        <w:spacing w:line="360" w:lineRule="auto"/>
        <w:rPr>
          <w:rFonts w:asciiTheme="majorEastAsia" w:hAnsiTheme="majorEastAsia" w:eastAsiaTheme="majorEastAsia"/>
          <w:b/>
          <w:szCs w:val="21"/>
          <w:highlight w:val="none"/>
        </w:rPr>
      </w:pPr>
    </w:p>
    <w:p>
      <w:pPr>
        <w:pStyle w:val="25"/>
        <w:tabs>
          <w:tab w:val="left" w:pos="426"/>
        </w:tabs>
        <w:snapToGrid w:val="0"/>
        <w:spacing w:beforeLines="0" w:afterLines="0" w:line="360" w:lineRule="auto"/>
        <w:jc w:val="center"/>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br w:type="page"/>
      </w:r>
      <w:r>
        <w:rPr>
          <w:rFonts w:hint="eastAsia" w:asciiTheme="majorEastAsia" w:hAnsiTheme="majorEastAsia" w:eastAsiaTheme="majorEastAsia"/>
          <w:b/>
          <w:sz w:val="21"/>
          <w:szCs w:val="21"/>
          <w:highlight w:val="none"/>
        </w:rPr>
        <w:t>一、总  则</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w:t>
      </w:r>
      <w:r>
        <w:rPr>
          <w:rFonts w:asciiTheme="majorEastAsia" w:hAnsiTheme="majorEastAsia" w:eastAsiaTheme="majorEastAsia"/>
          <w:b/>
          <w:szCs w:val="21"/>
          <w:highlight w:val="none"/>
        </w:rPr>
        <w:t>适用范围</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本招标文件适用于</w:t>
      </w:r>
      <w:r>
        <w:rPr>
          <w:rFonts w:hint="eastAsia" w:asciiTheme="majorEastAsia" w:hAnsiTheme="majorEastAsia" w:eastAsiaTheme="majorEastAsia"/>
          <w:szCs w:val="21"/>
          <w:highlight w:val="none"/>
          <w:u w:val="single"/>
          <w:lang w:eastAsia="zh-CN"/>
        </w:rPr>
        <w:t>宁波广播电视集团采购新大楼全媒体业务共享系统（一期）建设项目</w:t>
      </w:r>
      <w:r>
        <w:rPr>
          <w:rFonts w:hint="eastAsia" w:asciiTheme="majorEastAsia" w:hAnsiTheme="majorEastAsia" w:eastAsiaTheme="majorEastAsia"/>
          <w:szCs w:val="21"/>
          <w:highlight w:val="none"/>
        </w:rPr>
        <w:t>的政府采购。</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2.定义</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2.1采购人：是指依法进行政府采购的国家机关、事业单位、团体组织，详见《投标人须知前附表》。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2.2</w:t>
      </w:r>
      <w:r>
        <w:rPr>
          <w:rFonts w:cs="Arial" w:asciiTheme="majorEastAsia" w:hAnsiTheme="majorEastAsia" w:eastAsiaTheme="majorEastAsia"/>
          <w:szCs w:val="21"/>
          <w:highlight w:val="none"/>
        </w:rPr>
        <w:t>采购代理机构：受采购</w:t>
      </w:r>
      <w:r>
        <w:rPr>
          <w:rFonts w:hint="eastAsia" w:cs="Arial" w:asciiTheme="majorEastAsia" w:hAnsiTheme="majorEastAsia" w:eastAsiaTheme="majorEastAsia"/>
          <w:szCs w:val="21"/>
          <w:highlight w:val="none"/>
        </w:rPr>
        <w:t>人</w:t>
      </w:r>
      <w:r>
        <w:rPr>
          <w:rFonts w:cs="Arial" w:asciiTheme="majorEastAsia" w:hAnsiTheme="majorEastAsia" w:eastAsiaTheme="majorEastAsia"/>
          <w:szCs w:val="21"/>
          <w:highlight w:val="none"/>
        </w:rPr>
        <w:t>委托，在委托的范围内办理政府采购事宜的机构</w:t>
      </w:r>
      <w:r>
        <w:rPr>
          <w:rFonts w:hint="eastAsia" w:asciiTheme="majorEastAsia" w:hAnsiTheme="majorEastAsia" w:eastAsiaTheme="majorEastAsia"/>
          <w:szCs w:val="21"/>
          <w:highlight w:val="none"/>
        </w:rPr>
        <w:t>，详见《投标人须知前附表》</w:t>
      </w:r>
      <w:r>
        <w:rPr>
          <w:rFonts w:hint="eastAsia" w:cs="Arial" w:asciiTheme="majorEastAsia" w:hAnsiTheme="majorEastAsia" w:eastAsiaTheme="majorEastAsia"/>
          <w:szCs w:val="21"/>
          <w:highlight w:val="none"/>
        </w:rPr>
        <w:t>。</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2.3</w:t>
      </w:r>
      <w:r>
        <w:rPr>
          <w:rFonts w:cs="Arial" w:asciiTheme="majorEastAsia" w:hAnsiTheme="majorEastAsia" w:eastAsiaTheme="majorEastAsia"/>
          <w:szCs w:val="21"/>
          <w:highlight w:val="none"/>
        </w:rPr>
        <w:t>投标人</w:t>
      </w:r>
      <w:r>
        <w:rPr>
          <w:rFonts w:hint="eastAsia" w:cs="Arial" w:asciiTheme="majorEastAsia" w:hAnsiTheme="majorEastAsia" w:eastAsiaTheme="majorEastAsia"/>
          <w:szCs w:val="21"/>
          <w:highlight w:val="none"/>
        </w:rPr>
        <w:t>/供应商：是</w:t>
      </w:r>
      <w:r>
        <w:rPr>
          <w:rFonts w:cs="Arial" w:asciiTheme="majorEastAsia" w:hAnsiTheme="majorEastAsia" w:eastAsiaTheme="majorEastAsia"/>
          <w:szCs w:val="21"/>
          <w:highlight w:val="none"/>
        </w:rPr>
        <w:t>指</w:t>
      </w:r>
      <w:r>
        <w:rPr>
          <w:rFonts w:hint="eastAsia" w:cs="Arial" w:asciiTheme="majorEastAsia" w:hAnsiTheme="majorEastAsia" w:eastAsiaTheme="majorEastAsia"/>
          <w:szCs w:val="21"/>
          <w:highlight w:val="none"/>
        </w:rPr>
        <w:t>响应招标、参加投标竞争的法人、其他组织。</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2.4投标人代表：是指参加投标活动的投标人/供应商的法定代表人或其授权代表。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2.5中标人：是指经法定程序确定并授予合同的投标人。</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2.6</w:t>
      </w:r>
      <w:r>
        <w:rPr>
          <w:rFonts w:cs="Arial" w:asciiTheme="majorEastAsia" w:hAnsiTheme="majorEastAsia" w:eastAsiaTheme="majorEastAsia"/>
          <w:szCs w:val="21"/>
          <w:highlight w:val="none"/>
        </w:rPr>
        <w:t>书面形式</w:t>
      </w:r>
      <w:r>
        <w:rPr>
          <w:rFonts w:hint="eastAsia" w:cs="Arial" w:asciiTheme="majorEastAsia" w:hAnsiTheme="majorEastAsia" w:eastAsiaTheme="majorEastAsia"/>
          <w:szCs w:val="21"/>
          <w:highlight w:val="none"/>
        </w:rPr>
        <w:t>：</w:t>
      </w:r>
      <w:r>
        <w:rPr>
          <w:rFonts w:cs="Arial" w:asciiTheme="majorEastAsia" w:hAnsiTheme="majorEastAsia" w:eastAsiaTheme="majorEastAsia"/>
          <w:szCs w:val="21"/>
          <w:highlight w:val="none"/>
        </w:rPr>
        <w:t>包括</w:t>
      </w:r>
      <w:r>
        <w:rPr>
          <w:rFonts w:hint="eastAsia" w:cs="Arial" w:asciiTheme="majorEastAsia" w:hAnsiTheme="majorEastAsia" w:eastAsiaTheme="majorEastAsia"/>
          <w:szCs w:val="21"/>
          <w:highlight w:val="none"/>
        </w:rPr>
        <w:t>信件、</w:t>
      </w:r>
      <w:r>
        <w:rPr>
          <w:rFonts w:cs="Arial" w:asciiTheme="majorEastAsia" w:hAnsiTheme="majorEastAsia" w:eastAsiaTheme="majorEastAsia"/>
          <w:szCs w:val="21"/>
          <w:highlight w:val="none"/>
        </w:rPr>
        <w:t>电报、电传、传真等可以有形地表现所载内容的形式</w:t>
      </w:r>
      <w:r>
        <w:rPr>
          <w:rFonts w:hint="eastAsia" w:cs="Arial" w:asciiTheme="majorEastAsia" w:hAnsiTheme="majorEastAsia" w:eastAsiaTheme="majorEastAsia"/>
          <w:szCs w:val="21"/>
          <w:highlight w:val="none"/>
        </w:rPr>
        <w:t>。以电子数据交换、电子邮件等方式能够有形地表现所载内容，并可以随时调取查用的数据电文，视为书面形式。</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2.7实质性条款：标注</w:t>
      </w:r>
      <w:r>
        <w:rPr>
          <w:rFonts w:cs="Arial" w:asciiTheme="majorEastAsia" w:hAnsiTheme="majorEastAsia" w:eastAsiaTheme="majorEastAsia"/>
          <w:szCs w:val="21"/>
          <w:highlight w:val="none"/>
        </w:rPr>
        <w:t>“</w:t>
      </w:r>
      <w:r>
        <w:rPr>
          <w:rFonts w:hint="eastAsia" w:asciiTheme="majorEastAsia" w:hAnsiTheme="majorEastAsia" w:eastAsiaTheme="majorEastAsia"/>
          <w:szCs w:val="21"/>
          <w:highlight w:val="none"/>
        </w:rPr>
        <w:t>▲</w:t>
      </w:r>
      <w:r>
        <w:rPr>
          <w:rFonts w:cs="Arial" w:asciiTheme="majorEastAsia" w:hAnsiTheme="majorEastAsia" w:eastAsiaTheme="majorEastAsia"/>
          <w:szCs w:val="21"/>
          <w:highlight w:val="none"/>
        </w:rPr>
        <w:t>”</w:t>
      </w:r>
      <w:r>
        <w:rPr>
          <w:rFonts w:hint="eastAsia" w:cs="Arial" w:asciiTheme="majorEastAsia" w:hAnsiTheme="majorEastAsia" w:eastAsiaTheme="majorEastAsia"/>
          <w:szCs w:val="21"/>
          <w:highlight w:val="none"/>
        </w:rPr>
        <w:t>的属于招标文件的</w:t>
      </w:r>
      <w:r>
        <w:rPr>
          <w:rFonts w:cs="Arial" w:asciiTheme="majorEastAsia" w:hAnsiTheme="majorEastAsia" w:eastAsiaTheme="majorEastAsia"/>
          <w:szCs w:val="21"/>
          <w:highlight w:val="none"/>
        </w:rPr>
        <w:t>实质性要求条款。</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2.8核心产品：标注“</w:t>
      </w:r>
      <w:r>
        <w:rPr>
          <w:rFonts w:hint="eastAsia" w:cs="宋体" w:asciiTheme="majorEastAsia" w:hAnsiTheme="majorEastAsia" w:eastAsiaTheme="majorEastAsia"/>
          <w:kern w:val="0"/>
          <w:szCs w:val="21"/>
          <w:highlight w:val="none"/>
        </w:rPr>
        <w:t>●</w:t>
      </w:r>
      <w:r>
        <w:rPr>
          <w:rFonts w:hint="eastAsia" w:cs="Arial" w:asciiTheme="majorEastAsia" w:hAnsiTheme="majorEastAsia" w:eastAsiaTheme="majorEastAsia"/>
          <w:szCs w:val="21"/>
          <w:highlight w:val="none"/>
        </w:rPr>
        <w:t>”系指本项目核心产品，作为判断同品牌产品的依据。</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2.9公章:</w:t>
      </w:r>
      <w:r>
        <w:rPr>
          <w:rFonts w:cs="Arial" w:asciiTheme="majorEastAsia" w:hAnsiTheme="majorEastAsia" w:eastAsiaTheme="majorEastAsia"/>
          <w:szCs w:val="21"/>
          <w:highlight w:val="none"/>
        </w:rPr>
        <w:t>投标人在投标文件及通知等事项的书面文件中的单位盖章、印章、公章等处，均仅指与投标当事人名称全称相一致的标准公章</w:t>
      </w:r>
      <w:r>
        <w:rPr>
          <w:rFonts w:hint="eastAsia" w:cs="Arial" w:asciiTheme="majorEastAsia" w:hAnsiTheme="majorEastAsia" w:eastAsiaTheme="majorEastAsia"/>
          <w:szCs w:val="21"/>
          <w:highlight w:val="none"/>
        </w:rPr>
        <w:t>（行政章）</w:t>
      </w:r>
      <w:r>
        <w:rPr>
          <w:rFonts w:cs="Arial" w:asciiTheme="majorEastAsia" w:hAnsiTheme="majorEastAsia" w:eastAsiaTheme="majorEastAsia"/>
          <w:szCs w:val="21"/>
          <w:highlight w:val="none"/>
        </w:rPr>
        <w:t>，不得使用其它形式，如带有“专用章”</w:t>
      </w:r>
      <w:r>
        <w:rPr>
          <w:rFonts w:hint="eastAsia" w:cs="Arial" w:asciiTheme="majorEastAsia" w:hAnsiTheme="majorEastAsia" w:eastAsiaTheme="majorEastAsia"/>
          <w:szCs w:val="21"/>
          <w:highlight w:val="none"/>
        </w:rPr>
        <w:t>“业务章”</w:t>
      </w:r>
      <w:r>
        <w:rPr>
          <w:rFonts w:cs="Arial" w:asciiTheme="majorEastAsia" w:hAnsiTheme="majorEastAsia" w:eastAsiaTheme="majorEastAsia"/>
          <w:szCs w:val="21"/>
          <w:highlight w:val="none"/>
        </w:rPr>
        <w:t>等字样的印章。</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highlight w:val="none"/>
        </w:rPr>
        <w:t>2.10电子签章：为投标人单位法定名称电子公章。</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3.投标委托</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3.1投标文件的签署人应当为投标人的法定代表人或其授权代表。投标文件的签署人为投标人的</w:t>
      </w:r>
      <w:r>
        <w:rPr>
          <w:rFonts w:asciiTheme="majorEastAsia" w:hAnsiTheme="majorEastAsia" w:eastAsiaTheme="majorEastAsia"/>
          <w:sz w:val="21"/>
          <w:szCs w:val="21"/>
          <w:highlight w:val="none"/>
        </w:rPr>
        <w:t>法定代表人</w:t>
      </w:r>
      <w:r>
        <w:rPr>
          <w:rFonts w:hint="eastAsia" w:asciiTheme="majorEastAsia" w:hAnsiTheme="majorEastAsia" w:eastAsiaTheme="majorEastAsia"/>
          <w:sz w:val="21"/>
          <w:szCs w:val="21"/>
          <w:highlight w:val="none"/>
        </w:rPr>
        <w:t>时，投标文件中必须提供法定代表人身份证正反面复印件；投标文件的签署人非投标人的</w:t>
      </w:r>
      <w:r>
        <w:rPr>
          <w:rFonts w:asciiTheme="majorEastAsia" w:hAnsiTheme="majorEastAsia" w:eastAsiaTheme="majorEastAsia"/>
          <w:sz w:val="21"/>
          <w:szCs w:val="21"/>
          <w:highlight w:val="none"/>
        </w:rPr>
        <w:t>法定代表人</w:t>
      </w:r>
      <w:r>
        <w:rPr>
          <w:rFonts w:hint="eastAsia" w:asciiTheme="majorEastAsia" w:hAnsiTheme="majorEastAsia" w:eastAsiaTheme="majorEastAsia"/>
          <w:sz w:val="21"/>
          <w:szCs w:val="21"/>
          <w:highlight w:val="none"/>
        </w:rPr>
        <w:t>时</w:t>
      </w:r>
      <w:r>
        <w:rPr>
          <w:rFonts w:asciiTheme="majorEastAsia" w:hAnsiTheme="majorEastAsia" w:eastAsiaTheme="majorEastAsia"/>
          <w:sz w:val="21"/>
          <w:szCs w:val="21"/>
          <w:highlight w:val="none"/>
        </w:rPr>
        <w:t>，</w:t>
      </w:r>
      <w:r>
        <w:rPr>
          <w:rFonts w:hint="eastAsia" w:asciiTheme="majorEastAsia" w:hAnsiTheme="majorEastAsia" w:eastAsiaTheme="majorEastAsia"/>
          <w:sz w:val="21"/>
          <w:szCs w:val="21"/>
          <w:highlight w:val="none"/>
        </w:rPr>
        <w:t>投标文件中必须提供投标人的</w:t>
      </w:r>
      <w:r>
        <w:rPr>
          <w:rFonts w:asciiTheme="majorEastAsia" w:hAnsiTheme="majorEastAsia" w:eastAsiaTheme="majorEastAsia"/>
          <w:sz w:val="21"/>
          <w:szCs w:val="21"/>
          <w:highlight w:val="none"/>
        </w:rPr>
        <w:t>法定代表人出具的授权委托书</w:t>
      </w:r>
      <w:r>
        <w:rPr>
          <w:rFonts w:hint="eastAsia" w:asciiTheme="majorEastAsia" w:hAnsiTheme="majorEastAsia" w:eastAsiaTheme="majorEastAsia"/>
          <w:sz w:val="21"/>
          <w:szCs w:val="21"/>
          <w:highlight w:val="none"/>
        </w:rPr>
        <w:t>及法定代表人授权代表的身份证正反面复印件</w:t>
      </w:r>
      <w:r>
        <w:rPr>
          <w:rFonts w:asciiTheme="majorEastAsia" w:hAnsiTheme="majorEastAsia" w:eastAsiaTheme="majorEastAsia"/>
          <w:sz w:val="21"/>
          <w:szCs w:val="21"/>
          <w:highlight w:val="none"/>
        </w:rPr>
        <w:t>。</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3.2根据政府采购相关法律、法规、规章、文件规定并满足招标文件规定资格条件的区域性分支机构、个体工商户、个人独资企业、合伙企业参加本项目投标并由单位负责人签署的相关投标资料与招标文件规定由法定代表人签署的的文件材料具有同等效力。</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4.投标费用</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投标人自行承担准备和参加投标有关的所有费用，不论投标的结果如何，采购人或采购代理机构均无义务和责任承担这些费用。</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5.知识产权</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asciiTheme="majorEastAsia" w:hAnsiTheme="majorEastAsia" w:eastAsiaTheme="majorEastAsia"/>
          <w:sz w:val="21"/>
          <w:szCs w:val="21"/>
          <w:highlight w:val="none"/>
        </w:rPr>
        <w:t>5.1投标人应保证在本项目使用的任何产品（包括部分使用），不会产生因第三方提出侵犯其专利权、商标权或其它知识产权而引起</w:t>
      </w:r>
      <w:r>
        <w:rPr>
          <w:rFonts w:hint="eastAsia" w:asciiTheme="majorEastAsia" w:hAnsiTheme="majorEastAsia" w:eastAsiaTheme="majorEastAsia"/>
          <w:sz w:val="21"/>
          <w:szCs w:val="21"/>
          <w:highlight w:val="none"/>
        </w:rPr>
        <w:t>法律或经济纠纷。如因专利权、商标权或其它知识产权原因引起法律或经济纠纷的，所有相关责任及赔偿均由投标人独自承担。</w:t>
      </w:r>
    </w:p>
    <w:p>
      <w:pPr>
        <w:pStyle w:val="290"/>
        <w:widowControl w:val="0"/>
        <w:spacing w:afterLines="0" w:line="360" w:lineRule="auto"/>
        <w:ind w:firstLine="42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5.2投标人如采用自身所不拥有的知识产权，则在投标报价中必须包括投标人合法获得该知识产权的相关费用，无论投标人是否在投标报价中单独列明，采购人均视为投标报价已包含该部分费用。</w:t>
      </w:r>
    </w:p>
    <w:p>
      <w:pPr>
        <w:spacing w:line="360" w:lineRule="auto"/>
        <w:ind w:firstLine="420" w:firstLineChars="200"/>
        <w:jc w:val="left"/>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6.转包与分包</w:t>
      </w:r>
    </w:p>
    <w:p>
      <w:pPr>
        <w:snapToGrid w:val="0"/>
        <w:spacing w:line="360" w:lineRule="auto"/>
        <w:ind w:firstLine="420" w:firstLineChars="200"/>
        <w:jc w:val="left"/>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本项目不允许转包</w:t>
      </w:r>
      <w:r>
        <w:rPr>
          <w:rFonts w:hint="eastAsia" w:cs="Arial" w:asciiTheme="majorEastAsia" w:hAnsiTheme="majorEastAsia" w:eastAsiaTheme="majorEastAsia"/>
          <w:szCs w:val="21"/>
          <w:highlight w:val="none"/>
        </w:rPr>
        <w:t>与分包。</w:t>
      </w:r>
    </w:p>
    <w:p>
      <w:pPr>
        <w:spacing w:line="360" w:lineRule="auto"/>
        <w:ind w:firstLine="420" w:firstLineChars="200"/>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7.联合体投标</w:t>
      </w:r>
    </w:p>
    <w:p>
      <w:pPr>
        <w:snapToGrid w:val="0"/>
        <w:spacing w:line="360" w:lineRule="auto"/>
        <w:ind w:firstLine="420" w:firstLineChars="200"/>
        <w:jc w:val="left"/>
        <w:rPr>
          <w:rFonts w:cs="Arial" w:asciiTheme="majorEastAsia" w:hAnsiTheme="majorEastAsia" w:eastAsiaTheme="majorEastAsia"/>
          <w:szCs w:val="21"/>
          <w:highlight w:val="none"/>
        </w:rPr>
      </w:pPr>
      <w:r>
        <w:rPr>
          <w:rFonts w:cs="Arial" w:asciiTheme="majorEastAsia" w:hAnsiTheme="majorEastAsia" w:eastAsiaTheme="majorEastAsia"/>
          <w:szCs w:val="21"/>
          <w:highlight w:val="none"/>
        </w:rPr>
        <w:t>本项目不</w:t>
      </w:r>
      <w:r>
        <w:rPr>
          <w:rFonts w:hint="eastAsia" w:cs="Arial" w:asciiTheme="majorEastAsia" w:hAnsiTheme="majorEastAsia" w:eastAsiaTheme="majorEastAsia"/>
          <w:szCs w:val="21"/>
          <w:highlight w:val="none"/>
        </w:rPr>
        <w:t>接受联合体投标。</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8.</w:t>
      </w:r>
      <w:r>
        <w:rPr>
          <w:rFonts w:asciiTheme="majorEastAsia" w:hAnsiTheme="majorEastAsia" w:eastAsiaTheme="majorEastAsia"/>
          <w:b/>
          <w:szCs w:val="21"/>
          <w:highlight w:val="none"/>
        </w:rPr>
        <w:t>提供相同品牌产品</w:t>
      </w:r>
      <w:r>
        <w:rPr>
          <w:rFonts w:hint="eastAsia" w:asciiTheme="majorEastAsia" w:hAnsiTheme="majorEastAsia" w:eastAsiaTheme="majorEastAsia"/>
          <w:b/>
          <w:szCs w:val="21"/>
          <w:highlight w:val="none"/>
        </w:rPr>
        <w:t>投标的处理原则</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综合评分法，提供相同品牌产品且通过资格审查、符合性审查的不同投标人参加本项目投标的，按一家投标人计算。评审后得分最高的同品牌投标人获得中标人推荐资格，评审得分相同的，按投标报价由低到高顺序排列并推荐；得分且投标报价相同的，按技术商务得分顺序排列并推荐；均相同时，由得分相同的投标人采取随机抽取方式确定，其</w:t>
      </w:r>
      <w:r>
        <w:rPr>
          <w:rFonts w:hint="eastAsia" w:cs="Arial" w:asciiTheme="majorEastAsia" w:hAnsiTheme="majorEastAsia" w:eastAsiaTheme="majorEastAsia"/>
          <w:szCs w:val="21"/>
          <w:highlight w:val="none"/>
        </w:rPr>
        <w:t>他同品牌投标人不</w:t>
      </w:r>
      <w:r>
        <w:rPr>
          <w:rFonts w:hint="eastAsia" w:asciiTheme="majorEastAsia" w:hAnsiTheme="majorEastAsia" w:eastAsiaTheme="majorEastAsia"/>
          <w:szCs w:val="21"/>
          <w:highlight w:val="none"/>
        </w:rPr>
        <w:t>作为中标候选人，抽取的顺序按照投标文件提交的先后排序进行。</w:t>
      </w:r>
    </w:p>
    <w:p>
      <w:pPr>
        <w:pStyle w:val="19"/>
        <w:ind w:firstLine="422" w:firstLineChars="200"/>
        <w:rPr>
          <w:rFonts w:asciiTheme="majorEastAsia" w:hAnsiTheme="majorEastAsia" w:eastAsiaTheme="majorEastAsia"/>
          <w:b/>
          <w:kern w:val="2"/>
          <w:sz w:val="21"/>
          <w:szCs w:val="21"/>
          <w:highlight w:val="none"/>
        </w:rPr>
      </w:pPr>
      <w:r>
        <w:rPr>
          <w:rFonts w:asciiTheme="majorEastAsia" w:hAnsiTheme="majorEastAsia" w:eastAsiaTheme="majorEastAsia"/>
          <w:b/>
          <w:kern w:val="2"/>
          <w:sz w:val="21"/>
          <w:szCs w:val="21"/>
          <w:highlight w:val="none"/>
        </w:rPr>
        <w:t>非单一产品采购项目，多家投标人提供的核心产品品牌相同的，按</w:t>
      </w:r>
      <w:r>
        <w:rPr>
          <w:rFonts w:hint="eastAsia" w:asciiTheme="majorEastAsia" w:hAnsiTheme="majorEastAsia" w:eastAsiaTheme="majorEastAsia"/>
          <w:b/>
          <w:kern w:val="2"/>
          <w:sz w:val="21"/>
          <w:szCs w:val="21"/>
          <w:highlight w:val="none"/>
        </w:rPr>
        <w:t>前</w:t>
      </w:r>
      <w:r>
        <w:rPr>
          <w:rFonts w:asciiTheme="majorEastAsia" w:hAnsiTheme="majorEastAsia" w:eastAsiaTheme="majorEastAsia"/>
          <w:b/>
          <w:kern w:val="2"/>
          <w:sz w:val="21"/>
          <w:szCs w:val="21"/>
          <w:highlight w:val="none"/>
        </w:rPr>
        <w:t>款规定处理。</w:t>
      </w:r>
    </w:p>
    <w:p>
      <w:pPr>
        <w:tabs>
          <w:tab w:val="left" w:pos="426"/>
        </w:tabs>
        <w:snapToGrid w:val="0"/>
        <w:spacing w:line="360" w:lineRule="auto"/>
        <w:ind w:firstLine="422" w:firstLineChars="200"/>
        <w:rPr>
          <w:rFonts w:cs="宋体" w:asciiTheme="majorEastAsia" w:hAnsiTheme="majorEastAsia" w:eastAsiaTheme="majorEastAsia"/>
          <w:b/>
          <w:kern w:val="0"/>
          <w:szCs w:val="21"/>
          <w:highlight w:val="none"/>
        </w:rPr>
      </w:pPr>
      <w:r>
        <w:rPr>
          <w:rFonts w:hint="eastAsia" w:cs="宋体" w:asciiTheme="majorEastAsia" w:hAnsiTheme="majorEastAsia" w:eastAsiaTheme="majorEastAsia"/>
          <w:b/>
          <w:kern w:val="0"/>
          <w:szCs w:val="21"/>
          <w:highlight w:val="none"/>
        </w:rPr>
        <w:t>9.</w:t>
      </w:r>
      <w:r>
        <w:rPr>
          <w:rFonts w:cs="宋体" w:asciiTheme="majorEastAsia" w:hAnsiTheme="majorEastAsia" w:eastAsiaTheme="majorEastAsia"/>
          <w:b/>
          <w:kern w:val="0"/>
          <w:szCs w:val="21"/>
          <w:highlight w:val="none"/>
        </w:rPr>
        <w:t>质疑和投诉</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9.1供应商认为招标文件、招标过程和中标结果使自己的权益受到损害的，可以在知道或者应知其权益受到损害之日起七个工作日内，以书面形式向采购人或采购代理机构提出质疑。</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9.2供应商应在法定质疑期内一次性提出针对同一采购程序环节的质疑。</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9.3质疑函的接收和发送：联系人及联系方式等信息详见《投标人须知前附表》。</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9.4质疑供应商对采购人或采购代理机构的答复不满意或者采购人或采购代理机构未在规定的时间内作出答复的，可以在答复期满后十五个工作日内向同级政府采购监督管理部门投诉。</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9.5</w:t>
      </w:r>
      <w:r>
        <w:rPr>
          <w:rFonts w:cs="Arial" w:asciiTheme="majorEastAsia" w:hAnsiTheme="majorEastAsia" w:eastAsiaTheme="majorEastAsia"/>
          <w:szCs w:val="21"/>
          <w:highlight w:val="none"/>
        </w:rPr>
        <w:t>质疑、投诉</w:t>
      </w:r>
      <w:r>
        <w:rPr>
          <w:rFonts w:hint="eastAsia" w:cs="Arial" w:asciiTheme="majorEastAsia" w:hAnsiTheme="majorEastAsia" w:eastAsiaTheme="majorEastAsia"/>
          <w:szCs w:val="21"/>
          <w:highlight w:val="none"/>
        </w:rPr>
        <w:t>均须</w:t>
      </w:r>
      <w:r>
        <w:rPr>
          <w:rFonts w:cs="Arial" w:asciiTheme="majorEastAsia" w:hAnsiTheme="majorEastAsia" w:eastAsiaTheme="majorEastAsia"/>
          <w:szCs w:val="21"/>
          <w:highlight w:val="none"/>
        </w:rPr>
        <w:t>采用书面形式，质疑、投诉</w:t>
      </w:r>
      <w:r>
        <w:rPr>
          <w:rFonts w:hint="eastAsia" w:cs="Arial" w:asciiTheme="majorEastAsia" w:hAnsiTheme="majorEastAsia" w:eastAsiaTheme="majorEastAsia"/>
          <w:szCs w:val="21"/>
          <w:highlight w:val="none"/>
        </w:rPr>
        <w:t>资料</w:t>
      </w:r>
      <w:r>
        <w:rPr>
          <w:rFonts w:cs="Arial" w:asciiTheme="majorEastAsia" w:hAnsiTheme="majorEastAsia" w:eastAsiaTheme="majorEastAsia"/>
          <w:szCs w:val="21"/>
          <w:highlight w:val="none"/>
        </w:rPr>
        <w:t>均应明确阐述</w:t>
      </w:r>
      <w:r>
        <w:rPr>
          <w:rFonts w:hint="eastAsia" w:cs="Arial" w:asciiTheme="majorEastAsia" w:hAnsiTheme="majorEastAsia" w:eastAsiaTheme="majorEastAsia"/>
          <w:szCs w:val="21"/>
          <w:highlight w:val="none"/>
        </w:rPr>
        <w:t>自身</w:t>
      </w:r>
      <w:r>
        <w:rPr>
          <w:rFonts w:cs="Arial" w:asciiTheme="majorEastAsia" w:hAnsiTheme="majorEastAsia" w:eastAsiaTheme="majorEastAsia"/>
          <w:szCs w:val="21"/>
          <w:highlight w:val="none"/>
        </w:rPr>
        <w:t>合法权益受到损害的实质性内容，提供相关事实、依据和证据及其来源或线索，便于调查、答复和处理</w:t>
      </w:r>
      <w:r>
        <w:rPr>
          <w:rFonts w:hint="eastAsia" w:cs="Arial" w:asciiTheme="majorEastAsia" w:hAnsiTheme="majorEastAsia" w:eastAsiaTheme="majorEastAsia"/>
          <w:szCs w:val="21"/>
          <w:highlight w:val="none"/>
        </w:rPr>
        <w:t>，</w:t>
      </w:r>
      <w:r>
        <w:rPr>
          <w:rFonts w:cs="Arial" w:asciiTheme="majorEastAsia" w:hAnsiTheme="majorEastAsia" w:eastAsiaTheme="majorEastAsia"/>
          <w:szCs w:val="21"/>
          <w:highlight w:val="none"/>
        </w:rPr>
        <w:t>质疑、投诉</w:t>
      </w:r>
      <w:r>
        <w:rPr>
          <w:rFonts w:hint="eastAsia" w:cs="Arial" w:asciiTheme="majorEastAsia" w:hAnsiTheme="majorEastAsia" w:eastAsiaTheme="majorEastAsia"/>
          <w:szCs w:val="21"/>
          <w:highlight w:val="none"/>
        </w:rPr>
        <w:t>文件具体要求详见《政府采购质疑和投诉办法》（财政部令第94号）。</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10.信用记录查询及使用</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10.1</w:t>
      </w:r>
      <w:r>
        <w:rPr>
          <w:rFonts w:asciiTheme="majorEastAsia" w:hAnsiTheme="majorEastAsia" w:eastAsiaTheme="majorEastAsia"/>
          <w:sz w:val="21"/>
          <w:szCs w:val="21"/>
          <w:highlight w:val="none"/>
        </w:rPr>
        <w:t>投标人信用信息查询渠道</w:t>
      </w:r>
      <w:r>
        <w:rPr>
          <w:rFonts w:hint="eastAsia" w:asciiTheme="majorEastAsia" w:hAnsiTheme="majorEastAsia" w:eastAsiaTheme="majorEastAsia"/>
          <w:sz w:val="21"/>
          <w:szCs w:val="21"/>
          <w:highlight w:val="none"/>
        </w:rPr>
        <w:t>：通过“信用中国”网站（www.creditchina.gov.cn）、中国政府采购网（www.ccgp.gov.cn）查询本项目投标人的信用记录。</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10.2</w:t>
      </w:r>
      <w:r>
        <w:rPr>
          <w:rFonts w:asciiTheme="majorEastAsia" w:hAnsiTheme="majorEastAsia" w:eastAsiaTheme="majorEastAsia"/>
          <w:sz w:val="21"/>
          <w:szCs w:val="21"/>
          <w:highlight w:val="none"/>
        </w:rPr>
        <w:t>信息查询截止时点</w:t>
      </w:r>
      <w:r>
        <w:rPr>
          <w:rFonts w:hint="eastAsia" w:asciiTheme="majorEastAsia" w:hAnsiTheme="majorEastAsia" w:eastAsiaTheme="majorEastAsia"/>
          <w:sz w:val="21"/>
          <w:szCs w:val="21"/>
          <w:highlight w:val="none"/>
        </w:rPr>
        <w:t>：投标截止时间后。</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10.3</w:t>
      </w:r>
      <w:r>
        <w:rPr>
          <w:rFonts w:asciiTheme="majorEastAsia" w:hAnsiTheme="majorEastAsia" w:eastAsiaTheme="majorEastAsia"/>
          <w:sz w:val="21"/>
          <w:szCs w:val="21"/>
          <w:highlight w:val="none"/>
        </w:rPr>
        <w:t>信用信息查询记录和证据留存的具体方式</w:t>
      </w:r>
      <w:r>
        <w:rPr>
          <w:rFonts w:hint="eastAsia" w:asciiTheme="majorEastAsia" w:hAnsiTheme="majorEastAsia" w:eastAsiaTheme="majorEastAsia"/>
          <w:sz w:val="21"/>
          <w:szCs w:val="21"/>
          <w:highlight w:val="none"/>
        </w:rPr>
        <w:t>：信用</w:t>
      </w:r>
      <w:r>
        <w:rPr>
          <w:rFonts w:asciiTheme="majorEastAsia" w:hAnsiTheme="majorEastAsia" w:eastAsiaTheme="majorEastAsia"/>
          <w:sz w:val="21"/>
          <w:szCs w:val="21"/>
          <w:highlight w:val="none"/>
        </w:rPr>
        <w:t>信息</w:t>
      </w:r>
      <w:r>
        <w:rPr>
          <w:rFonts w:hint="eastAsia" w:asciiTheme="majorEastAsia" w:hAnsiTheme="majorEastAsia" w:eastAsiaTheme="majorEastAsia"/>
          <w:sz w:val="21"/>
          <w:szCs w:val="21"/>
          <w:highlight w:val="none"/>
        </w:rPr>
        <w:t>查询结果以网页打印件的方式与其他采购文件一并保存。</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10.4</w:t>
      </w:r>
      <w:r>
        <w:rPr>
          <w:rFonts w:asciiTheme="majorEastAsia" w:hAnsiTheme="majorEastAsia" w:eastAsiaTheme="majorEastAsia"/>
          <w:sz w:val="21"/>
          <w:szCs w:val="21"/>
          <w:highlight w:val="none"/>
        </w:rPr>
        <w:t>信用信息的使用规则</w:t>
      </w:r>
      <w:r>
        <w:rPr>
          <w:rFonts w:hint="eastAsia" w:asciiTheme="majorEastAsia" w:hAnsiTheme="majorEastAsia" w:eastAsiaTheme="majorEastAsia"/>
          <w:sz w:val="21"/>
          <w:szCs w:val="21"/>
          <w:highlight w:val="none"/>
        </w:rPr>
        <w:t>：</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列入“信用中国”网站(www.creditchina.gov.cn)失信被执行人、重大税收违法案件当事人名单、政府采购严重违法失信行为记录名单和处于中国政府采购网(www.ccgp.gov.cn)政府采购严重违法失信行为记录名单禁止参加政府采购活动期间的投标人将被拒绝参与本次政府采购活动。</w:t>
      </w:r>
      <w:r>
        <w:rPr>
          <w:rFonts w:hint="eastAsia" w:asciiTheme="majorEastAsia" w:hAnsiTheme="majorEastAsia" w:eastAsiaTheme="majorEastAsia"/>
          <w:b/>
          <w:szCs w:val="21"/>
          <w:highlight w:val="none"/>
        </w:rPr>
        <w:t>11.政府采购信息发布媒体</w:t>
      </w:r>
    </w:p>
    <w:p>
      <w:pPr>
        <w:pStyle w:val="21"/>
        <w:snapToGrid w:val="0"/>
        <w:spacing w:after="0" w:line="360" w:lineRule="auto"/>
        <w:ind w:left="0" w:leftChars="0"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本项目政府采购信息发布媒体详见《投标人须知前附表》。</w:t>
      </w:r>
    </w:p>
    <w:p>
      <w:pPr>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12.</w:t>
      </w:r>
      <w:r>
        <w:rPr>
          <w:rFonts w:asciiTheme="majorEastAsia" w:hAnsiTheme="majorEastAsia" w:eastAsiaTheme="majorEastAsia"/>
          <w:b/>
          <w:szCs w:val="21"/>
          <w:highlight w:val="none"/>
        </w:rPr>
        <w:t>采购代理</w:t>
      </w:r>
      <w:r>
        <w:rPr>
          <w:rFonts w:hint="eastAsia" w:asciiTheme="majorEastAsia" w:hAnsiTheme="majorEastAsia" w:eastAsiaTheme="majorEastAsia"/>
          <w:b/>
          <w:szCs w:val="21"/>
          <w:highlight w:val="none"/>
        </w:rPr>
        <w:t>服务</w:t>
      </w:r>
      <w:r>
        <w:rPr>
          <w:rFonts w:asciiTheme="majorEastAsia" w:hAnsiTheme="majorEastAsia" w:eastAsiaTheme="majorEastAsia"/>
          <w:b/>
          <w:szCs w:val="21"/>
          <w:highlight w:val="none"/>
        </w:rPr>
        <w:t>费用的收取标准和方式</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12.1</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代理服务费用的收取标准：详见《投标人须知前附表》。</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12.2</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代理服务费的支付：详见《投标人须知前附表》。</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12.3</w:t>
      </w:r>
      <w:r>
        <w:rPr>
          <w:rFonts w:asciiTheme="majorEastAsia" w:hAnsiTheme="majorEastAsia" w:eastAsiaTheme="majorEastAsia"/>
          <w:sz w:val="21"/>
          <w:szCs w:val="21"/>
          <w:highlight w:val="none"/>
        </w:rPr>
        <w:t>采购</w:t>
      </w:r>
      <w:r>
        <w:rPr>
          <w:rFonts w:hint="eastAsia" w:asciiTheme="majorEastAsia" w:hAnsiTheme="majorEastAsia" w:eastAsiaTheme="majorEastAsia"/>
          <w:sz w:val="21"/>
          <w:szCs w:val="21"/>
          <w:highlight w:val="none"/>
        </w:rPr>
        <w:t>代理服务费收款账户信息：</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开户银行：宁波银行海曙支行</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户名：宁波名诚招标代理有限公司</w:t>
      </w:r>
    </w:p>
    <w:p>
      <w:pPr>
        <w:pStyle w:val="21"/>
        <w:snapToGrid w:val="0"/>
        <w:spacing w:after="0" w:line="360" w:lineRule="auto"/>
        <w:ind w:left="0" w:leftChars="0"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账号：20010122000443166</w:t>
      </w:r>
    </w:p>
    <w:p>
      <w:pPr>
        <w:pStyle w:val="25"/>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13.其他</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13.1招标文件的标题和序号只是为了查阅方便，不影响对招标文件的理解。</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13.2招标文件的采购需求内容如出现某品牌、型号的内容是为了更好的描述产品的性能、规格及要求，并无任何指定产品品牌、型号的意思表达，投标人可选择其他品牌、型号的产品参加投标。</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13.3</w:t>
      </w:r>
      <w:r>
        <w:rPr>
          <w:rFonts w:cs="Arial" w:asciiTheme="majorEastAsia" w:hAnsiTheme="majorEastAsia" w:eastAsiaTheme="majorEastAsia"/>
          <w:szCs w:val="21"/>
          <w:highlight w:val="none"/>
        </w:rPr>
        <w:t>单位负责人为同一人或者存在直接控股、管理关系的不同供应商，</w:t>
      </w:r>
      <w:r>
        <w:rPr>
          <w:rFonts w:hint="eastAsia" w:cs="Arial" w:asciiTheme="majorEastAsia" w:hAnsiTheme="majorEastAsia" w:eastAsiaTheme="majorEastAsia"/>
          <w:szCs w:val="21"/>
          <w:highlight w:val="none"/>
        </w:rPr>
        <w:t>同时</w:t>
      </w:r>
      <w:r>
        <w:rPr>
          <w:rFonts w:cs="Arial" w:asciiTheme="majorEastAsia" w:hAnsiTheme="majorEastAsia" w:eastAsiaTheme="majorEastAsia"/>
          <w:szCs w:val="21"/>
          <w:highlight w:val="none"/>
        </w:rPr>
        <w:t>参加同一合同项下</w:t>
      </w:r>
      <w:r>
        <w:rPr>
          <w:rFonts w:hint="eastAsia" w:cs="Arial" w:asciiTheme="majorEastAsia" w:hAnsiTheme="majorEastAsia" w:eastAsiaTheme="majorEastAsia"/>
          <w:szCs w:val="21"/>
          <w:highlight w:val="none"/>
        </w:rPr>
        <w:t>（指同一标项）</w:t>
      </w:r>
      <w:r>
        <w:rPr>
          <w:rFonts w:cs="Arial" w:asciiTheme="majorEastAsia" w:hAnsiTheme="majorEastAsia" w:eastAsiaTheme="majorEastAsia"/>
          <w:szCs w:val="21"/>
          <w:highlight w:val="none"/>
        </w:rPr>
        <w:t>的政府采购活动</w:t>
      </w:r>
      <w:r>
        <w:rPr>
          <w:rFonts w:hint="eastAsia" w:cs="Arial" w:asciiTheme="majorEastAsia" w:hAnsiTheme="majorEastAsia" w:eastAsiaTheme="majorEastAsia"/>
          <w:szCs w:val="21"/>
          <w:highlight w:val="none"/>
        </w:rPr>
        <w:t>，相关单位的投标均无效</w:t>
      </w:r>
      <w:r>
        <w:rPr>
          <w:rFonts w:cs="Arial" w:asciiTheme="majorEastAsia" w:hAnsiTheme="majorEastAsia" w:eastAsiaTheme="majorEastAsia"/>
          <w:szCs w:val="21"/>
          <w:highlight w:val="none"/>
        </w:rPr>
        <w:t>。</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13.4招标文件要求携带原件备查的资料，如果该资料可以通过互联网或者相关信息系统查询的，投标人能够当场提供账号、网址等信息进行查询、核实资料真伪及数据的，视同提供了原件。</w:t>
      </w:r>
    </w:p>
    <w:p>
      <w:pPr>
        <w:snapToGrid w:val="0"/>
        <w:spacing w:line="360" w:lineRule="auto"/>
        <w:ind w:firstLine="420" w:firstLineChars="200"/>
        <w:jc w:val="left"/>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13.5依据《</w:t>
      </w:r>
      <w:r>
        <w:rPr>
          <w:rFonts w:asciiTheme="majorEastAsia" w:hAnsiTheme="majorEastAsia" w:eastAsiaTheme="majorEastAsia"/>
          <w:highlight w:val="none"/>
        </w:rPr>
        <w:t>政府采购促进中小企业发展管理办法</w:t>
      </w:r>
      <w:r>
        <w:rPr>
          <w:rFonts w:hint="eastAsia" w:cs="Arial" w:asciiTheme="majorEastAsia" w:hAnsiTheme="majorEastAsia" w:eastAsiaTheme="majorEastAsia"/>
          <w:szCs w:val="21"/>
          <w:highlight w:val="none"/>
        </w:rPr>
        <w:t>》规定享受扶持政策获得政府采购合同的，小微企业不得将合同分包给大中型企业，中型企业不得将合同分包给大型企业。</w:t>
      </w:r>
    </w:p>
    <w:p>
      <w:pPr>
        <w:pStyle w:val="13"/>
        <w:widowControl w:val="0"/>
        <w:numPr>
          <w:ilvl w:val="0"/>
          <w:numId w:val="0"/>
        </w:numPr>
        <w:tabs>
          <w:tab w:val="clear" w:pos="454"/>
        </w:tabs>
        <w:snapToGrid w:val="0"/>
        <w:spacing w:afterLines="0" w:line="360" w:lineRule="auto"/>
        <w:ind w:left="454" w:firstLine="422" w:firstLineChars="200"/>
        <w:jc w:val="center"/>
        <w:rPr>
          <w:rFonts w:asciiTheme="majorEastAsia" w:hAnsiTheme="majorEastAsia" w:eastAsiaTheme="majorEastAsia"/>
          <w:b/>
          <w:sz w:val="21"/>
          <w:szCs w:val="21"/>
          <w:highlight w:val="none"/>
        </w:rPr>
      </w:pPr>
      <w:r>
        <w:rPr>
          <w:rFonts w:asciiTheme="majorEastAsia" w:hAnsiTheme="majorEastAsia" w:eastAsiaTheme="majorEastAsia"/>
          <w:b/>
          <w:sz w:val="21"/>
          <w:szCs w:val="21"/>
          <w:highlight w:val="none"/>
        </w:rPr>
        <w:t>二</w:t>
      </w:r>
      <w:r>
        <w:rPr>
          <w:rFonts w:hint="eastAsia" w:asciiTheme="majorEastAsia" w:hAnsiTheme="majorEastAsia" w:eastAsiaTheme="majorEastAsia"/>
          <w:b/>
          <w:sz w:val="21"/>
          <w:szCs w:val="21"/>
          <w:highlight w:val="none"/>
        </w:rPr>
        <w:t>、招标</w:t>
      </w:r>
      <w:r>
        <w:rPr>
          <w:rFonts w:asciiTheme="majorEastAsia" w:hAnsiTheme="majorEastAsia" w:eastAsiaTheme="majorEastAsia"/>
          <w:b/>
          <w:sz w:val="21"/>
          <w:szCs w:val="21"/>
          <w:highlight w:val="none"/>
        </w:rPr>
        <w:t>文件</w:t>
      </w:r>
    </w:p>
    <w:p>
      <w:pPr>
        <w:pStyle w:val="25"/>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14.招标文件的编制依据与构成</w:t>
      </w:r>
    </w:p>
    <w:p>
      <w:pPr>
        <w:pStyle w:val="25"/>
        <w:snapToGrid w:val="0"/>
        <w:spacing w:beforeLines="0" w:afterLines="0" w:line="360" w:lineRule="auto"/>
        <w:ind w:firstLine="420" w:firstLineChars="200"/>
        <w:rPr>
          <w:rFonts w:asciiTheme="majorEastAsia" w:hAnsiTheme="majorEastAsia" w:eastAsiaTheme="majorEastAsia"/>
          <w:b/>
          <w:sz w:val="21"/>
          <w:szCs w:val="21"/>
          <w:highlight w:val="none"/>
        </w:rPr>
      </w:pPr>
      <w:r>
        <w:rPr>
          <w:rFonts w:hint="eastAsia" w:asciiTheme="majorEastAsia" w:hAnsiTheme="majorEastAsia" w:eastAsiaTheme="majorEastAsia"/>
          <w:sz w:val="21"/>
          <w:szCs w:val="21"/>
          <w:highlight w:val="none"/>
        </w:rPr>
        <w:t>14.1招标文件根据《中华人民共和国政府采购法》《中华人民共和国政府采购法实施条例》《政府采购货物和服务招标投标管理办法》等政府采购法律法规的规定编制。</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14.2项目要求提供的产品、招标过程和合同条件在招标文件中均有说明。</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14.3招标文件以中文文字编写，共六章。由下列文件以及在招标过程中发出的澄清或修改文件和补充文件组成，内容如下：</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第一章  投标邀请</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第二章  </w:t>
      </w:r>
      <w:r>
        <w:rPr>
          <w:rFonts w:asciiTheme="majorEastAsia" w:hAnsiTheme="majorEastAsia" w:eastAsiaTheme="majorEastAsia"/>
          <w:sz w:val="21"/>
          <w:szCs w:val="21"/>
          <w:highlight w:val="none"/>
        </w:rPr>
        <w:t>采购需求</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第三章  </w:t>
      </w:r>
      <w:r>
        <w:rPr>
          <w:rFonts w:asciiTheme="majorEastAsia" w:hAnsiTheme="majorEastAsia" w:eastAsiaTheme="majorEastAsia"/>
          <w:sz w:val="21"/>
          <w:szCs w:val="21"/>
          <w:highlight w:val="none"/>
        </w:rPr>
        <w:t>投标人须知</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第四章  </w:t>
      </w:r>
      <w:r>
        <w:rPr>
          <w:rFonts w:asciiTheme="majorEastAsia" w:hAnsiTheme="majorEastAsia" w:eastAsiaTheme="majorEastAsia"/>
          <w:sz w:val="21"/>
          <w:szCs w:val="21"/>
          <w:highlight w:val="none"/>
        </w:rPr>
        <w:t>评标</w:t>
      </w:r>
      <w:r>
        <w:rPr>
          <w:rFonts w:hint="eastAsia" w:asciiTheme="majorEastAsia" w:hAnsiTheme="majorEastAsia" w:eastAsiaTheme="majorEastAsia"/>
          <w:sz w:val="21"/>
          <w:szCs w:val="21"/>
          <w:highlight w:val="none"/>
        </w:rPr>
        <w:t>方法</w:t>
      </w:r>
      <w:r>
        <w:rPr>
          <w:rFonts w:asciiTheme="majorEastAsia" w:hAnsiTheme="majorEastAsia" w:eastAsiaTheme="majorEastAsia"/>
          <w:sz w:val="21"/>
          <w:szCs w:val="21"/>
          <w:highlight w:val="none"/>
        </w:rPr>
        <w:t>及</w:t>
      </w:r>
      <w:r>
        <w:rPr>
          <w:rFonts w:hint="eastAsia" w:asciiTheme="majorEastAsia" w:hAnsiTheme="majorEastAsia" w:eastAsiaTheme="majorEastAsia"/>
          <w:sz w:val="21"/>
          <w:szCs w:val="21"/>
          <w:highlight w:val="none"/>
        </w:rPr>
        <w:t>评标</w:t>
      </w:r>
      <w:r>
        <w:rPr>
          <w:rFonts w:asciiTheme="majorEastAsia" w:hAnsiTheme="majorEastAsia" w:eastAsiaTheme="majorEastAsia"/>
          <w:sz w:val="21"/>
          <w:szCs w:val="21"/>
          <w:highlight w:val="none"/>
        </w:rPr>
        <w:t>标准</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第五章  </w:t>
      </w:r>
      <w:r>
        <w:rPr>
          <w:rFonts w:asciiTheme="majorEastAsia" w:hAnsiTheme="majorEastAsia" w:eastAsiaTheme="majorEastAsia"/>
          <w:sz w:val="21"/>
          <w:szCs w:val="21"/>
          <w:highlight w:val="none"/>
        </w:rPr>
        <w:t>合同文本</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第六章  </w:t>
      </w:r>
      <w:r>
        <w:rPr>
          <w:rFonts w:asciiTheme="majorEastAsia" w:hAnsiTheme="majorEastAsia" w:eastAsiaTheme="majorEastAsia"/>
          <w:sz w:val="21"/>
          <w:szCs w:val="21"/>
          <w:highlight w:val="none"/>
        </w:rPr>
        <w:t>投标文件格式</w:t>
      </w:r>
    </w:p>
    <w:p>
      <w:pPr>
        <w:pStyle w:val="13"/>
        <w:widowControl w:val="0"/>
        <w:numPr>
          <w:ilvl w:val="0"/>
          <w:numId w:val="0"/>
        </w:numPr>
        <w:tabs>
          <w:tab w:val="clear" w:pos="454"/>
        </w:tabs>
        <w:snapToGrid w:val="0"/>
        <w:spacing w:afterLines="0" w:line="360" w:lineRule="auto"/>
        <w:ind w:firstLine="422" w:firstLineChars="200"/>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15.招标文件的询问、澄清和修改</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15.</w:t>
      </w:r>
      <w:r>
        <w:rPr>
          <w:rFonts w:asciiTheme="majorEastAsia" w:hAnsiTheme="majorEastAsia" w:eastAsiaTheme="majorEastAsia"/>
          <w:bCs/>
          <w:sz w:val="21"/>
          <w:szCs w:val="21"/>
          <w:highlight w:val="none"/>
        </w:rPr>
        <w:t>1</w:t>
      </w:r>
      <w:r>
        <w:rPr>
          <w:rFonts w:hint="eastAsia" w:asciiTheme="majorEastAsia" w:hAnsiTheme="majorEastAsia" w:eastAsiaTheme="majorEastAsia"/>
          <w:bCs/>
          <w:sz w:val="21"/>
          <w:szCs w:val="21"/>
          <w:highlight w:val="none"/>
        </w:rPr>
        <w:t>询问</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asciiTheme="majorEastAsia" w:hAnsiTheme="majorEastAsia" w:eastAsiaTheme="majorEastAsia"/>
          <w:bCs/>
          <w:sz w:val="21"/>
          <w:szCs w:val="21"/>
          <w:highlight w:val="none"/>
        </w:rPr>
        <w:t>投标人</w:t>
      </w:r>
      <w:r>
        <w:rPr>
          <w:rFonts w:hint="eastAsia" w:asciiTheme="majorEastAsia" w:hAnsiTheme="majorEastAsia" w:eastAsiaTheme="majorEastAsia"/>
          <w:bCs/>
          <w:sz w:val="21"/>
          <w:szCs w:val="21"/>
          <w:highlight w:val="none"/>
        </w:rPr>
        <w:t>对招标文件有疑问之处可向</w:t>
      </w:r>
      <w:r>
        <w:rPr>
          <w:rFonts w:hint="eastAsia" w:asciiTheme="majorEastAsia" w:hAnsiTheme="majorEastAsia" w:eastAsiaTheme="majorEastAsia"/>
          <w:sz w:val="21"/>
          <w:szCs w:val="21"/>
          <w:highlight w:val="none"/>
        </w:rPr>
        <w:t>采购人或采购代理机构</w:t>
      </w:r>
      <w:r>
        <w:rPr>
          <w:rFonts w:hint="eastAsia" w:asciiTheme="majorEastAsia" w:hAnsiTheme="majorEastAsia" w:eastAsiaTheme="majorEastAsia"/>
          <w:bCs/>
          <w:sz w:val="21"/>
          <w:szCs w:val="21"/>
          <w:highlight w:val="none"/>
        </w:rPr>
        <w:t>询问，</w:t>
      </w:r>
      <w:r>
        <w:rPr>
          <w:rFonts w:hint="eastAsia" w:asciiTheme="majorEastAsia" w:hAnsiTheme="majorEastAsia" w:eastAsiaTheme="majorEastAsia"/>
          <w:sz w:val="21"/>
          <w:szCs w:val="21"/>
          <w:highlight w:val="none"/>
        </w:rPr>
        <w:t>采购人或采购代理机构将依法</w:t>
      </w:r>
      <w:r>
        <w:rPr>
          <w:rFonts w:hint="eastAsia" w:asciiTheme="majorEastAsia" w:hAnsiTheme="majorEastAsia" w:eastAsiaTheme="majorEastAsia"/>
          <w:bCs/>
          <w:sz w:val="21"/>
          <w:szCs w:val="21"/>
          <w:highlight w:val="none"/>
        </w:rPr>
        <w:t>对潜在投标人</w:t>
      </w:r>
      <w:r>
        <w:rPr>
          <w:rFonts w:hint="eastAsia" w:asciiTheme="majorEastAsia" w:hAnsiTheme="majorEastAsia" w:eastAsiaTheme="majorEastAsia"/>
          <w:sz w:val="21"/>
          <w:szCs w:val="21"/>
          <w:highlight w:val="none"/>
        </w:rPr>
        <w:t>的询问作出答复。</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15.2澄清和修改</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1）</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可以对已发出的招标文件进行必要的澄清或者修改。澄清或者修改</w:t>
      </w:r>
      <w:r>
        <w:rPr>
          <w:rFonts w:hint="eastAsia" w:asciiTheme="majorEastAsia" w:hAnsiTheme="majorEastAsia" w:eastAsiaTheme="majorEastAsia"/>
          <w:bCs/>
          <w:sz w:val="21"/>
          <w:szCs w:val="21"/>
          <w:highlight w:val="none"/>
        </w:rPr>
        <w:t>将</w:t>
      </w:r>
      <w:r>
        <w:rPr>
          <w:rFonts w:asciiTheme="majorEastAsia" w:hAnsiTheme="majorEastAsia" w:eastAsiaTheme="majorEastAsia"/>
          <w:bCs/>
          <w:sz w:val="21"/>
          <w:szCs w:val="21"/>
          <w:highlight w:val="none"/>
        </w:rPr>
        <w:t>在原公告发布媒体上发布澄清</w:t>
      </w:r>
      <w:r>
        <w:rPr>
          <w:rFonts w:hint="eastAsia" w:asciiTheme="majorEastAsia" w:hAnsiTheme="majorEastAsia" w:eastAsiaTheme="majorEastAsia"/>
          <w:bCs/>
          <w:sz w:val="21"/>
          <w:szCs w:val="21"/>
          <w:highlight w:val="none"/>
        </w:rPr>
        <w:t>或更正</w:t>
      </w:r>
      <w:r>
        <w:rPr>
          <w:rFonts w:asciiTheme="majorEastAsia" w:hAnsiTheme="majorEastAsia" w:eastAsiaTheme="majorEastAsia"/>
          <w:bCs/>
          <w:sz w:val="21"/>
          <w:szCs w:val="21"/>
          <w:highlight w:val="none"/>
        </w:rPr>
        <w:t>公告。澄清或者修改的内容为招标文件的组成部分。</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2）</w:t>
      </w:r>
      <w:r>
        <w:rPr>
          <w:rFonts w:asciiTheme="majorEastAsia" w:hAnsiTheme="majorEastAsia" w:eastAsiaTheme="majorEastAsia"/>
          <w:bCs/>
          <w:sz w:val="21"/>
          <w:szCs w:val="21"/>
          <w:highlight w:val="none"/>
        </w:rPr>
        <w:t>采购人原则上不改变</w:t>
      </w:r>
      <w:r>
        <w:rPr>
          <w:rFonts w:hint="eastAsia" w:asciiTheme="majorEastAsia" w:hAnsiTheme="majorEastAsia" w:eastAsiaTheme="majorEastAsia"/>
          <w:bCs/>
          <w:sz w:val="21"/>
          <w:szCs w:val="21"/>
          <w:highlight w:val="none"/>
        </w:rPr>
        <w:t>招标</w:t>
      </w:r>
      <w:r>
        <w:rPr>
          <w:rFonts w:asciiTheme="majorEastAsia" w:hAnsiTheme="majorEastAsia" w:eastAsiaTheme="majorEastAsia"/>
          <w:bCs/>
          <w:sz w:val="21"/>
          <w:szCs w:val="21"/>
          <w:highlight w:val="none"/>
        </w:rPr>
        <w:t>文件规定的提交投标文件的截止时间。</w:t>
      </w:r>
      <w:r>
        <w:rPr>
          <w:rFonts w:hint="eastAsia" w:asciiTheme="majorEastAsia" w:hAnsiTheme="majorEastAsia" w:eastAsiaTheme="majorEastAsia"/>
          <w:bCs/>
          <w:sz w:val="21"/>
          <w:szCs w:val="21"/>
          <w:highlight w:val="none"/>
        </w:rPr>
        <w:t>潜在</w:t>
      </w:r>
      <w:r>
        <w:rPr>
          <w:rFonts w:asciiTheme="majorEastAsia" w:hAnsiTheme="majorEastAsia" w:eastAsiaTheme="majorEastAsia"/>
          <w:bCs/>
          <w:sz w:val="21"/>
          <w:szCs w:val="21"/>
          <w:highlight w:val="none"/>
        </w:rPr>
        <w:t>投标人在收到书面形式通知后，</w:t>
      </w:r>
      <w:r>
        <w:rPr>
          <w:rFonts w:hint="eastAsia" w:asciiTheme="majorEastAsia" w:hAnsiTheme="majorEastAsia" w:eastAsiaTheme="majorEastAsia"/>
          <w:bCs/>
          <w:sz w:val="21"/>
          <w:szCs w:val="21"/>
          <w:highlight w:val="none"/>
        </w:rPr>
        <w:t>认为</w:t>
      </w:r>
      <w:r>
        <w:rPr>
          <w:rFonts w:asciiTheme="majorEastAsia" w:hAnsiTheme="majorEastAsia" w:eastAsiaTheme="majorEastAsia"/>
          <w:bCs/>
          <w:sz w:val="21"/>
          <w:szCs w:val="21"/>
          <w:highlight w:val="none"/>
        </w:rPr>
        <w:t>招标文件</w:t>
      </w:r>
      <w:r>
        <w:rPr>
          <w:rFonts w:hint="eastAsia" w:asciiTheme="majorEastAsia" w:hAnsiTheme="majorEastAsia" w:eastAsiaTheme="majorEastAsia"/>
          <w:bCs/>
          <w:sz w:val="21"/>
          <w:szCs w:val="21"/>
          <w:highlight w:val="none"/>
        </w:rPr>
        <w:t>的</w:t>
      </w:r>
      <w:r>
        <w:rPr>
          <w:rFonts w:asciiTheme="majorEastAsia" w:hAnsiTheme="majorEastAsia" w:eastAsiaTheme="majorEastAsia"/>
          <w:bCs/>
          <w:sz w:val="21"/>
          <w:szCs w:val="21"/>
          <w:highlight w:val="none"/>
        </w:rPr>
        <w:t>澄清或者修改的</w:t>
      </w:r>
      <w:r>
        <w:rPr>
          <w:rFonts w:hint="eastAsia" w:asciiTheme="majorEastAsia" w:hAnsiTheme="majorEastAsia" w:eastAsiaTheme="majorEastAsia"/>
          <w:bCs/>
          <w:sz w:val="21"/>
          <w:szCs w:val="21"/>
          <w:highlight w:val="none"/>
        </w:rPr>
        <w:t>内容</w:t>
      </w:r>
      <w:r>
        <w:rPr>
          <w:rFonts w:asciiTheme="majorEastAsia" w:hAnsiTheme="majorEastAsia" w:eastAsiaTheme="majorEastAsia"/>
          <w:bCs/>
          <w:sz w:val="21"/>
          <w:szCs w:val="21"/>
          <w:highlight w:val="none"/>
        </w:rPr>
        <w:t>影响投标文件编制</w:t>
      </w:r>
      <w:r>
        <w:rPr>
          <w:rFonts w:hint="eastAsia" w:asciiTheme="majorEastAsia" w:hAnsiTheme="majorEastAsia" w:eastAsiaTheme="majorEastAsia"/>
          <w:bCs/>
          <w:sz w:val="21"/>
          <w:szCs w:val="21"/>
          <w:highlight w:val="none"/>
        </w:rPr>
        <w:t>的</w:t>
      </w:r>
      <w:r>
        <w:rPr>
          <w:rFonts w:asciiTheme="majorEastAsia" w:hAnsiTheme="majorEastAsia" w:eastAsiaTheme="majorEastAsia"/>
          <w:bCs/>
          <w:sz w:val="21"/>
          <w:szCs w:val="21"/>
          <w:highlight w:val="none"/>
        </w:rPr>
        <w:t>，</w:t>
      </w:r>
      <w:r>
        <w:rPr>
          <w:rFonts w:hint="eastAsia" w:asciiTheme="majorEastAsia" w:hAnsiTheme="majorEastAsia" w:eastAsiaTheme="majorEastAsia"/>
          <w:bCs/>
          <w:sz w:val="21"/>
          <w:szCs w:val="21"/>
          <w:highlight w:val="none"/>
        </w:rPr>
        <w:t>应当</w:t>
      </w:r>
      <w:r>
        <w:rPr>
          <w:rFonts w:asciiTheme="majorEastAsia" w:hAnsiTheme="majorEastAsia" w:eastAsiaTheme="majorEastAsia"/>
          <w:bCs/>
          <w:sz w:val="21"/>
          <w:szCs w:val="21"/>
          <w:highlight w:val="none"/>
        </w:rPr>
        <w:t>在收到</w:t>
      </w:r>
      <w:r>
        <w:rPr>
          <w:rFonts w:hint="eastAsia" w:asciiTheme="majorEastAsia" w:hAnsiTheme="majorEastAsia" w:eastAsiaTheme="majorEastAsia"/>
          <w:bCs/>
          <w:sz w:val="21"/>
          <w:szCs w:val="21"/>
          <w:highlight w:val="none"/>
        </w:rPr>
        <w:t>书面通知</w:t>
      </w:r>
      <w:r>
        <w:rPr>
          <w:rFonts w:asciiTheme="majorEastAsia" w:hAnsiTheme="majorEastAsia" w:eastAsiaTheme="majorEastAsia"/>
          <w:bCs/>
          <w:sz w:val="21"/>
          <w:szCs w:val="21"/>
          <w:highlight w:val="none"/>
        </w:rPr>
        <w:t>后</w:t>
      </w:r>
      <w:r>
        <w:rPr>
          <w:rFonts w:hint="eastAsia" w:asciiTheme="majorEastAsia" w:hAnsiTheme="majorEastAsia" w:eastAsiaTheme="majorEastAsia"/>
          <w:bCs/>
          <w:sz w:val="21"/>
          <w:szCs w:val="21"/>
          <w:highlight w:val="none"/>
        </w:rPr>
        <w:t>及时</w:t>
      </w:r>
      <w:r>
        <w:rPr>
          <w:rFonts w:asciiTheme="majorEastAsia" w:hAnsiTheme="majorEastAsia" w:eastAsiaTheme="majorEastAsia"/>
          <w:bCs/>
          <w:sz w:val="21"/>
          <w:szCs w:val="21"/>
          <w:highlight w:val="none"/>
        </w:rPr>
        <w:t>将</w:t>
      </w:r>
      <w:r>
        <w:rPr>
          <w:rFonts w:hint="eastAsia" w:asciiTheme="majorEastAsia" w:hAnsiTheme="majorEastAsia" w:eastAsiaTheme="majorEastAsia"/>
          <w:bCs/>
          <w:sz w:val="21"/>
          <w:szCs w:val="21"/>
          <w:highlight w:val="none"/>
        </w:rPr>
        <w:t>有关</w:t>
      </w:r>
      <w:r>
        <w:rPr>
          <w:rFonts w:asciiTheme="majorEastAsia" w:hAnsiTheme="majorEastAsia" w:eastAsiaTheme="majorEastAsia"/>
          <w:bCs/>
          <w:sz w:val="21"/>
          <w:szCs w:val="21"/>
          <w:highlight w:val="none"/>
        </w:rPr>
        <w:t>意见和理由以书面形式向</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提出，否则，</w:t>
      </w:r>
      <w:r>
        <w:rPr>
          <w:rFonts w:hint="eastAsia" w:asciiTheme="majorEastAsia" w:hAnsiTheme="majorEastAsia" w:eastAsiaTheme="majorEastAsia"/>
          <w:sz w:val="21"/>
          <w:szCs w:val="21"/>
          <w:highlight w:val="none"/>
        </w:rPr>
        <w:t>采购人或采购代理机构</w:t>
      </w:r>
      <w:r>
        <w:rPr>
          <w:rFonts w:asciiTheme="majorEastAsia" w:hAnsiTheme="majorEastAsia" w:eastAsiaTheme="majorEastAsia"/>
          <w:bCs/>
          <w:sz w:val="21"/>
          <w:szCs w:val="21"/>
          <w:highlight w:val="none"/>
        </w:rPr>
        <w:t>视</w:t>
      </w:r>
      <w:r>
        <w:rPr>
          <w:rFonts w:hint="eastAsia" w:asciiTheme="majorEastAsia" w:hAnsiTheme="majorEastAsia" w:eastAsiaTheme="majorEastAsia"/>
          <w:bCs/>
          <w:sz w:val="21"/>
          <w:szCs w:val="21"/>
          <w:highlight w:val="none"/>
        </w:rPr>
        <w:t>为潜在</w:t>
      </w:r>
      <w:r>
        <w:rPr>
          <w:rFonts w:asciiTheme="majorEastAsia" w:hAnsiTheme="majorEastAsia" w:eastAsiaTheme="majorEastAsia"/>
          <w:bCs/>
          <w:sz w:val="21"/>
          <w:szCs w:val="21"/>
          <w:highlight w:val="none"/>
        </w:rPr>
        <w:t>投标人完全接受澄清或者修改的</w:t>
      </w:r>
      <w:r>
        <w:rPr>
          <w:rFonts w:hint="eastAsia" w:asciiTheme="majorEastAsia" w:hAnsiTheme="majorEastAsia" w:eastAsiaTheme="majorEastAsia"/>
          <w:bCs/>
          <w:sz w:val="21"/>
          <w:szCs w:val="21"/>
          <w:highlight w:val="none"/>
        </w:rPr>
        <w:t>内容，</w:t>
      </w:r>
      <w:r>
        <w:rPr>
          <w:rFonts w:asciiTheme="majorEastAsia" w:hAnsiTheme="majorEastAsia" w:eastAsiaTheme="majorEastAsia"/>
          <w:bCs/>
          <w:sz w:val="21"/>
          <w:szCs w:val="21"/>
          <w:highlight w:val="none"/>
        </w:rPr>
        <w:t>且</w:t>
      </w:r>
      <w:r>
        <w:rPr>
          <w:rFonts w:hint="eastAsia" w:asciiTheme="majorEastAsia" w:hAnsiTheme="majorEastAsia" w:eastAsiaTheme="majorEastAsia"/>
          <w:bCs/>
          <w:sz w:val="21"/>
          <w:szCs w:val="21"/>
          <w:highlight w:val="none"/>
        </w:rPr>
        <w:t>不</w:t>
      </w:r>
      <w:r>
        <w:rPr>
          <w:rFonts w:asciiTheme="majorEastAsia" w:hAnsiTheme="majorEastAsia" w:eastAsiaTheme="majorEastAsia"/>
          <w:bCs/>
          <w:sz w:val="21"/>
          <w:szCs w:val="21"/>
          <w:highlight w:val="none"/>
        </w:rPr>
        <w:t>影响</w:t>
      </w:r>
      <w:r>
        <w:rPr>
          <w:rFonts w:hint="eastAsia" w:asciiTheme="majorEastAsia" w:hAnsiTheme="majorEastAsia" w:eastAsiaTheme="majorEastAsia"/>
          <w:bCs/>
          <w:sz w:val="21"/>
          <w:szCs w:val="21"/>
          <w:highlight w:val="none"/>
        </w:rPr>
        <w:t>投标应</w:t>
      </w:r>
      <w:r>
        <w:rPr>
          <w:rFonts w:asciiTheme="majorEastAsia" w:hAnsiTheme="majorEastAsia" w:eastAsiaTheme="majorEastAsia"/>
          <w:bCs/>
          <w:sz w:val="21"/>
          <w:szCs w:val="21"/>
          <w:highlight w:val="none"/>
        </w:rPr>
        <w:t>文件编制。</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3）潜在</w:t>
      </w:r>
      <w:r>
        <w:rPr>
          <w:rFonts w:asciiTheme="majorEastAsia" w:hAnsiTheme="majorEastAsia" w:eastAsiaTheme="majorEastAsia"/>
          <w:bCs/>
          <w:sz w:val="21"/>
          <w:szCs w:val="21"/>
          <w:highlight w:val="none"/>
        </w:rPr>
        <w:t>投标人要求澄清</w:t>
      </w:r>
      <w:r>
        <w:rPr>
          <w:rFonts w:hint="eastAsia" w:asciiTheme="majorEastAsia" w:hAnsiTheme="majorEastAsia" w:eastAsiaTheme="majorEastAsia"/>
          <w:bCs/>
          <w:sz w:val="21"/>
          <w:szCs w:val="21"/>
          <w:highlight w:val="none"/>
        </w:rPr>
        <w:t>和回复的书面材料</w:t>
      </w:r>
      <w:r>
        <w:rPr>
          <w:rFonts w:asciiTheme="majorEastAsia" w:hAnsiTheme="majorEastAsia" w:eastAsiaTheme="majorEastAsia"/>
          <w:bCs/>
          <w:sz w:val="21"/>
          <w:szCs w:val="21"/>
          <w:highlight w:val="none"/>
        </w:rPr>
        <w:t>应加盖单位公章</w:t>
      </w:r>
      <w:r>
        <w:rPr>
          <w:rFonts w:hint="eastAsia" w:asciiTheme="majorEastAsia" w:hAnsiTheme="majorEastAsia" w:eastAsiaTheme="majorEastAsia"/>
          <w:bCs/>
          <w:sz w:val="21"/>
          <w:szCs w:val="21"/>
          <w:highlight w:val="none"/>
        </w:rPr>
        <w:t>并注明</w:t>
      </w:r>
      <w:r>
        <w:rPr>
          <w:rFonts w:asciiTheme="majorEastAsia" w:hAnsiTheme="majorEastAsia" w:eastAsiaTheme="majorEastAsia"/>
          <w:bCs/>
          <w:sz w:val="21"/>
          <w:szCs w:val="21"/>
          <w:highlight w:val="none"/>
        </w:rPr>
        <w:t>日期。</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4）</w:t>
      </w:r>
      <w:r>
        <w:rPr>
          <w:rFonts w:asciiTheme="majorEastAsia" w:hAnsiTheme="majorEastAsia" w:eastAsiaTheme="majorEastAsia"/>
          <w:bCs/>
          <w:sz w:val="21"/>
          <w:szCs w:val="21"/>
          <w:highlight w:val="none"/>
        </w:rPr>
        <w:t>当招标文件与</w:t>
      </w:r>
      <w:r>
        <w:rPr>
          <w:rFonts w:hint="eastAsia" w:asciiTheme="majorEastAsia" w:hAnsiTheme="majorEastAsia" w:eastAsiaTheme="majorEastAsia"/>
          <w:bCs/>
          <w:sz w:val="21"/>
          <w:szCs w:val="21"/>
          <w:highlight w:val="none"/>
        </w:rPr>
        <w:t>补充文件</w:t>
      </w:r>
      <w:r>
        <w:rPr>
          <w:rFonts w:asciiTheme="majorEastAsia" w:hAnsiTheme="majorEastAsia" w:eastAsiaTheme="majorEastAsia"/>
          <w:bCs/>
          <w:sz w:val="21"/>
          <w:szCs w:val="21"/>
          <w:highlight w:val="none"/>
        </w:rPr>
        <w:t>就同一内容的表述不一致时，以最后发出的</w:t>
      </w:r>
      <w:r>
        <w:rPr>
          <w:rFonts w:hint="eastAsia" w:asciiTheme="majorEastAsia" w:hAnsiTheme="majorEastAsia" w:eastAsiaTheme="majorEastAsia"/>
          <w:bCs/>
          <w:sz w:val="21"/>
          <w:szCs w:val="21"/>
          <w:highlight w:val="none"/>
        </w:rPr>
        <w:t>补充</w:t>
      </w:r>
      <w:r>
        <w:rPr>
          <w:rFonts w:asciiTheme="majorEastAsia" w:hAnsiTheme="majorEastAsia" w:eastAsiaTheme="majorEastAsia"/>
          <w:bCs/>
          <w:sz w:val="21"/>
          <w:szCs w:val="21"/>
          <w:highlight w:val="none"/>
        </w:rPr>
        <w:t>文件为准。</w:t>
      </w:r>
    </w:p>
    <w:p>
      <w:pPr>
        <w:pStyle w:val="25"/>
        <w:snapToGrid w:val="0"/>
        <w:spacing w:beforeLines="0" w:afterLines="0" w:line="360" w:lineRule="auto"/>
        <w:ind w:firstLine="420" w:firstLineChars="200"/>
        <w:rPr>
          <w:rFonts w:asciiTheme="majorEastAsia" w:hAnsiTheme="majorEastAsia" w:eastAsiaTheme="majorEastAsia"/>
          <w:bCs/>
          <w:sz w:val="21"/>
          <w:szCs w:val="21"/>
          <w:highlight w:val="none"/>
        </w:rPr>
      </w:pPr>
      <w:r>
        <w:rPr>
          <w:rFonts w:hint="eastAsia" w:asciiTheme="majorEastAsia" w:hAnsiTheme="majorEastAsia" w:eastAsiaTheme="majorEastAsia"/>
          <w:bCs/>
          <w:sz w:val="21"/>
          <w:szCs w:val="21"/>
          <w:highlight w:val="none"/>
        </w:rPr>
        <w:t>5）潜在投标人必须保证获取招标文件时提供资料的真实性、准确性及联系方式的畅通性，否则，由此导致采购人或采购代理机构无法及时通知有关事项造成的后果由投标人自行承担责任。</w:t>
      </w:r>
    </w:p>
    <w:p>
      <w:pPr>
        <w:pStyle w:val="25"/>
        <w:snapToGrid w:val="0"/>
        <w:spacing w:beforeLines="0" w:afterLines="0" w:line="360" w:lineRule="auto"/>
        <w:ind w:firstLine="422" w:firstLineChars="200"/>
        <w:rPr>
          <w:rFonts w:asciiTheme="majorEastAsia" w:hAnsiTheme="majorEastAsia" w:eastAsiaTheme="majorEastAsia"/>
          <w:b/>
          <w:bCs/>
          <w:sz w:val="21"/>
          <w:szCs w:val="21"/>
          <w:highlight w:val="none"/>
        </w:rPr>
      </w:pPr>
      <w:r>
        <w:rPr>
          <w:rFonts w:hint="eastAsia" w:asciiTheme="majorEastAsia" w:hAnsiTheme="majorEastAsia" w:eastAsiaTheme="majorEastAsia"/>
          <w:b/>
          <w:bCs/>
          <w:sz w:val="21"/>
          <w:szCs w:val="21"/>
          <w:highlight w:val="none"/>
        </w:rPr>
        <w:t>16.现场考察及标前答疑会</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16.1采购人或者采购代理机构在招标文件提供期限截止后，不组织已获取招标文件的潜在投标人现场考察或者召开开标前答疑会。</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16.2如投标人认为需要对本项目实施地点及周围环境进行现场考察的，由投标人自行组织。</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16.3</w:t>
      </w:r>
      <w:r>
        <w:rPr>
          <w:rFonts w:asciiTheme="majorEastAsia" w:hAnsiTheme="majorEastAsia" w:eastAsiaTheme="majorEastAsia"/>
          <w:sz w:val="21"/>
          <w:szCs w:val="21"/>
          <w:highlight w:val="none"/>
        </w:rPr>
        <w:t>潜在投标人</w:t>
      </w:r>
      <w:r>
        <w:rPr>
          <w:rFonts w:hint="eastAsia" w:asciiTheme="majorEastAsia" w:hAnsiTheme="majorEastAsia" w:eastAsiaTheme="majorEastAsia"/>
          <w:sz w:val="21"/>
          <w:szCs w:val="21"/>
          <w:highlight w:val="none"/>
        </w:rPr>
        <w:t>参加现场考察或答疑会的费用自理。除采购人的原因外，投标人自行负责现场考察或参加开标前答疑会造成的自身或第三人的人身伤害、财产损失或损坏的责任。</w:t>
      </w:r>
    </w:p>
    <w:p>
      <w:pPr>
        <w:spacing w:line="360" w:lineRule="auto"/>
        <w:ind w:firstLine="422" w:firstLineChars="200"/>
        <w:jc w:val="center"/>
        <w:rPr>
          <w:rFonts w:asciiTheme="majorEastAsia" w:hAnsiTheme="majorEastAsia" w:eastAsiaTheme="majorEastAsia"/>
          <w:b/>
          <w:szCs w:val="21"/>
          <w:highlight w:val="none"/>
        </w:rPr>
      </w:pPr>
      <w:r>
        <w:rPr>
          <w:rFonts w:asciiTheme="majorEastAsia" w:hAnsiTheme="majorEastAsia" w:eastAsiaTheme="majorEastAsia"/>
          <w:b/>
          <w:szCs w:val="21"/>
          <w:highlight w:val="none"/>
        </w:rPr>
        <w:t>三、投标文件的编制</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17.投标的语言和计量单位</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17.1投标人提交的投标文件以及投标人与采购人或采购代理机构就有关投标的所有来往函电均应使用中文。投标人提交的支持文件或印刷的文献可以用另一种语言，但相应内容应附有中文翻译本，在解释投标文件时以中文翻译本为准。</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17.2除非招标文件中另有规定，所使用的计量单位均以《中华人民共和国法定计量单位》为准，时间均为24小时制北京时间，货币单位均为人民币元。</w:t>
      </w:r>
    </w:p>
    <w:p>
      <w:pPr>
        <w:pStyle w:val="25"/>
        <w:snapToGrid w:val="0"/>
        <w:spacing w:beforeLines="0" w:afterLines="0" w:line="360" w:lineRule="auto"/>
        <w:ind w:firstLine="422" w:firstLineChars="200"/>
        <w:rPr>
          <w:rFonts w:asciiTheme="majorEastAsia" w:hAnsiTheme="majorEastAsia" w:eastAsiaTheme="majorEastAsia"/>
          <w:sz w:val="21"/>
          <w:szCs w:val="21"/>
          <w:highlight w:val="none"/>
        </w:rPr>
      </w:pPr>
      <w:r>
        <w:rPr>
          <w:rFonts w:hint="eastAsia" w:asciiTheme="majorEastAsia" w:hAnsiTheme="majorEastAsia" w:eastAsiaTheme="majorEastAsia"/>
          <w:b/>
          <w:sz w:val="21"/>
          <w:szCs w:val="21"/>
          <w:highlight w:val="none"/>
        </w:rPr>
        <w:t>18.投标文件的形式</w:t>
      </w:r>
    </w:p>
    <w:p>
      <w:pPr>
        <w:pStyle w:val="25"/>
        <w:snapToGrid w:val="0"/>
        <w:spacing w:beforeLines="0" w:afterLines="0" w:line="360" w:lineRule="auto"/>
        <w:ind w:firstLine="422" w:firstLineChars="200"/>
        <w:rPr>
          <w:rFonts w:asciiTheme="majorEastAsia" w:hAnsiTheme="majorEastAsia" w:eastAsiaTheme="majorEastAsia"/>
          <w:sz w:val="21"/>
          <w:szCs w:val="21"/>
          <w:highlight w:val="none"/>
        </w:rPr>
      </w:pPr>
      <w:r>
        <w:rPr>
          <w:rFonts w:hint="eastAsia" w:asciiTheme="majorEastAsia" w:hAnsiTheme="majorEastAsia" w:eastAsiaTheme="majorEastAsia"/>
          <w:b/>
          <w:sz w:val="21"/>
          <w:szCs w:val="21"/>
          <w:highlight w:val="none"/>
        </w:rPr>
        <w:t>本项目投标文件为电子投标文件形式，为在政采云系统上编制生成的电子加密投标文件及其备份投标文件。</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18.1电子加密投标文件是指通过“政采云电子投标客户端”完成投标文件编制后生成并加密的数据电文形式的加密标书，后缀名为【.jmbs】。</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18.2备份投标文件是指与电子加密投标文件同时生成的数据电文形式的备份标书，后缀名为【.bfbs】。</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19.投标文件内容的组成</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19.1投标人编写的投标文件应包含资格要求响应文件、商务技术文件和报价要求响应文件。</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19.2资格要求响应文件的组成:详见《供应商须知前附表》，未列入的内容，投标人认为需要的可以自行选择提供相关材料。</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19.3商务技术文件的组成:详见《供应商须知前附表》，未列入的内容，投标人认为需要的可以自行选择提供相关材料。</w:t>
      </w:r>
    </w:p>
    <w:p>
      <w:pPr>
        <w:pStyle w:val="25"/>
        <w:snapToGrid w:val="0"/>
        <w:spacing w:beforeLines="0" w:afterLines="0" w:line="360" w:lineRule="auto"/>
        <w:ind w:firstLine="420" w:firstLineChars="20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19.4报价要求响应文件的组成：详见《供应商须知前附表》，未列入的内容，投标人认为需要的可以自行选择提供相关材料。</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20.投标文件的编写</w:t>
      </w:r>
    </w:p>
    <w:p>
      <w:pPr>
        <w:spacing w:line="360" w:lineRule="auto"/>
        <w:ind w:firstLine="422" w:firstLineChars="200"/>
        <w:rPr>
          <w:rFonts w:asciiTheme="majorEastAsia" w:hAnsiTheme="majorEastAsia" w:eastAsiaTheme="majorEastAsia"/>
          <w:b/>
          <w:szCs w:val="21"/>
          <w:highlight w:val="none"/>
        </w:rPr>
      </w:pPr>
      <w:r>
        <w:rPr>
          <w:rFonts w:hint="eastAsia" w:cs="Arial" w:asciiTheme="majorEastAsia" w:hAnsiTheme="majorEastAsia" w:eastAsiaTheme="majorEastAsia"/>
          <w:b/>
          <w:kern w:val="0"/>
          <w:highlight w:val="none"/>
        </w:rPr>
        <w:t>本项目通过“政府采购云平台”实行在线投标响应（电子交易）。投标人应安装“政采云电子投标客户端”，按照招标文件和“政府采购云平台”的要求编制并加密投标文件。</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20.1</w:t>
      </w:r>
      <w:r>
        <w:rPr>
          <w:rFonts w:hint="eastAsia" w:asciiTheme="majorEastAsia" w:hAnsiTheme="majorEastAsia" w:eastAsiaTheme="majorEastAsia"/>
          <w:bCs/>
          <w:highlight w:val="none"/>
        </w:rPr>
        <w:t>投标人应认真阅读招标文件所有的事项、格式、条款和技术规格等内容，按照招标文件的要求编制投标文件，</w:t>
      </w:r>
      <w:r>
        <w:rPr>
          <w:rFonts w:hint="eastAsia" w:asciiTheme="majorEastAsia" w:hAnsiTheme="majorEastAsia" w:eastAsiaTheme="majorEastAsia"/>
          <w:szCs w:val="21"/>
          <w:highlight w:val="none"/>
        </w:rPr>
        <w:t>并根据自身的商务能力、技术水平等对招标文件提出的要求和条件作出真实的响应。</w:t>
      </w:r>
    </w:p>
    <w:p>
      <w:pPr>
        <w:spacing w:line="360" w:lineRule="auto"/>
        <w:ind w:firstLine="420" w:firstLineChars="200"/>
        <w:rPr>
          <w:rFonts w:asciiTheme="majorEastAsia" w:hAnsiTheme="majorEastAsia" w:eastAsiaTheme="majorEastAsia"/>
          <w:b/>
          <w:szCs w:val="21"/>
          <w:highlight w:val="none"/>
        </w:rPr>
      </w:pPr>
      <w:r>
        <w:rPr>
          <w:rFonts w:hint="eastAsia" w:cs="Arial" w:asciiTheme="majorEastAsia" w:hAnsiTheme="majorEastAsia" w:eastAsiaTheme="majorEastAsia"/>
          <w:highlight w:val="none"/>
        </w:rPr>
        <w:t>投标人</w:t>
      </w:r>
      <w:r>
        <w:rPr>
          <w:rFonts w:cs="Arial" w:asciiTheme="majorEastAsia" w:hAnsiTheme="majorEastAsia" w:eastAsiaTheme="majorEastAsia"/>
          <w:highlight w:val="none"/>
        </w:rPr>
        <w:t>应当对其提交的</w:t>
      </w:r>
      <w:r>
        <w:rPr>
          <w:rFonts w:hint="eastAsia" w:cs="Arial" w:asciiTheme="majorEastAsia" w:hAnsiTheme="majorEastAsia" w:eastAsiaTheme="majorEastAsia"/>
          <w:highlight w:val="none"/>
        </w:rPr>
        <w:t>投标</w:t>
      </w:r>
      <w:r>
        <w:rPr>
          <w:rFonts w:cs="Arial" w:asciiTheme="majorEastAsia" w:hAnsiTheme="majorEastAsia" w:eastAsiaTheme="majorEastAsia"/>
          <w:highlight w:val="none"/>
        </w:rPr>
        <w:t>文件的真实性、合法性承担法律责任。</w:t>
      </w:r>
      <w:r>
        <w:rPr>
          <w:rFonts w:hint="eastAsia" w:asciiTheme="majorEastAsia" w:hAnsiTheme="majorEastAsia" w:eastAsiaTheme="majorEastAsia"/>
          <w:highlight w:val="none"/>
        </w:rPr>
        <w:t>投标人必须无条件接受采购人或采购代理机构或者政府采购监督管理部门对其中任何资料进行核实的要求。</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20.2投标人应按照</w:t>
      </w:r>
      <w:r>
        <w:rPr>
          <w:rFonts w:hint="eastAsia" w:cs="Arial" w:asciiTheme="majorEastAsia" w:hAnsiTheme="majorEastAsia" w:eastAsiaTheme="majorEastAsia"/>
          <w:highlight w:val="none"/>
        </w:rPr>
        <w:t>《第六章  投标文件格式》</w:t>
      </w:r>
      <w:r>
        <w:rPr>
          <w:rFonts w:hint="eastAsia" w:asciiTheme="majorEastAsia" w:hAnsiTheme="majorEastAsia" w:eastAsiaTheme="majorEastAsia"/>
          <w:szCs w:val="21"/>
          <w:highlight w:val="none"/>
        </w:rPr>
        <w:t>的要求，完整地填写投标函、开标一览表，以及招标文件规定的其它内容，招标文件未提供文件格式的，由投标人自行拟定。</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20.3因投标人的投标文件只填写和提供了招标文件要求的部分内容和附件，或没有提供招标文件所要求的资料及数据，由此造成的后果和责任由投标人承担。</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20.4招标文件明确要求在投标文件中附（提交）证明材料而投标人未在投标文件中提供的不被认定为作出响应。</w:t>
      </w:r>
      <w:r>
        <w:rPr>
          <w:rFonts w:hint="eastAsia" w:asciiTheme="majorEastAsia" w:hAnsiTheme="majorEastAsia" w:eastAsiaTheme="majorEastAsia"/>
          <w:b/>
          <w:szCs w:val="21"/>
          <w:highlight w:val="none"/>
        </w:rPr>
        <w:t>提供的合同等证明材料应当是原始文件的复印件，否则因提供的证明材料缺少评审所需的关键或必要的信息导致不予认可的风险和责任由投标人承担。</w:t>
      </w:r>
    </w:p>
    <w:p>
      <w:pPr>
        <w:snapToGrid w:val="0"/>
        <w:spacing w:line="360" w:lineRule="auto"/>
        <w:ind w:firstLine="422" w:firstLineChars="200"/>
        <w:jc w:val="left"/>
        <w:rPr>
          <w:rFonts w:asciiTheme="majorEastAsia" w:hAnsiTheme="majorEastAsia" w:eastAsiaTheme="majorEastAsia"/>
          <w:b/>
          <w:highlight w:val="none"/>
        </w:rPr>
      </w:pPr>
      <w:r>
        <w:rPr>
          <w:rFonts w:hint="eastAsia" w:asciiTheme="majorEastAsia" w:hAnsiTheme="majorEastAsia" w:eastAsiaTheme="majorEastAsia"/>
          <w:b/>
          <w:highlight w:val="none"/>
        </w:rPr>
        <w:t>20.5投标人应准确设置评审关联定位，避免未设置或设置错误导致投标文件被误读、漏读或者查找不到相关内容的。</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21.投标文件的份数、签署及盖章</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21.1投标文件的份数</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投标文件的数量要求详见《投标人须知前附表》。</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21.2投标文件的签署及盖章</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1）招标文件要求签名的应当由投标人的法定代表人或经其正式授权的代表签字，因系统无法进行法定代表人或其授权代表签字操作的，可以线下签字扫描后上传至电子加密投标文件中。</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2）招标文件明示或要求盖公章处应盖投标人公章，可使用电子公章在线签章或线下盖单位公章扫描后上传。</w:t>
      </w:r>
    </w:p>
    <w:p>
      <w:pPr>
        <w:snapToGrid w:val="0"/>
        <w:spacing w:line="360" w:lineRule="auto"/>
        <w:ind w:firstLine="420" w:firstLineChars="200"/>
        <w:jc w:val="left"/>
        <w:rPr>
          <w:rFonts w:asciiTheme="majorEastAsia" w:hAnsiTheme="majorEastAsia" w:eastAsiaTheme="majorEastAsia"/>
          <w:b/>
          <w:highlight w:val="none"/>
        </w:rPr>
      </w:pPr>
      <w:r>
        <w:rPr>
          <w:rFonts w:hint="eastAsia" w:asciiTheme="majorEastAsia" w:hAnsiTheme="majorEastAsia" w:eastAsiaTheme="majorEastAsia"/>
          <w:highlight w:val="none"/>
        </w:rPr>
        <w:t>电子签章操作指南详见《政府采购项目电子交易管理操作指南-供应商》,</w:t>
      </w:r>
      <w:r>
        <w:rPr>
          <w:rFonts w:hint="eastAsia" w:asciiTheme="majorEastAsia" w:hAnsiTheme="majorEastAsia" w:eastAsiaTheme="majorEastAsia"/>
          <w:b/>
          <w:highlight w:val="none"/>
        </w:rPr>
        <w:t>系统要求进行电子签章的，按系统要求签章。</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3）投标</w:t>
      </w:r>
      <w:r>
        <w:rPr>
          <w:rFonts w:asciiTheme="majorEastAsia" w:hAnsiTheme="majorEastAsia" w:eastAsiaTheme="majorEastAsia"/>
          <w:highlight w:val="none"/>
        </w:rPr>
        <w:t>文件若有错</w:t>
      </w:r>
      <w:r>
        <w:rPr>
          <w:rFonts w:hint="eastAsia" w:asciiTheme="majorEastAsia" w:hAnsiTheme="majorEastAsia" w:eastAsiaTheme="majorEastAsia"/>
          <w:highlight w:val="none"/>
        </w:rPr>
        <w:t>、</w:t>
      </w:r>
      <w:r>
        <w:rPr>
          <w:rFonts w:asciiTheme="majorEastAsia" w:hAnsiTheme="majorEastAsia" w:eastAsiaTheme="majorEastAsia"/>
          <w:highlight w:val="none"/>
        </w:rPr>
        <w:t>漏处</w:t>
      </w:r>
      <w:r>
        <w:rPr>
          <w:rFonts w:hint="eastAsia" w:asciiTheme="majorEastAsia" w:hAnsiTheme="majorEastAsia" w:eastAsiaTheme="majorEastAsia"/>
          <w:highlight w:val="none"/>
        </w:rPr>
        <w:t>等必须修改的，修改处必须</w:t>
      </w:r>
      <w:r>
        <w:rPr>
          <w:rFonts w:asciiTheme="majorEastAsia" w:hAnsiTheme="majorEastAsia" w:eastAsiaTheme="majorEastAsia"/>
          <w:highlight w:val="none"/>
        </w:rPr>
        <w:t>加盖</w:t>
      </w:r>
      <w:r>
        <w:rPr>
          <w:rFonts w:hint="eastAsia" w:asciiTheme="majorEastAsia" w:hAnsiTheme="majorEastAsia" w:eastAsiaTheme="majorEastAsia"/>
          <w:highlight w:val="none"/>
        </w:rPr>
        <w:t>投标人</w:t>
      </w:r>
      <w:r>
        <w:rPr>
          <w:rFonts w:asciiTheme="majorEastAsia" w:hAnsiTheme="majorEastAsia" w:eastAsiaTheme="majorEastAsia"/>
          <w:highlight w:val="none"/>
        </w:rPr>
        <w:t>公章或者</w:t>
      </w:r>
      <w:r>
        <w:rPr>
          <w:rFonts w:hint="eastAsia" w:asciiTheme="majorEastAsia" w:hAnsiTheme="majorEastAsia" w:eastAsiaTheme="majorEastAsia"/>
          <w:highlight w:val="none"/>
        </w:rPr>
        <w:t>由投标人的</w:t>
      </w:r>
      <w:r>
        <w:rPr>
          <w:rFonts w:asciiTheme="majorEastAsia" w:hAnsiTheme="majorEastAsia" w:eastAsiaTheme="majorEastAsia"/>
          <w:highlight w:val="none"/>
        </w:rPr>
        <w:t>法定代表人</w:t>
      </w:r>
      <w:r>
        <w:rPr>
          <w:rFonts w:hint="eastAsia" w:asciiTheme="majorEastAsia" w:hAnsiTheme="majorEastAsia" w:eastAsiaTheme="majorEastAsia"/>
          <w:highlight w:val="none"/>
        </w:rPr>
        <w:t>或其</w:t>
      </w:r>
      <w:r>
        <w:rPr>
          <w:rFonts w:asciiTheme="majorEastAsia" w:hAnsiTheme="majorEastAsia" w:eastAsiaTheme="majorEastAsia"/>
          <w:highlight w:val="none"/>
        </w:rPr>
        <w:t>授权</w:t>
      </w:r>
      <w:r>
        <w:rPr>
          <w:rFonts w:hint="eastAsia" w:asciiTheme="majorEastAsia" w:hAnsiTheme="majorEastAsia" w:eastAsiaTheme="majorEastAsia"/>
          <w:highlight w:val="none"/>
        </w:rPr>
        <w:t>代表</w:t>
      </w:r>
      <w:r>
        <w:rPr>
          <w:rFonts w:asciiTheme="majorEastAsia" w:hAnsiTheme="majorEastAsia" w:eastAsiaTheme="majorEastAsia"/>
          <w:highlight w:val="none"/>
        </w:rPr>
        <w:t>签字</w:t>
      </w:r>
      <w:r>
        <w:rPr>
          <w:rFonts w:hint="eastAsia" w:asciiTheme="majorEastAsia" w:hAnsiTheme="majorEastAsia" w:eastAsiaTheme="majorEastAsia"/>
          <w:highlight w:val="none"/>
        </w:rPr>
        <w:t>，</w:t>
      </w:r>
      <w:r>
        <w:rPr>
          <w:rFonts w:hint="eastAsia" w:cs="宋体" w:asciiTheme="majorEastAsia" w:hAnsiTheme="majorEastAsia" w:eastAsiaTheme="majorEastAsia"/>
          <w:highlight w:val="none"/>
        </w:rPr>
        <w:t>否则评标委员会将不接受该修改内容</w:t>
      </w:r>
      <w:r>
        <w:rPr>
          <w:rFonts w:asciiTheme="majorEastAsia" w:hAnsiTheme="majorEastAsia" w:eastAsiaTheme="majorEastAsia"/>
          <w:highlight w:val="none"/>
        </w:rPr>
        <w:t>。</w:t>
      </w:r>
    </w:p>
    <w:p>
      <w:pPr>
        <w:spacing w:line="360" w:lineRule="auto"/>
        <w:ind w:firstLine="420" w:firstLineChars="200"/>
        <w:rPr>
          <w:rFonts w:asciiTheme="majorEastAsia" w:hAnsiTheme="majorEastAsia" w:eastAsiaTheme="majorEastAsia"/>
          <w:b/>
          <w:szCs w:val="21"/>
          <w:highlight w:val="none"/>
        </w:rPr>
      </w:pPr>
      <w:r>
        <w:rPr>
          <w:rFonts w:hint="eastAsia" w:asciiTheme="majorEastAsia" w:hAnsiTheme="majorEastAsia" w:eastAsiaTheme="majorEastAsia"/>
          <w:szCs w:val="21"/>
          <w:highlight w:val="none"/>
        </w:rPr>
        <w:t>▲</w:t>
      </w:r>
      <w:r>
        <w:rPr>
          <w:rFonts w:asciiTheme="majorEastAsia" w:hAnsiTheme="majorEastAsia" w:eastAsiaTheme="majorEastAsia"/>
          <w:b/>
          <w:szCs w:val="21"/>
          <w:highlight w:val="none"/>
        </w:rPr>
        <w:t>2</w:t>
      </w:r>
      <w:r>
        <w:rPr>
          <w:rFonts w:hint="eastAsia" w:asciiTheme="majorEastAsia" w:hAnsiTheme="majorEastAsia" w:eastAsiaTheme="majorEastAsia"/>
          <w:b/>
          <w:szCs w:val="21"/>
          <w:highlight w:val="none"/>
        </w:rPr>
        <w:t>2</w:t>
      </w:r>
      <w:r>
        <w:rPr>
          <w:rFonts w:asciiTheme="majorEastAsia" w:hAnsiTheme="majorEastAsia" w:eastAsiaTheme="majorEastAsia"/>
          <w:b/>
          <w:szCs w:val="21"/>
          <w:highlight w:val="none"/>
        </w:rPr>
        <w:t>.投标报价要求</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22.1</w:t>
      </w:r>
      <w:r>
        <w:rPr>
          <w:rFonts w:hint="eastAsia" w:asciiTheme="majorEastAsia" w:hAnsiTheme="majorEastAsia" w:eastAsiaTheme="majorEastAsia"/>
          <w:b/>
          <w:szCs w:val="21"/>
          <w:highlight w:val="none"/>
        </w:rPr>
        <w:t>投标报价的组成</w:t>
      </w:r>
      <w:r>
        <w:rPr>
          <w:rFonts w:hint="eastAsia" w:asciiTheme="majorEastAsia" w:hAnsiTheme="majorEastAsia" w:eastAsiaTheme="majorEastAsia"/>
          <w:szCs w:val="21"/>
          <w:highlight w:val="none"/>
        </w:rPr>
        <w:t>：详见《投标人须知前附表》。</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22.2所有投标或结算货币为人民币，针对具体报价项目</w:t>
      </w:r>
      <w:r>
        <w:rPr>
          <w:rFonts w:asciiTheme="majorEastAsia" w:hAnsiTheme="majorEastAsia" w:eastAsiaTheme="majorEastAsia"/>
          <w:szCs w:val="21"/>
          <w:highlight w:val="none"/>
        </w:rPr>
        <w:t>只允许有一个报价，</w:t>
      </w:r>
      <w:r>
        <w:rPr>
          <w:rFonts w:hint="eastAsia" w:asciiTheme="majorEastAsia" w:hAnsiTheme="majorEastAsia" w:eastAsiaTheme="majorEastAsia"/>
          <w:szCs w:val="21"/>
          <w:highlight w:val="none"/>
        </w:rPr>
        <w:t>不接受</w:t>
      </w:r>
      <w:r>
        <w:rPr>
          <w:rFonts w:asciiTheme="majorEastAsia" w:hAnsiTheme="majorEastAsia" w:eastAsiaTheme="majorEastAsia"/>
          <w:szCs w:val="21"/>
          <w:highlight w:val="none"/>
        </w:rPr>
        <w:t>有选择的</w:t>
      </w:r>
      <w:r>
        <w:rPr>
          <w:rFonts w:hint="eastAsia" w:asciiTheme="majorEastAsia" w:hAnsiTheme="majorEastAsia" w:eastAsiaTheme="majorEastAsia"/>
          <w:szCs w:val="21"/>
          <w:highlight w:val="none"/>
        </w:rPr>
        <w:t>或有附加条件的投标</w:t>
      </w:r>
      <w:r>
        <w:rPr>
          <w:rFonts w:asciiTheme="majorEastAsia" w:hAnsiTheme="majorEastAsia" w:eastAsiaTheme="majorEastAsia"/>
          <w:szCs w:val="21"/>
          <w:highlight w:val="none"/>
        </w:rPr>
        <w:t>报价。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22.3</w:t>
      </w:r>
      <w:r>
        <w:rPr>
          <w:rFonts w:hint="eastAsia" w:asciiTheme="majorEastAsia" w:hAnsiTheme="majorEastAsia" w:eastAsiaTheme="majorEastAsia"/>
          <w:b/>
          <w:highlight w:val="none"/>
        </w:rPr>
        <w:t>投标报价不允许为100%（即赠送），否则视同赠送，采购人不予接受，其投标将被拒绝，按照投标无效处理。</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23.投标保证金</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本项目不收取投标保证金。</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24.投标有效期</w:t>
      </w:r>
    </w:p>
    <w:p>
      <w:pPr>
        <w:pStyle w:val="25"/>
        <w:snapToGrid w:val="0"/>
        <w:spacing w:beforeLines="0" w:afterLines="0" w:line="360" w:lineRule="auto"/>
        <w:ind w:firstLine="48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 w:val="21"/>
          <w:szCs w:val="21"/>
          <w:highlight w:val="none"/>
        </w:rPr>
        <w:t>24.</w:t>
      </w:r>
      <w:r>
        <w:rPr>
          <w:rFonts w:asciiTheme="majorEastAsia" w:hAnsiTheme="majorEastAsia" w:eastAsiaTheme="majorEastAsia"/>
          <w:sz w:val="21"/>
          <w:szCs w:val="21"/>
          <w:highlight w:val="none"/>
        </w:rPr>
        <w:t>1</w:t>
      </w:r>
      <w:r>
        <w:rPr>
          <w:rFonts w:hint="eastAsia" w:asciiTheme="majorEastAsia" w:hAnsiTheme="majorEastAsia" w:eastAsiaTheme="majorEastAsia"/>
          <w:sz w:val="21"/>
          <w:szCs w:val="21"/>
          <w:highlight w:val="none"/>
        </w:rPr>
        <w:t>投标有效期：详见《投标人须知前附表》。</w:t>
      </w:r>
    </w:p>
    <w:p>
      <w:pPr>
        <w:pStyle w:val="25"/>
        <w:snapToGrid w:val="0"/>
        <w:spacing w:beforeLines="0" w:afterLines="0" w:line="360" w:lineRule="auto"/>
        <w:ind w:firstLine="420" w:firstLineChars="200"/>
        <w:jc w:val="left"/>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24.2特殊情况下，在原投标有效期截止之前，采购人或采购代理机构可要求投标人延长投标有效期。这种要求与答复均应以书面形式提交。投标人可拒绝采购人或采购代理机构的这种要求，其投标保证金将予以退还，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四、投标文件的提交</w:t>
      </w:r>
    </w:p>
    <w:p>
      <w:pPr>
        <w:pStyle w:val="25"/>
        <w:snapToGrid w:val="0"/>
        <w:spacing w:beforeLines="0" w:afterLines="0" w:line="360" w:lineRule="auto"/>
        <w:ind w:firstLine="422" w:firstLineChars="200"/>
        <w:jc w:val="left"/>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25.电子加密投标文件的提交</w:t>
      </w:r>
    </w:p>
    <w:p>
      <w:pPr>
        <w:pStyle w:val="25"/>
        <w:snapToGrid w:val="0"/>
        <w:spacing w:beforeLines="0" w:afterLines="0" w:line="360" w:lineRule="auto"/>
        <w:ind w:firstLine="420" w:firstLineChars="200"/>
        <w:jc w:val="left"/>
        <w:rPr>
          <w:rFonts w:cs="宋体" w:asciiTheme="majorEastAsia" w:hAnsiTheme="majorEastAsia" w:eastAsiaTheme="majorEastAsia"/>
          <w:sz w:val="21"/>
          <w:szCs w:val="21"/>
          <w:highlight w:val="none"/>
        </w:rPr>
      </w:pPr>
      <w:r>
        <w:rPr>
          <w:rFonts w:hint="eastAsia" w:cs="宋体" w:asciiTheme="majorEastAsia" w:hAnsiTheme="majorEastAsia" w:eastAsiaTheme="majorEastAsia"/>
          <w:sz w:val="21"/>
          <w:szCs w:val="21"/>
          <w:highlight w:val="none"/>
        </w:rPr>
        <w:t>投标人应当在投标截止时间前将电子加密投标文件上传至“政府采购云平台”，成功上传后，投标人可自行打印投标文件接收回执。</w:t>
      </w:r>
    </w:p>
    <w:p>
      <w:pPr>
        <w:pStyle w:val="25"/>
        <w:snapToGrid w:val="0"/>
        <w:spacing w:beforeLines="0" w:afterLines="0" w:line="360" w:lineRule="auto"/>
        <w:ind w:firstLine="422" w:firstLineChars="200"/>
        <w:jc w:val="left"/>
        <w:rPr>
          <w:rFonts w:cs="宋体"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26.</w:t>
      </w:r>
      <w:r>
        <w:rPr>
          <w:rFonts w:hint="eastAsia" w:cs="宋体" w:asciiTheme="majorEastAsia" w:hAnsiTheme="majorEastAsia" w:eastAsiaTheme="majorEastAsia"/>
          <w:b/>
          <w:sz w:val="21"/>
          <w:szCs w:val="21"/>
          <w:highlight w:val="none"/>
        </w:rPr>
        <w:t>备份投标文件的提交</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投标人在“政府采购云平台”完成电子加密投标文件的上传后，还可以在投标截止时间前提交以U盘存储的备份投标文件，但采购人、采购机构不强制投标人提交备份投标文件。</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采购人或采购代理机构拒绝接收未按要求密封、标注、盖章及投标截止时间后提交的备份投标文件。</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26.1备份投标文件的密封</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备份投标文件的载体必须密封包装。密封包装的封口处应保证严密，不足以造成备份投标文件载体从包装内漏出而导致备份投标文件内容泄密的，不被认定为未密封。</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26.2备份投标文件密封包装的标注和盖章</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备份投标文件的密封包装应当进行标注及盖章，具体要求详见《投标人须知前附表》。</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27.投标截止时间及地点</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27.1投标人应当在招标文件要求提交投标文件的截止时间前，将投标文件送达投标地点（电子加密投标文件上传到“政府采购云平台”并成功），具体时间及地点详见《第一章  投标邀请》。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27.2采购人或采购代理机构可以按有关规定推迟投标截止时间。在此情况下采购人或采购代理机构和投标人受投标截止时间约束的所有权利和义务均应延长至新的投标截止时间。</w:t>
      </w:r>
    </w:p>
    <w:p>
      <w:pPr>
        <w:snapToGrid w:val="0"/>
        <w:spacing w:line="360" w:lineRule="auto"/>
        <w:ind w:firstLine="422" w:firstLineChars="200"/>
        <w:jc w:val="left"/>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28.投标文件的修改和撤回</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28.1</w:t>
      </w:r>
      <w:r>
        <w:rPr>
          <w:rFonts w:asciiTheme="majorEastAsia" w:hAnsiTheme="majorEastAsia" w:eastAsiaTheme="majorEastAsia"/>
          <w:szCs w:val="21"/>
          <w:highlight w:val="none"/>
        </w:rPr>
        <w:t>投标人在投标截止时间前，可以对</w:t>
      </w:r>
      <w:r>
        <w:rPr>
          <w:rFonts w:hint="eastAsia" w:asciiTheme="majorEastAsia" w:hAnsiTheme="majorEastAsia" w:eastAsiaTheme="majorEastAsia"/>
          <w:szCs w:val="21"/>
          <w:highlight w:val="none"/>
        </w:rPr>
        <w:t>已经提交</w:t>
      </w:r>
      <w:r>
        <w:rPr>
          <w:rFonts w:asciiTheme="majorEastAsia" w:hAnsiTheme="majorEastAsia" w:eastAsiaTheme="majorEastAsia"/>
          <w:szCs w:val="21"/>
          <w:highlight w:val="none"/>
        </w:rPr>
        <w:t>的投标文件进行补充、修改或者撤回。</w:t>
      </w:r>
    </w:p>
    <w:p>
      <w:pPr>
        <w:snapToGrid w:val="0"/>
        <w:spacing w:line="360" w:lineRule="auto"/>
        <w:ind w:firstLine="420" w:firstLineChars="200"/>
        <w:jc w:val="left"/>
        <w:rPr>
          <w:rFonts w:cs="Helvetica"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对已经完成传输递交的</w:t>
      </w:r>
      <w:r>
        <w:rPr>
          <w:rFonts w:hint="eastAsia" w:cs="宋体" w:asciiTheme="majorEastAsia" w:hAnsiTheme="majorEastAsia" w:eastAsiaTheme="majorEastAsia"/>
          <w:szCs w:val="21"/>
          <w:highlight w:val="none"/>
        </w:rPr>
        <w:t>电子加密投标文件进行</w:t>
      </w:r>
      <w:r>
        <w:rPr>
          <w:rFonts w:hint="eastAsia" w:cs="Helvetica" w:asciiTheme="majorEastAsia" w:hAnsiTheme="majorEastAsia" w:eastAsiaTheme="majorEastAsia"/>
          <w:kern w:val="0"/>
          <w:szCs w:val="21"/>
          <w:highlight w:val="none"/>
        </w:rPr>
        <w:t>补充或者修改的，应当先行撤回原文件，补充、修改后重新传输递交。投标人在投标截止时间前未重新完成传输递交的，视为撤回投标文件。投标截止时间后递交的电子加密投标文件，电子交易平台将拒收。</w:t>
      </w:r>
    </w:p>
    <w:p>
      <w:pPr>
        <w:snapToGrid w:val="0"/>
        <w:spacing w:line="360" w:lineRule="auto"/>
        <w:ind w:firstLine="420" w:firstLineChars="200"/>
        <w:jc w:val="left"/>
        <w:rPr>
          <w:rFonts w:cs="Helvetica" w:asciiTheme="majorEastAsia" w:hAnsiTheme="majorEastAsia" w:eastAsiaTheme="majorEastAsia"/>
          <w:kern w:val="0"/>
          <w:szCs w:val="21"/>
          <w:highlight w:val="none"/>
        </w:rPr>
      </w:pPr>
      <w:r>
        <w:rPr>
          <w:rFonts w:hint="eastAsia" w:cs="Arial" w:asciiTheme="majorEastAsia" w:hAnsiTheme="majorEastAsia" w:eastAsiaTheme="majorEastAsia"/>
          <w:highlight w:val="none"/>
        </w:rPr>
        <w:t>投标人在投标截止时间前</w:t>
      </w:r>
      <w:r>
        <w:rPr>
          <w:rFonts w:cs="Arial" w:asciiTheme="majorEastAsia" w:hAnsiTheme="majorEastAsia" w:eastAsiaTheme="majorEastAsia"/>
          <w:highlight w:val="none"/>
        </w:rPr>
        <w:t>递交</w:t>
      </w:r>
      <w:r>
        <w:rPr>
          <w:rFonts w:hint="eastAsia" w:cs="Arial" w:asciiTheme="majorEastAsia" w:hAnsiTheme="majorEastAsia" w:eastAsiaTheme="majorEastAsia"/>
          <w:highlight w:val="none"/>
        </w:rPr>
        <w:t>了需要补充或修改的</w:t>
      </w:r>
      <w:r>
        <w:rPr>
          <w:rFonts w:hint="eastAsia" w:cs="宋体" w:asciiTheme="majorEastAsia" w:hAnsiTheme="majorEastAsia" w:eastAsiaTheme="majorEastAsia"/>
          <w:szCs w:val="21"/>
          <w:highlight w:val="none"/>
        </w:rPr>
        <w:t>电子加密投标文件的</w:t>
      </w:r>
      <w:r>
        <w:rPr>
          <w:rFonts w:cs="Arial" w:asciiTheme="majorEastAsia" w:hAnsiTheme="majorEastAsia" w:eastAsiaTheme="majorEastAsia"/>
          <w:highlight w:val="none"/>
        </w:rPr>
        <w:t>备份投标文件</w:t>
      </w:r>
      <w:r>
        <w:rPr>
          <w:rFonts w:hint="eastAsia" w:cs="Arial" w:asciiTheme="majorEastAsia" w:hAnsiTheme="majorEastAsia" w:eastAsiaTheme="majorEastAsia"/>
          <w:highlight w:val="none"/>
        </w:rPr>
        <w:t>，可以</w:t>
      </w:r>
      <w:r>
        <w:rPr>
          <w:rFonts w:cs="Arial" w:asciiTheme="majorEastAsia" w:hAnsiTheme="majorEastAsia" w:eastAsiaTheme="majorEastAsia"/>
          <w:highlight w:val="none"/>
        </w:rPr>
        <w:t>重新</w:t>
      </w:r>
      <w:r>
        <w:rPr>
          <w:rFonts w:hint="eastAsia" w:cs="Arial" w:asciiTheme="majorEastAsia" w:hAnsiTheme="majorEastAsia" w:eastAsiaTheme="majorEastAsia"/>
          <w:highlight w:val="none"/>
        </w:rPr>
        <w:t>提交补充或修改后的</w:t>
      </w:r>
      <w:r>
        <w:rPr>
          <w:rFonts w:cs="Arial" w:asciiTheme="majorEastAsia" w:hAnsiTheme="majorEastAsia" w:eastAsiaTheme="majorEastAsia"/>
          <w:highlight w:val="none"/>
        </w:rPr>
        <w:t>备份投标文件</w:t>
      </w:r>
      <w:r>
        <w:rPr>
          <w:rFonts w:hint="eastAsia" w:cs="Arial" w:asciiTheme="majorEastAsia" w:hAnsiTheme="majorEastAsia" w:eastAsiaTheme="majorEastAsia"/>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28.2</w:t>
      </w:r>
      <w:r>
        <w:rPr>
          <w:rFonts w:asciiTheme="majorEastAsia" w:hAnsiTheme="majorEastAsia" w:eastAsiaTheme="majorEastAsia"/>
          <w:szCs w:val="21"/>
          <w:highlight w:val="none"/>
        </w:rPr>
        <w:t>投标截止时间后</w:t>
      </w:r>
      <w:r>
        <w:rPr>
          <w:rFonts w:hint="eastAsia" w:asciiTheme="majorEastAsia" w:hAnsiTheme="majorEastAsia" w:eastAsiaTheme="majorEastAsia"/>
          <w:szCs w:val="21"/>
          <w:highlight w:val="none"/>
        </w:rPr>
        <w:t>，投标人不得对其投标文件进行补充、修改</w:t>
      </w:r>
      <w:r>
        <w:rPr>
          <w:rFonts w:asciiTheme="majorEastAsia" w:hAnsiTheme="majorEastAsia" w:eastAsiaTheme="majorEastAsia"/>
          <w:szCs w:val="21"/>
          <w:highlight w:val="none"/>
        </w:rPr>
        <w:t>。</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五、开标与评标</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29.开标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29.1采购代理机构按照招标文件规定的时间通过电子交易平台组织开标，所有投标人均应当准时在线参加</w:t>
      </w:r>
      <w:r>
        <w:rPr>
          <w:rFonts w:asciiTheme="majorEastAsia" w:hAnsiTheme="majorEastAsia" w:eastAsiaTheme="majorEastAsia"/>
          <w:szCs w:val="21"/>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投标截止后，投标人不足3家的不得开标。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29.2投标文件（资格要求响应文件、商务技术文件和报价要求响应文件）的开启步骤：详见《投标人须知前附表》。</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29.3开标时，电子交易平台按开标时间自动提取所有电子加密投标文件。采购代理机构依托电子交易平台发起开始解密指令，投标人按照平台提示和招标文件的规定在30分钟内完成在线解密。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投标人如未在线参加开标的，视同认可开标结果，事后不得对开标结果提出异议。同时，投标人因未在线参加开标而导致电子加密投标文件无法按时解密等一切后果由投标人自己承担。</w:t>
      </w:r>
    </w:p>
    <w:p>
      <w:pPr>
        <w:snapToGrid w:val="0"/>
        <w:spacing w:line="360" w:lineRule="auto"/>
        <w:ind w:firstLine="420" w:firstLineChars="200"/>
        <w:jc w:val="left"/>
        <w:rPr>
          <w:rFonts w:cs="Arial"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29.4</w:t>
      </w:r>
      <w:r>
        <w:rPr>
          <w:rFonts w:hint="eastAsia" w:asciiTheme="majorEastAsia" w:hAnsiTheme="majorEastAsia" w:eastAsiaTheme="majorEastAsia"/>
          <w:highlight w:val="none"/>
        </w:rPr>
        <w:t>发生投标人在规定时间内解密电子加密投标文件但解密失败的情形，如投标人已按招标文件规定提交了备份投标文件文件的，将由采购代理机构按“政府采购云平台”操作规范将备份投标文件上传至“政府采购云平台”异常端口处理，上传成功后，电子加密投标文件自动失效；</w:t>
      </w:r>
      <w:r>
        <w:rPr>
          <w:rFonts w:hint="eastAsia" w:asciiTheme="majorEastAsia" w:hAnsiTheme="majorEastAsia" w:eastAsiaTheme="majorEastAsia"/>
          <w:szCs w:val="21"/>
          <w:highlight w:val="none"/>
        </w:rPr>
        <w:t>投标人</w:t>
      </w:r>
      <w:r>
        <w:rPr>
          <w:rFonts w:hint="eastAsia" w:cs="Arial" w:asciiTheme="majorEastAsia" w:hAnsiTheme="majorEastAsia" w:eastAsiaTheme="majorEastAsia"/>
          <w:kern w:val="0"/>
          <w:szCs w:val="21"/>
          <w:highlight w:val="none"/>
        </w:rPr>
        <w:t>未按规定提交备份投标文件的</w:t>
      </w:r>
      <w:r>
        <w:rPr>
          <w:rFonts w:hint="eastAsia" w:asciiTheme="majorEastAsia" w:hAnsiTheme="majorEastAsia" w:eastAsiaTheme="majorEastAsia"/>
          <w:szCs w:val="21"/>
          <w:highlight w:val="none"/>
        </w:rPr>
        <w:t>，</w:t>
      </w:r>
      <w:r>
        <w:rPr>
          <w:rFonts w:hint="eastAsia" w:asciiTheme="majorEastAsia" w:hAnsiTheme="majorEastAsia" w:eastAsiaTheme="majorEastAsia"/>
          <w:b/>
          <w:szCs w:val="21"/>
          <w:highlight w:val="none"/>
        </w:rPr>
        <w:t>视为撤回投标文件</w:t>
      </w:r>
      <w:r>
        <w:rPr>
          <w:rFonts w:hint="eastAsia" w:asciiTheme="majorEastAsia" w:hAnsiTheme="majorEastAsia" w:eastAsiaTheme="majorEastAsia"/>
          <w:szCs w:val="21"/>
          <w:highlight w:val="none"/>
        </w:rPr>
        <w:t>。</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电子加密投标文件已按时解密的，备份投标文件自动失效。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29.5</w:t>
      </w:r>
      <w:r>
        <w:rPr>
          <w:rFonts w:asciiTheme="majorEastAsia" w:hAnsiTheme="majorEastAsia" w:eastAsiaTheme="majorEastAsia"/>
          <w:szCs w:val="21"/>
          <w:highlight w:val="none"/>
        </w:rPr>
        <w:t>开标过程由采购代理机构负责记录，由参加开标的投标人代表和相关工作人员签字确认后随采购文件一并存档。</w:t>
      </w:r>
    </w:p>
    <w:p>
      <w:pPr>
        <w:snapToGrid w:val="0"/>
        <w:spacing w:line="360" w:lineRule="auto"/>
        <w:ind w:firstLine="420" w:firstLineChars="200"/>
        <w:jc w:val="left"/>
        <w:rPr>
          <w:rFonts w:asciiTheme="majorEastAsia" w:hAnsiTheme="majorEastAsia" w:eastAsiaTheme="majorEastAsia"/>
          <w:szCs w:val="21"/>
          <w:highlight w:val="none"/>
        </w:rPr>
      </w:pPr>
      <w:r>
        <w:rPr>
          <w:rFonts w:asciiTheme="majorEastAsia" w:hAnsiTheme="majorEastAsia" w:eastAsiaTheme="majorEastAsia"/>
          <w:szCs w:val="21"/>
          <w:highlight w:val="none"/>
        </w:rPr>
        <w:t>投标人代表对开标过程和开标记录有疑义，以及认为</w:t>
      </w:r>
      <w:r>
        <w:rPr>
          <w:rFonts w:hint="eastAsia" w:asciiTheme="majorEastAsia" w:hAnsiTheme="majorEastAsia" w:eastAsiaTheme="majorEastAsia"/>
          <w:szCs w:val="21"/>
          <w:highlight w:val="none"/>
        </w:rPr>
        <w:t>采购人或采购代理机构</w:t>
      </w:r>
      <w:r>
        <w:rPr>
          <w:rFonts w:asciiTheme="majorEastAsia" w:hAnsiTheme="majorEastAsia" w:eastAsiaTheme="majorEastAsia"/>
          <w:szCs w:val="21"/>
          <w:highlight w:val="none"/>
        </w:rPr>
        <w:t>相关工作人员有需要回避的情形的，应当场提出询问或者回避申请。</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30.评标</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30.1开标结束后，采购人或采购代理机构依法对投标人的资格进行审查。采购代理机构负责组织评标工作。</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30.2评标委员会负责具体评标事务。</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30.3</w:t>
      </w:r>
      <w:r>
        <w:rPr>
          <w:rFonts w:hint="eastAsia" w:ascii="宋体" w:hAnsi="宋体"/>
          <w:szCs w:val="21"/>
          <w:highlight w:val="none"/>
        </w:rPr>
        <w:t>评标委员会由采购人代表和评审专家组成，成员人数为5人，其中采购人代表</w:t>
      </w:r>
      <w:r>
        <w:rPr>
          <w:rFonts w:hint="eastAsia" w:ascii="宋体" w:hAnsi="宋体"/>
          <w:szCs w:val="21"/>
          <w:highlight w:val="none"/>
          <w:lang w:val="en-US" w:eastAsia="zh-CN"/>
        </w:rPr>
        <w:t>人数为1人，</w:t>
      </w:r>
      <w:r>
        <w:rPr>
          <w:rFonts w:hint="eastAsia" w:ascii="宋体" w:hAnsi="宋体"/>
          <w:szCs w:val="21"/>
          <w:highlight w:val="none"/>
        </w:rPr>
        <w:t>评审专家人数为4人。</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评标委员会成员名单在评标结果公告前应当保密。评标委员会成员与供应商有下列利害关系之一的，应当回避：</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1）参加采购活动前3年内与供应商存在劳动关系；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2）参加采购活动前3年内担任供应商的董事、监事；</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3）参加采购活动前3年内是供应商的控股股东或者实际控制人；</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4）与供应商的法定代表人或者负责人有夫妻、直系血亲、三代以内旁系血亲或者近姻亲关系；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5）与供应商有其他可能影响政府采购活动公平、公正进行的关系。</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30.4评标委员会应当对符合资格的投标人的投标文件进行符合性审查，以确定其是否满足招标文件的实质性要求。</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30.5对于投标文件中含义不明确、同类问题表述不一致或者有明显文字和计算错误的内容，评标委员会应当以书面形式要求投标人作出必要的澄清、说明或者补正。</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上述书面方式为通过电子交易平台交换数据电文，投标人提交使用电子签名的相关数据电文或通过平台上传投标人的法定代表人或其授权的代表签字或加盖公章的文件的扫描件。给予投标人提交澄清、说明或补正的时间不少于30分钟，投标人已经明确表示澄清说明或补正完毕的除外。</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30.6评标委员会应当按照招标文件中规定的评标方法和标准，对符合性审查合格的投标文件进行商务和技术评估，综合比较与评价。</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30.7本项目采用综合评分法，评分标准的设置详见《第四章  评标方法及评标标准》。</w:t>
      </w:r>
    </w:p>
    <w:p>
      <w:pPr>
        <w:snapToGrid w:val="0"/>
        <w:spacing w:line="360" w:lineRule="auto"/>
        <w:ind w:firstLine="422" w:firstLineChars="200"/>
        <w:jc w:val="left"/>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评标结果按评审后得分由高到低顺序排列。得分相同的，按投标报价由低到高顺序排列。</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30.8投标文件报价出现前后不一致的，按照下列规定修正：</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1）电子交易平台客户端里开标一览表录入的投标报价与报价要求响应文件中的开标一览表投标报价不一致的，以报价要求响应文件中的投标报价为准。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2）投标文件中开标一览表（报价表）内容与投标文件中相应内容不一致的，以开标一览表（报价表）为准；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3）大写金额和小写金额不一致的，以大写金额为准；</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4）单价金额小数点或者百分比有明显错位的，以开标一览表的总价为准，并修改单价；</w:t>
      </w:r>
    </w:p>
    <w:p>
      <w:pPr>
        <w:snapToGrid w:val="0"/>
        <w:spacing w:line="360" w:lineRule="auto"/>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5）总价金额与按单价汇总金额不一致的，以单价金额计算结果为准。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同时出现两种以上不一致的，按照前款规定的顺序修正。修正后的报价由投标人确认，采用书面形式，并加盖公章，或者由法定代表人或其授权的代表签字。经投标人确认后产生约束力，投标人不确认的，其投标无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30.9</w:t>
      </w:r>
      <w:r>
        <w:rPr>
          <w:rFonts w:asciiTheme="majorEastAsia" w:hAnsiTheme="majorEastAsia" w:eastAsiaTheme="majorEastAsia"/>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30.10</w:t>
      </w:r>
      <w:r>
        <w:rPr>
          <w:rFonts w:asciiTheme="majorEastAsia" w:hAnsiTheme="majorEastAsia" w:eastAsiaTheme="majorEastAsia"/>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30.11投标人存在下列情况之一的，投标无效:</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1）投标文件未按招标文件要求签署、盖章的；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2）不具备招标文件中规定的资格要求的（包括未提交有效的符合招标文件要求的资格证明文件）；</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3）未对招标文件的实质性条款作出响应的；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4）报价超过招标文件中规定的预算金额或者最高限价的；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5）投标文件含有采购人不能接受的附加条件的；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6）采购人拟采购的产品属于政府强制采购的节能产品品目清单范围的，投标人未按招标文件要求提供国家确定的认证机构出具的、处于有效期之内的节能产品认证证书的；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7）投标文件中含有虚假材料的；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8）仅提交备份投标文件的；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9）投标文件关键内容缺失导致评标活动无法正常进行的；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10）投标人违背诚实信用原则的；</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11）法律、法规和招标文件规定的其他无效情形。</w:t>
      </w:r>
    </w:p>
    <w:p>
      <w:pPr>
        <w:snapToGrid w:val="0"/>
        <w:spacing w:line="360" w:lineRule="auto"/>
        <w:ind w:firstLine="420" w:firstLineChars="20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30.12有关人员对评标情况以及在评标过程中获悉的国家秘密、商业秘密负有保密责任。</w:t>
      </w:r>
    </w:p>
    <w:p>
      <w:pPr>
        <w:pStyle w:val="25"/>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31.废标的情形</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在本项目招标采购中，出现下列情形之一的，应予废标：</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1）符合资格要求的投标人或者对招标文件作实质响应的投标人不足三家的；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2）出现影响采购公正的违法、违规行为的；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3）投标人的报价均超过了采购预算，采购人不能支付的；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4）因重大变故，采购任务取消的。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5）电子交易平台无法正常运行，无法保证电子交易的公平、公正和安全的情况。</w:t>
      </w:r>
    </w:p>
    <w:p>
      <w:pPr>
        <w:pStyle w:val="25"/>
        <w:snapToGrid w:val="0"/>
        <w:spacing w:beforeLines="0" w:afterLines="0" w:line="360" w:lineRule="auto"/>
        <w:ind w:firstLine="422" w:firstLineChars="200"/>
        <w:rPr>
          <w:rFonts w:asciiTheme="majorEastAsia" w:hAnsiTheme="majorEastAsia" w:eastAsiaTheme="majorEastAsia"/>
          <w:b/>
          <w:sz w:val="21"/>
          <w:szCs w:val="21"/>
          <w:highlight w:val="none"/>
        </w:rPr>
      </w:pPr>
      <w:r>
        <w:rPr>
          <w:rFonts w:hint="eastAsia" w:asciiTheme="majorEastAsia" w:hAnsiTheme="majorEastAsia" w:eastAsiaTheme="majorEastAsia"/>
          <w:b/>
          <w:sz w:val="21"/>
          <w:szCs w:val="21"/>
          <w:highlight w:val="none"/>
        </w:rPr>
        <w:t>32.中止电子交易活动的情形</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采购过程中出现以下情形，导致电子交易平台无法正常运行，或者无法保证电子交易的公平、公正和安全时，采购组织机构可中止电子交易活动：</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1）电子交易平台发生故障而无法登录访问的；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2）电子交易平台应用或数据库出现错误，不能进行正常操作的；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3）电子交易平台发现严重安全漏洞，有潜在泄密危险的；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4）病毒发作导致不能进行正常操作的；</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5）其他无法保证电子交易的公平、公正和安全的情况。</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22" w:firstLineChars="200"/>
        <w:jc w:val="center"/>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六、授予合同</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33.中标人的确定</w:t>
      </w:r>
    </w:p>
    <w:p>
      <w:pPr>
        <w:spacing w:line="360" w:lineRule="auto"/>
        <w:ind w:firstLine="420" w:firstLineChars="200"/>
        <w:rPr>
          <w:rFonts w:ascii="宋体" w:hAnsi="宋体"/>
          <w:szCs w:val="21"/>
          <w:highlight w:val="none"/>
        </w:rPr>
      </w:pPr>
      <w:r>
        <w:rPr>
          <w:rFonts w:hint="eastAsia" w:ascii="宋体" w:hAnsi="宋体"/>
          <w:szCs w:val="21"/>
          <w:highlight w:val="none"/>
        </w:rPr>
        <w:t>33.1</w:t>
      </w:r>
      <w:r>
        <w:rPr>
          <w:rFonts w:ascii="宋体" w:hAnsi="宋体"/>
          <w:szCs w:val="21"/>
          <w:highlight w:val="none"/>
        </w:rPr>
        <w:t>本项目</w:t>
      </w:r>
      <w:r>
        <w:rPr>
          <w:rFonts w:hint="eastAsia" w:ascii="宋体" w:hAnsi="宋体"/>
          <w:szCs w:val="21"/>
          <w:highlight w:val="none"/>
        </w:rPr>
        <w:t>采购人按评标报告推荐的中标候选人顺序确定排名第一的中标候选人为中标人。</w:t>
      </w:r>
    </w:p>
    <w:p>
      <w:pPr>
        <w:spacing w:line="360" w:lineRule="auto"/>
        <w:rPr>
          <w:rFonts w:ascii="宋体" w:hAnsi="宋体"/>
          <w:szCs w:val="21"/>
          <w:highlight w:val="none"/>
        </w:rPr>
      </w:pPr>
      <w:r>
        <w:rPr>
          <w:rFonts w:ascii="宋体" w:hAnsi="宋体"/>
          <w:szCs w:val="21"/>
          <w:highlight w:val="none"/>
        </w:rPr>
        <w:t>得分相同的，按投标报价由低到高顺序排列。</w:t>
      </w:r>
    </w:p>
    <w:p>
      <w:pPr>
        <w:spacing w:line="360" w:lineRule="auto"/>
        <w:ind w:firstLine="420" w:firstLineChars="200"/>
        <w:rPr>
          <w:rFonts w:asciiTheme="majorEastAsia" w:hAnsiTheme="majorEastAsia" w:eastAsiaTheme="majorEastAsia"/>
          <w:szCs w:val="21"/>
          <w:highlight w:val="none"/>
        </w:rPr>
      </w:pPr>
      <w:r>
        <w:rPr>
          <w:rFonts w:hint="eastAsia" w:ascii="宋体" w:hAnsi="宋体"/>
          <w:szCs w:val="21"/>
          <w:highlight w:val="none"/>
        </w:rPr>
        <w:t>33.2自中标人确定之日起2个工作日内，在省级以上财政部门指定的媒体上公告中标结果。在公告中标结果的同时，向中标人发出中标通知书。</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34.签订合同</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34.1采购人按照招标文件和中标人投标文件的规定，与中标人签订书面合同。所签订的合同不得对招标文件确定的事项和中标人投标文件作实质性修改。</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34.2采购人和中标人可以按照招标文件提供的合同文本签订合同，也可以由双方商议后重新拟定，但正式签订的合同应当包括招标文件提供的合同文本中已经确定的实质性条款。</w:t>
      </w:r>
    </w:p>
    <w:p>
      <w:pPr>
        <w:pStyle w:val="41"/>
        <w:spacing w:line="360" w:lineRule="auto"/>
        <w:rPr>
          <w:rFonts w:asciiTheme="majorEastAsia" w:hAnsiTheme="majorEastAsia" w:eastAsiaTheme="majorEastAsia"/>
          <w:sz w:val="32"/>
          <w:highlight w:val="none"/>
        </w:rPr>
      </w:pPr>
      <w:r>
        <w:rPr>
          <w:rFonts w:asciiTheme="majorEastAsia" w:hAnsiTheme="majorEastAsia" w:eastAsiaTheme="majorEastAsia"/>
          <w:sz w:val="21"/>
          <w:szCs w:val="21"/>
          <w:highlight w:val="none"/>
        </w:rPr>
        <w:br w:type="page"/>
      </w:r>
      <w:bookmarkStart w:id="36" w:name="_Toc34844744"/>
      <w:r>
        <w:rPr>
          <w:rFonts w:hint="eastAsia" w:asciiTheme="majorEastAsia" w:hAnsiTheme="majorEastAsia" w:eastAsiaTheme="majorEastAsia"/>
          <w:sz w:val="24"/>
          <w:highlight w:val="none"/>
        </w:rPr>
        <w:t xml:space="preserve">第四章  </w:t>
      </w:r>
      <w:r>
        <w:rPr>
          <w:rFonts w:asciiTheme="majorEastAsia" w:hAnsiTheme="majorEastAsia" w:eastAsiaTheme="majorEastAsia"/>
          <w:sz w:val="24"/>
          <w:highlight w:val="none"/>
        </w:rPr>
        <w:t>评标</w:t>
      </w:r>
      <w:r>
        <w:rPr>
          <w:rFonts w:hint="eastAsia" w:asciiTheme="majorEastAsia" w:hAnsiTheme="majorEastAsia" w:eastAsiaTheme="majorEastAsia"/>
          <w:sz w:val="24"/>
          <w:highlight w:val="none"/>
        </w:rPr>
        <w:t>方法</w:t>
      </w:r>
      <w:r>
        <w:rPr>
          <w:rFonts w:asciiTheme="majorEastAsia" w:hAnsiTheme="majorEastAsia" w:eastAsiaTheme="majorEastAsia"/>
          <w:sz w:val="24"/>
          <w:highlight w:val="none"/>
        </w:rPr>
        <w:t>及</w:t>
      </w:r>
      <w:r>
        <w:rPr>
          <w:rFonts w:hint="eastAsia" w:asciiTheme="majorEastAsia" w:hAnsiTheme="majorEastAsia" w:eastAsiaTheme="majorEastAsia"/>
          <w:sz w:val="24"/>
          <w:highlight w:val="none"/>
        </w:rPr>
        <w:t>评标</w:t>
      </w:r>
      <w:r>
        <w:rPr>
          <w:rFonts w:asciiTheme="majorEastAsia" w:hAnsiTheme="majorEastAsia" w:eastAsiaTheme="majorEastAsia"/>
          <w:sz w:val="24"/>
          <w:highlight w:val="none"/>
        </w:rPr>
        <w:t>标准</w:t>
      </w:r>
      <w:bookmarkEnd w:id="36"/>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一、总则</w:t>
      </w:r>
    </w:p>
    <w:p>
      <w:pPr>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遵循公开、公正、公平、择优和诚实信用的原则，评标人员应本着认真、公正、诚实、廉洁的精神进行评标工作，择优推荐中标候选人。</w:t>
      </w:r>
      <w:r>
        <w:rPr>
          <w:rFonts w:hint="eastAsia" w:asciiTheme="majorEastAsia" w:hAnsiTheme="majorEastAsia" w:eastAsiaTheme="majorEastAsia"/>
          <w:szCs w:val="21"/>
          <w:highlight w:val="none"/>
        </w:rPr>
        <w:t>评标委员会成员</w:t>
      </w:r>
      <w:r>
        <w:rPr>
          <w:rFonts w:asciiTheme="majorEastAsia" w:hAnsiTheme="majorEastAsia" w:eastAsiaTheme="majorEastAsia"/>
          <w:szCs w:val="21"/>
          <w:highlight w:val="none"/>
        </w:rPr>
        <w:t>必须严格遵守保密规定，不得泄露评标的有关情况。</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二、评标方法</w:t>
      </w:r>
    </w:p>
    <w:p>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评标时，评标委员会各成员独立对每个投标人的投标文件进行评价，根据评委打分表的</w:t>
      </w:r>
      <w:r>
        <w:rPr>
          <w:rFonts w:asciiTheme="majorEastAsia" w:hAnsiTheme="majorEastAsia" w:eastAsiaTheme="majorEastAsia"/>
          <w:szCs w:val="21"/>
          <w:highlight w:val="none"/>
        </w:rPr>
        <w:t>评分标准</w:t>
      </w:r>
      <w:r>
        <w:rPr>
          <w:rFonts w:hint="eastAsia" w:asciiTheme="majorEastAsia" w:hAnsiTheme="majorEastAsia" w:eastAsiaTheme="majorEastAsia"/>
          <w:szCs w:val="21"/>
          <w:highlight w:val="none"/>
        </w:rPr>
        <w:t>和评分</w:t>
      </w:r>
      <w:r>
        <w:rPr>
          <w:rFonts w:asciiTheme="majorEastAsia" w:hAnsiTheme="majorEastAsia" w:eastAsiaTheme="majorEastAsia"/>
          <w:szCs w:val="21"/>
          <w:highlight w:val="none"/>
        </w:rPr>
        <w:t>范围</w:t>
      </w:r>
      <w:r>
        <w:rPr>
          <w:rFonts w:hint="eastAsia" w:asciiTheme="majorEastAsia" w:hAnsiTheme="majorEastAsia" w:eastAsiaTheme="majorEastAsia"/>
          <w:szCs w:val="21"/>
          <w:highlight w:val="none"/>
        </w:rPr>
        <w:t>，逐栏打分并汇总。评分均为小数点后四舍五入保留一位小数。评委打分表中分值重复的数值上限不含本数,下限含本数。</w:t>
      </w:r>
      <w:r>
        <w:rPr>
          <w:rFonts w:asciiTheme="majorEastAsia" w:hAnsiTheme="majorEastAsia" w:eastAsiaTheme="majorEastAsia"/>
          <w:szCs w:val="21"/>
          <w:highlight w:val="none"/>
        </w:rPr>
        <w:t>各投标人的</w:t>
      </w:r>
      <w:r>
        <w:rPr>
          <w:rFonts w:hint="eastAsia" w:asciiTheme="majorEastAsia" w:hAnsiTheme="majorEastAsia" w:eastAsiaTheme="majorEastAsia"/>
          <w:szCs w:val="21"/>
          <w:highlight w:val="none"/>
        </w:rPr>
        <w:t>最终评标</w:t>
      </w:r>
      <w:r>
        <w:rPr>
          <w:rFonts w:asciiTheme="majorEastAsia" w:hAnsiTheme="majorEastAsia" w:eastAsiaTheme="majorEastAsia"/>
          <w:szCs w:val="21"/>
          <w:highlight w:val="none"/>
        </w:rPr>
        <w:t>得分为所有评委</w:t>
      </w:r>
      <w:r>
        <w:rPr>
          <w:rFonts w:hint="eastAsia" w:asciiTheme="majorEastAsia" w:hAnsiTheme="majorEastAsia" w:eastAsiaTheme="majorEastAsia"/>
          <w:szCs w:val="21"/>
          <w:highlight w:val="none"/>
        </w:rPr>
        <w:t>评</w:t>
      </w:r>
      <w:r>
        <w:rPr>
          <w:rFonts w:asciiTheme="majorEastAsia" w:hAnsiTheme="majorEastAsia" w:eastAsiaTheme="majorEastAsia"/>
          <w:szCs w:val="21"/>
          <w:highlight w:val="none"/>
        </w:rPr>
        <w:t>分的算术平均数</w:t>
      </w:r>
      <w:r>
        <w:rPr>
          <w:rFonts w:hint="eastAsia" w:asciiTheme="majorEastAsia" w:hAnsiTheme="majorEastAsia" w:eastAsiaTheme="majorEastAsia"/>
          <w:szCs w:val="21"/>
          <w:highlight w:val="none"/>
        </w:rPr>
        <w:t>，小数点后四舍五入保留二位小数。</w:t>
      </w:r>
    </w:p>
    <w:p>
      <w:pPr>
        <w:spacing w:line="360" w:lineRule="auto"/>
        <w:ind w:firstLine="422" w:firstLineChars="200"/>
        <w:rPr>
          <w:rFonts w:ascii="宋体" w:hAnsi="宋体"/>
          <w:b/>
          <w:szCs w:val="21"/>
          <w:highlight w:val="none"/>
        </w:rPr>
      </w:pPr>
      <w:r>
        <w:rPr>
          <w:rFonts w:hint="eastAsia" w:ascii="宋体" w:hAnsi="宋体"/>
          <w:b/>
          <w:szCs w:val="21"/>
          <w:highlight w:val="none"/>
        </w:rPr>
        <w:t>2.价格扣除（价格优惠）</w:t>
      </w:r>
    </w:p>
    <w:p>
      <w:pPr>
        <w:spacing w:line="360" w:lineRule="auto"/>
        <w:ind w:firstLine="420" w:firstLineChars="200"/>
        <w:rPr>
          <w:rFonts w:ascii="宋体" w:hAnsi="宋体"/>
          <w:szCs w:val="21"/>
          <w:highlight w:val="none"/>
        </w:rPr>
      </w:pPr>
      <w:r>
        <w:rPr>
          <w:rFonts w:hint="eastAsia" w:ascii="宋体" w:hAnsi="宋体"/>
          <w:szCs w:val="21"/>
          <w:highlight w:val="none"/>
        </w:rPr>
        <w:t>（1）根据《政府采购促进中小企业发展管理办法》（财库〔</w:t>
      </w:r>
      <w:r>
        <w:rPr>
          <w:rFonts w:ascii="宋体" w:hAnsi="宋体"/>
          <w:szCs w:val="21"/>
          <w:highlight w:val="none"/>
        </w:rPr>
        <w:t>2020〕46号</w:t>
      </w:r>
      <w:r>
        <w:rPr>
          <w:rFonts w:hint="eastAsia" w:ascii="宋体" w:hAnsi="宋体"/>
          <w:szCs w:val="21"/>
          <w:highlight w:val="none"/>
        </w:rPr>
        <w:t>）、《</w:t>
      </w:r>
      <w:r>
        <w:rPr>
          <w:rFonts w:ascii="宋体" w:hAnsi="宋体"/>
          <w:szCs w:val="21"/>
          <w:highlight w:val="none"/>
        </w:rPr>
        <w:t>财政部</w:t>
      </w:r>
      <w:r>
        <w:rPr>
          <w:rFonts w:hint="eastAsia" w:ascii="宋体" w:hAnsi="宋体"/>
          <w:szCs w:val="21"/>
          <w:highlight w:val="none"/>
        </w:rPr>
        <w:t xml:space="preserve"> </w:t>
      </w:r>
      <w:r>
        <w:rPr>
          <w:rFonts w:ascii="宋体" w:hAnsi="宋体"/>
          <w:szCs w:val="21"/>
          <w:highlight w:val="none"/>
        </w:rPr>
        <w:t>司法部关于政府采购支持监狱企业发展有关问题的通知</w:t>
      </w:r>
      <w:r>
        <w:rPr>
          <w:rFonts w:hint="eastAsia" w:ascii="宋体" w:hAnsi="宋体"/>
          <w:szCs w:val="21"/>
          <w:highlight w:val="none"/>
        </w:rPr>
        <w:t>》（财库〔2014〕68号）和《三部门联合发布关于促进残疾人就业政府采购政策的通知》（财库〔2017〕141号）的规定，对满足价格扣除条件且在投标文件中提交了</w:t>
      </w:r>
      <w:r>
        <w:rPr>
          <w:rFonts w:ascii="宋体" w:hAnsi="宋体"/>
          <w:szCs w:val="21"/>
          <w:highlight w:val="none"/>
        </w:rPr>
        <w:t>《中小企业声明函》《残疾人福利性单位声明函》</w:t>
      </w:r>
      <w:r>
        <w:rPr>
          <w:rFonts w:hint="eastAsia" w:ascii="宋体" w:hAnsi="宋体"/>
          <w:szCs w:val="21"/>
          <w:highlight w:val="none"/>
        </w:rPr>
        <w:t>或省级以上监狱管理局、戒毒管理局（含新疆生产建设兵团）出具的属于监狱企业的证明文件的投标人，</w:t>
      </w:r>
      <w:r>
        <w:rPr>
          <w:rFonts w:ascii="宋体" w:hAnsi="宋体"/>
          <w:szCs w:val="21"/>
          <w:highlight w:val="none"/>
        </w:rPr>
        <w:t>对</w:t>
      </w:r>
      <w:r>
        <w:rPr>
          <w:rFonts w:hint="eastAsia" w:ascii="宋体" w:hAnsi="宋体"/>
          <w:szCs w:val="21"/>
          <w:highlight w:val="none"/>
        </w:rPr>
        <w:t>其投标报价给予</w:t>
      </w:r>
      <w:r>
        <w:rPr>
          <w:rFonts w:hint="eastAsia" w:ascii="宋体" w:hAnsi="宋体" w:cs="Arial"/>
          <w:szCs w:val="21"/>
          <w:highlight w:val="none"/>
          <w:u w:val="single"/>
        </w:rPr>
        <w:t xml:space="preserve"> 10 </w:t>
      </w:r>
      <w:r>
        <w:rPr>
          <w:rFonts w:hint="eastAsia" w:ascii="宋体" w:hAnsi="宋体" w:cs="Arial"/>
          <w:szCs w:val="21"/>
          <w:highlight w:val="none"/>
        </w:rPr>
        <w:t>%</w:t>
      </w:r>
      <w:r>
        <w:rPr>
          <w:rFonts w:ascii="宋体" w:hAnsi="宋体"/>
          <w:szCs w:val="21"/>
          <w:highlight w:val="none"/>
        </w:rPr>
        <w:t>的</w:t>
      </w:r>
      <w:r>
        <w:rPr>
          <w:rFonts w:hint="eastAsia" w:ascii="宋体" w:hAnsi="宋体"/>
          <w:szCs w:val="21"/>
          <w:highlight w:val="none"/>
        </w:rPr>
        <w:t>扣除。</w:t>
      </w:r>
    </w:p>
    <w:p>
      <w:pPr>
        <w:spacing w:line="360" w:lineRule="auto"/>
        <w:ind w:firstLine="422" w:firstLineChars="200"/>
        <w:rPr>
          <w:rFonts w:ascii="宋体" w:hAnsi="宋体"/>
          <w:b/>
          <w:highlight w:val="none"/>
        </w:rPr>
      </w:pPr>
      <w:r>
        <w:rPr>
          <w:rFonts w:hint="eastAsia" w:ascii="宋体" w:hAnsi="宋体"/>
          <w:b/>
          <w:highlight w:val="none"/>
        </w:rPr>
        <w:t>（2）符合</w:t>
      </w:r>
      <w:r>
        <w:rPr>
          <w:rFonts w:ascii="宋体" w:hAnsi="宋体"/>
          <w:b/>
          <w:highlight w:val="none"/>
        </w:rPr>
        <w:t>采购标的对应的中小企业划分标准所属行业</w:t>
      </w:r>
      <w:r>
        <w:rPr>
          <w:rFonts w:hint="eastAsia" w:ascii="宋体" w:hAnsi="宋体"/>
          <w:b/>
          <w:highlight w:val="none"/>
        </w:rPr>
        <w:t>：</w:t>
      </w:r>
    </w:p>
    <w:p>
      <w:pPr>
        <w:spacing w:line="360" w:lineRule="auto"/>
        <w:ind w:firstLine="422" w:firstLineChars="200"/>
        <w:rPr>
          <w:rFonts w:ascii="宋体" w:hAnsi="宋体"/>
          <w:b/>
          <w:highlight w:val="none"/>
        </w:rPr>
      </w:pPr>
      <w:r>
        <w:rPr>
          <w:rFonts w:hint="eastAsia" w:ascii="宋体" w:hAnsi="宋体"/>
          <w:b/>
          <w:highlight w:val="none"/>
          <w:u w:val="single"/>
          <w:lang w:eastAsia="zh-CN"/>
        </w:rPr>
        <w:t>宁波广播电视集团采购新大楼全媒体业务共享系统（一期）建设项目</w:t>
      </w:r>
      <w:r>
        <w:rPr>
          <w:rFonts w:ascii="宋体" w:hAnsi="宋体"/>
          <w:b/>
          <w:highlight w:val="none"/>
        </w:rPr>
        <w:t>，</w:t>
      </w:r>
      <w:r>
        <w:rPr>
          <w:rFonts w:ascii="宋体" w:hAnsi="宋体"/>
          <w:highlight w:val="none"/>
        </w:rPr>
        <w:t>属于</w:t>
      </w:r>
      <w:r>
        <w:rPr>
          <w:rFonts w:ascii="宋体" w:hAnsi="宋体"/>
          <w:b/>
          <w:highlight w:val="none"/>
          <w:u w:val="single"/>
        </w:rPr>
        <w:t>工业</w:t>
      </w:r>
      <w:r>
        <w:rPr>
          <w:rFonts w:hint="eastAsia" w:ascii="宋体" w:hAnsi="宋体"/>
          <w:b/>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中小企业划分标准以《租赁和商务服务业和信息化部、国家统计局、国家发展和改革委员会、财政部关于印发中小企业划型标准规定的通知》（工信部联企业[2011]300号）规定的划分标准为准。</w:t>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三、评审程序</w:t>
      </w:r>
    </w:p>
    <w:p>
      <w:pPr>
        <w:spacing w:line="360" w:lineRule="auto"/>
        <w:ind w:firstLine="435"/>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1.资格审查</w:t>
      </w:r>
    </w:p>
    <w:p>
      <w:pPr>
        <w:spacing w:line="360" w:lineRule="auto"/>
        <w:ind w:firstLine="435"/>
        <w:rPr>
          <w:rFonts w:asciiTheme="majorEastAsia" w:hAnsiTheme="majorEastAsia" w:eastAsiaTheme="majorEastAsia"/>
          <w:szCs w:val="21"/>
          <w:highlight w:val="none"/>
        </w:rPr>
      </w:pPr>
      <w:r>
        <w:rPr>
          <w:rFonts w:asciiTheme="majorEastAsia" w:hAnsiTheme="majorEastAsia" w:eastAsiaTheme="majorEastAsia"/>
          <w:szCs w:val="21"/>
          <w:highlight w:val="none"/>
        </w:rPr>
        <w:t>由采购人或采购代理机构对</w:t>
      </w:r>
      <w:r>
        <w:rPr>
          <w:rFonts w:hint="eastAsia" w:asciiTheme="majorEastAsia" w:hAnsiTheme="majorEastAsia" w:eastAsiaTheme="majorEastAsia"/>
          <w:szCs w:val="21"/>
          <w:highlight w:val="none"/>
        </w:rPr>
        <w:t>投标人进行资格审查</w:t>
      </w:r>
      <w:r>
        <w:rPr>
          <w:rFonts w:asciiTheme="majorEastAsia" w:hAnsiTheme="majorEastAsia" w:eastAsiaTheme="majorEastAsia"/>
          <w:szCs w:val="21"/>
          <w:highlight w:val="none"/>
        </w:rPr>
        <w:t>。资格审查</w:t>
      </w:r>
      <w:r>
        <w:rPr>
          <w:rFonts w:hint="eastAsia" w:asciiTheme="majorEastAsia" w:hAnsiTheme="majorEastAsia" w:eastAsiaTheme="majorEastAsia"/>
          <w:szCs w:val="21"/>
          <w:highlight w:val="none"/>
        </w:rPr>
        <w:t>内容</w:t>
      </w:r>
      <w:r>
        <w:rPr>
          <w:rFonts w:asciiTheme="majorEastAsia" w:hAnsiTheme="majorEastAsia" w:eastAsiaTheme="majorEastAsia"/>
          <w:szCs w:val="21"/>
          <w:highlight w:val="none"/>
        </w:rPr>
        <w:t>如下：</w:t>
      </w:r>
    </w:p>
    <w:tbl>
      <w:tblPr>
        <w:tblStyle w:val="4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4"/>
        <w:gridCol w:w="1843"/>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844" w:type="dxa"/>
            <w:tcBorders>
              <w:bottom w:val="single" w:color="auto" w:sz="4" w:space="0"/>
            </w:tcBorders>
            <w:vAlign w:val="center"/>
          </w:tcPr>
          <w:p>
            <w:pPr>
              <w:pStyle w:val="391"/>
              <w:pBdr>
                <w:bottom w:val="none" w:color="auto" w:sz="0" w:space="0"/>
              </w:pBdr>
              <w:tabs>
                <w:tab w:val="clear" w:pos="4153"/>
                <w:tab w:val="clear" w:pos="8306"/>
              </w:tabs>
              <w:snapToGrid w:val="0"/>
              <w:spacing w:line="240" w:lineRule="auto"/>
              <w:ind w:right="-10"/>
              <w:textAlignment w:val="auto"/>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评审指标</w:t>
            </w:r>
          </w:p>
        </w:tc>
        <w:tc>
          <w:tcPr>
            <w:tcW w:w="1843"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评审标准</w:t>
            </w:r>
          </w:p>
        </w:tc>
        <w:tc>
          <w:tcPr>
            <w:tcW w:w="447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844" w:type="dxa"/>
            <w:tcBorders>
              <w:bottom w:val="single" w:color="auto" w:sz="4" w:space="0"/>
            </w:tcBorders>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营业执照</w:t>
            </w:r>
          </w:p>
        </w:tc>
        <w:tc>
          <w:tcPr>
            <w:tcW w:w="1843" w:type="dxa"/>
            <w:tcBorders>
              <w:bottom w:val="single" w:color="auto" w:sz="4" w:space="0"/>
            </w:tcBorders>
            <w:vAlign w:val="center"/>
          </w:tcPr>
          <w:p>
            <w:pPr>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合法有效</w:t>
            </w:r>
          </w:p>
        </w:tc>
        <w:tc>
          <w:tcPr>
            <w:tcW w:w="4479" w:type="dxa"/>
            <w:vMerge w:val="restart"/>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有效的投标人营业执照（或事业单位法人登记证书）、税务登记证的扫描件，应完整的体现出营业执照（或事业单位法人登记证书）和税务登记证的全部内容。已办理“多证合一”登记的，投标文件中提供营业执照（或事业单位法人登记证书）复制件（包括拍照、复印、扫描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844" w:type="dxa"/>
            <w:tcBorders>
              <w:bottom w:val="single" w:color="auto" w:sz="4" w:space="0"/>
            </w:tcBorders>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税务登记证</w:t>
            </w:r>
          </w:p>
        </w:tc>
        <w:tc>
          <w:tcPr>
            <w:tcW w:w="1843" w:type="dxa"/>
            <w:tcBorders>
              <w:bottom w:val="single" w:color="auto" w:sz="4" w:space="0"/>
            </w:tcBorders>
            <w:vAlign w:val="center"/>
          </w:tcPr>
          <w:p>
            <w:pPr>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合法有效</w:t>
            </w:r>
          </w:p>
        </w:tc>
        <w:tc>
          <w:tcPr>
            <w:tcW w:w="4479" w:type="dxa"/>
            <w:vMerge w:val="continue"/>
            <w:vAlign w:val="center"/>
          </w:tcPr>
          <w:p>
            <w:pPr>
              <w:adjustRightInd w:val="0"/>
              <w:snapToGrid w:val="0"/>
              <w:ind w:right="-10"/>
              <w:jc w:val="left"/>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844" w:type="dxa"/>
            <w:tcBorders>
              <w:bottom w:val="single" w:color="auto" w:sz="4" w:space="0"/>
            </w:tcBorders>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不良信用记录查询</w:t>
            </w:r>
          </w:p>
        </w:tc>
        <w:tc>
          <w:tcPr>
            <w:tcW w:w="1843" w:type="dxa"/>
            <w:tcBorders>
              <w:bottom w:val="single" w:color="auto" w:sz="4" w:space="0"/>
            </w:tcBorders>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投标人不得存在不良信用记录情形</w:t>
            </w:r>
          </w:p>
        </w:tc>
        <w:tc>
          <w:tcPr>
            <w:tcW w:w="4479" w:type="dxa"/>
            <w:tcBorders>
              <w:bottom w:val="single" w:color="auto" w:sz="4" w:space="0"/>
            </w:tcBorders>
            <w:vAlign w:val="center"/>
          </w:tcPr>
          <w:p>
            <w:pPr>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详见投标人须知正文第11条要求，无需提供材料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84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无重大违法记录</w:t>
            </w:r>
          </w:p>
        </w:tc>
        <w:tc>
          <w:tcPr>
            <w:tcW w:w="1843" w:type="dxa"/>
            <w:vAlign w:val="center"/>
          </w:tcPr>
          <w:p>
            <w:pPr>
              <w:ind w:right="-10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4479"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提供投标人资格声明函</w:t>
            </w:r>
          </w:p>
        </w:tc>
      </w:tr>
    </w:tbl>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b/>
          <w:bCs/>
          <w:szCs w:val="21"/>
          <w:highlight w:val="none"/>
        </w:rPr>
        <w:t>资格审查指标通过标准：</w:t>
      </w:r>
      <w:r>
        <w:rPr>
          <w:rFonts w:hint="eastAsia" w:asciiTheme="majorEastAsia" w:hAnsiTheme="majorEastAsia" w:eastAsiaTheme="majorEastAsia"/>
          <w:szCs w:val="21"/>
          <w:highlight w:val="none"/>
        </w:rPr>
        <w:t>投标人必须通过资格审查表中的全部评审指标。</w:t>
      </w:r>
    </w:p>
    <w:p>
      <w:pPr>
        <w:spacing w:line="360" w:lineRule="auto"/>
        <w:ind w:firstLine="435"/>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2.符合性审查</w:t>
      </w:r>
    </w:p>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评标委员会对通过资格审查的投标人的投标文件进行符合性审查，以确定其是否满足招标文件的实质性要求。符合性</w:t>
      </w:r>
      <w:r>
        <w:rPr>
          <w:rFonts w:asciiTheme="majorEastAsia" w:hAnsiTheme="majorEastAsia" w:eastAsiaTheme="majorEastAsia"/>
          <w:szCs w:val="21"/>
          <w:highlight w:val="none"/>
        </w:rPr>
        <w:t>审查</w:t>
      </w:r>
      <w:r>
        <w:rPr>
          <w:rFonts w:hint="eastAsia" w:asciiTheme="majorEastAsia" w:hAnsiTheme="majorEastAsia" w:eastAsiaTheme="majorEastAsia"/>
          <w:szCs w:val="21"/>
          <w:highlight w:val="none"/>
        </w:rPr>
        <w:t>内容</w:t>
      </w:r>
      <w:r>
        <w:rPr>
          <w:rFonts w:asciiTheme="majorEastAsia" w:hAnsiTheme="majorEastAsia" w:eastAsiaTheme="majorEastAsia"/>
          <w:szCs w:val="21"/>
          <w:highlight w:val="none"/>
        </w:rPr>
        <w:t>如下</w:t>
      </w:r>
      <w:r>
        <w:rPr>
          <w:rFonts w:hint="eastAsia" w:asciiTheme="majorEastAsia" w:hAnsiTheme="majorEastAsia" w:eastAsiaTheme="majorEastAsia"/>
          <w:szCs w:val="21"/>
          <w:highlight w:val="none"/>
        </w:rPr>
        <w:t>：</w:t>
      </w:r>
    </w:p>
    <w:tbl>
      <w:tblPr>
        <w:tblStyle w:val="44"/>
        <w:tblW w:w="88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5"/>
        <w:gridCol w:w="362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20"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1975" w:type="dxa"/>
            <w:tcBorders>
              <w:bottom w:val="single" w:color="auto" w:sz="4" w:space="0"/>
            </w:tcBorders>
            <w:vAlign w:val="center"/>
          </w:tcPr>
          <w:p>
            <w:pPr>
              <w:pStyle w:val="391"/>
              <w:pBdr>
                <w:bottom w:val="none" w:color="auto" w:sz="0" w:space="0"/>
              </w:pBdr>
              <w:tabs>
                <w:tab w:val="clear" w:pos="4153"/>
                <w:tab w:val="clear" w:pos="8306"/>
              </w:tabs>
              <w:snapToGrid w:val="0"/>
              <w:spacing w:line="240" w:lineRule="auto"/>
              <w:ind w:right="-10"/>
              <w:textAlignment w:val="auto"/>
              <w:rPr>
                <w:rFonts w:asciiTheme="majorEastAsia" w:hAnsiTheme="majorEastAsia" w:eastAsiaTheme="majorEastAsia"/>
                <w:kern w:val="2"/>
                <w:sz w:val="21"/>
                <w:szCs w:val="21"/>
                <w:highlight w:val="none"/>
              </w:rPr>
            </w:pPr>
            <w:r>
              <w:rPr>
                <w:rFonts w:hint="eastAsia" w:asciiTheme="majorEastAsia" w:hAnsiTheme="majorEastAsia" w:eastAsiaTheme="majorEastAsia"/>
                <w:kern w:val="2"/>
                <w:sz w:val="21"/>
                <w:szCs w:val="21"/>
                <w:highlight w:val="none"/>
              </w:rPr>
              <w:t>评审指标</w:t>
            </w:r>
          </w:p>
        </w:tc>
        <w:tc>
          <w:tcPr>
            <w:tcW w:w="3624"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评审标准</w:t>
            </w:r>
          </w:p>
        </w:tc>
        <w:tc>
          <w:tcPr>
            <w:tcW w:w="2556" w:type="dxa"/>
            <w:tcBorders>
              <w:bottom w:val="single" w:color="auto" w:sz="4" w:space="0"/>
            </w:tcBorders>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开标一览表</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投标函</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3</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法定代表人身份证正反面复印件或法定代表人授权委托书及其附件</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格式、填写符合招标文件要求并加盖公章</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法定代表人参加投标提供身份证正反面复印件；授权代表参加的提供法定代表人授权委托书及其附件。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val="en-US" w:eastAsia="zh-CN"/>
              </w:rPr>
              <w:t>4</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商务要求响应情况</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符合招标文件采购需求中明确的实质性商务要求。</w:t>
            </w:r>
          </w:p>
        </w:tc>
        <w:tc>
          <w:tcPr>
            <w:tcW w:w="2556" w:type="dxa"/>
            <w:vAlign w:val="center"/>
          </w:tcPr>
          <w:p>
            <w:pPr>
              <w:adjustRightInd w:val="0"/>
              <w:snapToGrid w:val="0"/>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提供商务要求响应表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adjustRightInd w:val="0"/>
              <w:snapToGrid w:val="0"/>
              <w:ind w:right="-10"/>
              <w:jc w:val="center"/>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val="en-US" w:eastAsia="zh-CN"/>
              </w:rPr>
              <w:t>5</w:t>
            </w:r>
          </w:p>
        </w:tc>
        <w:tc>
          <w:tcPr>
            <w:tcW w:w="1975"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其他要求</w:t>
            </w:r>
          </w:p>
        </w:tc>
        <w:tc>
          <w:tcPr>
            <w:tcW w:w="3624" w:type="dxa"/>
            <w:vAlign w:val="center"/>
          </w:tcPr>
          <w:p>
            <w:pPr>
              <w:ind w:right="-10"/>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符合法律、行政法规规定的其他条件或不存在招标文件列明的拒绝投标、不允许存在的其他要求</w:t>
            </w:r>
          </w:p>
        </w:tc>
        <w:tc>
          <w:tcPr>
            <w:tcW w:w="2556" w:type="dxa"/>
            <w:vAlign w:val="center"/>
          </w:tcPr>
          <w:p>
            <w:pPr>
              <w:adjustRightInd w:val="0"/>
              <w:snapToGrid w:val="0"/>
              <w:ind w:right="-1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r>
    </w:tbl>
    <w:p>
      <w:pPr>
        <w:spacing w:line="360" w:lineRule="auto"/>
        <w:ind w:firstLine="437"/>
        <w:rPr>
          <w:rFonts w:asciiTheme="majorEastAsia" w:hAnsiTheme="majorEastAsia" w:eastAsiaTheme="majorEastAsia"/>
          <w:szCs w:val="21"/>
          <w:highlight w:val="none"/>
        </w:rPr>
      </w:pPr>
      <w:r>
        <w:rPr>
          <w:rFonts w:hint="eastAsia" w:asciiTheme="majorEastAsia" w:hAnsiTheme="majorEastAsia" w:eastAsiaTheme="majorEastAsia"/>
          <w:b/>
          <w:bCs/>
          <w:szCs w:val="21"/>
          <w:highlight w:val="none"/>
        </w:rPr>
        <w:t>符合性审查指标通过标准：</w:t>
      </w:r>
      <w:r>
        <w:rPr>
          <w:rFonts w:hint="eastAsia" w:asciiTheme="majorEastAsia" w:hAnsiTheme="majorEastAsia" w:eastAsiaTheme="majorEastAsia"/>
          <w:szCs w:val="21"/>
          <w:highlight w:val="none"/>
        </w:rPr>
        <w:t>投标人必须通过符合性审查表中的全部评审指标。</w:t>
      </w:r>
    </w:p>
    <w:p>
      <w:pPr>
        <w:spacing w:line="360" w:lineRule="auto"/>
        <w:rPr>
          <w:rFonts w:asciiTheme="majorEastAsia" w:hAnsiTheme="majorEastAsia" w:eastAsiaTheme="majorEastAsia"/>
          <w:b/>
          <w:szCs w:val="21"/>
          <w:highlight w:val="none"/>
        </w:rPr>
      </w:pPr>
    </w:p>
    <w:p>
      <w:pPr>
        <w:widowControl/>
        <w:jc w:val="left"/>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p>
    <w:p>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3.详细审查和评分（评标标准兼评委打分表）</w:t>
      </w:r>
    </w:p>
    <w:tbl>
      <w:tblPr>
        <w:tblStyle w:val="4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00"/>
        <w:gridCol w:w="5324"/>
        <w:gridCol w:w="56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项目</w:t>
            </w:r>
          </w:p>
        </w:tc>
        <w:tc>
          <w:tcPr>
            <w:tcW w:w="6524" w:type="dxa"/>
            <w:gridSpan w:val="2"/>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评标要点及说明</w:t>
            </w:r>
          </w:p>
        </w:tc>
        <w:tc>
          <w:tcPr>
            <w:tcW w:w="567" w:type="dxa"/>
            <w:vAlign w:val="center"/>
          </w:tcPr>
          <w:p>
            <w:pPr>
              <w:adjustRightInd w:val="0"/>
              <w:spacing w:line="240" w:lineRule="exact"/>
              <w:ind w:left="-105" w:leftChars="-50" w:right="-105" w:rightChars="-50"/>
              <w:jc w:val="center"/>
              <w:textAlignment w:val="baseline"/>
              <w:rPr>
                <w:rFonts w:asciiTheme="majorEastAsia" w:hAnsiTheme="majorEastAsia" w:eastAsiaTheme="majorEastAsia"/>
                <w:b/>
                <w:kern w:val="0"/>
                <w:szCs w:val="21"/>
                <w:highlight w:val="none"/>
              </w:rPr>
            </w:pPr>
            <w:r>
              <w:rPr>
                <w:rFonts w:asciiTheme="majorEastAsia" w:hAnsiTheme="majorEastAsia" w:eastAsiaTheme="majorEastAsia"/>
                <w:b/>
                <w:kern w:val="0"/>
                <w:szCs w:val="21"/>
                <w:highlight w:val="none"/>
              </w:rPr>
              <w:t>分值</w:t>
            </w:r>
          </w:p>
        </w:tc>
        <w:tc>
          <w:tcPr>
            <w:tcW w:w="851" w:type="dxa"/>
            <w:vAlign w:val="center"/>
          </w:tcPr>
          <w:p>
            <w:pPr>
              <w:adjustRightInd w:val="0"/>
              <w:spacing w:line="240" w:lineRule="exact"/>
              <w:jc w:val="center"/>
              <w:textAlignment w:val="baseline"/>
              <w:rPr>
                <w:rFonts w:asciiTheme="majorEastAsia" w:hAnsiTheme="majorEastAsia" w:eastAsiaTheme="majorEastAsia"/>
                <w:b/>
                <w:kern w:val="0"/>
                <w:szCs w:val="21"/>
                <w:highlight w:val="none"/>
              </w:rPr>
            </w:pPr>
            <w:r>
              <w:rPr>
                <w:rFonts w:hint="eastAsia" w:asciiTheme="majorEastAsia" w:hAnsiTheme="majorEastAsia" w:eastAsiaTheme="majorEastAsia"/>
                <w:b/>
                <w:kern w:val="0"/>
                <w:szCs w:val="21"/>
                <w:highlight w:val="none"/>
              </w:rPr>
              <w:t>主观分/客观分属性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55"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价格</w:t>
            </w:r>
          </w:p>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(30分)</w:t>
            </w:r>
          </w:p>
        </w:tc>
        <w:tc>
          <w:tcPr>
            <w:tcW w:w="6524" w:type="dxa"/>
            <w:gridSpan w:val="2"/>
            <w:vAlign w:val="center"/>
          </w:tcPr>
          <w:p>
            <w:pPr>
              <w:keepNext w:val="0"/>
              <w:keepLines w:val="0"/>
              <w:pageBreakBefore w:val="0"/>
              <w:kinsoku/>
              <w:wordWrap/>
              <w:overflowPunct/>
              <w:topLinePunct w:val="0"/>
              <w:autoSpaceDE/>
              <w:autoSpaceDN/>
              <w:bidi w:val="0"/>
              <w:snapToGrid/>
              <w:spacing w:line="280" w:lineRule="exact"/>
              <w:rPr>
                <w:rFonts w:ascii="宋体" w:hAnsi="宋体"/>
                <w:szCs w:val="21"/>
                <w:highlight w:val="none"/>
              </w:rPr>
            </w:pPr>
            <w:r>
              <w:rPr>
                <w:rFonts w:hint="eastAsia" w:ascii="宋体" w:hAnsi="宋体"/>
                <w:szCs w:val="21"/>
                <w:highlight w:val="none"/>
              </w:rPr>
              <w:t>满足招标文件要求且投标价格最低的投标报价为评标基准价，其价格分为满分。</w:t>
            </w:r>
          </w:p>
          <w:p>
            <w:pPr>
              <w:keepNext w:val="0"/>
              <w:keepLines w:val="0"/>
              <w:pageBreakBefore w:val="0"/>
              <w:kinsoku/>
              <w:wordWrap/>
              <w:overflowPunct/>
              <w:topLinePunct w:val="0"/>
              <w:autoSpaceDE/>
              <w:autoSpaceDN/>
              <w:bidi w:val="0"/>
              <w:snapToGrid/>
              <w:spacing w:line="280" w:lineRule="exact"/>
              <w:rPr>
                <w:rFonts w:ascii="宋体" w:hAnsi="宋体"/>
                <w:szCs w:val="21"/>
                <w:highlight w:val="none"/>
              </w:rPr>
            </w:pPr>
            <w:r>
              <w:rPr>
                <w:rFonts w:hint="eastAsia" w:ascii="宋体" w:hAnsi="宋体"/>
                <w:szCs w:val="21"/>
                <w:highlight w:val="none"/>
              </w:rPr>
              <w:t>其他投标人的价格分统一按照下列公式计算：</w:t>
            </w:r>
          </w:p>
          <w:p>
            <w:pPr>
              <w:keepNext w:val="0"/>
              <w:keepLines w:val="0"/>
              <w:pageBreakBefore w:val="0"/>
              <w:kinsoku/>
              <w:wordWrap/>
              <w:overflowPunct/>
              <w:topLinePunct w:val="0"/>
              <w:autoSpaceDE/>
              <w:autoSpaceDN/>
              <w:bidi w:val="0"/>
              <w:snapToGrid/>
              <w:spacing w:line="280" w:lineRule="exact"/>
              <w:contextualSpacing/>
              <w:rPr>
                <w:rFonts w:ascii="宋体" w:hAnsi="宋体"/>
                <w:szCs w:val="21"/>
                <w:highlight w:val="none"/>
              </w:rPr>
            </w:pPr>
            <w:r>
              <w:rPr>
                <w:rFonts w:hint="eastAsia" w:ascii="宋体" w:hAnsi="宋体"/>
                <w:szCs w:val="21"/>
                <w:highlight w:val="none"/>
              </w:rPr>
              <w:t>投标报价得分=(评标基准价／投标报价)×</w:t>
            </w:r>
            <w:r>
              <w:rPr>
                <w:rFonts w:hint="eastAsia" w:ascii="宋体" w:hAnsi="宋体"/>
                <w:szCs w:val="21"/>
                <w:highlight w:val="none"/>
                <w:u w:val="single"/>
              </w:rPr>
              <w:t>30</w:t>
            </w:r>
          </w:p>
        </w:tc>
        <w:tc>
          <w:tcPr>
            <w:tcW w:w="567" w:type="dxa"/>
            <w:vAlign w:val="center"/>
          </w:tcPr>
          <w:p>
            <w:pPr>
              <w:keepNext w:val="0"/>
              <w:keepLines w:val="0"/>
              <w:pageBreakBefore w:val="0"/>
              <w:kinsoku/>
              <w:wordWrap/>
              <w:overflowPunct/>
              <w:topLinePunct w:val="0"/>
              <w:autoSpaceDE/>
              <w:autoSpaceDN/>
              <w:bidi w:val="0"/>
              <w:snapToGrid/>
              <w:spacing w:line="280" w:lineRule="exact"/>
              <w:contextualSpacing/>
              <w:jc w:val="center"/>
              <w:rPr>
                <w:rFonts w:ascii="宋体" w:hAnsi="宋体"/>
                <w:szCs w:val="21"/>
                <w:highlight w:val="none"/>
              </w:rPr>
            </w:pPr>
            <w:r>
              <w:rPr>
                <w:rFonts w:hint="eastAsia" w:ascii="宋体" w:hAnsi="宋体"/>
                <w:szCs w:val="21"/>
                <w:highlight w:val="none"/>
              </w:rPr>
              <w:t>30</w:t>
            </w:r>
          </w:p>
        </w:tc>
        <w:tc>
          <w:tcPr>
            <w:tcW w:w="851" w:type="dxa"/>
            <w:vAlign w:val="center"/>
          </w:tcPr>
          <w:p>
            <w:pPr>
              <w:keepNext w:val="0"/>
              <w:keepLines w:val="0"/>
              <w:pageBreakBefore w:val="0"/>
              <w:widowControl/>
              <w:kinsoku/>
              <w:wordWrap/>
              <w:overflowPunct/>
              <w:topLinePunct w:val="0"/>
              <w:autoSpaceDE/>
              <w:autoSpaceDN/>
              <w:bidi w:val="0"/>
              <w:snapToGrid/>
              <w:spacing w:line="280" w:lineRule="exact"/>
              <w:jc w:val="left"/>
              <w:rPr>
                <w:rFonts w:asciiTheme="majorEastAsia" w:hAnsiTheme="majorEastAsia" w:eastAsiaTheme="majorEastAsia"/>
                <w:highlight w:val="none"/>
              </w:rPr>
            </w:pPr>
          </w:p>
          <w:p>
            <w:pPr>
              <w:keepNext w:val="0"/>
              <w:keepLines w:val="0"/>
              <w:pageBreakBefore w:val="0"/>
              <w:widowControl/>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p>
            <w:pPr>
              <w:keepNext w:val="0"/>
              <w:keepLines w:val="0"/>
              <w:pageBreakBefore w:val="0"/>
              <w:kinsoku/>
              <w:wordWrap/>
              <w:overflowPunct/>
              <w:topLinePunct w:val="0"/>
              <w:autoSpaceDE/>
              <w:autoSpaceDN/>
              <w:bidi w:val="0"/>
              <w:snapToGrid/>
              <w:spacing w:line="280" w:lineRule="exact"/>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55" w:type="dxa"/>
            <w:vMerge w:val="restart"/>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商务</w:t>
            </w:r>
          </w:p>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技术</w:t>
            </w:r>
          </w:p>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hint="eastAsia" w:asciiTheme="majorEastAsia" w:hAnsiTheme="majorEastAsia" w:eastAsiaTheme="majorEastAsia"/>
                <w:kern w:val="0"/>
                <w:szCs w:val="21"/>
                <w:highlight w:val="none"/>
              </w:rPr>
              <w:t>(69分)</w:t>
            </w:r>
          </w:p>
        </w:tc>
        <w:tc>
          <w:tcPr>
            <w:tcW w:w="1200"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1、满足招标文件系统技术、产品技术情况（40分）</w:t>
            </w:r>
          </w:p>
        </w:tc>
        <w:tc>
          <w:tcPr>
            <w:tcW w:w="5324"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完全满足招标文件系统技术、产品技术的得40分；负偏离或未响应一条“★”条款扣1分，负偏离或未响应一条其他条款扣0.5分。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本项评议最终得分≤0分的，视为投标人无法满足招标人基本招标要求，作无效响应处理：</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40</w:t>
            </w:r>
          </w:p>
        </w:tc>
        <w:tc>
          <w:tcPr>
            <w:tcW w:w="851" w:type="dxa"/>
            <w:vAlign w:val="center"/>
          </w:tcPr>
          <w:p>
            <w:pPr>
              <w:keepNext w:val="0"/>
              <w:keepLines w:val="0"/>
              <w:pageBreakBefore w:val="0"/>
              <w:widowControl/>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2、实施方案（5分）</w:t>
            </w:r>
          </w:p>
        </w:tc>
        <w:tc>
          <w:tcPr>
            <w:tcW w:w="5324"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项目实施方案内容完整，有详实的供货进度安排、设备安装、调试、测试流程及验收方案，配备专用的工具等技术力量能完全保障本项目质量的得5分；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项目实施方案较为完整，供货进度安排、设备安装、调试、测试流程及验收方案还有进一步提升空间，配备专用的工具等技术力量能基本保障本项目质量的得3分；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项目实施方案内容笼统，供货进度安排、设备安装、调试、测试流程及验收方案模糊，配备专用的工具等技术力量无法保障本项目质量的得1分；未提供方案不得分。</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5</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kern w:val="1"/>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3、售后服务方案（5分）</w:t>
            </w:r>
          </w:p>
        </w:tc>
        <w:tc>
          <w:tcPr>
            <w:tcW w:w="5324"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售后服务方案完整，保修范围完全覆盖本项目内容，技术支持全面，涉及到的备品备件库与零配件的供应能完全保障本项目后期应用的得5分；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售后服务方案较为完整但有细节部分欠缺、保修范围基本覆盖本项目内容，涉及到的备品备件库与零配件的供应能基本保障本项目后期应用的得3分；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售后服务方案笼统，保修范围少、涉及到的备品备件库与零配件的供应能无法保障本项目后期应用的得1分；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未提供方案不得分。</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5</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kern w:val="1"/>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4、培训方案（5分）</w:t>
            </w:r>
          </w:p>
        </w:tc>
        <w:tc>
          <w:tcPr>
            <w:tcW w:w="5324" w:type="dxa"/>
            <w:vAlign w:val="center"/>
          </w:tcPr>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培训时间安排详实、培训内容涵盖本次设备所需技术需求的得5分；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培训时间安排基本可行但细节部分欠完整、培训内容基本可覆盖本次设备所需技术需求的得3分；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培训时间安排与本项目实际操作有冲突、培训内容能满足本次培训目标的得1分；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未提供方案不得分。</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hint="eastAsia" w:asciiTheme="majorEastAsia" w:hAnsiTheme="majorEastAsia" w:eastAsiaTheme="majorEastAsia"/>
                <w:highlight w:val="none"/>
              </w:rPr>
            </w:pPr>
            <w:r>
              <w:rPr>
                <w:rFonts w:hint="eastAsia" w:asciiTheme="majorEastAsia" w:hAnsiTheme="majorEastAsia" w:eastAsiaTheme="majorEastAsia"/>
                <w:highlight w:val="none"/>
                <w:lang w:val="en-US" w:eastAsia="zh-CN"/>
              </w:rPr>
              <w:t>5</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snapToGrid/>
              <w:spacing w:line="280" w:lineRule="exact"/>
              <w:jc w:val="both"/>
              <w:rPr>
                <w:rFonts w:hint="default" w:ascii="宋体" w:hAnsi="宋体" w:eastAsia="宋体"/>
                <w:szCs w:val="21"/>
                <w:highlight w:val="none"/>
                <w:lang w:val="en-US" w:eastAsia="zh-CN"/>
              </w:rPr>
            </w:pPr>
            <w:r>
              <w:rPr>
                <w:rFonts w:hint="eastAsia" w:ascii="宋体" w:hAnsi="宋体"/>
                <w:szCs w:val="21"/>
                <w:highlight w:val="none"/>
                <w:lang w:val="en-US" w:eastAsia="zh-CN"/>
              </w:rPr>
              <w:t>5、人员配备方案（5分）</w:t>
            </w: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hint="eastAsia" w:ascii="宋体" w:hAnsi="宋体"/>
                <w:highlight w:val="none"/>
              </w:rPr>
            </w:pPr>
            <w:r>
              <w:rPr>
                <w:rFonts w:hint="eastAsia" w:ascii="宋体" w:hAnsi="宋体"/>
                <w:kern w:val="0"/>
                <w:highlight w:val="none"/>
              </w:rPr>
              <w:t>服务团队</w:t>
            </w:r>
            <w:r>
              <w:rPr>
                <w:rFonts w:ascii="宋体" w:hAnsi="宋体"/>
                <w:highlight w:val="none"/>
              </w:rPr>
              <w:t>体系完善</w:t>
            </w:r>
            <w:r>
              <w:rPr>
                <w:rFonts w:hint="eastAsia" w:ascii="宋体" w:hAnsi="宋体"/>
                <w:highlight w:val="none"/>
              </w:rPr>
              <w:t>，</w:t>
            </w:r>
            <w:r>
              <w:rPr>
                <w:rFonts w:ascii="宋体" w:hAnsi="宋体"/>
                <w:highlight w:val="none"/>
              </w:rPr>
              <w:t>组织架构设置合理</w:t>
            </w:r>
            <w:r>
              <w:rPr>
                <w:rFonts w:hint="eastAsia" w:ascii="宋体" w:hAnsi="宋体"/>
                <w:highlight w:val="none"/>
              </w:rPr>
              <w:t>，</w:t>
            </w:r>
            <w:r>
              <w:rPr>
                <w:rFonts w:hint="eastAsia" w:ascii="宋体" w:hAnsi="宋体"/>
                <w:highlight w:val="none"/>
                <w:lang w:val="en-US" w:eastAsia="zh-CN"/>
              </w:rPr>
              <w:t>分工明确细致，</w:t>
            </w:r>
            <w:r>
              <w:rPr>
                <w:rFonts w:ascii="宋体" w:hAnsi="宋体"/>
                <w:highlight w:val="none"/>
              </w:rPr>
              <w:t>专业能力强</w:t>
            </w:r>
            <w:r>
              <w:rPr>
                <w:rFonts w:hint="eastAsia" w:ascii="宋体" w:hAnsi="宋体"/>
                <w:highlight w:val="none"/>
              </w:rPr>
              <w:t>，相关项目管理</w:t>
            </w:r>
            <w:r>
              <w:rPr>
                <w:rFonts w:ascii="宋体" w:hAnsi="宋体"/>
                <w:highlight w:val="none"/>
              </w:rPr>
              <w:t>经验丰富的得</w:t>
            </w:r>
            <w:r>
              <w:rPr>
                <w:rFonts w:hint="eastAsia" w:ascii="宋体" w:hAnsi="宋体"/>
                <w:highlight w:val="none"/>
                <w:lang w:val="en-US" w:eastAsia="zh-CN"/>
              </w:rPr>
              <w:t>5</w:t>
            </w:r>
            <w:r>
              <w:rPr>
                <w:rFonts w:hint="eastAsia" w:ascii="宋体" w:hAnsi="宋体"/>
                <w:highlight w:val="none"/>
              </w:rPr>
              <w:t>分；</w:t>
            </w:r>
          </w:p>
          <w:p>
            <w:pPr>
              <w:keepNext w:val="0"/>
              <w:keepLines w:val="0"/>
              <w:pageBreakBefore w:val="0"/>
              <w:kinsoku/>
              <w:wordWrap/>
              <w:overflowPunct/>
              <w:topLinePunct w:val="0"/>
              <w:autoSpaceDE/>
              <w:autoSpaceDN/>
              <w:bidi w:val="0"/>
              <w:snapToGrid/>
              <w:spacing w:line="280" w:lineRule="exact"/>
              <w:rPr>
                <w:rFonts w:hint="eastAsia" w:ascii="宋体" w:hAnsi="宋体"/>
                <w:highlight w:val="none"/>
              </w:rPr>
            </w:pPr>
            <w:r>
              <w:rPr>
                <w:rFonts w:hint="eastAsia" w:ascii="宋体" w:hAnsi="宋体"/>
                <w:kern w:val="0"/>
                <w:highlight w:val="none"/>
              </w:rPr>
              <w:t>服务团队</w:t>
            </w:r>
            <w:r>
              <w:rPr>
                <w:rFonts w:ascii="宋体" w:hAnsi="宋体"/>
                <w:highlight w:val="none"/>
              </w:rPr>
              <w:t>体系</w:t>
            </w:r>
            <w:r>
              <w:rPr>
                <w:rFonts w:hint="eastAsia" w:ascii="宋体" w:hAnsi="宋体"/>
                <w:highlight w:val="none"/>
              </w:rPr>
              <w:t>基本</w:t>
            </w:r>
            <w:r>
              <w:rPr>
                <w:rFonts w:ascii="宋体" w:hAnsi="宋体"/>
                <w:highlight w:val="none"/>
              </w:rPr>
              <w:t>完备</w:t>
            </w:r>
            <w:r>
              <w:rPr>
                <w:rFonts w:hint="eastAsia" w:ascii="宋体" w:hAnsi="宋体"/>
                <w:highlight w:val="none"/>
              </w:rPr>
              <w:t>，</w:t>
            </w:r>
            <w:r>
              <w:rPr>
                <w:rFonts w:ascii="宋体" w:hAnsi="宋体"/>
                <w:highlight w:val="none"/>
              </w:rPr>
              <w:t>组织架构设置</w:t>
            </w:r>
            <w:r>
              <w:rPr>
                <w:rFonts w:hint="eastAsia" w:ascii="宋体" w:hAnsi="宋体"/>
                <w:highlight w:val="none"/>
              </w:rPr>
              <w:t>妥当，</w:t>
            </w:r>
            <w:r>
              <w:rPr>
                <w:rFonts w:hint="eastAsia" w:ascii="宋体" w:hAnsi="宋体"/>
                <w:highlight w:val="none"/>
                <w:lang w:val="en-US" w:eastAsia="zh-CN"/>
              </w:rPr>
              <w:t>分工有描述，</w:t>
            </w:r>
            <w:r>
              <w:rPr>
                <w:rFonts w:ascii="宋体" w:hAnsi="宋体"/>
                <w:highlight w:val="none"/>
              </w:rPr>
              <w:t>团队专业能力能够满足项目管理需要</w:t>
            </w:r>
            <w:r>
              <w:rPr>
                <w:rFonts w:hint="eastAsia" w:ascii="宋体" w:hAnsi="宋体"/>
                <w:highlight w:val="none"/>
              </w:rPr>
              <w:t>，</w:t>
            </w:r>
            <w:r>
              <w:rPr>
                <w:rFonts w:hint="eastAsia" w:ascii="宋体" w:hAnsi="宋体"/>
                <w:highlight w:val="none"/>
                <w:lang w:val="en-US" w:eastAsia="zh-CN"/>
              </w:rPr>
              <w:t>具有</w:t>
            </w:r>
            <w:r>
              <w:rPr>
                <w:rFonts w:hint="eastAsia" w:ascii="宋体" w:hAnsi="宋体"/>
                <w:highlight w:val="none"/>
              </w:rPr>
              <w:t>相关项目</w:t>
            </w:r>
            <w:r>
              <w:rPr>
                <w:rFonts w:ascii="宋体" w:hAnsi="宋体"/>
                <w:highlight w:val="none"/>
              </w:rPr>
              <w:t>管理经验的得</w:t>
            </w:r>
            <w:r>
              <w:rPr>
                <w:rFonts w:hint="eastAsia" w:ascii="宋体" w:hAnsi="宋体"/>
                <w:highlight w:val="none"/>
                <w:lang w:val="en-US" w:eastAsia="zh-CN"/>
              </w:rPr>
              <w:t>3</w:t>
            </w:r>
            <w:r>
              <w:rPr>
                <w:rFonts w:hint="eastAsia" w:ascii="宋体" w:hAnsi="宋体"/>
                <w:highlight w:val="none"/>
              </w:rPr>
              <w:t>分；</w:t>
            </w:r>
          </w:p>
          <w:p>
            <w:pPr>
              <w:keepNext w:val="0"/>
              <w:keepLines w:val="0"/>
              <w:pageBreakBefore w:val="0"/>
              <w:kinsoku/>
              <w:wordWrap/>
              <w:overflowPunct/>
              <w:topLinePunct w:val="0"/>
              <w:autoSpaceDE/>
              <w:autoSpaceDN/>
              <w:bidi w:val="0"/>
              <w:snapToGrid/>
              <w:spacing w:line="280" w:lineRule="exact"/>
              <w:rPr>
                <w:rFonts w:hint="eastAsia" w:ascii="宋体" w:hAnsi="宋体"/>
                <w:highlight w:val="none"/>
              </w:rPr>
            </w:pPr>
            <w:r>
              <w:rPr>
                <w:rFonts w:hint="eastAsia" w:ascii="宋体" w:hAnsi="宋体"/>
                <w:kern w:val="0"/>
                <w:highlight w:val="none"/>
              </w:rPr>
              <w:t>服务团队</w:t>
            </w:r>
            <w:r>
              <w:rPr>
                <w:rFonts w:ascii="宋体" w:hAnsi="宋体"/>
                <w:highlight w:val="none"/>
              </w:rPr>
              <w:t>体系不健全</w:t>
            </w:r>
            <w:r>
              <w:rPr>
                <w:rFonts w:hint="eastAsia" w:ascii="宋体" w:hAnsi="宋体"/>
                <w:highlight w:val="none"/>
              </w:rPr>
              <w:t>，</w:t>
            </w:r>
            <w:r>
              <w:rPr>
                <w:rFonts w:ascii="宋体" w:hAnsi="宋体"/>
                <w:highlight w:val="none"/>
              </w:rPr>
              <w:t>组织架构设置不完善</w:t>
            </w:r>
            <w:r>
              <w:rPr>
                <w:rFonts w:hint="eastAsia" w:ascii="宋体" w:hAnsi="宋体"/>
                <w:highlight w:val="none"/>
              </w:rPr>
              <w:t>，</w:t>
            </w:r>
            <w:r>
              <w:rPr>
                <w:rFonts w:hint="eastAsia" w:ascii="宋体" w:hAnsi="宋体"/>
                <w:highlight w:val="none"/>
                <w:lang w:val="en-US" w:eastAsia="zh-CN"/>
              </w:rPr>
              <w:t>分工不明确</w:t>
            </w:r>
            <w:r>
              <w:rPr>
                <w:rFonts w:hint="eastAsia" w:ascii="宋体" w:hAnsi="宋体"/>
                <w:highlight w:val="none"/>
              </w:rPr>
              <w:t>，相关项目</w:t>
            </w:r>
            <w:r>
              <w:rPr>
                <w:rFonts w:ascii="宋体" w:hAnsi="宋体"/>
                <w:highlight w:val="none"/>
              </w:rPr>
              <w:t>管理经验较少的得</w:t>
            </w:r>
            <w:r>
              <w:rPr>
                <w:rFonts w:hint="eastAsia" w:ascii="宋体" w:hAnsi="宋体"/>
                <w:highlight w:val="none"/>
                <w:lang w:val="en-US" w:eastAsia="zh-CN"/>
              </w:rPr>
              <w:t>1</w:t>
            </w:r>
            <w:r>
              <w:rPr>
                <w:rFonts w:hint="eastAsia" w:ascii="宋体" w:hAnsi="宋体"/>
                <w:highlight w:val="none"/>
              </w:rPr>
              <w:t>分；</w:t>
            </w:r>
          </w:p>
          <w:p>
            <w:pPr>
              <w:keepNext w:val="0"/>
              <w:keepLines w:val="0"/>
              <w:pageBreakBefore w:val="0"/>
              <w:kinsoku/>
              <w:wordWrap/>
              <w:overflowPunct/>
              <w:topLinePunct w:val="0"/>
              <w:autoSpaceDE/>
              <w:autoSpaceDN/>
              <w:bidi w:val="0"/>
              <w:snapToGrid/>
              <w:spacing w:line="280" w:lineRule="exac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未提供方案</w:t>
            </w:r>
            <w:r>
              <w:rPr>
                <w:rFonts w:ascii="宋体" w:hAnsi="宋体" w:cs="宋体"/>
                <w:kern w:val="0"/>
                <w:szCs w:val="21"/>
                <w:highlight w:val="none"/>
              </w:rPr>
              <w:t>不得分</w:t>
            </w:r>
            <w:r>
              <w:rPr>
                <w:rFonts w:ascii="宋体" w:hAnsi="宋体" w:cs="宋体"/>
                <w:szCs w:val="21"/>
                <w:highlight w:val="none"/>
              </w:rPr>
              <w:t>。</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5</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kern w:val="0"/>
                <w:szCs w:val="21"/>
                <w:highlight w:val="none"/>
              </w:rPr>
            </w:pPr>
            <w:r>
              <w:rPr>
                <w:rFonts w:asciiTheme="majorEastAsia" w:hAnsiTheme="majorEastAsia" w:eastAsiaTheme="majorEastAsia"/>
                <w:kern w:val="0"/>
                <w:szCs w:val="21"/>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snapToGrid/>
              <w:spacing w:line="280" w:lineRule="exact"/>
              <w:jc w:val="both"/>
              <w:rPr>
                <w:rFonts w:ascii="宋体" w:hAnsi="宋体"/>
                <w:kern w:val="0"/>
                <w:szCs w:val="21"/>
                <w:highlight w:val="none"/>
              </w:rPr>
            </w:pPr>
            <w:r>
              <w:rPr>
                <w:rFonts w:hint="eastAsia" w:ascii="宋体" w:hAnsi="宋体"/>
                <w:kern w:val="0"/>
                <w:szCs w:val="21"/>
                <w:highlight w:val="none"/>
                <w:lang w:val="en-US" w:eastAsia="zh-CN"/>
              </w:rPr>
              <w:t>6、质保期</w:t>
            </w:r>
            <w:r>
              <w:rPr>
                <w:rFonts w:hint="eastAsia" w:ascii="宋体" w:hAnsi="宋体"/>
                <w:kern w:val="0"/>
                <w:szCs w:val="21"/>
                <w:highlight w:val="none"/>
              </w:rPr>
              <w:t>（</w:t>
            </w:r>
            <w:r>
              <w:rPr>
                <w:rFonts w:hint="eastAsia" w:ascii="宋体" w:hAnsi="宋体"/>
                <w:kern w:val="0"/>
                <w:szCs w:val="21"/>
                <w:highlight w:val="none"/>
                <w:lang w:val="en-US" w:eastAsia="zh-CN"/>
              </w:rPr>
              <w:t>2</w:t>
            </w:r>
            <w:r>
              <w:rPr>
                <w:rFonts w:hint="eastAsia" w:ascii="宋体" w:hAnsi="宋体"/>
                <w:kern w:val="0"/>
                <w:szCs w:val="21"/>
                <w:highlight w:val="none"/>
              </w:rPr>
              <w:t>分）</w:t>
            </w: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hint="eastAsia" w:eastAsia="宋体"/>
                <w:lang w:val="en-US" w:eastAsia="zh-CN"/>
              </w:rPr>
            </w:pPr>
            <w:r>
              <w:rPr>
                <w:rFonts w:hint="eastAsia" w:ascii="宋体" w:hAnsi="宋体" w:cs="宋体"/>
                <w:szCs w:val="21"/>
                <w:highlight w:val="none"/>
              </w:rPr>
              <w:t>在满足招标文件要求的基础上，所有产品的免费质保期每增加</w:t>
            </w:r>
            <w:r>
              <w:rPr>
                <w:rFonts w:hint="eastAsia" w:ascii="宋体" w:hAnsi="宋体" w:cs="宋体"/>
                <w:szCs w:val="21"/>
                <w:highlight w:val="none"/>
                <w:lang w:val="en-US" w:eastAsia="zh-CN"/>
              </w:rPr>
              <w:t>1</w:t>
            </w:r>
            <w:r>
              <w:rPr>
                <w:rFonts w:hint="eastAsia" w:ascii="宋体" w:hAnsi="宋体" w:cs="宋体"/>
                <w:szCs w:val="21"/>
                <w:highlight w:val="none"/>
              </w:rPr>
              <w:t>年得1分，最高得2分，只对部分产品的质保延长的不予计分。</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ascii="宋体" w:hAnsi="宋体" w:cs="宋体"/>
                <w:bCs/>
                <w:szCs w:val="21"/>
                <w:highlight w:val="none"/>
              </w:rPr>
            </w:pPr>
            <w:r>
              <w:rPr>
                <w:rFonts w:hint="eastAsia" w:ascii="宋体" w:hAnsi="宋体"/>
                <w:kern w:val="1"/>
                <w:highlight w:val="none"/>
                <w:lang w:val="en-US" w:eastAsia="zh-CN"/>
              </w:rPr>
              <w:t>7、软件著作</w:t>
            </w:r>
            <w:r>
              <w:rPr>
                <w:rFonts w:hint="eastAsia" w:ascii="宋体" w:hAnsi="宋体"/>
                <w:kern w:val="1"/>
                <w:highlight w:val="none"/>
              </w:rPr>
              <w:t>（</w:t>
            </w:r>
            <w:r>
              <w:rPr>
                <w:rFonts w:hint="eastAsia" w:ascii="宋体" w:hAnsi="宋体"/>
                <w:kern w:val="1"/>
                <w:highlight w:val="none"/>
                <w:lang w:val="en-US" w:eastAsia="zh-CN"/>
              </w:rPr>
              <w:t>2</w:t>
            </w:r>
            <w:r>
              <w:rPr>
                <w:rFonts w:hint="eastAsia" w:ascii="宋体" w:hAnsi="宋体"/>
                <w:kern w:val="1"/>
                <w:highlight w:val="none"/>
              </w:rPr>
              <w:t>分）</w:t>
            </w:r>
          </w:p>
        </w:tc>
        <w:tc>
          <w:tcPr>
            <w:tcW w:w="5324" w:type="dxa"/>
            <w:vAlign w:val="center"/>
          </w:tcPr>
          <w:p>
            <w:pPr>
              <w:keepNext w:val="0"/>
              <w:keepLines w:val="0"/>
              <w:pageBreakBefore w:val="0"/>
              <w:widowControl/>
              <w:kinsoku/>
              <w:wordWrap/>
              <w:overflowPunct/>
              <w:topLinePunct w:val="0"/>
              <w:autoSpaceDE/>
              <w:autoSpaceDN/>
              <w:bidi w:val="0"/>
              <w:snapToGrid/>
              <w:spacing w:line="2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投标产品具有</w:t>
            </w:r>
            <w:r>
              <w:rPr>
                <w:rFonts w:hint="eastAsia" w:cs="宋体" w:asciiTheme="majorEastAsia" w:hAnsiTheme="majorEastAsia" w:eastAsiaTheme="majorEastAsia"/>
                <w:highlight w:val="none"/>
                <w:lang w:val="en-US" w:eastAsia="zh-CN"/>
              </w:rPr>
              <w:t>电视制作系统相关</w:t>
            </w:r>
            <w:r>
              <w:rPr>
                <w:rFonts w:hint="eastAsia" w:cs="宋体" w:asciiTheme="majorEastAsia" w:hAnsiTheme="majorEastAsia" w:eastAsiaTheme="majorEastAsia"/>
                <w:highlight w:val="none"/>
              </w:rPr>
              <w:t>软件著作权证书</w:t>
            </w:r>
            <w:r>
              <w:rPr>
                <w:rFonts w:hint="eastAsia" w:cs="宋体" w:asciiTheme="majorEastAsia" w:hAnsiTheme="majorEastAsia" w:eastAsiaTheme="majorEastAsia"/>
                <w:highlight w:val="none"/>
                <w:lang w:val="en-US" w:eastAsia="zh-CN"/>
              </w:rPr>
              <w:t>的，每提供一个证书</w:t>
            </w:r>
            <w:r>
              <w:rPr>
                <w:rFonts w:hint="eastAsia" w:cs="宋体" w:asciiTheme="majorEastAsia" w:hAnsiTheme="majorEastAsia" w:eastAsiaTheme="majorEastAsia"/>
                <w:highlight w:val="none"/>
              </w:rPr>
              <w:t>得1分，</w:t>
            </w:r>
            <w:r>
              <w:rPr>
                <w:rFonts w:hint="eastAsia" w:cs="宋体" w:asciiTheme="majorEastAsia" w:hAnsiTheme="majorEastAsia" w:eastAsiaTheme="majorEastAsia"/>
                <w:highlight w:val="none"/>
                <w:lang w:val="en-US" w:eastAsia="zh-CN"/>
              </w:rPr>
              <w:t>最高得2分</w:t>
            </w:r>
            <w:r>
              <w:rPr>
                <w:rFonts w:hint="eastAsia" w:cs="宋体" w:asciiTheme="majorEastAsia" w:hAnsiTheme="majorEastAsia" w:eastAsiaTheme="majorEastAsia"/>
                <w:highlight w:val="none"/>
              </w:rPr>
              <w:t>。</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ascii="宋体" w:hAnsi="宋体" w:cs="宋体"/>
                <w:bCs/>
                <w:szCs w:val="21"/>
                <w:highlight w:val="none"/>
              </w:rPr>
            </w:pPr>
            <w:r>
              <w:rPr>
                <w:rFonts w:hint="eastAsia" w:cs="宋体" w:asciiTheme="majorEastAsia" w:hAnsiTheme="majorEastAsia" w:eastAsiaTheme="majorEastAsia"/>
                <w:highlight w:val="none"/>
              </w:rPr>
              <w:t>备注：</w:t>
            </w:r>
            <w:r>
              <w:rPr>
                <w:rFonts w:hint="eastAsia" w:cs="宋体" w:asciiTheme="majorEastAsia" w:hAnsiTheme="majorEastAsia" w:eastAsiaTheme="majorEastAsia"/>
                <w:highlight w:val="none"/>
                <w:lang w:val="en-US" w:eastAsia="zh-CN"/>
              </w:rPr>
              <w:t>投标文件</w:t>
            </w:r>
            <w:r>
              <w:rPr>
                <w:rFonts w:hint="eastAsia" w:cs="宋体" w:asciiTheme="majorEastAsia" w:hAnsiTheme="majorEastAsia" w:eastAsiaTheme="majorEastAsia"/>
                <w:highlight w:val="none"/>
              </w:rPr>
              <w:t>提供证书复印件并加盖投标人公章，如投标人非该软件制造商则提供具有该软件使用及开发权利的承诺函（格式自拟）。</w:t>
            </w:r>
          </w:p>
        </w:tc>
        <w:tc>
          <w:tcPr>
            <w:tcW w:w="567"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eastAsia" w:ascii="宋体" w:hAnsi="宋体" w:eastAsia="宋体" w:cs="宋体"/>
                <w:bCs/>
                <w:szCs w:val="21"/>
                <w:highlight w:val="none"/>
                <w:lang w:eastAsia="zh-CN"/>
              </w:rPr>
            </w:pPr>
            <w:r>
              <w:rPr>
                <w:rFonts w:hint="eastAsia" w:ascii="宋体" w:hAnsi="宋体" w:cs="宋体"/>
                <w:bCs/>
                <w:szCs w:val="21"/>
                <w:highlight w:val="none"/>
                <w:lang w:val="en-US" w:eastAsia="zh-CN"/>
              </w:rPr>
              <w:t>2</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Merge w:val="restart"/>
            <w:vAlign w:val="center"/>
          </w:tcPr>
          <w:p>
            <w:pPr>
              <w:keepNext w:val="0"/>
              <w:keepLines w:val="0"/>
              <w:pageBreakBefore w:val="0"/>
              <w:kinsoku/>
              <w:wordWrap/>
              <w:overflowPunct/>
              <w:topLinePunct w:val="0"/>
              <w:autoSpaceDE/>
              <w:autoSpaceDN/>
              <w:bidi w:val="0"/>
              <w:adjustRightInd w:val="0"/>
              <w:snapToGrid/>
              <w:spacing w:line="280" w:lineRule="exact"/>
              <w:jc w:val="both"/>
              <w:textAlignment w:val="baseline"/>
              <w:rPr>
                <w:rFonts w:ascii="宋体" w:hAnsi="宋体" w:cs="宋体"/>
                <w:bCs/>
                <w:szCs w:val="21"/>
                <w:highlight w:val="none"/>
              </w:rPr>
            </w:pPr>
            <w:r>
              <w:rPr>
                <w:rFonts w:hint="eastAsia" w:ascii="宋体" w:hAnsi="宋体" w:cs="宋体"/>
                <w:bCs/>
                <w:szCs w:val="21"/>
                <w:highlight w:val="none"/>
                <w:lang w:val="en-US" w:eastAsia="zh-CN"/>
              </w:rPr>
              <w:t>8、</w:t>
            </w:r>
            <w:r>
              <w:rPr>
                <w:rFonts w:ascii="宋体" w:hAnsi="宋体" w:cs="宋体"/>
                <w:bCs/>
                <w:szCs w:val="21"/>
                <w:highlight w:val="none"/>
              </w:rPr>
              <w:t>企业认证（</w:t>
            </w:r>
            <w:r>
              <w:rPr>
                <w:rFonts w:hint="eastAsia" w:ascii="宋体" w:hAnsi="宋体" w:cs="宋体"/>
                <w:bCs/>
                <w:szCs w:val="21"/>
                <w:highlight w:val="none"/>
                <w:lang w:val="en-US" w:eastAsia="zh-CN"/>
              </w:rPr>
              <w:t>2</w:t>
            </w:r>
            <w:r>
              <w:rPr>
                <w:rFonts w:hint="eastAsia" w:ascii="宋体" w:hAnsi="宋体" w:cs="宋体"/>
                <w:bCs/>
                <w:szCs w:val="21"/>
                <w:highlight w:val="none"/>
              </w:rPr>
              <w:t>分</w:t>
            </w:r>
            <w:r>
              <w:rPr>
                <w:rFonts w:ascii="宋体" w:hAnsi="宋体" w:cs="宋体"/>
                <w:bCs/>
                <w:szCs w:val="21"/>
                <w:highlight w:val="none"/>
              </w:rPr>
              <w:t>）</w:t>
            </w: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ascii="宋体" w:hAnsi="宋体"/>
                <w:kern w:val="1"/>
                <w:highlight w:val="none"/>
              </w:rPr>
            </w:pPr>
            <w:r>
              <w:rPr>
                <w:rFonts w:hint="eastAsia" w:ascii="宋体" w:hAnsi="宋体"/>
                <w:kern w:val="1"/>
                <w:highlight w:val="none"/>
                <w:lang w:val="en-US" w:eastAsia="zh-CN"/>
              </w:rPr>
              <w:t>8.1</w:t>
            </w:r>
            <w:r>
              <w:rPr>
                <w:rFonts w:hint="eastAsia" w:ascii="宋体" w:hAnsi="宋体"/>
                <w:kern w:val="1"/>
                <w:highlight w:val="none"/>
              </w:rPr>
              <w:t>投标人</w:t>
            </w:r>
            <w:r>
              <w:rPr>
                <w:rFonts w:hint="eastAsia" w:ascii="宋体" w:hAnsi="宋体"/>
                <w:kern w:val="1"/>
                <w:highlight w:val="none"/>
                <w:lang w:val="en-US" w:eastAsia="zh-CN"/>
              </w:rPr>
              <w:t>提供</w:t>
            </w:r>
            <w:r>
              <w:rPr>
                <w:rFonts w:hint="eastAsia" w:ascii="宋体" w:hAnsi="宋体"/>
                <w:kern w:val="1"/>
                <w:highlight w:val="none"/>
              </w:rPr>
              <w:t>ISO9001质量管理体系认证证书的得1分；</w:t>
            </w:r>
          </w:p>
          <w:p>
            <w:pPr>
              <w:keepNext w:val="0"/>
              <w:keepLines w:val="0"/>
              <w:pageBreakBefore w:val="0"/>
              <w:kinsoku/>
              <w:wordWrap/>
              <w:overflowPunct/>
              <w:topLinePunct w:val="0"/>
              <w:autoSpaceDE/>
              <w:autoSpaceDN/>
              <w:bidi w:val="0"/>
              <w:adjustRightInd w:val="0"/>
              <w:snapToGrid/>
              <w:spacing w:line="280" w:lineRule="exact"/>
              <w:jc w:val="left"/>
              <w:textAlignment w:val="baseline"/>
              <w:rPr>
                <w:rFonts w:hint="default" w:eastAsia="宋体"/>
                <w:highlight w:val="none"/>
                <w:lang w:val="en-US" w:eastAsia="zh-CN"/>
              </w:rPr>
            </w:pPr>
            <w:r>
              <w:rPr>
                <w:rFonts w:hint="eastAsia" w:ascii="宋体" w:hAnsi="宋体"/>
                <w:kern w:val="1"/>
                <w:highlight w:val="none"/>
              </w:rPr>
              <w:t>备注：</w:t>
            </w:r>
            <w:r>
              <w:rPr>
                <w:rFonts w:hint="eastAsia" w:ascii="宋体" w:hAnsi="宋体" w:cs="宋体"/>
                <w:szCs w:val="21"/>
                <w:highlight w:val="none"/>
              </w:rPr>
              <w:t>投标文件中提供相关证书复印件并加盖公章或提供全国认证认可信息公共服务平台网站上投标人具有本项证书的截图。</w:t>
            </w:r>
            <w:r>
              <w:rPr>
                <w:rFonts w:hint="eastAsia" w:ascii="宋体" w:hAnsi="宋体" w:cs="宋体"/>
                <w:szCs w:val="21"/>
                <w:highlight w:val="none"/>
                <w:lang w:val="en-US" w:eastAsia="zh-CN"/>
              </w:rPr>
              <w:t>如投标人为经销商或代理商的，提供产品制造商的相关认证证书。</w:t>
            </w:r>
          </w:p>
        </w:tc>
        <w:tc>
          <w:tcPr>
            <w:tcW w:w="567"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宋体" w:hAnsi="宋体" w:cs="宋体"/>
                <w:bCs/>
                <w:szCs w:val="21"/>
                <w:highlight w:val="none"/>
              </w:rPr>
            </w:pPr>
            <w:r>
              <w:rPr>
                <w:rFonts w:hint="eastAsia" w:ascii="宋体" w:hAnsi="宋体" w:cs="宋体"/>
                <w:bCs/>
                <w:szCs w:val="21"/>
                <w:highlight w:val="none"/>
              </w:rPr>
              <w:t>1</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宋体" w:hAnsi="宋体" w:cs="宋体"/>
                <w:bCs/>
                <w:szCs w:val="21"/>
                <w:highlight w:val="none"/>
              </w:rPr>
            </w:pP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ascii="宋体" w:hAnsi="宋体"/>
                <w:kern w:val="1"/>
                <w:highlight w:val="none"/>
              </w:rPr>
            </w:pPr>
            <w:r>
              <w:rPr>
                <w:rFonts w:hint="eastAsia" w:ascii="宋体" w:hAnsi="宋体"/>
                <w:kern w:val="1"/>
                <w:highlight w:val="none"/>
                <w:lang w:val="en-US" w:eastAsia="zh-CN"/>
              </w:rPr>
              <w:t>8.2</w:t>
            </w:r>
            <w:r>
              <w:rPr>
                <w:rFonts w:hint="eastAsia" w:ascii="宋体" w:hAnsi="宋体"/>
                <w:kern w:val="1"/>
                <w:highlight w:val="none"/>
              </w:rPr>
              <w:t>投标人</w:t>
            </w:r>
            <w:r>
              <w:rPr>
                <w:rFonts w:hint="eastAsia" w:ascii="宋体" w:hAnsi="宋体"/>
                <w:kern w:val="1"/>
                <w:highlight w:val="none"/>
                <w:lang w:val="en-US" w:eastAsia="zh-CN"/>
              </w:rPr>
              <w:t>提供</w:t>
            </w:r>
            <w:r>
              <w:rPr>
                <w:rFonts w:hint="eastAsia" w:ascii="宋体" w:hAnsi="宋体"/>
                <w:kern w:val="1"/>
                <w:highlight w:val="none"/>
              </w:rPr>
              <w:t>ISO</w:t>
            </w:r>
            <w:r>
              <w:rPr>
                <w:rFonts w:hint="eastAsia" w:ascii="宋体" w:hAnsi="宋体"/>
                <w:kern w:val="1"/>
                <w:highlight w:val="none"/>
                <w:lang w:val="en-US" w:eastAsia="zh-CN"/>
              </w:rPr>
              <w:t>20000信息技术管理体系</w:t>
            </w:r>
            <w:r>
              <w:rPr>
                <w:rFonts w:hint="eastAsia" w:ascii="宋体" w:hAnsi="宋体"/>
                <w:kern w:val="1"/>
                <w:highlight w:val="none"/>
              </w:rPr>
              <w:t>认证证书的得1分；</w:t>
            </w:r>
          </w:p>
          <w:p>
            <w:pPr>
              <w:keepNext w:val="0"/>
              <w:keepLines w:val="0"/>
              <w:pageBreakBefore w:val="0"/>
              <w:kinsoku/>
              <w:wordWrap/>
              <w:overflowPunct/>
              <w:topLinePunct w:val="0"/>
              <w:autoSpaceDE/>
              <w:autoSpaceDN/>
              <w:bidi w:val="0"/>
              <w:snapToGrid/>
              <w:spacing w:line="280" w:lineRule="exact"/>
              <w:rPr>
                <w:rFonts w:hint="eastAsia" w:ascii="宋体" w:hAnsi="宋体"/>
                <w:kern w:val="1"/>
                <w:highlight w:val="none"/>
              </w:rPr>
            </w:pPr>
            <w:r>
              <w:rPr>
                <w:rFonts w:hint="eastAsia" w:ascii="宋体" w:hAnsi="宋体"/>
                <w:kern w:val="1"/>
                <w:highlight w:val="none"/>
              </w:rPr>
              <w:t>备注：投标文件中提供相关证书复印件并加盖公章或提供全国认证认可信息公共服务平台网站上投标人具有本项证书的截图。</w:t>
            </w:r>
            <w:r>
              <w:rPr>
                <w:rFonts w:hint="eastAsia" w:ascii="宋体" w:hAnsi="宋体" w:cs="宋体"/>
                <w:szCs w:val="21"/>
                <w:highlight w:val="none"/>
                <w:lang w:val="en-US" w:eastAsia="zh-CN"/>
              </w:rPr>
              <w:t>如投标人为经销商或代理商的，提供产品制造商的相关认证证书。</w:t>
            </w:r>
          </w:p>
        </w:tc>
        <w:tc>
          <w:tcPr>
            <w:tcW w:w="567"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hint="eastAsia" w:ascii="宋体" w:hAnsi="宋体" w:cs="宋体"/>
                <w:bCs/>
                <w:szCs w:val="21"/>
                <w:highlight w:val="none"/>
              </w:rPr>
            </w:pPr>
            <w:r>
              <w:rPr>
                <w:rFonts w:hint="eastAsia" w:ascii="宋体" w:hAnsi="宋体" w:cs="宋体"/>
                <w:bCs/>
                <w:szCs w:val="21"/>
                <w:highlight w:val="none"/>
              </w:rPr>
              <w:t>1</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asciiTheme="majorEastAsia" w:hAnsiTheme="majorEastAsia" w:eastAsiaTheme="majorEastAsia"/>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55" w:type="dxa"/>
            <w:vMerge w:val="continue"/>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p>
        </w:tc>
        <w:tc>
          <w:tcPr>
            <w:tcW w:w="1200" w:type="dxa"/>
            <w:vAlign w:val="center"/>
          </w:tcPr>
          <w:p>
            <w:pPr>
              <w:keepNext w:val="0"/>
              <w:keepLines w:val="0"/>
              <w:pageBreakBefore w:val="0"/>
              <w:widowControl/>
              <w:kinsoku/>
              <w:wordWrap/>
              <w:overflowPunct/>
              <w:topLinePunct w:val="0"/>
              <w:autoSpaceDE/>
              <w:autoSpaceDN/>
              <w:bidi w:val="0"/>
              <w:snapToGrid/>
              <w:spacing w:line="280" w:lineRule="exact"/>
              <w:jc w:val="center"/>
              <w:rPr>
                <w:rFonts w:ascii="宋体" w:hAnsi="宋体"/>
                <w:kern w:val="1"/>
                <w:highlight w:val="none"/>
              </w:rPr>
            </w:pPr>
            <w:r>
              <w:rPr>
                <w:rFonts w:hint="eastAsia" w:ascii="宋体" w:hAnsi="宋体"/>
                <w:kern w:val="1"/>
                <w:highlight w:val="none"/>
                <w:lang w:val="en-US" w:eastAsia="zh-CN"/>
              </w:rPr>
              <w:t>9、</w:t>
            </w:r>
            <w:r>
              <w:rPr>
                <w:rFonts w:hint="eastAsia" w:ascii="宋体" w:hAnsi="宋体"/>
                <w:kern w:val="1"/>
                <w:highlight w:val="none"/>
              </w:rPr>
              <w:t>业绩</w:t>
            </w:r>
          </w:p>
          <w:p>
            <w:pPr>
              <w:keepNext w:val="0"/>
              <w:keepLines w:val="0"/>
              <w:pageBreakBefore w:val="0"/>
              <w:widowControl/>
              <w:kinsoku/>
              <w:wordWrap/>
              <w:overflowPunct/>
              <w:topLinePunct w:val="0"/>
              <w:autoSpaceDE/>
              <w:autoSpaceDN/>
              <w:bidi w:val="0"/>
              <w:snapToGrid/>
              <w:spacing w:line="280" w:lineRule="exact"/>
              <w:jc w:val="center"/>
              <w:rPr>
                <w:rFonts w:asciiTheme="majorEastAsia" w:hAnsiTheme="majorEastAsia" w:eastAsiaTheme="majorEastAsia"/>
                <w:highlight w:val="none"/>
              </w:rPr>
            </w:pPr>
            <w:r>
              <w:rPr>
                <w:rFonts w:hint="eastAsia" w:ascii="宋体" w:hAnsi="宋体"/>
                <w:kern w:val="1"/>
                <w:highlight w:val="none"/>
              </w:rPr>
              <w:t>（</w:t>
            </w:r>
            <w:r>
              <w:rPr>
                <w:rFonts w:hint="eastAsia" w:ascii="宋体" w:hAnsi="宋体"/>
                <w:kern w:val="1"/>
                <w:highlight w:val="none"/>
                <w:lang w:val="en-US" w:eastAsia="zh-CN"/>
              </w:rPr>
              <w:t>3</w:t>
            </w:r>
            <w:r>
              <w:rPr>
                <w:rFonts w:hint="eastAsia" w:ascii="宋体" w:hAnsi="宋体"/>
                <w:kern w:val="1"/>
                <w:highlight w:val="none"/>
              </w:rPr>
              <w:t>分）</w:t>
            </w: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ascii="宋体" w:hAnsi="宋体"/>
                <w:kern w:val="1"/>
                <w:highlight w:val="none"/>
              </w:rPr>
            </w:pPr>
            <w:r>
              <w:rPr>
                <w:rFonts w:hint="eastAsia" w:ascii="宋体" w:hAnsi="宋体"/>
                <w:kern w:val="1"/>
                <w:highlight w:val="none"/>
              </w:rPr>
              <w:t>投标人具有202</w:t>
            </w:r>
            <w:r>
              <w:rPr>
                <w:rFonts w:hint="eastAsia" w:ascii="宋体" w:hAnsi="宋体"/>
                <w:kern w:val="1"/>
                <w:highlight w:val="none"/>
                <w:lang w:val="en-US" w:eastAsia="zh-CN"/>
              </w:rPr>
              <w:t>1</w:t>
            </w:r>
            <w:r>
              <w:rPr>
                <w:rFonts w:hint="eastAsia" w:ascii="宋体" w:hAnsi="宋体"/>
                <w:kern w:val="1"/>
                <w:highlight w:val="none"/>
              </w:rPr>
              <w:t>年1月1日以来具有</w:t>
            </w:r>
            <w:r>
              <w:rPr>
                <w:rFonts w:hint="eastAsia" w:ascii="宋体" w:hAnsi="宋体"/>
                <w:kern w:val="1"/>
                <w:highlight w:val="none"/>
                <w:lang w:val="en-US" w:eastAsia="zh-CN"/>
              </w:rPr>
              <w:t>电视演播设备（含软件）供货</w:t>
            </w:r>
            <w:r>
              <w:rPr>
                <w:rFonts w:hint="eastAsia" w:ascii="宋体" w:hAnsi="宋体" w:cs="宋体"/>
                <w:szCs w:val="21"/>
                <w:highlight w:val="none"/>
              </w:rPr>
              <w:t>业绩</w:t>
            </w:r>
            <w:r>
              <w:rPr>
                <w:rFonts w:hint="eastAsia" w:ascii="宋体" w:hAnsi="宋体"/>
                <w:kern w:val="1"/>
                <w:highlight w:val="none"/>
              </w:rPr>
              <w:t>，每提供1个合同得1分，最高</w:t>
            </w:r>
            <w:r>
              <w:rPr>
                <w:rFonts w:hint="eastAsia" w:ascii="宋体" w:hAnsi="宋体"/>
                <w:kern w:val="1"/>
                <w:highlight w:val="none"/>
                <w:lang w:val="en-US" w:eastAsia="zh-CN"/>
              </w:rPr>
              <w:t>3</w:t>
            </w:r>
            <w:r>
              <w:rPr>
                <w:rFonts w:hint="eastAsia" w:ascii="宋体" w:hAnsi="宋体"/>
                <w:kern w:val="1"/>
                <w:highlight w:val="none"/>
              </w:rPr>
              <w:t>分。</w:t>
            </w:r>
          </w:p>
          <w:p>
            <w:pPr>
              <w:keepNext w:val="0"/>
              <w:keepLines w:val="0"/>
              <w:pageBreakBefore w:val="0"/>
              <w:widowControl/>
              <w:kinsoku/>
              <w:wordWrap/>
              <w:overflowPunct/>
              <w:topLinePunct w:val="0"/>
              <w:autoSpaceDE/>
              <w:autoSpaceDN/>
              <w:bidi w:val="0"/>
              <w:snapToGrid/>
              <w:spacing w:line="280" w:lineRule="exact"/>
              <w:jc w:val="left"/>
              <w:rPr>
                <w:rFonts w:asciiTheme="majorEastAsia" w:hAnsiTheme="majorEastAsia" w:eastAsiaTheme="majorEastAsia"/>
                <w:highlight w:val="none"/>
              </w:rPr>
            </w:pPr>
            <w:r>
              <w:rPr>
                <w:rFonts w:hint="eastAsia" w:ascii="宋体" w:hAnsi="宋体"/>
                <w:kern w:val="1"/>
                <w:highlight w:val="none"/>
              </w:rPr>
              <w:t>备注：投标文件提供合同（须体现签订日期及供货清单）复印件并加盖投标人公章。</w:t>
            </w:r>
          </w:p>
        </w:tc>
        <w:tc>
          <w:tcPr>
            <w:tcW w:w="567" w:type="dxa"/>
            <w:vAlign w:val="center"/>
          </w:tcPr>
          <w:p>
            <w:pPr>
              <w:keepNext w:val="0"/>
              <w:keepLines w:val="0"/>
              <w:pageBreakBefore w:val="0"/>
              <w:widowControl/>
              <w:kinsoku/>
              <w:wordWrap/>
              <w:overflowPunct/>
              <w:topLinePunct w:val="0"/>
              <w:autoSpaceDE/>
              <w:autoSpaceDN/>
              <w:bidi w:val="0"/>
              <w:snapToGrid/>
              <w:spacing w:line="280" w:lineRule="exact"/>
              <w:jc w:val="center"/>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3</w:t>
            </w:r>
          </w:p>
        </w:tc>
        <w:tc>
          <w:tcPr>
            <w:tcW w:w="851"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asciiTheme="majorEastAsia" w:hAnsiTheme="majorEastAsia" w:eastAsiaTheme="majorEastAsia"/>
                <w:kern w:val="0"/>
                <w:szCs w:val="21"/>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55" w:type="dxa"/>
            <w:vAlign w:val="center"/>
          </w:tcPr>
          <w:p>
            <w:pPr>
              <w:keepNext w:val="0"/>
              <w:keepLines w:val="0"/>
              <w:pageBreakBefore w:val="0"/>
              <w:kinsoku/>
              <w:wordWrap/>
              <w:overflowPunct/>
              <w:topLinePunct w:val="0"/>
              <w:autoSpaceDE/>
              <w:autoSpaceDN/>
              <w:bidi w:val="0"/>
              <w:adjustRightInd w:val="0"/>
              <w:snapToGrid/>
              <w:spacing w:line="280" w:lineRule="exact"/>
              <w:jc w:val="center"/>
              <w:textAlignment w:val="baseline"/>
              <w:rPr>
                <w:rFonts w:asciiTheme="majorEastAsia" w:hAnsiTheme="majorEastAsia" w:eastAsiaTheme="majorEastAsia"/>
                <w:kern w:val="0"/>
                <w:szCs w:val="21"/>
                <w:highlight w:val="none"/>
              </w:rPr>
            </w:pPr>
            <w:r>
              <w:rPr>
                <w:rFonts w:asciiTheme="majorEastAsia" w:hAnsiTheme="majorEastAsia" w:eastAsiaTheme="majorEastAsia"/>
                <w:kern w:val="0"/>
                <w:szCs w:val="21"/>
                <w:highlight w:val="none"/>
              </w:rPr>
              <w:t>政策分（</w:t>
            </w:r>
            <w:r>
              <w:rPr>
                <w:rFonts w:hint="eastAsia" w:asciiTheme="majorEastAsia" w:hAnsiTheme="majorEastAsia" w:eastAsiaTheme="majorEastAsia"/>
                <w:kern w:val="0"/>
                <w:szCs w:val="21"/>
                <w:highlight w:val="none"/>
              </w:rPr>
              <w:t>1分</w:t>
            </w:r>
            <w:r>
              <w:rPr>
                <w:rFonts w:asciiTheme="majorEastAsia" w:hAnsiTheme="majorEastAsia" w:eastAsiaTheme="majorEastAsia"/>
                <w:kern w:val="0"/>
                <w:szCs w:val="21"/>
                <w:highlight w:val="none"/>
              </w:rPr>
              <w:t>）</w:t>
            </w:r>
          </w:p>
        </w:tc>
        <w:tc>
          <w:tcPr>
            <w:tcW w:w="1200" w:type="dxa"/>
            <w:vAlign w:val="center"/>
          </w:tcPr>
          <w:p>
            <w:pPr>
              <w:keepNext w:val="0"/>
              <w:keepLines w:val="0"/>
              <w:pageBreakBefore w:val="0"/>
              <w:kinsoku/>
              <w:wordWrap/>
              <w:overflowPunct/>
              <w:topLinePunct w:val="0"/>
              <w:autoSpaceDE/>
              <w:autoSpaceDN/>
              <w:bidi w:val="0"/>
              <w:snapToGrid/>
              <w:spacing w:line="280" w:lineRule="exact"/>
              <w:jc w:val="both"/>
              <w:rPr>
                <w:rFonts w:ascii="宋体" w:hAnsi="宋体"/>
                <w:kern w:val="1"/>
                <w:sz w:val="21"/>
                <w:highlight w:val="none"/>
              </w:rPr>
            </w:pPr>
            <w:r>
              <w:rPr>
                <w:rFonts w:hint="eastAsia" w:ascii="宋体" w:hAnsi="宋体"/>
                <w:kern w:val="1"/>
                <w:highlight w:val="none"/>
                <w:lang w:val="en-US" w:eastAsia="zh-CN"/>
              </w:rPr>
              <w:t>10、</w:t>
            </w:r>
            <w:r>
              <w:rPr>
                <w:rFonts w:hint="eastAsia" w:ascii="宋体" w:hAnsi="宋体"/>
                <w:kern w:val="1"/>
                <w:highlight w:val="none"/>
              </w:rPr>
              <w:t>节能环保</w:t>
            </w:r>
            <w:r>
              <w:rPr>
                <w:rFonts w:hint="eastAsia" w:ascii="宋体" w:hAnsi="宋体"/>
                <w:kern w:val="1"/>
                <w:sz w:val="21"/>
                <w:highlight w:val="none"/>
              </w:rPr>
              <w:t>（1分）</w:t>
            </w:r>
          </w:p>
        </w:tc>
        <w:tc>
          <w:tcPr>
            <w:tcW w:w="5324" w:type="dxa"/>
            <w:vAlign w:val="center"/>
          </w:tcPr>
          <w:p>
            <w:pPr>
              <w:keepNext w:val="0"/>
              <w:keepLines w:val="0"/>
              <w:pageBreakBefore w:val="0"/>
              <w:kinsoku/>
              <w:wordWrap/>
              <w:overflowPunct/>
              <w:topLinePunct w:val="0"/>
              <w:autoSpaceDE/>
              <w:autoSpaceDN/>
              <w:bidi w:val="0"/>
              <w:snapToGrid/>
              <w:spacing w:line="280" w:lineRule="exact"/>
              <w:rPr>
                <w:rFonts w:ascii="宋体" w:hAnsi="宋体"/>
                <w:kern w:val="1"/>
                <w:highlight w:val="none"/>
              </w:rPr>
            </w:pPr>
            <w:r>
              <w:rPr>
                <w:rFonts w:hint="eastAsia" w:ascii="宋体" w:hAnsi="宋体"/>
                <w:kern w:val="1"/>
                <w:highlight w:val="none"/>
              </w:rPr>
              <w:t>本项目将对节能产品(得0.5分)和环境标志产品(得0.5分)给予政策性因素技术加分。</w:t>
            </w:r>
          </w:p>
          <w:p>
            <w:pPr>
              <w:keepNext w:val="0"/>
              <w:keepLines w:val="0"/>
              <w:pageBreakBefore w:val="0"/>
              <w:kinsoku/>
              <w:wordWrap/>
              <w:overflowPunct/>
              <w:topLinePunct w:val="0"/>
              <w:autoSpaceDE/>
              <w:autoSpaceDN/>
              <w:bidi w:val="0"/>
              <w:snapToGrid/>
              <w:spacing w:line="280" w:lineRule="exact"/>
              <w:rPr>
                <w:rFonts w:ascii="宋体" w:hAnsi="宋体"/>
                <w:kern w:val="1"/>
                <w:highlight w:val="none"/>
              </w:rPr>
            </w:pPr>
            <w:r>
              <w:rPr>
                <w:rFonts w:hint="eastAsia" w:ascii="宋体" w:hAnsi="宋体"/>
                <w:kern w:val="1"/>
                <w:highlight w:val="none"/>
              </w:rPr>
              <w:t>注：投标产品如属于节能产品、环境标志产品的，投标人须提供由国家确定的认证机构出具的、处于有效期之内的节能产品、环境标志产品认证证书（加盖投标人公章），未按要求提供认证证书或认证证书与中国政府采购网(www.ccgp.gov.cn) 节能产品、环境标志产品查询结果不相符的评标委员会将不予认可，不得享受技术加分，仅部分列入的得分按列入节能产品、环境标志产品的投标价格分别除以投标报价的比重计算（小数点后保留一位，第二位适用四舍五入）。</w:t>
            </w:r>
          </w:p>
        </w:tc>
        <w:tc>
          <w:tcPr>
            <w:tcW w:w="567" w:type="dxa"/>
            <w:vAlign w:val="center"/>
          </w:tcPr>
          <w:p>
            <w:pPr>
              <w:keepNext w:val="0"/>
              <w:keepLines w:val="0"/>
              <w:pageBreakBefore w:val="0"/>
              <w:kinsoku/>
              <w:wordWrap/>
              <w:overflowPunct/>
              <w:topLinePunct w:val="0"/>
              <w:autoSpaceDE/>
              <w:autoSpaceDN/>
              <w:bidi w:val="0"/>
              <w:snapToGrid/>
              <w:spacing w:line="280" w:lineRule="exact"/>
              <w:jc w:val="center"/>
              <w:rPr>
                <w:rFonts w:ascii="宋体" w:hAnsi="宋体"/>
                <w:kern w:val="1"/>
                <w:highlight w:val="none"/>
              </w:rPr>
            </w:pPr>
            <w:r>
              <w:rPr>
                <w:rFonts w:hint="eastAsia" w:ascii="宋体" w:hAnsi="宋体"/>
                <w:kern w:val="1"/>
                <w:highlight w:val="none"/>
              </w:rPr>
              <w:t>1</w:t>
            </w:r>
          </w:p>
        </w:tc>
        <w:tc>
          <w:tcPr>
            <w:tcW w:w="851" w:type="dxa"/>
            <w:vAlign w:val="center"/>
          </w:tcPr>
          <w:p>
            <w:pPr>
              <w:keepNext w:val="0"/>
              <w:keepLines w:val="0"/>
              <w:pageBreakBefore w:val="0"/>
              <w:kinsoku/>
              <w:wordWrap/>
              <w:overflowPunct/>
              <w:topLinePunct w:val="0"/>
              <w:autoSpaceDE/>
              <w:autoSpaceDN/>
              <w:bidi w:val="0"/>
              <w:snapToGrid/>
              <w:spacing w:line="280" w:lineRule="exact"/>
              <w:jc w:val="center"/>
              <w:rPr>
                <w:rFonts w:ascii="宋体" w:hAnsi="宋体"/>
                <w:highlight w:val="none"/>
              </w:rPr>
            </w:pPr>
            <w:r>
              <w:rPr>
                <w:rFonts w:ascii="宋体" w:hAnsi="宋体"/>
                <w:highlight w:val="none"/>
              </w:rPr>
              <w:t>客观</w:t>
            </w:r>
          </w:p>
        </w:tc>
      </w:tr>
    </w:tbl>
    <w:p>
      <w:pPr>
        <w:pStyle w:val="41"/>
        <w:keepNext w:val="0"/>
        <w:keepLines w:val="0"/>
        <w:pageBreakBefore w:val="0"/>
        <w:kinsoku/>
        <w:wordWrap/>
        <w:overflowPunct/>
        <w:topLinePunct w:val="0"/>
        <w:autoSpaceDE/>
        <w:autoSpaceDN/>
        <w:bidi w:val="0"/>
        <w:snapToGrid/>
        <w:spacing w:line="280" w:lineRule="exact"/>
        <w:rPr>
          <w:rFonts w:asciiTheme="majorEastAsia" w:hAnsiTheme="majorEastAsia" w:eastAsiaTheme="majorEastAsia"/>
          <w:sz w:val="28"/>
          <w:highlight w:val="none"/>
        </w:rPr>
      </w:pPr>
    </w:p>
    <w:p>
      <w:pPr>
        <w:pStyle w:val="41"/>
        <w:spacing w:line="360" w:lineRule="auto"/>
        <w:rPr>
          <w:rFonts w:asciiTheme="majorEastAsia" w:hAnsiTheme="majorEastAsia" w:eastAsiaTheme="majorEastAsia"/>
          <w:sz w:val="32"/>
          <w:highlight w:val="none"/>
        </w:rPr>
      </w:pPr>
      <w:r>
        <w:rPr>
          <w:rFonts w:asciiTheme="majorEastAsia" w:hAnsiTheme="majorEastAsia" w:eastAsiaTheme="majorEastAsia"/>
          <w:sz w:val="28"/>
          <w:highlight w:val="none"/>
        </w:rPr>
        <w:br w:type="page"/>
      </w:r>
      <w:bookmarkStart w:id="37" w:name="_Toc34844745"/>
      <w:r>
        <w:rPr>
          <w:rFonts w:hint="eastAsia" w:asciiTheme="majorEastAsia" w:hAnsiTheme="majorEastAsia" w:eastAsiaTheme="majorEastAsia"/>
          <w:sz w:val="24"/>
          <w:highlight w:val="none"/>
        </w:rPr>
        <w:t>第五章  合同文本</w:t>
      </w:r>
      <w:bookmarkEnd w:id="37"/>
    </w:p>
    <w:p>
      <w:pPr>
        <w:spacing w:before="1248" w:beforeLines="400" w:line="360" w:lineRule="auto"/>
        <w:jc w:val="center"/>
        <w:rPr>
          <w:rFonts w:ascii="宋体" w:hAnsi="宋体"/>
          <w:b/>
          <w:sz w:val="28"/>
          <w:szCs w:val="28"/>
          <w:highlight w:val="none"/>
        </w:rPr>
      </w:pPr>
      <w:bookmarkStart w:id="38" w:name="_Toc34844746"/>
      <w:r>
        <w:rPr>
          <w:rFonts w:hint="eastAsia" w:ascii="宋体" w:hAnsi="宋体"/>
          <w:b/>
          <w:sz w:val="28"/>
          <w:szCs w:val="28"/>
          <w:highlight w:val="none"/>
        </w:rPr>
        <w:t>宁波广播电视集团</w:t>
      </w:r>
    </w:p>
    <w:p>
      <w:pPr>
        <w:spacing w:line="360" w:lineRule="auto"/>
        <w:ind w:firstLine="738" w:firstLineChars="350"/>
        <w:rPr>
          <w:rFonts w:ascii="宋体" w:hAnsi="宋体"/>
          <w:b/>
          <w:szCs w:val="21"/>
          <w:highlight w:val="none"/>
        </w:rPr>
      </w:pPr>
    </w:p>
    <w:p>
      <w:pPr>
        <w:spacing w:line="360" w:lineRule="auto"/>
        <w:jc w:val="center"/>
        <w:rPr>
          <w:rFonts w:ascii="宋体" w:hAnsi="宋体"/>
          <w:b/>
          <w:szCs w:val="21"/>
          <w:highlight w:val="none"/>
        </w:rPr>
      </w:pPr>
      <w:r>
        <w:rPr>
          <w:rFonts w:hint="eastAsia" w:ascii="宋体" w:hAnsi="宋体"/>
          <w:b/>
          <w:szCs w:val="21"/>
          <w:highlight w:val="none"/>
        </w:rPr>
        <w:t xml:space="preserve"> 采 购 合 同 书</w:t>
      </w:r>
    </w:p>
    <w:p>
      <w:pPr>
        <w:spacing w:before="1872" w:beforeLines="600" w:line="360" w:lineRule="auto"/>
        <w:ind w:firstLine="843" w:firstLineChars="400"/>
        <w:rPr>
          <w:rFonts w:ascii="宋体" w:hAnsi="宋体"/>
          <w:b/>
          <w:szCs w:val="21"/>
          <w:highlight w:val="none"/>
          <w:u w:val="single"/>
        </w:rPr>
      </w:pPr>
      <w:r>
        <w:rPr>
          <w:rFonts w:hint="eastAsia" w:ascii="宋体" w:hAnsi="宋体"/>
          <w:b/>
          <w:szCs w:val="21"/>
          <w:highlight w:val="none"/>
        </w:rPr>
        <w:t>设备名称：</w:t>
      </w:r>
      <w:r>
        <w:rPr>
          <w:rFonts w:hint="eastAsia" w:ascii="宋体" w:hAnsi="宋体"/>
          <w:b/>
          <w:szCs w:val="21"/>
          <w:highlight w:val="none"/>
          <w:u w:val="single"/>
        </w:rPr>
        <w:t xml:space="preserve"> </w:t>
      </w:r>
      <w:r>
        <w:rPr>
          <w:rFonts w:ascii="宋体" w:hAnsi="宋体"/>
          <w:b/>
          <w:szCs w:val="21"/>
          <w:highlight w:val="none"/>
          <w:u w:val="single"/>
        </w:rPr>
        <w:t xml:space="preserve">                  </w:t>
      </w:r>
    </w:p>
    <w:p>
      <w:pPr>
        <w:spacing w:before="624" w:beforeLines="200" w:line="360" w:lineRule="auto"/>
        <w:ind w:firstLine="843" w:firstLineChars="400"/>
        <w:rPr>
          <w:rFonts w:ascii="宋体" w:hAnsi="宋体"/>
          <w:b/>
          <w:szCs w:val="21"/>
          <w:highlight w:val="none"/>
          <w:u w:val="single"/>
        </w:rPr>
      </w:pPr>
      <w:r>
        <w:rPr>
          <w:rFonts w:hint="eastAsia" w:ascii="宋体" w:hAnsi="宋体"/>
          <w:b/>
          <w:szCs w:val="21"/>
          <w:highlight w:val="none"/>
        </w:rPr>
        <w:t>合同编号：</w:t>
      </w:r>
      <w:r>
        <w:rPr>
          <w:rFonts w:hint="eastAsia" w:ascii="宋体" w:hAnsi="宋体"/>
          <w:b/>
          <w:szCs w:val="21"/>
          <w:highlight w:val="none"/>
          <w:u w:val="single"/>
        </w:rPr>
        <w:t xml:space="preserve">                      </w:t>
      </w:r>
    </w:p>
    <w:p>
      <w:pPr>
        <w:spacing w:before="1560" w:beforeLines="500" w:line="360" w:lineRule="auto"/>
        <w:ind w:firstLine="843" w:firstLineChars="400"/>
        <w:rPr>
          <w:rFonts w:ascii="宋体" w:hAnsi="宋体"/>
          <w:b/>
          <w:szCs w:val="21"/>
          <w:highlight w:val="none"/>
        </w:rPr>
      </w:pPr>
      <w:r>
        <w:rPr>
          <w:rFonts w:hint="eastAsia" w:ascii="宋体" w:hAnsi="宋体"/>
          <w:b/>
          <w:szCs w:val="21"/>
          <w:highlight w:val="none"/>
        </w:rPr>
        <w:t xml:space="preserve">甲方： </w:t>
      </w:r>
      <w:r>
        <w:rPr>
          <w:rFonts w:hint="eastAsia" w:ascii="宋体" w:hAnsi="宋体"/>
          <w:b/>
          <w:szCs w:val="21"/>
          <w:highlight w:val="none"/>
          <w:u w:val="single"/>
        </w:rPr>
        <w:t xml:space="preserve">宁波广播电视集团   </w:t>
      </w:r>
    </w:p>
    <w:p>
      <w:pPr>
        <w:spacing w:before="312" w:beforeLines="100" w:line="360" w:lineRule="auto"/>
        <w:ind w:firstLine="843" w:firstLineChars="400"/>
        <w:rPr>
          <w:rFonts w:ascii="宋体" w:hAnsi="宋体"/>
          <w:b/>
          <w:szCs w:val="21"/>
          <w:highlight w:val="none"/>
        </w:rPr>
      </w:pPr>
      <w:r>
        <w:rPr>
          <w:rFonts w:hint="eastAsia" w:ascii="宋体" w:hAnsi="宋体"/>
          <w:b/>
          <w:szCs w:val="21"/>
          <w:highlight w:val="none"/>
        </w:rPr>
        <w:t xml:space="preserve">乙方： </w:t>
      </w:r>
      <w:r>
        <w:rPr>
          <w:rFonts w:hint="eastAsia" w:ascii="宋体" w:hAnsi="宋体"/>
          <w:bCs/>
          <w:szCs w:val="21"/>
          <w:highlight w:val="none"/>
          <w:u w:val="single"/>
        </w:rPr>
        <w:t xml:space="preserve"> </w:t>
      </w:r>
      <w:r>
        <w:rPr>
          <w:rFonts w:hint="eastAsia" w:ascii="宋体" w:hAnsi="宋体"/>
          <w:b/>
          <w:szCs w:val="21"/>
          <w:highlight w:val="none"/>
          <w:u w:val="single"/>
        </w:rPr>
        <w:t xml:space="preserve"> </w:t>
      </w:r>
      <w:r>
        <w:rPr>
          <w:rFonts w:ascii="宋体" w:hAnsi="宋体"/>
          <w:b/>
          <w:szCs w:val="21"/>
          <w:highlight w:val="none"/>
          <w:u w:val="single"/>
        </w:rPr>
        <w:t xml:space="preserve">                 </w:t>
      </w:r>
    </w:p>
    <w:p>
      <w:pPr>
        <w:spacing w:before="312" w:beforeLines="100" w:line="360" w:lineRule="auto"/>
        <w:ind w:firstLine="843" w:firstLineChars="400"/>
        <w:rPr>
          <w:rFonts w:ascii="宋体" w:hAnsi="宋体"/>
          <w:b/>
          <w:szCs w:val="21"/>
          <w:highlight w:val="none"/>
          <w:u w:val="single"/>
        </w:rPr>
      </w:pPr>
      <w:r>
        <w:rPr>
          <w:rFonts w:hint="eastAsia" w:ascii="宋体" w:hAnsi="宋体"/>
          <w:b/>
          <w:szCs w:val="21"/>
          <w:highlight w:val="none"/>
        </w:rPr>
        <w:t xml:space="preserve">签署时间： </w:t>
      </w:r>
      <w:r>
        <w:rPr>
          <w:rFonts w:hint="eastAsia" w:ascii="宋体" w:hAnsi="宋体"/>
          <w:b/>
          <w:szCs w:val="21"/>
          <w:highlight w:val="none"/>
          <w:u w:val="single"/>
        </w:rPr>
        <w:t xml:space="preserve">                    </w:t>
      </w:r>
    </w:p>
    <w:p>
      <w:pPr>
        <w:widowControl/>
        <w:jc w:val="left"/>
        <w:rPr>
          <w:rFonts w:ascii="宋体" w:hAnsi="宋体"/>
          <w:b/>
          <w:szCs w:val="21"/>
          <w:highlight w:val="none"/>
          <w:u w:val="single"/>
        </w:rPr>
      </w:pPr>
      <w:r>
        <w:rPr>
          <w:rFonts w:ascii="宋体" w:hAnsi="宋体"/>
          <w:b/>
          <w:szCs w:val="21"/>
          <w:highlight w:val="none"/>
          <w:u w:val="single"/>
        </w:rPr>
        <w:br w:type="page"/>
      </w:r>
    </w:p>
    <w:p>
      <w:pPr>
        <w:pStyle w:val="3"/>
        <w:tabs>
          <w:tab w:val="left" w:pos="420"/>
        </w:tabs>
        <w:spacing w:line="360" w:lineRule="auto"/>
        <w:ind w:left="562" w:hanging="562" w:hangingChars="200"/>
        <w:jc w:val="center"/>
        <w:rPr>
          <w:rFonts w:ascii="宋体" w:hAnsi="宋体"/>
          <w:sz w:val="28"/>
          <w:szCs w:val="28"/>
          <w:highlight w:val="none"/>
        </w:rPr>
      </w:pPr>
      <w:r>
        <w:rPr>
          <w:rFonts w:hint="eastAsia" w:ascii="宋体" w:hAnsi="宋体"/>
          <w:sz w:val="28"/>
          <w:szCs w:val="28"/>
          <w:highlight w:val="none"/>
        </w:rPr>
        <w:t>宁波广播电视集团设备采购合同</w:t>
      </w:r>
    </w:p>
    <w:p>
      <w:pPr>
        <w:spacing w:line="360" w:lineRule="auto"/>
        <w:ind w:firstLine="3653" w:firstLineChars="1740"/>
        <w:rPr>
          <w:rFonts w:ascii="宋体" w:hAnsi="宋体"/>
          <w:szCs w:val="21"/>
          <w:highlight w:val="none"/>
        </w:rPr>
      </w:pPr>
      <w:r>
        <w:rPr>
          <w:rFonts w:hint="eastAsia" w:ascii="宋体" w:hAnsi="宋体"/>
          <w:szCs w:val="21"/>
          <w:highlight w:val="none"/>
        </w:rPr>
        <w:t>合同编号：</w:t>
      </w:r>
    </w:p>
    <w:p>
      <w:pPr>
        <w:spacing w:line="360" w:lineRule="auto"/>
        <w:rPr>
          <w:rFonts w:ascii="宋体" w:hAnsi="宋体"/>
          <w:szCs w:val="21"/>
          <w:highlight w:val="none"/>
        </w:rPr>
      </w:pPr>
    </w:p>
    <w:p>
      <w:pPr>
        <w:spacing w:line="360" w:lineRule="auto"/>
        <w:rPr>
          <w:rFonts w:ascii="宋体" w:hAnsi="宋体"/>
          <w:szCs w:val="21"/>
          <w:highlight w:val="none"/>
        </w:rPr>
        <w:sectPr>
          <w:footerReference r:id="rId10" w:type="default"/>
          <w:pgSz w:w="11907" w:h="16839"/>
          <w:pgMar w:top="1418" w:right="1134" w:bottom="1134" w:left="1888" w:header="1418" w:footer="851" w:gutter="0"/>
          <w:pgNumType w:fmt="decimal"/>
          <w:cols w:space="720" w:num="1"/>
          <w:docGrid w:type="lines" w:linePitch="312" w:charSpace="0"/>
        </w:sectPr>
      </w:pPr>
    </w:p>
    <w:p>
      <w:pPr>
        <w:spacing w:line="360" w:lineRule="auto"/>
        <w:rPr>
          <w:rFonts w:ascii="宋体" w:hAnsi="宋体"/>
          <w:szCs w:val="21"/>
          <w:highlight w:val="none"/>
        </w:rPr>
      </w:pPr>
      <w:r>
        <w:rPr>
          <w:rFonts w:hint="eastAsia" w:ascii="宋体" w:hAnsi="宋体"/>
          <w:szCs w:val="21"/>
          <w:highlight w:val="none"/>
        </w:rPr>
        <w:t>甲方：宁波广播电视集团</w:t>
      </w:r>
    </w:p>
    <w:p>
      <w:pPr>
        <w:spacing w:line="360" w:lineRule="auto"/>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宁波市海曙区江汇城496号姚江时代14幢3楼</w:t>
      </w:r>
    </w:p>
    <w:p>
      <w:pPr>
        <w:spacing w:line="360" w:lineRule="auto"/>
        <w:rPr>
          <w:rFonts w:ascii="宋体" w:hAnsi="宋体"/>
          <w:szCs w:val="21"/>
          <w:highlight w:val="none"/>
        </w:rPr>
      </w:pPr>
      <w:r>
        <w:rPr>
          <w:rFonts w:hint="eastAsia" w:ascii="宋体" w:hAnsi="宋体"/>
          <w:szCs w:val="21"/>
          <w:highlight w:val="none"/>
        </w:rPr>
        <w:t>电话：057456110234</w:t>
      </w:r>
    </w:p>
    <w:p>
      <w:pPr>
        <w:spacing w:line="360" w:lineRule="auto"/>
        <w:rPr>
          <w:rFonts w:ascii="宋体" w:hAnsi="宋体"/>
          <w:szCs w:val="21"/>
          <w:highlight w:val="none"/>
        </w:rPr>
      </w:pPr>
      <w:r>
        <w:rPr>
          <w:rFonts w:hint="eastAsia" w:ascii="宋体" w:hAnsi="宋体"/>
          <w:szCs w:val="21"/>
          <w:highlight w:val="none"/>
        </w:rPr>
        <w:t>邮政编号：315000</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乙方：</w:t>
      </w:r>
    </w:p>
    <w:p>
      <w:pPr>
        <w:spacing w:line="360" w:lineRule="auto"/>
        <w:rPr>
          <w:rFonts w:ascii="宋体" w:hAnsi="宋体"/>
          <w:szCs w:val="21"/>
          <w:highlight w:val="none"/>
        </w:rPr>
      </w:pPr>
      <w:r>
        <w:rPr>
          <w:rFonts w:hint="eastAsia" w:ascii="宋体" w:hAnsi="宋体"/>
          <w:szCs w:val="21"/>
          <w:highlight w:val="none"/>
        </w:rPr>
        <w:t>地址：</w:t>
      </w:r>
    </w:p>
    <w:p>
      <w:pPr>
        <w:spacing w:line="360" w:lineRule="auto"/>
        <w:rPr>
          <w:rFonts w:ascii="宋体" w:hAnsi="宋体"/>
          <w:szCs w:val="21"/>
          <w:highlight w:val="none"/>
        </w:rPr>
      </w:pPr>
      <w:r>
        <w:rPr>
          <w:rFonts w:hint="eastAsia" w:ascii="宋体" w:hAnsi="宋体"/>
          <w:szCs w:val="21"/>
          <w:highlight w:val="none"/>
        </w:rPr>
        <w:t>电话：</w:t>
      </w:r>
    </w:p>
    <w:p>
      <w:pPr>
        <w:spacing w:line="360" w:lineRule="auto"/>
        <w:rPr>
          <w:rFonts w:ascii="宋体" w:hAnsi="宋体"/>
          <w:szCs w:val="21"/>
          <w:highlight w:val="none"/>
        </w:rPr>
      </w:pPr>
      <w:r>
        <w:rPr>
          <w:rFonts w:hint="eastAsia" w:ascii="宋体" w:hAnsi="宋体"/>
          <w:szCs w:val="21"/>
          <w:highlight w:val="none"/>
        </w:rPr>
        <w:t>邮政编号：</w:t>
      </w:r>
    </w:p>
    <w:p>
      <w:pPr>
        <w:spacing w:line="360" w:lineRule="auto"/>
        <w:rPr>
          <w:rFonts w:ascii="宋体" w:hAnsi="宋体"/>
          <w:szCs w:val="21"/>
          <w:highlight w:val="none"/>
        </w:rPr>
      </w:pPr>
      <w:r>
        <w:rPr>
          <w:rFonts w:hint="eastAsia" w:ascii="宋体" w:hAnsi="宋体"/>
          <w:szCs w:val="21"/>
          <w:highlight w:val="none"/>
        </w:rPr>
        <w:t>开户银行：</w:t>
      </w:r>
    </w:p>
    <w:p>
      <w:pPr>
        <w:spacing w:line="360" w:lineRule="auto"/>
        <w:rPr>
          <w:rFonts w:ascii="宋体" w:hAnsi="宋体"/>
          <w:szCs w:val="21"/>
          <w:highlight w:val="none"/>
        </w:rPr>
        <w:sectPr>
          <w:type w:val="continuous"/>
          <w:pgSz w:w="11907" w:h="16839"/>
          <w:pgMar w:top="1418" w:right="1134" w:bottom="1134" w:left="1888" w:header="1418" w:footer="851" w:gutter="0"/>
          <w:pgNumType w:fmt="decimal"/>
          <w:cols w:space="720" w:num="2"/>
          <w:docGrid w:type="lines" w:linePitch="312" w:charSpace="0"/>
        </w:sectPr>
      </w:pPr>
      <w:r>
        <w:rPr>
          <w:rFonts w:hint="eastAsia" w:ascii="宋体" w:hAnsi="宋体"/>
          <w:szCs w:val="21"/>
          <w:highlight w:val="none"/>
        </w:rPr>
        <w:t>账号：</w:t>
      </w:r>
    </w:p>
    <w:p>
      <w:pPr>
        <w:spacing w:line="360" w:lineRule="auto"/>
        <w:rPr>
          <w:rFonts w:ascii="宋体" w:hAnsi="宋体"/>
          <w:szCs w:val="21"/>
          <w:highlight w:val="none"/>
          <w:u w:val="single"/>
        </w:rPr>
      </w:pPr>
      <w:r>
        <w:rPr>
          <w:rFonts w:hint="eastAsia" w:ascii="宋体" w:hAnsi="宋体"/>
          <w:szCs w:val="21"/>
          <w:highlight w:val="none"/>
        </w:rPr>
        <w:t xml:space="preserve">    甲方 （</w:t>
      </w:r>
      <w:r>
        <w:rPr>
          <w:rFonts w:hint="eastAsia" w:ascii="宋体" w:hAnsi="宋体"/>
          <w:szCs w:val="21"/>
          <w:highlight w:val="none"/>
          <w:lang w:eastAsia="zh-CN"/>
        </w:rPr>
        <w:t>宁波广播电视集团采购新大楼全媒体业务共享系统（一期）建设项目</w:t>
      </w:r>
      <w:r>
        <w:rPr>
          <w:rFonts w:hint="eastAsia" w:ascii="宋体" w:hAnsi="宋体"/>
          <w:szCs w:val="21"/>
          <w:highlight w:val="none"/>
        </w:rPr>
        <w:t>）项目，经（宁波名诚招标代理有限公司）以 （</w:t>
      </w:r>
      <w:r>
        <w:rPr>
          <w:rFonts w:hint="eastAsia" w:ascii="宋体" w:hAnsi="宋体"/>
          <w:szCs w:val="21"/>
          <w:highlight w:val="none"/>
          <w:lang w:eastAsia="zh-CN"/>
        </w:rPr>
        <w:t>NBMC-202411024G</w:t>
      </w:r>
      <w:r>
        <w:rPr>
          <w:rFonts w:hint="eastAsia" w:ascii="宋体" w:hAnsi="宋体"/>
          <w:szCs w:val="21"/>
          <w:highlight w:val="none"/>
        </w:rPr>
        <w:t>）号招标文件在国内公开招标。经评标委员会评定，（X</w:t>
      </w:r>
      <w:r>
        <w:rPr>
          <w:rFonts w:ascii="宋体" w:hAnsi="宋体"/>
          <w:szCs w:val="21"/>
          <w:highlight w:val="none"/>
        </w:rPr>
        <w:t>XX</w:t>
      </w:r>
      <w:r>
        <w:rPr>
          <w:rFonts w:hint="eastAsia" w:ascii="宋体" w:hAnsi="宋体"/>
          <w:szCs w:val="21"/>
          <w:highlight w:val="none"/>
        </w:rPr>
        <w:t>公司）为中标单位（乙方）。 甲乙双方同意按照下述条款和条件签署本合同。</w:t>
      </w:r>
    </w:p>
    <w:p>
      <w:pPr>
        <w:spacing w:line="360" w:lineRule="auto"/>
        <w:ind w:firstLine="420" w:firstLineChars="200"/>
        <w:rPr>
          <w:rFonts w:ascii="宋体" w:hAnsi="宋体"/>
          <w:szCs w:val="21"/>
          <w:highlight w:val="none"/>
        </w:rPr>
      </w:pPr>
      <w:r>
        <w:rPr>
          <w:rFonts w:hint="eastAsia" w:ascii="宋体" w:hAnsi="宋体"/>
          <w:szCs w:val="21"/>
          <w:highlight w:val="none"/>
        </w:rPr>
        <w:t>一、合同文件</w:t>
      </w:r>
    </w:p>
    <w:p>
      <w:pPr>
        <w:spacing w:line="360" w:lineRule="auto"/>
        <w:ind w:firstLine="420" w:firstLineChars="200"/>
        <w:rPr>
          <w:rFonts w:ascii="宋体" w:hAnsi="宋体"/>
          <w:szCs w:val="21"/>
          <w:highlight w:val="none"/>
        </w:rPr>
      </w:pPr>
      <w:r>
        <w:rPr>
          <w:rFonts w:hint="eastAsia" w:ascii="宋体" w:hAnsi="宋体"/>
          <w:szCs w:val="21"/>
          <w:highlight w:val="none"/>
        </w:rPr>
        <w:t>下列文件构成本合同的组成部分：</w:t>
      </w:r>
    </w:p>
    <w:p>
      <w:pPr>
        <w:spacing w:line="360" w:lineRule="auto"/>
        <w:ind w:firstLine="420" w:firstLineChars="200"/>
        <w:rPr>
          <w:rFonts w:ascii="宋体" w:hAnsi="宋体"/>
          <w:szCs w:val="21"/>
          <w:highlight w:val="none"/>
        </w:rPr>
      </w:pPr>
      <w:r>
        <w:rPr>
          <w:rFonts w:hint="eastAsia" w:ascii="宋体" w:hAnsi="宋体"/>
          <w:szCs w:val="21"/>
          <w:highlight w:val="none"/>
        </w:rPr>
        <w:t>1、采购合同书</w:t>
      </w:r>
    </w:p>
    <w:p>
      <w:pPr>
        <w:spacing w:line="360" w:lineRule="auto"/>
        <w:ind w:firstLine="420" w:firstLineChars="200"/>
        <w:rPr>
          <w:rFonts w:ascii="宋体" w:hAnsi="宋体"/>
          <w:szCs w:val="21"/>
          <w:highlight w:val="none"/>
        </w:rPr>
      </w:pPr>
      <w:r>
        <w:rPr>
          <w:rFonts w:hint="eastAsia" w:ascii="宋体" w:hAnsi="宋体"/>
          <w:szCs w:val="21"/>
          <w:highlight w:val="none"/>
        </w:rPr>
        <w:t>2、招标书；</w:t>
      </w:r>
    </w:p>
    <w:p>
      <w:pPr>
        <w:spacing w:line="360" w:lineRule="auto"/>
        <w:ind w:firstLine="420" w:firstLineChars="200"/>
        <w:rPr>
          <w:rFonts w:ascii="宋体" w:hAnsi="宋体"/>
          <w:szCs w:val="21"/>
          <w:highlight w:val="none"/>
        </w:rPr>
      </w:pPr>
      <w:r>
        <w:rPr>
          <w:rFonts w:hint="eastAsia" w:ascii="宋体" w:hAnsi="宋体"/>
          <w:szCs w:val="21"/>
          <w:highlight w:val="none"/>
        </w:rPr>
        <w:t>3、投标书；</w:t>
      </w:r>
    </w:p>
    <w:p>
      <w:pPr>
        <w:spacing w:line="360" w:lineRule="auto"/>
        <w:ind w:firstLine="420" w:firstLineChars="200"/>
        <w:rPr>
          <w:rFonts w:ascii="宋体" w:hAnsi="宋体"/>
          <w:szCs w:val="21"/>
          <w:highlight w:val="none"/>
        </w:rPr>
      </w:pPr>
      <w:r>
        <w:rPr>
          <w:rFonts w:hint="eastAsia" w:ascii="宋体" w:hAnsi="宋体"/>
          <w:szCs w:val="21"/>
          <w:highlight w:val="none"/>
        </w:rPr>
        <w:t>4、中标通知书；</w:t>
      </w:r>
    </w:p>
    <w:p>
      <w:pPr>
        <w:spacing w:line="360" w:lineRule="auto"/>
        <w:ind w:firstLine="420" w:firstLineChars="200"/>
        <w:rPr>
          <w:rFonts w:ascii="宋体" w:hAnsi="宋体"/>
          <w:szCs w:val="21"/>
          <w:highlight w:val="none"/>
        </w:rPr>
      </w:pPr>
      <w:r>
        <w:rPr>
          <w:rFonts w:ascii="宋体" w:hAnsi="宋体"/>
          <w:szCs w:val="21"/>
          <w:highlight w:val="none"/>
        </w:rPr>
        <w:t>5</w:t>
      </w:r>
      <w:r>
        <w:rPr>
          <w:rFonts w:hint="eastAsia" w:ascii="宋体" w:hAnsi="宋体"/>
          <w:szCs w:val="21"/>
          <w:highlight w:val="none"/>
        </w:rPr>
        <w:t>、投标清单及数量；</w:t>
      </w:r>
    </w:p>
    <w:p>
      <w:pPr>
        <w:spacing w:line="360" w:lineRule="auto"/>
        <w:ind w:firstLine="420" w:firstLineChars="200"/>
        <w:rPr>
          <w:rFonts w:ascii="宋体" w:hAnsi="宋体"/>
          <w:szCs w:val="21"/>
          <w:highlight w:val="none"/>
        </w:rPr>
      </w:pPr>
      <w:r>
        <w:rPr>
          <w:rFonts w:ascii="宋体" w:hAnsi="宋体"/>
          <w:szCs w:val="21"/>
          <w:highlight w:val="none"/>
        </w:rPr>
        <w:t>6</w:t>
      </w:r>
      <w:r>
        <w:rPr>
          <w:rFonts w:hint="eastAsia" w:ascii="宋体" w:hAnsi="宋体"/>
          <w:szCs w:val="21"/>
          <w:highlight w:val="none"/>
        </w:rPr>
        <w:t>、附件。</w:t>
      </w:r>
    </w:p>
    <w:p>
      <w:pPr>
        <w:spacing w:line="360" w:lineRule="auto"/>
        <w:ind w:firstLine="570"/>
        <w:rPr>
          <w:rFonts w:ascii="宋体" w:hAnsi="宋体"/>
          <w:szCs w:val="21"/>
          <w:highlight w:val="none"/>
        </w:rPr>
      </w:pPr>
      <w:r>
        <w:rPr>
          <w:rFonts w:hint="eastAsia" w:ascii="宋体" w:hAnsi="宋体"/>
          <w:szCs w:val="21"/>
          <w:highlight w:val="none"/>
        </w:rPr>
        <w:t>二、货物和数量</w:t>
      </w:r>
    </w:p>
    <w:p>
      <w:pPr>
        <w:spacing w:line="360" w:lineRule="auto"/>
        <w:ind w:firstLine="570"/>
        <w:rPr>
          <w:rFonts w:ascii="宋体" w:hAnsi="宋体"/>
          <w:szCs w:val="21"/>
          <w:highlight w:val="none"/>
        </w:rPr>
      </w:pPr>
      <w:r>
        <w:rPr>
          <w:rFonts w:hint="eastAsia" w:ascii="宋体" w:hAnsi="宋体"/>
          <w:szCs w:val="21"/>
          <w:highlight w:val="none"/>
        </w:rPr>
        <w:t>本合同所指货物和数量，系乙方根据合同规定须向甲方提供乙的一切设备、机械、仪表、备件、工具、手册和其它技术资料及应该提供设备的数量，详见投标设备清单。</w:t>
      </w:r>
    </w:p>
    <w:p>
      <w:pPr>
        <w:tabs>
          <w:tab w:val="left" w:pos="1140"/>
          <w:tab w:val="left" w:pos="1260"/>
          <w:tab w:val="left" w:pos="1365"/>
        </w:tabs>
        <w:spacing w:line="360" w:lineRule="auto"/>
        <w:ind w:left="540"/>
        <w:rPr>
          <w:rFonts w:hint="eastAsia" w:ascii="宋体" w:hAnsi="宋体"/>
          <w:szCs w:val="21"/>
          <w:highlight w:val="none"/>
        </w:rPr>
      </w:pPr>
      <w:r>
        <w:rPr>
          <w:rFonts w:hint="eastAsia" w:ascii="宋体" w:hAnsi="宋体"/>
          <w:szCs w:val="21"/>
          <w:highlight w:val="none"/>
        </w:rPr>
        <w:t>三、货物交货时间及交货地点</w:t>
      </w:r>
    </w:p>
    <w:p>
      <w:pPr>
        <w:tabs>
          <w:tab w:val="left" w:pos="1140"/>
          <w:tab w:val="left" w:pos="1260"/>
          <w:tab w:val="left" w:pos="1365"/>
        </w:tabs>
        <w:spacing w:line="360" w:lineRule="auto"/>
        <w:ind w:firstLine="420" w:firstLineChars="200"/>
        <w:rPr>
          <w:rFonts w:ascii="宋体" w:hAnsi="宋体"/>
          <w:szCs w:val="21"/>
          <w:highlight w:val="none"/>
        </w:rPr>
      </w:pPr>
      <w:r>
        <w:rPr>
          <w:rFonts w:hint="eastAsia" w:ascii="宋体" w:hAnsi="宋体"/>
          <w:szCs w:val="21"/>
          <w:highlight w:val="none"/>
        </w:rPr>
        <w:t>本合同货物交货时间：xxxx</w:t>
      </w:r>
      <w:r>
        <w:rPr>
          <w:rFonts w:hint="eastAsia" w:ascii="宋体" w:hAnsi="宋体"/>
          <w:szCs w:val="21"/>
          <w:highlight w:val="none"/>
          <w:u w:val="single"/>
        </w:rPr>
        <w:t>年x月x日</w:t>
      </w:r>
      <w:r>
        <w:rPr>
          <w:rFonts w:hint="eastAsia" w:ascii="宋体" w:hAnsi="宋体"/>
          <w:szCs w:val="21"/>
          <w:highlight w:val="none"/>
        </w:rPr>
        <w:t xml:space="preserve">以前通过  </w:t>
      </w:r>
      <w:r>
        <w:rPr>
          <w:rFonts w:hint="eastAsia" w:ascii="宋体" w:hAnsi="宋体"/>
          <w:szCs w:val="21"/>
          <w:highlight w:val="none"/>
          <w:u w:val="single"/>
        </w:rPr>
        <w:t xml:space="preserve">物流 </w:t>
      </w:r>
      <w:r>
        <w:rPr>
          <w:rFonts w:hint="eastAsia" w:ascii="宋体" w:hAnsi="宋体"/>
          <w:szCs w:val="21"/>
          <w:highlight w:val="none"/>
        </w:rPr>
        <w:t>运输方式由乙方运至甲方指定地点。乙方应在交货前</w:t>
      </w:r>
      <w:r>
        <w:rPr>
          <w:rFonts w:hint="eastAsia" w:ascii="宋体" w:hAnsi="宋体"/>
          <w:szCs w:val="21"/>
          <w:highlight w:val="none"/>
          <w:u w:val="single"/>
        </w:rPr>
        <w:t>5</w:t>
      </w:r>
      <w:r>
        <w:rPr>
          <w:rFonts w:hint="eastAsia" w:ascii="宋体" w:hAnsi="宋体"/>
          <w:szCs w:val="21"/>
          <w:highlight w:val="none"/>
        </w:rPr>
        <w:t>日书面告知甲方。</w:t>
      </w:r>
    </w:p>
    <w:p>
      <w:pPr>
        <w:tabs>
          <w:tab w:val="left" w:pos="1140"/>
          <w:tab w:val="left" w:pos="1260"/>
          <w:tab w:val="left" w:pos="1365"/>
        </w:tabs>
        <w:spacing w:line="360" w:lineRule="auto"/>
        <w:ind w:firstLine="420" w:firstLineChars="200"/>
        <w:rPr>
          <w:rFonts w:ascii="宋体" w:hAnsi="宋体"/>
          <w:szCs w:val="21"/>
          <w:highlight w:val="none"/>
        </w:rPr>
      </w:pPr>
      <w:r>
        <w:rPr>
          <w:rFonts w:hint="eastAsia" w:ascii="宋体" w:hAnsi="宋体"/>
          <w:szCs w:val="21"/>
          <w:highlight w:val="none"/>
        </w:rPr>
        <w:t>本合同交货地点：宁波市X</w:t>
      </w:r>
      <w:r>
        <w:rPr>
          <w:rFonts w:ascii="宋体" w:hAnsi="宋体"/>
          <w:szCs w:val="21"/>
          <w:highlight w:val="none"/>
        </w:rPr>
        <w:t>XX</w:t>
      </w:r>
      <w:r>
        <w:rPr>
          <w:rFonts w:hint="eastAsia" w:ascii="宋体" w:hAnsi="宋体"/>
          <w:szCs w:val="21"/>
          <w:highlight w:val="none"/>
        </w:rPr>
        <w:t>（甲方指定地点）。</w:t>
      </w:r>
    </w:p>
    <w:p>
      <w:pPr>
        <w:tabs>
          <w:tab w:val="left" w:pos="0"/>
        </w:tabs>
        <w:spacing w:line="360" w:lineRule="auto"/>
        <w:ind w:firstLine="411" w:firstLineChars="196"/>
        <w:rPr>
          <w:rFonts w:hint="eastAsia" w:ascii="宋体" w:hAnsi="宋体" w:cs="Arial Narrow"/>
          <w:b/>
          <w:bCs/>
          <w:szCs w:val="21"/>
          <w:highlight w:val="none"/>
        </w:rPr>
      </w:pPr>
      <w:r>
        <w:rPr>
          <w:rFonts w:hint="eastAsia" w:ascii="宋体" w:hAnsi="宋体"/>
          <w:szCs w:val="21"/>
          <w:highlight w:val="none"/>
        </w:rPr>
        <w:t>四、合同总价为（大写）</w:t>
      </w:r>
      <w:r>
        <w:rPr>
          <w:rFonts w:hint="eastAsia" w:ascii="宋体" w:hAnsi="宋体"/>
          <w:szCs w:val="21"/>
          <w:highlight w:val="none"/>
          <w:u w:val="single"/>
        </w:rPr>
        <w:t xml:space="preserve"> X</w:t>
      </w:r>
      <w:r>
        <w:rPr>
          <w:rFonts w:ascii="宋体" w:hAnsi="宋体"/>
          <w:szCs w:val="21"/>
          <w:highlight w:val="none"/>
          <w:u w:val="single"/>
        </w:rPr>
        <w:t>XX</w:t>
      </w:r>
      <w:r>
        <w:rPr>
          <w:rFonts w:hint="eastAsia" w:ascii="宋体" w:hAnsi="宋体"/>
          <w:szCs w:val="21"/>
          <w:highlight w:val="none"/>
          <w:u w:val="single"/>
        </w:rPr>
        <w:t xml:space="preserve"> </w:t>
      </w:r>
      <w:r>
        <w:rPr>
          <w:rFonts w:hint="eastAsia" w:ascii="宋体" w:hAnsi="宋体"/>
          <w:szCs w:val="21"/>
          <w:highlight w:val="none"/>
        </w:rPr>
        <w:t>人民币。</w:t>
      </w:r>
      <w:r>
        <w:rPr>
          <w:rFonts w:hint="eastAsia" w:ascii="宋体" w:hAnsi="宋体"/>
          <w:b/>
          <w:szCs w:val="21"/>
          <w:highlight w:val="none"/>
        </w:rPr>
        <w:t>包括但不限</w:t>
      </w:r>
      <w:r>
        <w:rPr>
          <w:rFonts w:hint="eastAsia" w:ascii="宋体" w:hAnsi="宋体" w:cs="Arial Narrow"/>
          <w:b/>
          <w:szCs w:val="21"/>
          <w:highlight w:val="none"/>
        </w:rPr>
        <w:t>于</w:t>
      </w:r>
      <w:r>
        <w:rPr>
          <w:rFonts w:hint="eastAsia" w:asciiTheme="majorEastAsia" w:hAnsiTheme="majorEastAsia" w:eastAsiaTheme="majorEastAsia"/>
          <w:b/>
          <w:bCs/>
          <w:szCs w:val="21"/>
          <w:highlight w:val="none"/>
        </w:rPr>
        <w:t>产品费、人工费、运输费、</w:t>
      </w:r>
      <w:r>
        <w:rPr>
          <w:rFonts w:hint="eastAsia" w:asciiTheme="majorEastAsia" w:hAnsiTheme="majorEastAsia" w:eastAsiaTheme="majorEastAsia"/>
          <w:b/>
          <w:bCs/>
          <w:szCs w:val="21"/>
          <w:highlight w:val="none"/>
          <w:lang w:val="en-US" w:eastAsia="zh-CN"/>
        </w:rPr>
        <w:t>安装调试费、测试费、</w:t>
      </w:r>
      <w:r>
        <w:rPr>
          <w:rFonts w:hint="eastAsia" w:asciiTheme="majorEastAsia" w:hAnsiTheme="majorEastAsia" w:eastAsiaTheme="majorEastAsia"/>
          <w:b/>
          <w:bCs/>
          <w:szCs w:val="21"/>
          <w:highlight w:val="none"/>
        </w:rPr>
        <w:t>质保维护费、培训费、交通食宿费、采购</w:t>
      </w:r>
      <w:r>
        <w:rPr>
          <w:rFonts w:asciiTheme="majorEastAsia" w:hAnsiTheme="majorEastAsia" w:eastAsiaTheme="majorEastAsia"/>
          <w:b/>
          <w:bCs/>
          <w:szCs w:val="21"/>
          <w:highlight w:val="none"/>
        </w:rPr>
        <w:t>代理</w:t>
      </w:r>
      <w:r>
        <w:rPr>
          <w:rFonts w:hint="eastAsia" w:asciiTheme="majorEastAsia" w:hAnsiTheme="majorEastAsia" w:eastAsiaTheme="majorEastAsia"/>
          <w:b/>
          <w:bCs/>
          <w:szCs w:val="21"/>
          <w:highlight w:val="none"/>
        </w:rPr>
        <w:t>服务</w:t>
      </w:r>
      <w:r>
        <w:rPr>
          <w:rFonts w:asciiTheme="majorEastAsia" w:hAnsiTheme="majorEastAsia" w:eastAsiaTheme="majorEastAsia"/>
          <w:b/>
          <w:bCs/>
          <w:szCs w:val="21"/>
          <w:highlight w:val="none"/>
        </w:rPr>
        <w:t>费用</w:t>
      </w:r>
      <w:r>
        <w:rPr>
          <w:rFonts w:hint="eastAsia" w:asciiTheme="majorEastAsia" w:hAnsiTheme="majorEastAsia" w:eastAsiaTheme="majorEastAsia"/>
          <w:b/>
          <w:bCs/>
          <w:szCs w:val="21"/>
          <w:highlight w:val="none"/>
          <w:lang w:eastAsia="zh-CN"/>
        </w:rPr>
        <w:t>、</w:t>
      </w:r>
      <w:r>
        <w:rPr>
          <w:rFonts w:hint="eastAsia" w:asciiTheme="majorEastAsia" w:hAnsiTheme="majorEastAsia" w:eastAsiaTheme="majorEastAsia"/>
          <w:b/>
          <w:bCs/>
          <w:szCs w:val="21"/>
          <w:highlight w:val="none"/>
        </w:rPr>
        <w:t>税费、利润、合同实施过程中的应预见和不可预见费用等完成合同规定责任和义务一切费用。</w:t>
      </w:r>
    </w:p>
    <w:p>
      <w:pPr>
        <w:spacing w:line="360" w:lineRule="auto"/>
        <w:ind w:firstLine="420" w:firstLineChars="200"/>
        <w:rPr>
          <w:rFonts w:hint="eastAsia" w:ascii="宋体" w:hAnsi="宋体"/>
          <w:szCs w:val="21"/>
          <w:highlight w:val="none"/>
          <w:lang w:val="en-US" w:eastAsia="zh-CN"/>
        </w:rPr>
      </w:pPr>
      <w:r>
        <w:rPr>
          <w:rFonts w:hint="eastAsia" w:ascii="宋体" w:hAnsi="宋体"/>
          <w:szCs w:val="21"/>
          <w:highlight w:val="none"/>
        </w:rPr>
        <w:t>五、合同履行期限</w:t>
      </w:r>
      <w:r>
        <w:rPr>
          <w:rFonts w:hint="eastAsia" w:ascii="宋体" w:hAnsi="宋体"/>
          <w:szCs w:val="21"/>
          <w:highlight w:val="none"/>
          <w:lang w:val="en-US" w:eastAsia="zh-CN"/>
        </w:rPr>
        <w:t>及交货期</w:t>
      </w:r>
    </w:p>
    <w:p>
      <w:pPr>
        <w:spacing w:line="360" w:lineRule="auto"/>
        <w:ind w:firstLine="420" w:firstLineChars="200"/>
        <w:rPr>
          <w:rFonts w:hint="eastAsia" w:ascii="宋体" w:hAnsi="宋体" w:eastAsia="宋体"/>
          <w:szCs w:val="21"/>
          <w:highlight w:val="none"/>
          <w:lang w:eastAsia="zh-CN"/>
        </w:rPr>
      </w:pPr>
      <w:r>
        <w:rPr>
          <w:rFonts w:asciiTheme="majorEastAsia" w:hAnsiTheme="majorEastAsia" w:eastAsiaTheme="majorEastAsia"/>
          <w:szCs w:val="21"/>
          <w:highlight w:val="none"/>
        </w:rPr>
        <w:t>合同履约期限</w:t>
      </w:r>
      <w:r>
        <w:rPr>
          <w:rFonts w:hint="eastAsia" w:asciiTheme="majorEastAsia" w:hAnsiTheme="majorEastAsia" w:eastAsiaTheme="majorEastAsia"/>
          <w:szCs w:val="21"/>
          <w:highlight w:val="none"/>
        </w:rPr>
        <w:t>：</w:t>
      </w:r>
      <w:r>
        <w:rPr>
          <w:rFonts w:hint="eastAsia" w:ascii="宋体" w:hAnsi="宋体"/>
          <w:highlight w:val="none"/>
        </w:rPr>
        <w:t>自合同生效之日至合同全部权利义务履行完毕之日止</w:t>
      </w:r>
      <w:r>
        <w:rPr>
          <w:rFonts w:hint="eastAsia" w:ascii="宋体" w:hAnsi="宋体"/>
          <w:highlight w:val="none"/>
          <w:lang w:eastAsia="zh-CN"/>
        </w:rPr>
        <w:t>；</w:t>
      </w:r>
    </w:p>
    <w:p>
      <w:pPr>
        <w:spacing w:line="360" w:lineRule="auto"/>
        <w:ind w:firstLine="420" w:firstLineChars="200"/>
        <w:rPr>
          <w:rFonts w:hint="eastAsia" w:ascii="宋体" w:hAnsi="宋体"/>
          <w:szCs w:val="21"/>
          <w:highlight w:val="none"/>
        </w:rPr>
      </w:pPr>
      <w:r>
        <w:rPr>
          <w:rFonts w:hint="eastAsia" w:asciiTheme="majorEastAsia" w:hAnsiTheme="majorEastAsia" w:eastAsiaTheme="majorEastAsia"/>
          <w:szCs w:val="21"/>
          <w:highlight w:val="none"/>
          <w:lang w:val="en-US" w:eastAsia="zh-CN"/>
        </w:rPr>
        <w:t>交货期：</w:t>
      </w:r>
      <w:r>
        <w:rPr>
          <w:rFonts w:hint="eastAsia" w:asciiTheme="majorEastAsia" w:hAnsiTheme="majorEastAsia" w:eastAsiaTheme="majorEastAsia"/>
          <w:szCs w:val="21"/>
          <w:highlight w:val="none"/>
        </w:rPr>
        <w:t>合同签订生效之日起</w:t>
      </w:r>
      <w:r>
        <w:rPr>
          <w:rFonts w:hint="eastAsia" w:asciiTheme="majorEastAsia" w:hAnsiTheme="majorEastAsia" w:eastAsiaTheme="majorEastAsia"/>
          <w:szCs w:val="21"/>
          <w:highlight w:val="none"/>
          <w:lang w:val="en-US" w:eastAsia="zh-CN"/>
        </w:rPr>
        <w:t>60日</w:t>
      </w:r>
      <w:r>
        <w:rPr>
          <w:rFonts w:hint="eastAsia" w:asciiTheme="majorEastAsia" w:hAnsiTheme="majorEastAsia" w:eastAsiaTheme="majorEastAsia"/>
          <w:szCs w:val="21"/>
          <w:highlight w:val="none"/>
        </w:rPr>
        <w:t>内货到指定地点，安装调试</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测试</w:t>
      </w:r>
      <w:r>
        <w:rPr>
          <w:rFonts w:hint="eastAsia" w:asciiTheme="majorEastAsia" w:hAnsiTheme="majorEastAsia" w:eastAsiaTheme="majorEastAsia"/>
          <w:szCs w:val="21"/>
          <w:highlight w:val="none"/>
        </w:rPr>
        <w:t>完成直至通过</w:t>
      </w:r>
      <w:r>
        <w:rPr>
          <w:rFonts w:hint="eastAsia" w:asciiTheme="majorEastAsia" w:hAnsiTheme="majorEastAsia" w:eastAsiaTheme="majorEastAsia"/>
          <w:szCs w:val="21"/>
          <w:highlight w:val="none"/>
          <w:lang w:val="en-US" w:eastAsia="zh-CN"/>
        </w:rPr>
        <w:t>甲方</w:t>
      </w:r>
      <w:r>
        <w:rPr>
          <w:rFonts w:hint="eastAsia" w:asciiTheme="majorEastAsia" w:hAnsiTheme="majorEastAsia" w:eastAsiaTheme="majorEastAsia"/>
          <w:szCs w:val="21"/>
          <w:highlight w:val="none"/>
        </w:rPr>
        <w:t>验收合格。</w:t>
      </w:r>
    </w:p>
    <w:p>
      <w:pPr>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六、付款方式</w:t>
      </w:r>
      <w:r>
        <w:rPr>
          <w:rFonts w:hint="eastAsia" w:ascii="宋体" w:hAnsi="宋体"/>
          <w:szCs w:val="21"/>
          <w:highlight w:val="none"/>
          <w:lang w:eastAsia="zh-CN"/>
        </w:rPr>
        <w:t>：</w:t>
      </w:r>
    </w:p>
    <w:p>
      <w:pPr>
        <w:spacing w:line="360" w:lineRule="auto"/>
        <w:ind w:firstLine="420"/>
        <w:rPr>
          <w:rFonts w:hint="eastAsia" w:ascii="宋体" w:hAnsi="宋体"/>
          <w:szCs w:val="21"/>
          <w:highlight w:val="none"/>
        </w:rPr>
      </w:pPr>
      <w:r>
        <w:rPr>
          <w:rFonts w:hint="eastAsia" w:ascii="宋体" w:hAnsi="宋体"/>
          <w:highlight w:val="none"/>
        </w:rPr>
        <w:t>合同生效及具备实施条件后7个工作日内，向乙方支付合同总价的40%；货到指定地点安装调试</w:t>
      </w:r>
      <w:r>
        <w:rPr>
          <w:rFonts w:hint="eastAsia" w:ascii="宋体" w:hAnsi="宋体"/>
          <w:highlight w:val="none"/>
          <w:lang w:eastAsia="zh-CN"/>
        </w:rPr>
        <w:t>、</w:t>
      </w:r>
      <w:r>
        <w:rPr>
          <w:rFonts w:hint="eastAsia" w:ascii="宋体" w:hAnsi="宋体"/>
          <w:highlight w:val="none"/>
          <w:lang w:val="en-US" w:eastAsia="zh-CN"/>
        </w:rPr>
        <w:t>测试</w:t>
      </w:r>
      <w:r>
        <w:rPr>
          <w:rFonts w:hint="eastAsia" w:ascii="宋体" w:hAnsi="宋体"/>
          <w:highlight w:val="none"/>
        </w:rPr>
        <w:t>完成并经甲方验收通过后</w:t>
      </w:r>
      <w:r>
        <w:rPr>
          <w:rFonts w:hint="eastAsia" w:ascii="宋体" w:hAnsi="宋体"/>
          <w:highlight w:val="none"/>
          <w:lang w:val="en-US" w:eastAsia="zh-CN"/>
        </w:rPr>
        <w:t>7个工作日</w:t>
      </w:r>
      <w:r>
        <w:rPr>
          <w:rFonts w:hint="eastAsia" w:ascii="宋体" w:hAnsi="宋体"/>
          <w:highlight w:val="none"/>
        </w:rPr>
        <w:t>内支付至合同金额的100%。</w:t>
      </w:r>
    </w:p>
    <w:p>
      <w:pPr>
        <w:spacing w:line="360" w:lineRule="auto"/>
        <w:ind w:firstLine="420"/>
        <w:rPr>
          <w:rFonts w:ascii="宋体" w:hAnsi="宋体"/>
          <w:szCs w:val="21"/>
          <w:highlight w:val="none"/>
        </w:rPr>
      </w:pPr>
      <w:r>
        <w:rPr>
          <w:rFonts w:hint="eastAsia" w:ascii="宋体" w:hAnsi="宋体"/>
          <w:szCs w:val="21"/>
          <w:highlight w:val="none"/>
        </w:rPr>
        <w:t>如甲方无故未能按合同规定时间付款，经乙方书面催告后仍不予支付的，乙方可要求甲方支付违约金。每逾期一日按合同总金额0.</w:t>
      </w:r>
      <w:r>
        <w:rPr>
          <w:rFonts w:ascii="宋体" w:hAnsi="宋体"/>
          <w:szCs w:val="21"/>
          <w:highlight w:val="none"/>
        </w:rPr>
        <w:t>0</w:t>
      </w:r>
      <w:r>
        <w:rPr>
          <w:rFonts w:hint="eastAsia" w:ascii="宋体" w:hAnsi="宋体"/>
          <w:szCs w:val="21"/>
          <w:highlight w:val="none"/>
        </w:rPr>
        <w:t>1%支付违约金，违约金总额不超过合同总额的</w:t>
      </w:r>
      <w:r>
        <w:rPr>
          <w:rFonts w:ascii="宋体" w:hAnsi="宋体"/>
          <w:szCs w:val="21"/>
          <w:highlight w:val="none"/>
        </w:rPr>
        <w:t>5%</w:t>
      </w:r>
      <w:r>
        <w:rPr>
          <w:rFonts w:hint="eastAsia" w:ascii="宋体" w:hAnsi="宋体"/>
          <w:szCs w:val="21"/>
          <w:highlight w:val="none"/>
        </w:rPr>
        <w:t>；逾期超过30日仍未付款的，乙方有权解除合同，并由甲方承担因此给甲方造成的一切损失。</w:t>
      </w:r>
    </w:p>
    <w:p>
      <w:pPr>
        <w:tabs>
          <w:tab w:val="left" w:pos="0"/>
          <w:tab w:val="left" w:pos="1050"/>
          <w:tab w:val="left" w:pos="1110"/>
          <w:tab w:val="left" w:pos="1365"/>
        </w:tabs>
        <w:spacing w:line="360" w:lineRule="auto"/>
        <w:ind w:firstLine="413" w:firstLineChars="196"/>
        <w:rPr>
          <w:rFonts w:ascii="宋体" w:hAnsi="宋体"/>
          <w:b/>
          <w:szCs w:val="21"/>
          <w:highlight w:val="none"/>
        </w:rPr>
      </w:pPr>
      <w:r>
        <w:rPr>
          <w:rFonts w:hint="eastAsia" w:ascii="宋体" w:hAnsi="宋体"/>
          <w:b/>
          <w:szCs w:val="21"/>
          <w:highlight w:val="none"/>
        </w:rPr>
        <w:t>乙方应在甲方每期付款前提供符合税务规定的足额增值税专用发票（硬件和软件为1</w:t>
      </w:r>
      <w:r>
        <w:rPr>
          <w:rFonts w:ascii="宋体" w:hAnsi="宋体"/>
          <w:b/>
          <w:szCs w:val="21"/>
          <w:highlight w:val="none"/>
        </w:rPr>
        <w:t>3%</w:t>
      </w:r>
      <w:r>
        <w:rPr>
          <w:rFonts w:hint="eastAsia" w:ascii="宋体" w:hAnsi="宋体"/>
          <w:b/>
          <w:szCs w:val="21"/>
          <w:highlight w:val="none"/>
        </w:rPr>
        <w:t>税率，服务为6</w:t>
      </w:r>
      <w:r>
        <w:rPr>
          <w:rFonts w:ascii="宋体" w:hAnsi="宋体"/>
          <w:b/>
          <w:szCs w:val="21"/>
          <w:highlight w:val="none"/>
        </w:rPr>
        <w:t>%</w:t>
      </w:r>
      <w:r>
        <w:rPr>
          <w:rFonts w:hint="eastAsia" w:ascii="宋体" w:hAnsi="宋体"/>
          <w:b/>
          <w:szCs w:val="21"/>
          <w:highlight w:val="none"/>
        </w:rPr>
        <w:t>税率），否则甲方有权顺延支付款项，直至乙方提供符合约定的发票，甲方无需承担任何违约责任，乙方不得以此为由拒绝履行合同项下的义务。</w:t>
      </w:r>
    </w:p>
    <w:p>
      <w:pPr>
        <w:widowControl/>
        <w:spacing w:line="360" w:lineRule="auto"/>
        <w:ind w:firstLine="420"/>
        <w:rPr>
          <w:rFonts w:ascii="宋体" w:hAnsi="宋体"/>
          <w:szCs w:val="21"/>
          <w:highlight w:val="none"/>
        </w:rPr>
      </w:pPr>
      <w:r>
        <w:rPr>
          <w:rFonts w:hint="eastAsia" w:ascii="宋体" w:hAnsi="宋体"/>
          <w:szCs w:val="21"/>
          <w:highlight w:val="none"/>
        </w:rPr>
        <w:t>甲方授权（X</w:t>
      </w:r>
      <w:r>
        <w:rPr>
          <w:rFonts w:ascii="宋体" w:hAnsi="宋体"/>
          <w:szCs w:val="21"/>
          <w:highlight w:val="none"/>
        </w:rPr>
        <w:t>XX</w:t>
      </w:r>
      <w:r>
        <w:rPr>
          <w:rFonts w:hint="eastAsia" w:ascii="宋体" w:hAnsi="宋体"/>
          <w:szCs w:val="21"/>
          <w:highlight w:val="none"/>
        </w:rPr>
        <w:t>）通过电子邮件（邮箱地址：：xxx@xxx.xx）对与交付、验收等相关的文档、报告进行确认，前述人员的邮件确认行为代表甲方的真实意思表示，对甲方具有法律约束力。</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七、包装要求</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1、除合同另有规定外，乙方提供的全部设备，均应采用国家或专业标准保护措施进行包装，使包装适宜于远距离运输、防潮、防震、防锈和防粗暴装卸，确保设备安全无损运抵现场。由于包装不善所引起的设备锈蚀、损坏和损失均由乙方承担。</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2、每件包装箱内应附一份详细装箱单、技术说明和质量合格证。</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八、交货方式</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乙方负责办理运输和保险，将设备运抵交货地点。有关运输和保险的一切费用由乙方承担。</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九、技术资料</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合同项下技术资料（除合同特殊条款规定外）将以下列方式交付：</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1、乙方应将每台设备和仪器的中文技术资料一套，如目录索引、图纸、技术说明书、操作手册、使用指南、维修指南、服务手册及示意图等，应包装好随同设备一起发运至甲方。</w:t>
      </w:r>
    </w:p>
    <w:p>
      <w:pPr>
        <w:tabs>
          <w:tab w:val="left" w:pos="0"/>
        </w:tabs>
        <w:spacing w:line="360" w:lineRule="auto"/>
        <w:ind w:firstLine="420"/>
        <w:rPr>
          <w:rFonts w:ascii="宋体" w:hAnsi="宋体"/>
          <w:szCs w:val="21"/>
          <w:highlight w:val="none"/>
        </w:rPr>
      </w:pPr>
      <w:r>
        <w:rPr>
          <w:rFonts w:hint="eastAsia" w:ascii="宋体" w:hAnsi="宋体"/>
          <w:szCs w:val="21"/>
          <w:highlight w:val="none"/>
        </w:rPr>
        <w:t>2、如果技术资料不完整或在运输过程中丢失，乙方应在收到甲方通知后3天内将这些资料免费寄给甲方。</w:t>
      </w:r>
    </w:p>
    <w:p>
      <w:pPr>
        <w:tabs>
          <w:tab w:val="left" w:pos="0"/>
        </w:tabs>
        <w:spacing w:line="360" w:lineRule="auto"/>
        <w:ind w:firstLine="411" w:firstLineChars="196"/>
        <w:rPr>
          <w:rFonts w:ascii="宋体" w:hAnsi="宋体"/>
          <w:szCs w:val="21"/>
          <w:highlight w:val="none"/>
        </w:rPr>
      </w:pPr>
      <w:r>
        <w:rPr>
          <w:rFonts w:hint="eastAsia" w:ascii="宋体" w:hAnsi="宋体"/>
          <w:szCs w:val="21"/>
          <w:highlight w:val="none"/>
        </w:rPr>
        <w:t>十、设备质量保证和售后服务</w:t>
      </w:r>
    </w:p>
    <w:p>
      <w:pPr>
        <w:tabs>
          <w:tab w:val="left" w:pos="0"/>
        </w:tabs>
        <w:spacing w:line="360" w:lineRule="auto"/>
        <w:ind w:firstLine="420"/>
        <w:rPr>
          <w:rFonts w:ascii="宋体" w:hAnsi="宋体"/>
          <w:szCs w:val="21"/>
          <w:highlight w:val="none"/>
        </w:rPr>
      </w:pPr>
      <w:r>
        <w:rPr>
          <w:rFonts w:hint="eastAsia" w:ascii="宋体" w:hAnsi="宋体"/>
          <w:szCs w:val="21"/>
          <w:highlight w:val="none"/>
        </w:rPr>
        <w:t>1、乙方要保证设备是全新、未使用过的，并完全符合合同规定的数量、质量、规格和性能的要求。</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2、由乙方运送设备至交货地点并完成招标要求提供的服务，如安装、调试、提供技术协助、培训和其他类似的义务。</w:t>
      </w:r>
    </w:p>
    <w:p>
      <w:pPr>
        <w:tabs>
          <w:tab w:val="left" w:pos="0"/>
        </w:tabs>
        <w:spacing w:line="360" w:lineRule="auto"/>
        <w:ind w:firstLine="417" w:firstLineChars="199"/>
        <w:rPr>
          <w:rFonts w:hint="eastAsia" w:ascii="宋体" w:hAnsi="宋体"/>
          <w:highlight w:val="none"/>
        </w:rPr>
      </w:pPr>
      <w:r>
        <w:rPr>
          <w:rFonts w:hint="eastAsia" w:ascii="宋体" w:hAnsi="宋体"/>
          <w:szCs w:val="21"/>
          <w:highlight w:val="none"/>
        </w:rPr>
        <w:t>3、</w:t>
      </w:r>
      <w:r>
        <w:rPr>
          <w:rFonts w:hint="eastAsia" w:ascii="宋体" w:hAnsi="宋体"/>
          <w:highlight w:val="none"/>
        </w:rPr>
        <w:t>系统所涉及的所有硬件产品自甲方最终验收合格之日起整体质保三年，在质保期内应能提供充足的备品备件和专用工具，保证系统正常稳定运行。</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4、质保期内，对系统集成商自产软件出现的故障和缺陷应免费予以解决；对于产品设计、制造、安装导致的故障和缺陷，在设备生命周期内应免费予以解决；</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4、质量保证期内，</w:t>
      </w:r>
      <w:r>
        <w:rPr>
          <w:rFonts w:hint="eastAsia" w:asciiTheme="majorEastAsia" w:hAnsiTheme="majorEastAsia" w:eastAsiaTheme="majorEastAsia"/>
          <w:highlight w:val="none"/>
        </w:rPr>
        <w:t>自接到</w:t>
      </w:r>
      <w:r>
        <w:rPr>
          <w:rFonts w:hint="eastAsia" w:asciiTheme="majorEastAsia" w:hAnsiTheme="majorEastAsia" w:eastAsiaTheme="majorEastAsia"/>
          <w:highlight w:val="none"/>
          <w:lang w:val="en-US" w:eastAsia="zh-CN"/>
        </w:rPr>
        <w:t>甲方</w:t>
      </w:r>
      <w:r>
        <w:rPr>
          <w:rFonts w:hint="eastAsia" w:asciiTheme="majorEastAsia" w:hAnsiTheme="majorEastAsia" w:eastAsiaTheme="majorEastAsia"/>
          <w:highlight w:val="none"/>
        </w:rPr>
        <w:t>通知后</w:t>
      </w: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小时内作出响应，</w:t>
      </w:r>
      <w:r>
        <w:rPr>
          <w:rFonts w:hint="eastAsia" w:asciiTheme="majorEastAsia" w:hAnsiTheme="majorEastAsia" w:eastAsiaTheme="majorEastAsia"/>
          <w:highlight w:val="none"/>
          <w:lang w:val="en-US" w:eastAsia="zh-CN"/>
        </w:rPr>
        <w:t>48</w:t>
      </w:r>
      <w:r>
        <w:rPr>
          <w:rFonts w:hint="eastAsia" w:asciiTheme="majorEastAsia" w:hAnsiTheme="majorEastAsia" w:eastAsiaTheme="majorEastAsia"/>
          <w:highlight w:val="none"/>
        </w:rPr>
        <w:t>小时到达现场并解决相关问题。</w:t>
      </w:r>
      <w:r>
        <w:rPr>
          <w:rFonts w:hint="eastAsia" w:ascii="宋体" w:hAnsi="宋体"/>
          <w:szCs w:val="21"/>
          <w:highlight w:val="none"/>
        </w:rPr>
        <w:t>如乙方未按照上述约定提供维修、更换等保修服务，甲方有权另行委托第三方进行维保，产生的费用应由乙方承担。</w:t>
      </w:r>
    </w:p>
    <w:p>
      <w:pPr>
        <w:spacing w:line="360" w:lineRule="auto"/>
        <w:ind w:firstLine="480"/>
        <w:rPr>
          <w:rFonts w:ascii="宋体" w:hAnsi="宋体"/>
          <w:szCs w:val="21"/>
          <w:highlight w:val="none"/>
        </w:rPr>
      </w:pPr>
      <w:r>
        <w:rPr>
          <w:rFonts w:hint="eastAsia" w:ascii="宋体" w:hAnsi="宋体"/>
          <w:szCs w:val="21"/>
          <w:highlight w:val="none"/>
        </w:rPr>
        <w:t>5、质量保证期届满后，甲方要求乙方修理的，乙方应积极主动提供技术服务并以本合同附表中的价格收取材料费，适当收取服务费。</w:t>
      </w:r>
    </w:p>
    <w:p>
      <w:pPr>
        <w:tabs>
          <w:tab w:val="left" w:pos="0"/>
        </w:tabs>
        <w:spacing w:line="360" w:lineRule="auto"/>
        <w:rPr>
          <w:rFonts w:ascii="宋体" w:hAnsi="宋体"/>
          <w:szCs w:val="21"/>
          <w:highlight w:val="none"/>
        </w:rPr>
      </w:pPr>
      <w:r>
        <w:rPr>
          <w:rFonts w:hint="eastAsia" w:ascii="宋体" w:hAnsi="宋体"/>
          <w:szCs w:val="21"/>
          <w:highlight w:val="none"/>
        </w:rPr>
        <w:t xml:space="preserve">    6、质量保证期届满后，甲乙双方另行签订技术维护协议的，按技术维护协议执行。</w:t>
      </w:r>
    </w:p>
    <w:p>
      <w:pPr>
        <w:tabs>
          <w:tab w:val="left" w:pos="0"/>
        </w:tabs>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十一、检验 </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1、乙方在交货前，应对提供设备的质量、规格、性能、数量等进行详细而全面的自检，并出具一份证明设备符合合同规定的证书。制造商检验的结果和细节应在证书中加以说明。有关质量、规格、性能、数量的检验不应视为最终检验。</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 xml:space="preserve">2、设备运抵交货地点后，甲方将对设备质量、规格、数量进行检验。如发现设备质量、规格和数量与合同不符，甲方有权向乙方提出退货并索赔，乙方应在收到甲方退货通知后 </w:t>
      </w:r>
      <w:r>
        <w:rPr>
          <w:rFonts w:ascii="宋体" w:hAnsi="宋体"/>
          <w:szCs w:val="21"/>
          <w:highlight w:val="none"/>
        </w:rPr>
        <w:t>5</w:t>
      </w:r>
      <w:r>
        <w:rPr>
          <w:rFonts w:hint="eastAsia" w:ascii="宋体" w:hAnsi="宋体"/>
          <w:szCs w:val="21"/>
          <w:highlight w:val="none"/>
        </w:rPr>
        <w:t xml:space="preserve"> 日内自行运回货物并承担全部费用，乙方逾期运回的，应向甲方支付仓储费和保管费。</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因甲方原因在设备到货后10日之内未完成对设备质量、规格、数量的检验，视为验收合格。</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3、交货检验合格的出具检验证书，但甲方签收货物并不代表已认可货物的质量完全符合合同要求，也不免除乙方按照国家、地方法律、法规和行业制度管理的规定应承担的产品质量责任。一旦发现货物与合同规定的规格、数量、箱号、净重、体积等有不符之处，甲方有权拒收、换货、退货，甚至解除合同，并有权要求乙方支付对应货物合同总金额</w:t>
      </w:r>
      <w:r>
        <w:rPr>
          <w:rFonts w:hint="eastAsia" w:ascii="宋体" w:hAnsi="宋体"/>
          <w:szCs w:val="21"/>
          <w:highlight w:val="none"/>
          <w:u w:val="single"/>
        </w:rPr>
        <w:t>5</w:t>
      </w:r>
      <w:r>
        <w:rPr>
          <w:rFonts w:hint="eastAsia" w:ascii="宋体" w:hAnsi="宋体"/>
          <w:szCs w:val="21"/>
          <w:highlight w:val="none"/>
        </w:rPr>
        <w:t>%的违约金，并赔偿给甲方造成的一切损失。</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十二、技术规范</w:t>
      </w:r>
    </w:p>
    <w:p>
      <w:pPr>
        <w:tabs>
          <w:tab w:val="left" w:pos="0"/>
        </w:tabs>
        <w:spacing w:line="360" w:lineRule="auto"/>
        <w:ind w:firstLine="420"/>
        <w:rPr>
          <w:rFonts w:ascii="宋体" w:hAnsi="宋体"/>
          <w:szCs w:val="21"/>
          <w:highlight w:val="none"/>
        </w:rPr>
      </w:pPr>
      <w:r>
        <w:rPr>
          <w:rFonts w:hint="eastAsia" w:ascii="宋体" w:hAnsi="宋体"/>
          <w:szCs w:val="21"/>
          <w:highlight w:val="none"/>
        </w:rPr>
        <w:t>乙方提供设备的技术规范应与招标文件规定的技术规范相一致。 若技术规范中无相应说明，则以国家有关部门最新颁布的相应标准及规范为准。</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十三、专利权</w:t>
      </w:r>
    </w:p>
    <w:p>
      <w:pPr>
        <w:tabs>
          <w:tab w:val="left" w:pos="0"/>
        </w:tabs>
        <w:spacing w:line="360" w:lineRule="auto"/>
        <w:ind w:firstLine="420"/>
        <w:rPr>
          <w:rFonts w:ascii="宋体" w:hAnsi="宋体"/>
          <w:szCs w:val="21"/>
          <w:highlight w:val="none"/>
        </w:rPr>
      </w:pPr>
      <w:r>
        <w:rPr>
          <w:rFonts w:hint="eastAsia" w:ascii="宋体" w:hAnsi="宋体"/>
          <w:szCs w:val="21"/>
          <w:highlight w:val="none"/>
        </w:rPr>
        <w:t xml:space="preserve"> 乙方应保证甲方在使用合同内的设备时不受第三方提出侵犯专利权、商标权或工业设计权的指控。如果任何第三方提出侵权指控，乙方须与第三方交涉并承担可能发生的一切法律责任和费用，并赔偿给甲方造成的损失。</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十四、索赔</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甲方有权根据自己检验的结果对不符合合同规定的设备（包括在保质期内设备暴露出来的各种缺陷等）向乙方提出更换新品或予以赔偿的要求。乙方应在收到甲方通知后（</w:t>
      </w:r>
      <w:r>
        <w:rPr>
          <w:rFonts w:ascii="宋体" w:hAnsi="宋体"/>
          <w:szCs w:val="21"/>
          <w:highlight w:val="none"/>
        </w:rPr>
        <w:t>10</w:t>
      </w:r>
      <w:r>
        <w:rPr>
          <w:rFonts w:hint="eastAsia" w:ascii="宋体" w:hAnsi="宋体"/>
          <w:szCs w:val="21"/>
          <w:highlight w:val="none"/>
        </w:rPr>
        <w:t>）天内作出响应，免费更换有缺陷的设备或予以赔偿，直到符合合同要求。乙方应承担因此而产生的一切费用和风险，并相应延长质量保证期。乙方在收到甲方通知后  日内未提出书面异议的，视为同意按甲方所提要求履行并支付赔偿。</w:t>
      </w:r>
    </w:p>
    <w:p>
      <w:pPr>
        <w:spacing w:line="360" w:lineRule="auto"/>
        <w:rPr>
          <w:rFonts w:ascii="宋体" w:hAnsi="宋体"/>
          <w:szCs w:val="21"/>
          <w:highlight w:val="none"/>
        </w:rPr>
      </w:pPr>
      <w:r>
        <w:rPr>
          <w:rFonts w:hint="eastAsia" w:ascii="宋体" w:hAnsi="宋体"/>
          <w:szCs w:val="21"/>
          <w:highlight w:val="none"/>
        </w:rPr>
        <w:t xml:space="preserve">    十五、延期交货</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1、乙方必须按照合同规定的时间表提交设备。</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2、如果乙方不能按时交货，应及时以书面形式将原因和延误时间告知甲方。</w:t>
      </w:r>
    </w:p>
    <w:p>
      <w:pPr>
        <w:tabs>
          <w:tab w:val="left" w:pos="0"/>
        </w:tabs>
        <w:spacing w:line="360" w:lineRule="auto"/>
        <w:ind w:firstLine="420" w:firstLineChars="200"/>
        <w:rPr>
          <w:rFonts w:hint="eastAsia" w:ascii="宋体" w:hAnsi="宋体"/>
          <w:szCs w:val="21"/>
          <w:highlight w:val="none"/>
        </w:rPr>
      </w:pPr>
      <w:r>
        <w:rPr>
          <w:rFonts w:hint="eastAsia" w:ascii="宋体" w:hAnsi="宋体"/>
          <w:szCs w:val="21"/>
          <w:highlight w:val="none"/>
        </w:rPr>
        <w:t>3、如果甲方同意延期，双方通过补充合同，酌情延长交货时间，但乙方必须按本条款第十六条承担违约赔偿。</w:t>
      </w:r>
    </w:p>
    <w:p>
      <w:pPr>
        <w:tabs>
          <w:tab w:val="left" w:pos="0"/>
        </w:tabs>
        <w:spacing w:line="360" w:lineRule="auto"/>
        <w:ind w:firstLine="420"/>
        <w:rPr>
          <w:rFonts w:ascii="宋体" w:hAnsi="宋体"/>
          <w:szCs w:val="21"/>
          <w:highlight w:val="none"/>
        </w:rPr>
      </w:pPr>
      <w:r>
        <w:rPr>
          <w:rFonts w:hint="eastAsia" w:ascii="宋体" w:hAnsi="宋体"/>
          <w:szCs w:val="21"/>
          <w:highlight w:val="none"/>
        </w:rPr>
        <w:t>4、如果乙方无甲方认可的正当理由拖延交货，甲方有权解除合同。</w:t>
      </w:r>
    </w:p>
    <w:p>
      <w:pPr>
        <w:tabs>
          <w:tab w:val="left" w:pos="0"/>
        </w:tabs>
        <w:spacing w:line="360" w:lineRule="auto"/>
        <w:ind w:firstLine="420"/>
        <w:rPr>
          <w:rFonts w:ascii="宋体" w:hAnsi="宋体"/>
          <w:szCs w:val="21"/>
          <w:highlight w:val="none"/>
        </w:rPr>
      </w:pPr>
      <w:r>
        <w:rPr>
          <w:rFonts w:hint="eastAsia" w:ascii="宋体" w:hAnsi="宋体"/>
          <w:szCs w:val="21"/>
          <w:highlight w:val="none"/>
        </w:rPr>
        <w:t>乙方货物因质量问题、数量、规格等问题而换货、退货、补发货物等原因超过合同约定发货时间的，均视为延期交货。</w:t>
      </w:r>
    </w:p>
    <w:p>
      <w:pPr>
        <w:tabs>
          <w:tab w:val="left" w:pos="0"/>
        </w:tabs>
        <w:spacing w:line="360" w:lineRule="auto"/>
        <w:ind w:firstLine="420"/>
        <w:rPr>
          <w:rFonts w:ascii="宋体" w:hAnsi="宋体"/>
          <w:szCs w:val="21"/>
          <w:highlight w:val="none"/>
        </w:rPr>
      </w:pPr>
      <w:r>
        <w:rPr>
          <w:rFonts w:hint="eastAsia" w:ascii="宋体" w:hAnsi="宋体"/>
          <w:szCs w:val="21"/>
          <w:highlight w:val="none"/>
        </w:rPr>
        <w:t>十六、违约赔偿</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如果乙方没有按照合同规定的时间交货，乙方应当向甲方支付违约金，甲方可从货款中直接进行扣除。每逾期一日按合同总金额0.</w:t>
      </w:r>
      <w:r>
        <w:rPr>
          <w:rFonts w:ascii="宋体" w:hAnsi="宋体"/>
          <w:szCs w:val="21"/>
          <w:highlight w:val="none"/>
        </w:rPr>
        <w:t>0</w:t>
      </w:r>
      <w:r>
        <w:rPr>
          <w:rFonts w:hint="eastAsia" w:ascii="宋体" w:hAnsi="宋体"/>
          <w:szCs w:val="21"/>
          <w:highlight w:val="none"/>
        </w:rPr>
        <w:t>1%支付违约金，违约金总额不超过合同总额的</w:t>
      </w:r>
      <w:r>
        <w:rPr>
          <w:rFonts w:ascii="宋体" w:hAnsi="宋体"/>
          <w:szCs w:val="21"/>
          <w:highlight w:val="none"/>
        </w:rPr>
        <w:t>5%</w:t>
      </w:r>
      <w:r>
        <w:rPr>
          <w:rFonts w:hint="eastAsia" w:ascii="宋体" w:hAnsi="宋体"/>
          <w:szCs w:val="21"/>
          <w:highlight w:val="none"/>
        </w:rPr>
        <w:t>；逾期超过30日仍未交货的，甲方有权解除合同，乙方须返还甲方已支付的全部款项并承担因此给甲方造成的一切损失。</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未经甲方事先书面同意，乙方不得部分或全部转让其应履行的合同义务。否则甲方有权解除合同，并要求乙方赔偿甲方因此产生的一切损失。</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本合同乙方违约给甲方造成的损失，包括但不限于诉讼费、律师费、合理的差旅费、调查费等。</w:t>
      </w:r>
    </w:p>
    <w:p>
      <w:pPr>
        <w:tabs>
          <w:tab w:val="left" w:pos="0"/>
        </w:tabs>
        <w:spacing w:line="360" w:lineRule="auto"/>
        <w:rPr>
          <w:rFonts w:ascii="宋体" w:hAnsi="宋体"/>
          <w:szCs w:val="21"/>
          <w:highlight w:val="none"/>
        </w:rPr>
      </w:pPr>
      <w:r>
        <w:rPr>
          <w:rFonts w:hint="eastAsia" w:ascii="宋体" w:hAnsi="宋体"/>
          <w:szCs w:val="21"/>
          <w:highlight w:val="none"/>
        </w:rPr>
        <w:t xml:space="preserve">    十七、不可抗力</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1、如果双方中任何一方由于战争、发生火灾、水灾、台风和地震以及其它经双方同意属于不可抗力的事故，致使合同履行受阻时，履行合同的期限应予延长，延长的期限应相当于事故所影响的时间。</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2、受事故影响的一方应在不可抗力的事故发生后尽快通知另一方，并在事故发生后</w:t>
      </w:r>
      <w:r>
        <w:rPr>
          <w:rFonts w:hint="eastAsia" w:ascii="宋体" w:hAnsi="宋体"/>
          <w:szCs w:val="21"/>
          <w:highlight w:val="none"/>
          <w:u w:val="single"/>
        </w:rPr>
        <w:t>14</w:t>
      </w:r>
      <w:r>
        <w:rPr>
          <w:rFonts w:hint="eastAsia" w:ascii="宋体" w:hAnsi="宋体"/>
          <w:szCs w:val="21"/>
          <w:highlight w:val="none"/>
        </w:rPr>
        <w:t>天内，将有关部门出具的证明文件用挂号信航寄给或送给另一方。</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十八、税费</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与本合同执行有关的一切税费均由乙方负担。</w:t>
      </w:r>
    </w:p>
    <w:p>
      <w:pPr>
        <w:tabs>
          <w:tab w:val="left" w:pos="0"/>
        </w:tabs>
        <w:spacing w:line="360" w:lineRule="auto"/>
        <w:ind w:firstLine="417" w:firstLineChars="199"/>
        <w:rPr>
          <w:rFonts w:ascii="宋体" w:hAnsi="宋体"/>
          <w:szCs w:val="21"/>
          <w:highlight w:val="none"/>
        </w:rPr>
      </w:pPr>
      <w:r>
        <w:rPr>
          <w:rFonts w:hint="eastAsia" w:ascii="宋体" w:hAnsi="宋体"/>
          <w:szCs w:val="21"/>
          <w:highlight w:val="none"/>
        </w:rPr>
        <w:t>十九、仲裁</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甲乙双方应以本合同条款规定为基础经过友好协商解决在执行本合同中所发生的或与本合同有关的一切争端，如果协商仍得不到解决，任何一方均可向被告方人民法院诉讼解决。</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二十、终止合同</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 xml:space="preserve">如果乙方有以下违约情况之一，甲方有权终止合同： </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 xml:space="preserve">1、乙方未能在合同规定的限期或甲方同意延长的限期内提供全部设备； </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2、乙方未能履行合同规定的其它义务；</w:t>
      </w:r>
    </w:p>
    <w:p>
      <w:pPr>
        <w:tabs>
          <w:tab w:val="left" w:pos="0"/>
        </w:tabs>
        <w:spacing w:line="360" w:lineRule="auto"/>
        <w:ind w:firstLine="420" w:firstLineChars="200"/>
        <w:rPr>
          <w:rFonts w:hint="eastAsia" w:ascii="宋体" w:hAnsi="宋体"/>
          <w:szCs w:val="21"/>
          <w:highlight w:val="none"/>
        </w:rPr>
      </w:pPr>
      <w:r>
        <w:rPr>
          <w:rFonts w:hint="eastAsia" w:ascii="宋体" w:hAnsi="宋体"/>
          <w:szCs w:val="21"/>
          <w:highlight w:val="none"/>
        </w:rPr>
        <w:t>3、乙方在收到甲方发出的违约通知后（</w:t>
      </w:r>
      <w:r>
        <w:rPr>
          <w:rFonts w:ascii="宋体" w:hAnsi="宋体"/>
          <w:szCs w:val="21"/>
          <w:highlight w:val="none"/>
        </w:rPr>
        <w:t>10</w:t>
      </w:r>
      <w:r>
        <w:rPr>
          <w:rFonts w:hint="eastAsia" w:ascii="宋体" w:hAnsi="宋体"/>
          <w:szCs w:val="21"/>
          <w:highlight w:val="none"/>
        </w:rPr>
        <w:t>）天内未能纠正其过失，甲方可向乙方发出书面通知，终止部分或全部合同，乙方应当向甲方支付5</w:t>
      </w:r>
      <w:r>
        <w:rPr>
          <w:rFonts w:ascii="宋体" w:hAnsi="宋体"/>
          <w:szCs w:val="21"/>
          <w:highlight w:val="none"/>
        </w:rPr>
        <w:t>000</w:t>
      </w:r>
      <w:r>
        <w:rPr>
          <w:rFonts w:hint="eastAsia" w:ascii="宋体" w:hAnsi="宋体"/>
          <w:szCs w:val="21"/>
          <w:highlight w:val="none"/>
        </w:rPr>
        <w:t>0违约金，违约金不足以弥补甲方损失的，甲方有权继续向乙方追偿。</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二十一、合同修改</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欲对合同条款进行任何改动，均须由甲乙双方签署书面的合同修改书。如修改或补充合同内容，经协商，双方应签署书面修改或补充协议，该协议将作为本合同的一个组成部分。</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二十二、通知</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本合同任何一方给另一方的通知，都应以书面（邮寄、电传、传真、电报）的方式发送，而另一方应以书面（邮寄、电传、传真、电报）形式确认。双方均确认本合同首部双方的地址为有效送达地址，如有变更，应在变更后 日内书面通知对方，否则，凡寄至约定地址的函件及人民法院的诉讼文书，无论是否被退件、拒收，均视为有效送达。</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二十三、适用法律</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本合同应按照中华人民共和国的法律进行解释。</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二十四、合同生效及其它</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1、合同应在双方签字盖章后开始生效。</w:t>
      </w:r>
    </w:p>
    <w:p>
      <w:pPr>
        <w:tabs>
          <w:tab w:val="left" w:pos="0"/>
        </w:tabs>
        <w:spacing w:line="360" w:lineRule="auto"/>
        <w:ind w:firstLine="420" w:firstLineChars="200"/>
        <w:rPr>
          <w:rFonts w:ascii="宋体" w:hAnsi="宋体"/>
          <w:szCs w:val="21"/>
          <w:highlight w:val="none"/>
        </w:rPr>
      </w:pPr>
      <w:r>
        <w:rPr>
          <w:rFonts w:hint="eastAsia" w:ascii="宋体" w:hAnsi="宋体"/>
          <w:szCs w:val="21"/>
          <w:highlight w:val="none"/>
        </w:rPr>
        <w:t>2、本合同一式八份具有同等法律效力，以中文书写，甲方六份，乙方二份。</w:t>
      </w: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甲方：                            乙方：    </w:t>
      </w:r>
    </w:p>
    <w:p>
      <w:pPr>
        <w:spacing w:line="360" w:lineRule="auto"/>
        <w:rPr>
          <w:rFonts w:ascii="宋体" w:hAnsi="宋体"/>
          <w:szCs w:val="21"/>
          <w:highlight w:val="none"/>
        </w:rPr>
      </w:pPr>
      <w:r>
        <w:rPr>
          <w:rFonts w:hint="eastAsia" w:ascii="宋体" w:hAnsi="宋体"/>
          <w:szCs w:val="21"/>
          <w:highlight w:val="none"/>
        </w:rPr>
        <w:t>宁波广播电视集团                  X</w:t>
      </w:r>
      <w:r>
        <w:rPr>
          <w:rFonts w:ascii="宋体" w:hAnsi="宋体"/>
          <w:szCs w:val="21"/>
          <w:highlight w:val="none"/>
        </w:rPr>
        <w:t>XX</w:t>
      </w:r>
      <w:r>
        <w:rPr>
          <w:rFonts w:hint="eastAsia" w:ascii="宋体" w:hAnsi="宋体"/>
          <w:szCs w:val="21"/>
          <w:highlight w:val="none"/>
        </w:rPr>
        <w:t>公司</w:t>
      </w:r>
    </w:p>
    <w:p>
      <w:pPr>
        <w:spacing w:line="360" w:lineRule="auto"/>
        <w:rPr>
          <w:rFonts w:ascii="宋体" w:hAnsi="宋体"/>
          <w:szCs w:val="21"/>
          <w:highlight w:val="none"/>
        </w:rPr>
      </w:pPr>
      <w:r>
        <w:rPr>
          <w:rFonts w:hint="eastAsia" w:ascii="宋体" w:hAnsi="宋体"/>
          <w:szCs w:val="21"/>
          <w:highlight w:val="none"/>
        </w:rPr>
        <w:t xml:space="preserve">   </w:t>
      </w:r>
    </w:p>
    <w:p>
      <w:pPr>
        <w:spacing w:line="360" w:lineRule="auto"/>
        <w:rPr>
          <w:rFonts w:ascii="宋体" w:hAnsi="宋体"/>
          <w:szCs w:val="21"/>
          <w:highlight w:val="none"/>
        </w:rPr>
      </w:pPr>
      <w:r>
        <w:rPr>
          <w:rFonts w:hint="eastAsia" w:ascii="宋体" w:hAnsi="宋体"/>
          <w:szCs w:val="21"/>
          <w:highlight w:val="none"/>
        </w:rPr>
        <w:t xml:space="preserve">法定代表人（授权人）              法定代表人（授权人）         </w:t>
      </w:r>
    </w:p>
    <w:p>
      <w:pPr>
        <w:spacing w:line="360" w:lineRule="auto"/>
        <w:rPr>
          <w:rFonts w:ascii="宋体" w:hAnsi="宋体"/>
          <w:szCs w:val="21"/>
          <w:highlight w:val="none"/>
          <w:u w:val="single"/>
        </w:rPr>
      </w:pPr>
      <w:r>
        <w:rPr>
          <w:rFonts w:hint="eastAsia" w:ascii="宋体" w:hAnsi="宋体"/>
          <w:szCs w:val="21"/>
          <w:highlight w:val="none"/>
        </w:rPr>
        <w:t>（签字）：</w:t>
      </w:r>
      <w:r>
        <w:rPr>
          <w:rFonts w:hint="eastAsia" w:ascii="宋体" w:hAnsi="宋体"/>
          <w:szCs w:val="21"/>
          <w:highlight w:val="none"/>
          <w:u w:val="single"/>
        </w:rPr>
        <w:t xml:space="preserve">                  </w:t>
      </w:r>
      <w:r>
        <w:rPr>
          <w:rFonts w:hint="eastAsia" w:ascii="宋体" w:hAnsi="宋体"/>
          <w:szCs w:val="21"/>
          <w:highlight w:val="none"/>
        </w:rPr>
        <w:t xml:space="preserve">      （签字）：</w:t>
      </w:r>
      <w:r>
        <w:rPr>
          <w:rFonts w:hint="eastAsia" w:ascii="宋体" w:hAnsi="宋体"/>
          <w:szCs w:val="21"/>
          <w:highlight w:val="none"/>
          <w:u w:val="single"/>
        </w:rPr>
        <w:t xml:space="preserve">              </w:t>
      </w:r>
    </w:p>
    <w:p>
      <w:pPr>
        <w:spacing w:line="360" w:lineRule="auto"/>
        <w:rPr>
          <w:rFonts w:ascii="宋体" w:hAnsi="宋体"/>
          <w:szCs w:val="21"/>
          <w:highlight w:val="none"/>
          <w:u w:val="singl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b/>
          <w:szCs w:val="21"/>
          <w:highlight w:val="none"/>
        </w:rPr>
      </w:pPr>
    </w:p>
    <w:p>
      <w:pPr>
        <w:tabs>
          <w:tab w:val="left" w:pos="0"/>
        </w:tabs>
        <w:spacing w:line="360" w:lineRule="auto"/>
        <w:ind w:firstLine="420"/>
        <w:jc w:val="center"/>
        <w:rPr>
          <w:rFonts w:ascii="宋体" w:hAnsi="宋体"/>
          <w:szCs w:val="21"/>
          <w:highlight w:val="none"/>
        </w:rPr>
      </w:pPr>
    </w:p>
    <w:p>
      <w:pPr>
        <w:tabs>
          <w:tab w:val="left" w:pos="0"/>
        </w:tabs>
        <w:spacing w:line="360" w:lineRule="auto"/>
        <w:ind w:firstLine="420" w:firstLineChars="200"/>
        <w:jc w:val="right"/>
        <w:rPr>
          <w:rFonts w:ascii="宋体" w:hAnsi="宋体"/>
          <w:szCs w:val="21"/>
          <w:highlight w:val="none"/>
        </w:rPr>
      </w:pPr>
      <w:r>
        <w:rPr>
          <w:rFonts w:hint="eastAsia" w:ascii="宋体" w:hAnsi="宋体"/>
          <w:szCs w:val="21"/>
          <w:highlight w:val="none"/>
        </w:rPr>
        <w:t>附件一：投标设备清单</w:t>
      </w:r>
    </w:p>
    <w:p>
      <w:pPr>
        <w:pStyle w:val="385"/>
        <w:spacing w:line="360" w:lineRule="auto"/>
        <w:ind w:left="0" w:leftChars="0" w:firstLine="447" w:firstLineChars="213"/>
        <w:rPr>
          <w:rFonts w:ascii="宋体" w:hAnsi="宋体"/>
          <w:highlight w:val="none"/>
        </w:rPr>
      </w:pPr>
      <w:r>
        <w:rPr>
          <w:rFonts w:ascii="宋体" w:hAnsi="宋体"/>
          <w:highlight w:val="none"/>
        </w:rPr>
        <w:br w:type="page"/>
      </w:r>
    </w:p>
    <w:p>
      <w:pPr>
        <w:pStyle w:val="385"/>
        <w:spacing w:line="360" w:lineRule="auto"/>
        <w:ind w:left="0" w:leftChars="0" w:firstLine="513" w:firstLineChars="213"/>
        <w:jc w:val="center"/>
        <w:rPr>
          <w:rFonts w:asciiTheme="majorEastAsia" w:hAnsiTheme="majorEastAsia" w:eastAsiaTheme="majorEastAsia"/>
          <w:b/>
          <w:sz w:val="28"/>
          <w:highlight w:val="none"/>
        </w:rPr>
      </w:pPr>
      <w:r>
        <w:rPr>
          <w:rFonts w:hint="eastAsia" w:asciiTheme="majorEastAsia" w:hAnsiTheme="majorEastAsia" w:eastAsiaTheme="majorEastAsia"/>
          <w:b/>
          <w:sz w:val="24"/>
          <w:highlight w:val="none"/>
        </w:rPr>
        <w:t>第六章  投标文件格式</w:t>
      </w:r>
      <w:bookmarkEnd w:id="38"/>
    </w:p>
    <w:p>
      <w:pPr>
        <w:snapToGrid w:val="0"/>
        <w:spacing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1、资格要求响应文件的有关格式</w:t>
      </w:r>
    </w:p>
    <w:p>
      <w:pPr>
        <w:pStyle w:val="21"/>
        <w:spacing w:line="360" w:lineRule="auto"/>
        <w:ind w:left="0" w:leftChars="0"/>
        <w:jc w:val="center"/>
        <w:rPr>
          <w:rFonts w:cs="宋体" w:asciiTheme="majorEastAsia" w:hAnsiTheme="majorEastAsia" w:eastAsiaTheme="majorEastAsia"/>
          <w:b/>
          <w:kern w:val="1"/>
          <w:szCs w:val="21"/>
          <w:highlight w:val="none"/>
        </w:rPr>
      </w:pPr>
      <w:r>
        <w:rPr>
          <w:rFonts w:hint="eastAsia" w:cs="宋体" w:asciiTheme="majorEastAsia" w:hAnsiTheme="majorEastAsia" w:eastAsiaTheme="majorEastAsia"/>
          <w:b/>
          <w:sz w:val="21"/>
          <w:szCs w:val="21"/>
          <w:highlight w:val="none"/>
        </w:rPr>
        <w:t>1）</w:t>
      </w:r>
      <w:r>
        <w:rPr>
          <w:rFonts w:cs="宋体" w:asciiTheme="majorEastAsia" w:hAnsiTheme="majorEastAsia" w:eastAsiaTheme="majorEastAsia"/>
          <w:b/>
          <w:sz w:val="21"/>
          <w:szCs w:val="21"/>
          <w:highlight w:val="none"/>
        </w:rPr>
        <w:t>投标人资格声明函</w:t>
      </w:r>
    </w:p>
    <w:p>
      <w:pPr>
        <w:spacing w:line="360" w:lineRule="auto"/>
        <w:rPr>
          <w:rFonts w:cs="宋体" w:asciiTheme="majorEastAsia" w:hAnsiTheme="majorEastAsia" w:eastAsiaTheme="majorEastAsia"/>
          <w:b/>
          <w:kern w:val="1"/>
          <w:szCs w:val="21"/>
          <w:highlight w:val="none"/>
        </w:rPr>
      </w:pPr>
      <w:r>
        <w:rPr>
          <w:rFonts w:hint="eastAsia" w:asciiTheme="majorEastAsia" w:hAnsiTheme="majorEastAsia" w:eastAsiaTheme="majorEastAsia"/>
          <w:bCs/>
          <w:szCs w:val="21"/>
          <w:highlight w:val="none"/>
        </w:rPr>
        <w:t>致：</w:t>
      </w:r>
      <w:r>
        <w:rPr>
          <w:rFonts w:hint="eastAsia" w:asciiTheme="majorEastAsia" w:hAnsiTheme="majorEastAsia" w:eastAsiaTheme="majorEastAsia"/>
          <w:szCs w:val="21"/>
          <w:highlight w:val="none"/>
          <w:u w:val="single"/>
          <w:lang w:eastAsia="zh-CN"/>
        </w:rPr>
        <w:t>宁波广播电视集团</w:t>
      </w:r>
      <w:r>
        <w:rPr>
          <w:rFonts w:hint="eastAsia" w:asciiTheme="majorEastAsia" w:hAnsiTheme="majorEastAsia" w:eastAsiaTheme="majorEastAsia"/>
          <w:szCs w:val="21"/>
          <w:highlight w:val="none"/>
          <w:u w:val="single"/>
        </w:rPr>
        <w:t>、宁波名诚招标代理有限公司</w:t>
      </w:r>
    </w:p>
    <w:p>
      <w:pPr>
        <w:spacing w:line="360" w:lineRule="auto"/>
        <w:ind w:firstLine="424"/>
        <w:rPr>
          <w:rFonts w:cs="宋体" w:asciiTheme="majorEastAsia" w:hAnsiTheme="majorEastAsia" w:eastAsiaTheme="majorEastAsia"/>
          <w:b/>
          <w:bCs/>
          <w:kern w:val="1"/>
          <w:szCs w:val="21"/>
          <w:highlight w:val="none"/>
        </w:rPr>
      </w:pPr>
      <w:r>
        <w:rPr>
          <w:rFonts w:cs="宋体" w:asciiTheme="majorEastAsia" w:hAnsiTheme="majorEastAsia" w:eastAsiaTheme="majorEastAsia"/>
          <w:b/>
          <w:kern w:val="1"/>
          <w:szCs w:val="21"/>
          <w:highlight w:val="none"/>
        </w:rPr>
        <w:t>本单位</w:t>
      </w:r>
      <w:r>
        <w:rPr>
          <w:rFonts w:hint="eastAsia" w:cs="宋体" w:asciiTheme="majorEastAsia" w:hAnsiTheme="majorEastAsia" w:eastAsiaTheme="majorEastAsia"/>
          <w:b/>
          <w:kern w:val="1"/>
          <w:szCs w:val="21"/>
          <w:highlight w:val="none"/>
        </w:rPr>
        <w:t>自愿</w:t>
      </w:r>
      <w:r>
        <w:rPr>
          <w:rFonts w:cs="宋体" w:asciiTheme="majorEastAsia" w:hAnsiTheme="majorEastAsia" w:eastAsiaTheme="majorEastAsia"/>
          <w:b/>
          <w:kern w:val="1"/>
          <w:szCs w:val="21"/>
          <w:highlight w:val="none"/>
        </w:rPr>
        <w:t>参加投标并声明</w:t>
      </w:r>
      <w:r>
        <w:rPr>
          <w:rFonts w:hint="eastAsia" w:cs="宋体" w:asciiTheme="majorEastAsia" w:hAnsiTheme="majorEastAsia" w:eastAsiaTheme="majorEastAsia"/>
          <w:b/>
          <w:bCs/>
          <w:kern w:val="1"/>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1、具有独立承担民事责任的能力；</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2、具有良好的商业信誉和健全的财务会计制度；</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3、具有履行本项目合同所必需的设备和专业技术能力；</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4、已依法缴纳了税收和社会保障资金；</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5、在参加本次政府采购活动前三年内，在经营活动中没有重大违法记录（没有因违法经营受到刑事处罚或者责令停产停业、吊销许可证或者执照、较大数额罚款等行政处罚）；</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6、至投标截止日未被列入“信用中国”网站(www.creditchina.gov.cn)“失信被执行人或重大税收违法案件当事人名单或政府采购严重违法失信名单”且不处于中国政府采购网(www.ccgp.gov.cn)“政府采购严重违法失信行为信息记录”中的禁止参加政府采购活动期间；</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7、具有</w:t>
      </w:r>
      <w:r>
        <w:rPr>
          <w:rFonts w:cs="Arial" w:asciiTheme="majorEastAsia" w:hAnsiTheme="majorEastAsia" w:eastAsiaTheme="majorEastAsia"/>
          <w:szCs w:val="21"/>
          <w:highlight w:val="none"/>
        </w:rPr>
        <w:t>法律、行政法规规定的其他条件</w:t>
      </w:r>
      <w:r>
        <w:rPr>
          <w:rFonts w:hint="eastAsia" w:cs="Arial" w:asciiTheme="majorEastAsia" w:hAnsiTheme="majorEastAsia" w:eastAsiaTheme="majorEastAsia"/>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8、未采用联合体方式投标；</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9、</w:t>
      </w:r>
      <w:r>
        <w:rPr>
          <w:rFonts w:cs="Arial" w:asciiTheme="majorEastAsia" w:hAnsiTheme="majorEastAsia" w:eastAsiaTheme="majorEastAsia"/>
          <w:szCs w:val="21"/>
          <w:highlight w:val="none"/>
        </w:rPr>
        <w:t>单位的法定代表人或单位负责人与其他投标人的法定代表人或单位负责人不为同一人且与其他投标人之间不存在直接控股、管理关系</w:t>
      </w:r>
      <w:r>
        <w:rPr>
          <w:rFonts w:hint="eastAsia" w:cs="Arial" w:asciiTheme="majorEastAsia" w:hAnsiTheme="majorEastAsia" w:eastAsiaTheme="majorEastAsia"/>
          <w:szCs w:val="21"/>
          <w:highlight w:val="none"/>
        </w:rPr>
        <w:t>；</w:t>
      </w:r>
    </w:p>
    <w:p>
      <w:pPr>
        <w:spacing w:line="360" w:lineRule="auto"/>
        <w:ind w:firstLine="424"/>
        <w:rPr>
          <w:rFonts w:cs="Arial" w:asciiTheme="majorEastAsia" w:hAnsiTheme="majorEastAsia" w:eastAsiaTheme="majorEastAsia"/>
          <w:szCs w:val="21"/>
          <w:highlight w:val="none"/>
        </w:rPr>
      </w:pPr>
      <w:r>
        <w:rPr>
          <w:rFonts w:hint="eastAsia" w:cs="Arial" w:asciiTheme="majorEastAsia" w:hAnsiTheme="majorEastAsia" w:eastAsiaTheme="majorEastAsia"/>
          <w:szCs w:val="21"/>
          <w:highlight w:val="none"/>
        </w:rPr>
        <w:t>10、</w:t>
      </w:r>
      <w:r>
        <w:rPr>
          <w:rFonts w:cs="Arial" w:asciiTheme="majorEastAsia" w:hAnsiTheme="majorEastAsia" w:eastAsiaTheme="majorEastAsia"/>
          <w:szCs w:val="21"/>
          <w:highlight w:val="none"/>
        </w:rPr>
        <w:t>本单位</w:t>
      </w:r>
      <w:r>
        <w:rPr>
          <w:rFonts w:hint="eastAsia" w:cs="Arial" w:asciiTheme="majorEastAsia" w:hAnsiTheme="majorEastAsia" w:eastAsiaTheme="majorEastAsia"/>
          <w:szCs w:val="21"/>
          <w:highlight w:val="none"/>
        </w:rPr>
        <w:t>不是</w:t>
      </w:r>
      <w:r>
        <w:rPr>
          <w:rFonts w:cs="Arial" w:asciiTheme="majorEastAsia" w:hAnsiTheme="majorEastAsia" w:eastAsiaTheme="majorEastAsia"/>
          <w:szCs w:val="21"/>
          <w:highlight w:val="none"/>
        </w:rPr>
        <w:t>为本项目提供整体设计、规范编制或者项目管理、监理、检测等服务的</w:t>
      </w:r>
      <w:r>
        <w:rPr>
          <w:rFonts w:hint="eastAsia" w:cs="Arial" w:asciiTheme="majorEastAsia" w:hAnsiTheme="majorEastAsia" w:eastAsiaTheme="majorEastAsia"/>
          <w:szCs w:val="21"/>
          <w:highlight w:val="none"/>
        </w:rPr>
        <w:t>供应商。</w:t>
      </w: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法定代表人或授权代表签名：</w:t>
      </w:r>
      <w:r>
        <w:rPr>
          <w:rFonts w:asciiTheme="majorEastAsia" w:hAnsiTheme="majorEastAsia" w:eastAsiaTheme="majorEastAsia"/>
          <w:szCs w:val="21"/>
          <w:highlight w:val="none"/>
          <w:u w:val="single"/>
        </w:rPr>
        <w:t xml:space="preserve"> ______</w:t>
      </w:r>
      <w:r>
        <w:rPr>
          <w:rFonts w:hint="eastAsia" w:asciiTheme="majorEastAsia" w:hAnsiTheme="majorEastAsia" w:eastAsiaTheme="majorEastAsia"/>
          <w:szCs w:val="21"/>
          <w:highlight w:val="none"/>
          <w:u w:val="single"/>
        </w:rPr>
        <w:t>（签字）</w:t>
      </w:r>
      <w:r>
        <w:rPr>
          <w:rFonts w:asciiTheme="majorEastAsia" w:hAnsiTheme="majorEastAsia" w:eastAsiaTheme="majorEastAsia"/>
          <w:szCs w:val="21"/>
          <w:highlight w:val="none"/>
          <w:u w:val="single"/>
        </w:rPr>
        <w:t>_____</w:t>
      </w:r>
      <w:r>
        <w:rPr>
          <w:rFonts w:asciiTheme="majorEastAsia" w:hAnsiTheme="majorEastAsia" w:eastAsiaTheme="majorEastAsia"/>
          <w:szCs w:val="21"/>
          <w:highlight w:val="none"/>
        </w:rPr>
        <w:t>_</w:t>
      </w:r>
    </w:p>
    <w:p>
      <w:pPr>
        <w:snapToGrid w:val="0"/>
        <w:spacing w:line="360" w:lineRule="auto"/>
        <w:ind w:firstLine="3685" w:firstLineChars="1755"/>
        <w:rPr>
          <w:rFonts w:hint="eastAsia" w:asciiTheme="majorEastAsia" w:hAnsiTheme="majorEastAsia" w:eastAsiaTheme="majorEastAsia"/>
          <w:szCs w:val="21"/>
          <w:highlight w:val="none"/>
        </w:rPr>
        <w:sectPr>
          <w:pgSz w:w="11906" w:h="16838"/>
          <w:pgMar w:top="1276" w:right="1440" w:bottom="1276" w:left="1610" w:header="851" w:footer="851" w:gutter="0"/>
          <w:pgNumType w:fmt="decimal"/>
          <w:cols w:space="720" w:num="1"/>
          <w:docGrid w:linePitch="312" w:charSpace="0"/>
        </w:sectPr>
      </w:pPr>
      <w:r>
        <w:rPr>
          <w:rFonts w:hint="eastAsia" w:asciiTheme="majorEastAsia" w:hAnsiTheme="majorEastAsia" w:eastAsiaTheme="majorEastAsia"/>
          <w:szCs w:val="21"/>
          <w:highlight w:val="none"/>
        </w:rPr>
        <w:t>日  期：</w:t>
      </w:r>
    </w:p>
    <w:p>
      <w:pPr>
        <w:snapToGrid w:val="0"/>
        <w:spacing w:line="360" w:lineRule="auto"/>
        <w:ind w:left="-23" w:leftChars="-11" w:right="-214" w:rightChars="-102" w:firstLine="21" w:firstLineChars="10"/>
        <w:jc w:val="left"/>
        <w:rPr>
          <w:rFonts w:cs="宋体" w:asciiTheme="majorEastAsia" w:hAnsiTheme="majorEastAsia" w:eastAsiaTheme="majorEastAsia"/>
          <w:b/>
          <w:szCs w:val="21"/>
          <w:highlight w:val="none"/>
        </w:rPr>
      </w:pPr>
      <w:r>
        <w:rPr>
          <w:rFonts w:hint="eastAsia" w:asciiTheme="majorEastAsia" w:hAnsiTheme="majorEastAsia" w:eastAsiaTheme="majorEastAsia"/>
          <w:b/>
          <w:highlight w:val="none"/>
        </w:rPr>
        <w:t>2、商务技术文件的有关格式</w:t>
      </w:r>
    </w:p>
    <w:p>
      <w:pPr>
        <w:pStyle w:val="21"/>
        <w:spacing w:line="360" w:lineRule="auto"/>
        <w:ind w:left="0" w:leftChars="0"/>
        <w:jc w:val="center"/>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rPr>
        <w:t>1）投标函</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致：</w:t>
      </w:r>
      <w:r>
        <w:rPr>
          <w:rFonts w:hint="eastAsia" w:asciiTheme="majorEastAsia" w:hAnsiTheme="majorEastAsia" w:eastAsiaTheme="majorEastAsia"/>
          <w:szCs w:val="21"/>
          <w:highlight w:val="none"/>
          <w:u w:val="single"/>
          <w:lang w:eastAsia="zh-CN"/>
        </w:rPr>
        <w:t>宁波广播电视集团</w:t>
      </w:r>
      <w:r>
        <w:rPr>
          <w:rFonts w:hint="eastAsia" w:asciiTheme="majorEastAsia" w:hAnsiTheme="majorEastAsia" w:eastAsiaTheme="majorEastAsia"/>
          <w:szCs w:val="21"/>
          <w:highlight w:val="none"/>
          <w:u w:val="single"/>
        </w:rPr>
        <w:t>、宁波名诚招标代理有限公司</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我方确认收到贵方关于</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eastAsia="zh-CN"/>
        </w:rPr>
        <w:t>宁波广播电视集团采购新大楼全媒体业务共享系统（一期）建设项目</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标项：</w:t>
      </w:r>
      <w:r>
        <w:rPr>
          <w:rFonts w:hint="eastAsia" w:asciiTheme="majorEastAsia" w:hAnsiTheme="majorEastAsia" w:eastAsiaTheme="majorEastAsia"/>
          <w:highlight w:val="none"/>
          <w:u w:val="single"/>
        </w:rPr>
        <w:t xml:space="preserve"> 1 </w:t>
      </w:r>
      <w:r>
        <w:rPr>
          <w:rFonts w:hint="eastAsia" w:asciiTheme="majorEastAsia" w:hAnsiTheme="majorEastAsia" w:eastAsiaTheme="majorEastAsia"/>
          <w:szCs w:val="21"/>
          <w:highlight w:val="none"/>
        </w:rPr>
        <w:t>的招标文件（项目编号：</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eastAsia="zh-CN"/>
        </w:rPr>
        <w:t>NBMC-202411024G</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szCs w:val="21"/>
          <w:highlight w:val="none"/>
        </w:rPr>
        <w:t>），法定代表人（或《法人代表人授权委托书》中的授权代表）</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作为我方代表，在此声明并同意：</w:t>
      </w:r>
    </w:p>
    <w:p>
      <w:pPr>
        <w:snapToGrid w:val="0"/>
        <w:spacing w:line="360" w:lineRule="auto"/>
        <w:ind w:left="-23" w:right="-214" w:rightChars="-102" w:firstLine="447"/>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1.我</w:t>
      </w:r>
      <w:r>
        <w:rPr>
          <w:rFonts w:asciiTheme="majorEastAsia" w:hAnsiTheme="majorEastAsia" w:eastAsiaTheme="majorEastAsia"/>
          <w:szCs w:val="21"/>
          <w:highlight w:val="none"/>
        </w:rPr>
        <w:t>方已详细审查并理解全部招标文件的要求</w:t>
      </w:r>
      <w:r>
        <w:rPr>
          <w:rFonts w:hint="eastAsia" w:asciiTheme="majorEastAsia" w:hAnsiTheme="majorEastAsia" w:eastAsiaTheme="majorEastAsia"/>
          <w:szCs w:val="21"/>
          <w:highlight w:val="none"/>
        </w:rPr>
        <w:t>，包括招标文件的澄清及修改文件（如有）以及全部参考资料和有关附件，我们同意放弃对招标文件提出不明或误解的一切权力。</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2.投标有效期从提交投标文件的截止之日起</w:t>
      </w:r>
      <w:r>
        <w:rPr>
          <w:rFonts w:hint="eastAsia" w:asciiTheme="majorEastAsia" w:hAnsiTheme="majorEastAsia" w:eastAsiaTheme="majorEastAsia"/>
          <w:highlight w:val="none"/>
          <w:u w:val="single"/>
        </w:rPr>
        <w:t xml:space="preserve"> 90 </w:t>
      </w:r>
      <w:r>
        <w:rPr>
          <w:rFonts w:hint="eastAsia" w:asciiTheme="majorEastAsia" w:hAnsiTheme="majorEastAsia" w:eastAsiaTheme="majorEastAsia"/>
          <w:szCs w:val="21"/>
          <w:highlight w:val="none"/>
        </w:rPr>
        <w:t>日历天内有效。如果我方的投标被接受，则直至合同生效时止，本投标始终有效并不撤回已提交的投标文件。</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3.我方愿意提供招标人或招标代理机构与评标委员会要求的有关投标的一切数据或资料。</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我方提交的一切文件，无论是原件还是复印件均为准确、真实、有效的，绝无任何虚假、伪造或者夸大。我们在此郑重承诺：在本次招标采购活动中，如有违法、违规、弄虚作假及违背诚信的行为，所造成的损失、不良后果及法律责任，一律由我方承担。</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5.如果我们提供的声明或承诺不真实，则完全同意认定为我方提供虚假材料，并同意作相应处理。</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r>
        <w:rPr>
          <w:rFonts w:asciiTheme="majorEastAsia" w:hAnsiTheme="majorEastAsia" w:eastAsiaTheme="majorEastAsia"/>
          <w:szCs w:val="21"/>
          <w:highlight w:val="none"/>
        </w:rPr>
        <w:t>.如我方获得中标，承诺按照招标文件规定的金额、时间和方式支付招标代理服务费。因我方违约致使招标代理机构采取诉讼或仲裁等方式实现债权，为此支付的</w:t>
      </w:r>
      <w:r>
        <w:rPr>
          <w:rFonts w:hint="eastAsia" w:asciiTheme="majorEastAsia" w:hAnsiTheme="majorEastAsia" w:eastAsiaTheme="majorEastAsia"/>
          <w:szCs w:val="21"/>
          <w:highlight w:val="none"/>
        </w:rPr>
        <w:t>律师费、诉讼费、</w:t>
      </w:r>
      <w:r>
        <w:rPr>
          <w:rFonts w:asciiTheme="majorEastAsia" w:hAnsiTheme="majorEastAsia" w:eastAsiaTheme="majorEastAsia"/>
          <w:szCs w:val="21"/>
          <w:highlight w:val="none"/>
        </w:rPr>
        <w:t>执行费</w:t>
      </w:r>
      <w:r>
        <w:rPr>
          <w:rFonts w:hint="eastAsia" w:asciiTheme="majorEastAsia" w:hAnsiTheme="majorEastAsia" w:eastAsiaTheme="majorEastAsia"/>
          <w:szCs w:val="21"/>
          <w:highlight w:val="none"/>
        </w:rPr>
        <w:t>、公证费、认证费、鉴定费、保全费、担保费、差旅费等为</w:t>
      </w:r>
      <w:r>
        <w:rPr>
          <w:rFonts w:asciiTheme="majorEastAsia" w:hAnsiTheme="majorEastAsia" w:eastAsiaTheme="majorEastAsia"/>
          <w:szCs w:val="21"/>
          <w:highlight w:val="none"/>
        </w:rPr>
        <w:t>实现债权的一切费用由我方承担。</w:t>
      </w:r>
    </w:p>
    <w:p>
      <w:pPr>
        <w:snapToGrid w:val="0"/>
        <w:spacing w:line="360" w:lineRule="auto"/>
        <w:ind w:left="-23" w:leftChars="-11" w:right="-214" w:rightChars="-102" w:firstLine="447" w:firstLineChars="213"/>
        <w:jc w:val="left"/>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7.所有有关本次投标的函电请寄：</w:t>
      </w:r>
    </w:p>
    <w:p>
      <w:pPr>
        <w:snapToGrid w:val="0"/>
        <w:spacing w:line="360" w:lineRule="auto"/>
        <w:rPr>
          <w:rFonts w:asciiTheme="majorEastAsia" w:hAnsiTheme="majorEastAsia" w:eastAsiaTheme="majorEastAsia"/>
          <w:highlight w:val="none"/>
          <w:u w:val="single"/>
        </w:rPr>
      </w:pPr>
      <w:r>
        <w:rPr>
          <w:rFonts w:hint="eastAsia" w:asciiTheme="majorEastAsia" w:hAnsiTheme="majorEastAsia" w:eastAsiaTheme="majorEastAsia"/>
          <w:szCs w:val="21"/>
          <w:highlight w:val="none"/>
        </w:rPr>
        <w:t>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szCs w:val="21"/>
          <w:highlight w:val="none"/>
        </w:rPr>
        <w:t xml:space="preserve">   邮编：</w:t>
      </w:r>
      <w:r>
        <w:rPr>
          <w:rFonts w:hint="eastAsia" w:asciiTheme="majorEastAsia" w:hAnsiTheme="majorEastAsia" w:eastAsiaTheme="majorEastAsia"/>
          <w:highlight w:val="none"/>
          <w:u w:val="single"/>
        </w:rPr>
        <w:t xml:space="preserve">           </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电话：</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szCs w:val="21"/>
          <w:highlight w:val="none"/>
        </w:rPr>
        <w:t xml:space="preserve">   电子邮箱： </w:t>
      </w:r>
      <w:r>
        <w:rPr>
          <w:rFonts w:hint="eastAsia" w:asciiTheme="majorEastAsia" w:hAnsiTheme="majorEastAsia" w:eastAsiaTheme="majorEastAsia"/>
          <w:highlight w:val="none"/>
          <w:u w:val="single"/>
        </w:rPr>
        <w:t xml:space="preserve">           </w:t>
      </w:r>
    </w:p>
    <w:p>
      <w:pPr>
        <w:snapToGrid w:val="0"/>
        <w:spacing w:line="360" w:lineRule="auto"/>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法定代表人或授权代表签名：</w:t>
      </w:r>
      <w:r>
        <w:rPr>
          <w:rFonts w:asciiTheme="majorEastAsia" w:hAnsiTheme="majorEastAsia" w:eastAsiaTheme="majorEastAsia"/>
          <w:szCs w:val="21"/>
          <w:highlight w:val="none"/>
          <w:u w:val="single"/>
        </w:rPr>
        <w:t xml:space="preserve"> ______</w:t>
      </w:r>
      <w:r>
        <w:rPr>
          <w:rFonts w:hint="eastAsia" w:asciiTheme="majorEastAsia" w:hAnsiTheme="majorEastAsia" w:eastAsiaTheme="majorEastAsia"/>
          <w:szCs w:val="21"/>
          <w:highlight w:val="none"/>
          <w:u w:val="single"/>
        </w:rPr>
        <w:t>（签字）</w:t>
      </w:r>
      <w:r>
        <w:rPr>
          <w:rFonts w:asciiTheme="majorEastAsia" w:hAnsiTheme="majorEastAsia" w:eastAsiaTheme="majorEastAsia"/>
          <w:szCs w:val="21"/>
          <w:highlight w:val="none"/>
          <w:u w:val="single"/>
        </w:rPr>
        <w:t>_____</w:t>
      </w:r>
      <w:r>
        <w:rPr>
          <w:rFonts w:asciiTheme="majorEastAsia" w:hAnsiTheme="majorEastAsia" w:eastAsiaTheme="majorEastAsia"/>
          <w:szCs w:val="21"/>
          <w:highlight w:val="none"/>
        </w:rPr>
        <w:t>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pStyle w:val="21"/>
        <w:spacing w:line="360" w:lineRule="auto"/>
        <w:ind w:left="0" w:leftChars="0"/>
        <w:jc w:val="center"/>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r>
        <w:rPr>
          <w:rFonts w:hint="eastAsia" w:asciiTheme="majorEastAsia" w:hAnsiTheme="majorEastAsia" w:eastAsiaTheme="majorEastAsia"/>
          <w:b/>
          <w:sz w:val="21"/>
          <w:szCs w:val="21"/>
          <w:highlight w:val="none"/>
        </w:rPr>
        <w:t>2）</w:t>
      </w:r>
      <w:r>
        <w:rPr>
          <w:rFonts w:cs="宋体" w:asciiTheme="majorEastAsia" w:hAnsiTheme="majorEastAsia" w:eastAsiaTheme="majorEastAsia"/>
          <w:b/>
          <w:sz w:val="21"/>
          <w:szCs w:val="21"/>
          <w:highlight w:val="none"/>
        </w:rPr>
        <w:t>法定代表人授权委托书</w:t>
      </w:r>
    </w:p>
    <w:p>
      <w:pPr>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致：</w:t>
      </w:r>
      <w:r>
        <w:rPr>
          <w:rFonts w:hint="eastAsia" w:asciiTheme="majorEastAsia" w:hAnsiTheme="majorEastAsia" w:eastAsiaTheme="majorEastAsia"/>
          <w:szCs w:val="21"/>
          <w:highlight w:val="none"/>
          <w:u w:val="single"/>
          <w:lang w:eastAsia="zh-CN"/>
        </w:rPr>
        <w:t>宁波广播电视集团</w:t>
      </w:r>
      <w:r>
        <w:rPr>
          <w:rFonts w:hint="eastAsia" w:asciiTheme="majorEastAsia" w:hAnsiTheme="majorEastAsia" w:eastAsiaTheme="majorEastAsia"/>
          <w:szCs w:val="21"/>
          <w:highlight w:val="none"/>
          <w:u w:val="single"/>
        </w:rPr>
        <w:t xml:space="preserve">、宁波名诚招标代理有限公司  </w:t>
      </w:r>
    </w:p>
    <w:p>
      <w:pPr>
        <w:snapToGrid w:val="0"/>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我</w:t>
      </w:r>
      <w:r>
        <w:rPr>
          <w:rFonts w:hint="eastAsia" w:asciiTheme="majorEastAsia" w:hAnsiTheme="majorEastAsia" w:eastAsiaTheme="majorEastAsia"/>
          <w:szCs w:val="21"/>
          <w:highlight w:val="none"/>
          <w:u w:val="single"/>
        </w:rPr>
        <w:t xml:space="preserve">    （姓名）     </w:t>
      </w:r>
      <w:r>
        <w:rPr>
          <w:rFonts w:hint="eastAsia" w:asciiTheme="majorEastAsia" w:hAnsiTheme="majorEastAsia" w:eastAsiaTheme="majorEastAsia"/>
          <w:szCs w:val="21"/>
          <w:highlight w:val="none"/>
        </w:rPr>
        <w:t>系</w:t>
      </w:r>
      <w:r>
        <w:rPr>
          <w:rFonts w:hint="eastAsia" w:asciiTheme="majorEastAsia" w:hAnsiTheme="majorEastAsia" w:eastAsiaTheme="majorEastAsia"/>
          <w:szCs w:val="21"/>
          <w:highlight w:val="none"/>
          <w:u w:val="single"/>
        </w:rPr>
        <w:t xml:space="preserve">    （投标人名称）   </w:t>
      </w:r>
      <w:r>
        <w:rPr>
          <w:rFonts w:hint="eastAsia" w:asciiTheme="majorEastAsia" w:hAnsiTheme="majorEastAsia" w:eastAsiaTheme="majorEastAsia"/>
          <w:szCs w:val="21"/>
          <w:highlight w:val="none"/>
        </w:rPr>
        <w:t>的法定代表人，现授权委托</w:t>
      </w:r>
      <w:r>
        <w:rPr>
          <w:rFonts w:hint="eastAsia" w:asciiTheme="majorEastAsia" w:hAnsiTheme="majorEastAsia" w:eastAsiaTheme="majorEastAsia"/>
          <w:szCs w:val="21"/>
          <w:highlight w:val="none"/>
          <w:u w:val="single"/>
        </w:rPr>
        <w:t>（姓名）</w:t>
      </w:r>
      <w:r>
        <w:rPr>
          <w:rFonts w:hint="eastAsia" w:asciiTheme="majorEastAsia" w:hAnsiTheme="majorEastAsia" w:eastAsiaTheme="majorEastAsia"/>
          <w:szCs w:val="21"/>
          <w:highlight w:val="none"/>
        </w:rPr>
        <w:t>、身份证号：</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以我方的名义参加</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u w:val="single"/>
          <w:lang w:eastAsia="zh-CN"/>
        </w:rPr>
        <w:t>宁波广播电视集团采购新大楼全媒体业务共享系统（一期）建设项目</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的投标活动，并代表我方全权办理针对上述项目投标有关的具体事务办理并签署相关文件。</w:t>
      </w:r>
    </w:p>
    <w:p>
      <w:pPr>
        <w:snapToGrid w:val="0"/>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我方对授权代表的签名事项负全部责任。</w:t>
      </w:r>
    </w:p>
    <w:p>
      <w:pPr>
        <w:snapToGrid w:val="0"/>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在撤销授权的书面通知以前，本授权委托书一直有效。授权代表在授权委托书有效期内签署的所有文件不因授权的撤销而失效。</w:t>
      </w:r>
    </w:p>
    <w:p>
      <w:pPr>
        <w:snapToGrid w:val="0"/>
        <w:spacing w:line="360" w:lineRule="auto"/>
        <w:ind w:firstLine="424" w:firstLineChars="202"/>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授权代表无转委托权，特此委托。</w:t>
      </w:r>
    </w:p>
    <w:p>
      <w:pPr>
        <w:snapToGrid w:val="0"/>
        <w:spacing w:line="360" w:lineRule="auto"/>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hint="eastAsia" w:asciiTheme="majorEastAsia" w:hAnsiTheme="majorEastAsia" w:eastAsiaTheme="majorEastAsia"/>
          <w:szCs w:val="21"/>
          <w:highlight w:val="none"/>
          <w:u w:val="single"/>
        </w:rPr>
        <w:t xml:space="preserve">          （填写全称并加盖公章）     </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法定代表人：</w:t>
      </w:r>
      <w:r>
        <w:rPr>
          <w:rFonts w:hint="eastAsia" w:asciiTheme="majorEastAsia" w:hAnsiTheme="majorEastAsia" w:eastAsiaTheme="majorEastAsia"/>
          <w:szCs w:val="21"/>
          <w:highlight w:val="none"/>
          <w:u w:val="single"/>
        </w:rPr>
        <w:t xml:space="preserve">           （签字</w:t>
      </w:r>
      <w:r>
        <w:rPr>
          <w:rFonts w:hint="eastAsia" w:asciiTheme="majorEastAsia" w:hAnsiTheme="majorEastAsia" w:eastAsiaTheme="majorEastAsia"/>
          <w:szCs w:val="21"/>
          <w:highlight w:val="none"/>
          <w:u w:val="single"/>
          <w:lang w:val="en-US" w:eastAsia="zh-CN"/>
        </w:rPr>
        <w:t>或盖章</w:t>
      </w:r>
      <w:r>
        <w:rPr>
          <w:rFonts w:hint="eastAsia" w:asciiTheme="majorEastAsia" w:hAnsiTheme="majorEastAsia" w:eastAsiaTheme="majorEastAsia"/>
          <w:szCs w:val="21"/>
          <w:highlight w:val="none"/>
          <w:u w:val="single"/>
        </w:rPr>
        <w:t xml:space="preserve">）              </w:t>
      </w:r>
    </w:p>
    <w:p>
      <w:pPr>
        <w:snapToGrid w:val="0"/>
        <w:spacing w:line="360" w:lineRule="auto"/>
        <w:ind w:firstLine="3685" w:firstLineChars="1755"/>
        <w:rPr>
          <w:rFonts w:asciiTheme="majorEastAsia" w:hAnsiTheme="majorEastAsia" w:eastAsiaTheme="majorEastAsia"/>
          <w:szCs w:val="21"/>
          <w:highlight w:val="none"/>
          <w:u w:val="single"/>
        </w:rPr>
      </w:pPr>
      <w:r>
        <w:rPr>
          <w:rFonts w:hint="eastAsia" w:asciiTheme="majorEastAsia" w:hAnsiTheme="majorEastAsia" w:eastAsiaTheme="majorEastAsia"/>
          <w:szCs w:val="21"/>
          <w:highlight w:val="none"/>
        </w:rPr>
        <w:t>授权代表：</w:t>
      </w:r>
      <w:r>
        <w:rPr>
          <w:rFonts w:hint="eastAsia" w:asciiTheme="majorEastAsia" w:hAnsiTheme="majorEastAsia" w:eastAsiaTheme="majorEastAsia"/>
          <w:szCs w:val="21"/>
          <w:highlight w:val="none"/>
          <w:u w:val="single"/>
        </w:rPr>
        <w:t xml:space="preserve">              （签字）             </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授权委托日期：</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年</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日</w:t>
      </w: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szCs w:val="21"/>
          <w:highlight w:val="none"/>
        </w:rPr>
      </w:pPr>
    </w:p>
    <w:p>
      <w:pPr>
        <w:spacing w:line="360" w:lineRule="auto"/>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注：后附授权代表身份证正反面复印件</w:t>
      </w:r>
    </w:p>
    <w:p>
      <w:pPr>
        <w:spacing w:line="360" w:lineRule="auto"/>
        <w:jc w:val="center"/>
        <w:rPr>
          <w:rFonts w:asciiTheme="majorEastAsia" w:hAnsiTheme="majorEastAsia" w:eastAsiaTheme="majorEastAsia"/>
          <w:szCs w:val="21"/>
          <w:highlight w:val="none"/>
        </w:rPr>
      </w:pPr>
    </w:p>
    <w:p>
      <w:pPr>
        <w:snapToGrid w:val="0"/>
        <w:spacing w:line="360" w:lineRule="auto"/>
        <w:jc w:val="left"/>
        <w:rPr>
          <w:rFonts w:asciiTheme="majorEastAsia" w:hAnsiTheme="majorEastAsia" w:eastAsiaTheme="majorEastAsia"/>
          <w:szCs w:val="21"/>
          <w:highlight w:val="none"/>
        </w:rPr>
      </w:pPr>
    </w:p>
    <w:p>
      <w:pPr>
        <w:pStyle w:val="21"/>
        <w:spacing w:line="360" w:lineRule="auto"/>
        <w:ind w:left="0" w:leftChars="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r>
        <w:rPr>
          <w:rFonts w:hint="eastAsia" w:asciiTheme="majorEastAsia" w:hAnsiTheme="majorEastAsia" w:eastAsiaTheme="majorEastAsia"/>
          <w:b/>
          <w:sz w:val="21"/>
          <w:szCs w:val="21"/>
          <w:highlight w:val="none"/>
        </w:rPr>
        <w:t>3）</w:t>
      </w:r>
      <w:r>
        <w:rPr>
          <w:rFonts w:hint="eastAsia" w:cs="宋体" w:asciiTheme="majorEastAsia" w:hAnsiTheme="majorEastAsia" w:eastAsiaTheme="majorEastAsia"/>
          <w:b/>
          <w:sz w:val="21"/>
          <w:szCs w:val="21"/>
          <w:highlight w:val="none"/>
        </w:rPr>
        <w:t>评委打分</w:t>
      </w:r>
      <w:r>
        <w:rPr>
          <w:rFonts w:hint="eastAsia" w:asciiTheme="majorEastAsia" w:hAnsiTheme="majorEastAsia" w:eastAsiaTheme="majorEastAsia"/>
          <w:b/>
          <w:sz w:val="21"/>
          <w:szCs w:val="21"/>
          <w:highlight w:val="none"/>
        </w:rPr>
        <w:t>索引表</w:t>
      </w:r>
    </w:p>
    <w:tbl>
      <w:tblPr>
        <w:tblStyle w:val="4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742"/>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3742"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评分项目</w:t>
            </w:r>
          </w:p>
        </w:tc>
        <w:tc>
          <w:tcPr>
            <w:tcW w:w="170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文件或证明材料所在页码区间</w:t>
            </w:r>
          </w:p>
        </w:tc>
        <w:tc>
          <w:tcPr>
            <w:tcW w:w="22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自评得分（主观评审部分不用填写自评得分）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3742" w:type="dxa"/>
            <w:vAlign w:val="center"/>
          </w:tcPr>
          <w:p>
            <w:pPr>
              <w:spacing w:line="300" w:lineRule="exact"/>
              <w:jc w:val="center"/>
              <w:rPr>
                <w:rFonts w:asciiTheme="majorEastAsia" w:hAnsiTheme="majorEastAsia" w:eastAsiaTheme="majorEastAsia"/>
                <w:szCs w:val="21"/>
                <w:highlight w:val="none"/>
              </w:rPr>
            </w:pPr>
          </w:p>
        </w:tc>
        <w:tc>
          <w:tcPr>
            <w:tcW w:w="1701" w:type="dxa"/>
            <w:vAlign w:val="center"/>
          </w:tcPr>
          <w:p>
            <w:pPr>
              <w:spacing w:line="300" w:lineRule="exact"/>
              <w:jc w:val="center"/>
              <w:rPr>
                <w:rFonts w:asciiTheme="majorEastAsia" w:hAnsiTheme="majorEastAsia" w:eastAsiaTheme="majorEastAsia"/>
                <w:szCs w:val="21"/>
                <w:highlight w:val="none"/>
              </w:rPr>
            </w:pPr>
          </w:p>
        </w:tc>
        <w:tc>
          <w:tcPr>
            <w:tcW w:w="2268" w:type="dxa"/>
            <w:vAlign w:val="center"/>
          </w:tcPr>
          <w:p>
            <w:pPr>
              <w:spacing w:line="300" w:lineRule="exact"/>
              <w:jc w:val="center"/>
              <w:rPr>
                <w:rFonts w:asciiTheme="majorEastAsia" w:hAnsiTheme="majorEastAsia" w:eastAsiaTheme="majorEastAsia"/>
                <w:szCs w:val="21"/>
                <w:highlight w:val="none"/>
              </w:rPr>
            </w:pPr>
          </w:p>
        </w:tc>
      </w:tr>
    </w:tbl>
    <w:p>
      <w:pPr>
        <w:pStyle w:val="21"/>
        <w:spacing w:beforeLines="50" w:line="360" w:lineRule="auto"/>
        <w:ind w:left="141" w:leftChars="67"/>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注：按照评委打分表内容逐项填写。</w:t>
      </w:r>
    </w:p>
    <w:p>
      <w:pPr>
        <w:pStyle w:val="21"/>
        <w:spacing w:line="360" w:lineRule="auto"/>
        <w:rPr>
          <w:rFonts w:asciiTheme="majorEastAsia" w:hAnsiTheme="majorEastAsia" w:eastAsiaTheme="majorEastAsia"/>
          <w:b/>
          <w:sz w:val="21"/>
          <w:szCs w:val="21"/>
          <w:highlight w:val="none"/>
        </w:rPr>
      </w:pPr>
    </w:p>
    <w:p>
      <w:pPr>
        <w:snapToGrid w:val="0"/>
        <w:spacing w:before="50" w:after="50" w:line="360" w:lineRule="auto"/>
        <w:ind w:left="-21" w:leftChars="-72" w:right="-817" w:rightChars="-389" w:hanging="130" w:hangingChars="62"/>
        <w:rPr>
          <w:rFonts w:asciiTheme="majorEastAsia" w:hAnsiTheme="majorEastAsia" w:eastAsiaTheme="majorEastAsia"/>
          <w:szCs w:val="21"/>
          <w:highlight w:val="none"/>
        </w:rPr>
      </w:pPr>
    </w:p>
    <w:p>
      <w:pPr>
        <w:pStyle w:val="21"/>
        <w:spacing w:line="360" w:lineRule="auto"/>
        <w:ind w:left="0" w:leftChars="0"/>
        <w:jc w:val="center"/>
        <w:rPr>
          <w:rFonts w:cs="宋体" w:asciiTheme="majorEastAsia" w:hAnsiTheme="majorEastAsia" w:eastAsiaTheme="majorEastAsia"/>
          <w:b/>
          <w:sz w:val="21"/>
          <w:szCs w:val="21"/>
          <w:highlight w:val="none"/>
        </w:rPr>
      </w:pPr>
      <w:r>
        <w:rPr>
          <w:rFonts w:asciiTheme="majorEastAsia" w:hAnsiTheme="majorEastAsia" w:eastAsiaTheme="majorEastAsia"/>
          <w:kern w:val="1"/>
          <w:sz w:val="21"/>
          <w:szCs w:val="21"/>
          <w:highlight w:val="none"/>
        </w:rPr>
        <w:br w:type="page"/>
      </w:r>
      <w:r>
        <w:rPr>
          <w:rFonts w:hint="eastAsia" w:cs="宋体" w:asciiTheme="majorEastAsia" w:hAnsiTheme="majorEastAsia" w:eastAsiaTheme="majorEastAsia"/>
          <w:b/>
          <w:sz w:val="21"/>
          <w:szCs w:val="21"/>
          <w:highlight w:val="none"/>
        </w:rPr>
        <w:t>4）</w:t>
      </w:r>
      <w:r>
        <w:rPr>
          <w:rFonts w:hint="eastAsia" w:cs="宋体" w:asciiTheme="majorEastAsia" w:hAnsiTheme="majorEastAsia" w:eastAsiaTheme="majorEastAsia"/>
          <w:b/>
          <w:sz w:val="21"/>
          <w:szCs w:val="21"/>
          <w:highlight w:val="none"/>
          <w:lang w:val="en-US" w:eastAsia="zh-CN"/>
        </w:rPr>
        <w:t>系统技术</w:t>
      </w:r>
      <w:r>
        <w:rPr>
          <w:rFonts w:hint="eastAsia" w:cs="宋体" w:asciiTheme="majorEastAsia" w:hAnsiTheme="majorEastAsia" w:eastAsiaTheme="majorEastAsia"/>
          <w:b/>
          <w:sz w:val="21"/>
          <w:szCs w:val="21"/>
          <w:highlight w:val="none"/>
        </w:rPr>
        <w:t>要求响应表</w:t>
      </w:r>
    </w:p>
    <w:tbl>
      <w:tblPr>
        <w:tblStyle w:val="44"/>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298"/>
        <w:gridCol w:w="1734"/>
        <w:gridCol w:w="2061"/>
        <w:gridCol w:w="15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序号</w:t>
            </w:r>
          </w:p>
        </w:tc>
        <w:tc>
          <w:tcPr>
            <w:tcW w:w="1298" w:type="dxa"/>
            <w:vAlign w:val="center"/>
          </w:tcPr>
          <w:p>
            <w:pPr>
              <w:widowControl/>
              <w:spacing w:line="240" w:lineRule="exact"/>
              <w:jc w:val="center"/>
              <w:rPr>
                <w:rFonts w:hint="eastAsia" w:cs="Arial" w:asciiTheme="majorEastAsia" w:hAnsiTheme="majorEastAsia" w:eastAsiaTheme="majorEastAsia"/>
                <w:kern w:val="0"/>
                <w:szCs w:val="21"/>
                <w:highlight w:val="none"/>
                <w:lang w:eastAsia="zh-CN"/>
              </w:rPr>
            </w:pPr>
            <w:r>
              <w:rPr>
                <w:rFonts w:hint="eastAsia" w:cs="Arial" w:asciiTheme="majorEastAsia" w:hAnsiTheme="majorEastAsia" w:eastAsiaTheme="majorEastAsia"/>
                <w:kern w:val="0"/>
                <w:szCs w:val="21"/>
                <w:highlight w:val="none"/>
                <w:lang w:val="en-US" w:eastAsia="zh-CN"/>
              </w:rPr>
              <w:t>项目</w:t>
            </w:r>
          </w:p>
        </w:tc>
        <w:tc>
          <w:tcPr>
            <w:tcW w:w="1734"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技术要求</w:t>
            </w:r>
          </w:p>
        </w:tc>
        <w:tc>
          <w:tcPr>
            <w:tcW w:w="2061"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highlight w:val="none"/>
              </w:rPr>
              <w:t>投标响应的参数情况</w:t>
            </w:r>
          </w:p>
        </w:tc>
        <w:tc>
          <w:tcPr>
            <w:tcW w:w="1578" w:type="dxa"/>
          </w:tcPr>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highlight w:val="none"/>
              </w:rPr>
              <w:t>（正偏离/响应/负偏离）</w:t>
            </w:r>
          </w:p>
        </w:tc>
        <w:tc>
          <w:tcPr>
            <w:tcW w:w="1625"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asciiTheme="majorEastAsia" w:hAnsiTheme="majorEastAsia" w:eastAsiaTheme="majorEastAsia"/>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7</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8</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9</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bl>
    <w:p>
      <w:pPr>
        <w:snapToGrid w:val="0"/>
        <w:spacing w:before="50" w:after="50" w:line="360" w:lineRule="auto"/>
        <w:ind w:left="-23" w:leftChars="-11" w:right="27" w:rightChars="13" w:firstLine="21" w:firstLineChars="10"/>
        <w:rPr>
          <w:rFonts w:cs="宋体" w:asciiTheme="majorEastAsia" w:hAnsiTheme="majorEastAsia" w:eastAsiaTheme="majorEastAsia"/>
          <w:b/>
          <w:bCs/>
          <w:highlight w:val="none"/>
        </w:rPr>
      </w:pPr>
      <w:r>
        <w:rPr>
          <w:rFonts w:hint="eastAsia" w:cs="宋体" w:asciiTheme="majorEastAsia" w:hAnsiTheme="majorEastAsia" w:eastAsiaTheme="majorEastAsia"/>
          <w:b/>
          <w:bCs/>
          <w:szCs w:val="30"/>
          <w:highlight w:val="none"/>
        </w:rPr>
        <w:t>注：</w:t>
      </w:r>
      <w:r>
        <w:rPr>
          <w:rFonts w:hint="eastAsia" w:cs="宋体" w:asciiTheme="majorEastAsia" w:hAnsiTheme="majorEastAsia" w:eastAsiaTheme="majorEastAsia"/>
          <w:b/>
          <w:bCs/>
          <w:szCs w:val="30"/>
          <w:highlight w:val="none"/>
          <w:lang w:val="en-US" w:eastAsia="zh-CN"/>
        </w:rPr>
        <w:t>1</w:t>
      </w:r>
      <w:r>
        <w:rPr>
          <w:rFonts w:hint="eastAsia" w:cs="宋体" w:asciiTheme="majorEastAsia" w:hAnsiTheme="majorEastAsia" w:eastAsiaTheme="majorEastAsia"/>
          <w:b/>
          <w:bCs/>
          <w:szCs w:val="30"/>
          <w:highlight w:val="none"/>
        </w:rPr>
        <w:t>、</w:t>
      </w:r>
      <w:r>
        <w:rPr>
          <w:rFonts w:hint="eastAsia" w:cs="宋体" w:asciiTheme="majorEastAsia" w:hAnsiTheme="majorEastAsia" w:eastAsiaTheme="majorEastAsia"/>
          <w:b/>
          <w:bCs/>
          <w:highlight w:val="none"/>
        </w:rPr>
        <w:t>响应情况栏填写“响应”即为满足招标文件要求，填写“正偏离”为优于招标文件要求，填写“负偏离”为不能满足招标文件要求。</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cs="宋体" w:asciiTheme="majorEastAsia" w:hAnsiTheme="majorEastAsia" w:eastAsiaTheme="majorEastAsia"/>
          <w:b/>
          <w:bCs/>
          <w:szCs w:val="30"/>
          <w:highlight w:val="none"/>
          <w:lang w:val="en-US" w:eastAsia="zh-CN"/>
        </w:rPr>
        <w:t>2</w:t>
      </w:r>
      <w:r>
        <w:rPr>
          <w:rFonts w:hint="eastAsia" w:cs="宋体" w:asciiTheme="majorEastAsia" w:hAnsiTheme="majorEastAsia" w:eastAsiaTheme="majorEastAsia"/>
          <w:b/>
          <w:bCs/>
          <w:szCs w:val="30"/>
          <w:highlight w:val="none"/>
        </w:rPr>
        <w:t>、</w:t>
      </w:r>
      <w:r>
        <w:rPr>
          <w:rFonts w:hint="eastAsia" w:asciiTheme="majorEastAsia" w:hAnsiTheme="majorEastAsia" w:eastAsiaTheme="majorEastAsia"/>
          <w:b/>
          <w:szCs w:val="21"/>
          <w:highlight w:val="none"/>
        </w:rPr>
        <w:t>响应条款与招标要求不一致（包括</w:t>
      </w:r>
      <w:r>
        <w:rPr>
          <w:rFonts w:hint="eastAsia" w:cs="宋体" w:asciiTheme="majorEastAsia" w:hAnsiTheme="majorEastAsia" w:eastAsiaTheme="majorEastAsia"/>
          <w:b/>
          <w:bCs/>
          <w:highlight w:val="none"/>
        </w:rPr>
        <w:t>正偏离</w:t>
      </w:r>
      <w:r>
        <w:rPr>
          <w:rFonts w:hint="eastAsia" w:asciiTheme="majorEastAsia" w:hAnsiTheme="majorEastAsia" w:eastAsiaTheme="majorEastAsia"/>
          <w:b/>
          <w:szCs w:val="21"/>
          <w:highlight w:val="none"/>
        </w:rPr>
        <w:t>或</w:t>
      </w:r>
      <w:r>
        <w:rPr>
          <w:rFonts w:hint="eastAsia" w:cs="宋体" w:asciiTheme="majorEastAsia" w:hAnsiTheme="majorEastAsia" w:eastAsiaTheme="majorEastAsia"/>
          <w:b/>
          <w:bCs/>
          <w:highlight w:val="none"/>
        </w:rPr>
        <w:t>负偏离</w:t>
      </w:r>
      <w:r>
        <w:rPr>
          <w:rFonts w:hint="eastAsia" w:asciiTheme="majorEastAsia" w:hAnsiTheme="majorEastAsia" w:eastAsiaTheme="majorEastAsia"/>
          <w:b/>
          <w:szCs w:val="21"/>
          <w:highlight w:val="none"/>
        </w:rPr>
        <w:t>）的具体条款内容应当在“偏离情况说明”栏进行描述，响应情况由评标委员会认定。</w:t>
      </w:r>
    </w:p>
    <w:p>
      <w:pPr>
        <w:snapToGrid w:val="0"/>
        <w:spacing w:before="50" w:after="50" w:line="360" w:lineRule="auto"/>
        <w:ind w:left="-23" w:leftChars="-11" w:right="27" w:rightChars="13" w:firstLine="21" w:firstLineChars="10"/>
        <w:rPr>
          <w:rFonts w:cs="宋体" w:asciiTheme="majorEastAsia" w:hAnsiTheme="majorEastAsia" w:eastAsiaTheme="majorEastAsia"/>
          <w:b/>
          <w:bCs/>
          <w:szCs w:val="30"/>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pPr>
        <w:pStyle w:val="21"/>
        <w:spacing w:line="360" w:lineRule="auto"/>
        <w:ind w:left="0" w:leftChars="0"/>
        <w:jc w:val="center"/>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lang w:val="en-US" w:eastAsia="zh-CN"/>
        </w:rPr>
        <w:t>5</w:t>
      </w:r>
      <w:r>
        <w:rPr>
          <w:rFonts w:hint="eastAsia" w:cs="宋体" w:asciiTheme="majorEastAsia" w:hAnsiTheme="majorEastAsia" w:eastAsiaTheme="majorEastAsia"/>
          <w:b/>
          <w:sz w:val="21"/>
          <w:szCs w:val="21"/>
          <w:highlight w:val="none"/>
        </w:rPr>
        <w:t>）</w:t>
      </w:r>
      <w:r>
        <w:rPr>
          <w:rFonts w:hint="eastAsia" w:cs="宋体" w:asciiTheme="majorEastAsia" w:hAnsiTheme="majorEastAsia" w:eastAsiaTheme="majorEastAsia"/>
          <w:b/>
          <w:sz w:val="21"/>
          <w:szCs w:val="21"/>
          <w:highlight w:val="none"/>
          <w:lang w:val="en-US" w:eastAsia="zh-CN"/>
        </w:rPr>
        <w:t>产品技术</w:t>
      </w:r>
      <w:r>
        <w:rPr>
          <w:rFonts w:hint="eastAsia" w:cs="宋体" w:asciiTheme="majorEastAsia" w:hAnsiTheme="majorEastAsia" w:eastAsiaTheme="majorEastAsia"/>
          <w:b/>
          <w:sz w:val="21"/>
          <w:szCs w:val="21"/>
          <w:highlight w:val="none"/>
        </w:rPr>
        <w:t>要求响应表</w:t>
      </w:r>
    </w:p>
    <w:tbl>
      <w:tblPr>
        <w:tblStyle w:val="44"/>
        <w:tblW w:w="8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8"/>
        <w:gridCol w:w="1298"/>
        <w:gridCol w:w="1734"/>
        <w:gridCol w:w="2061"/>
        <w:gridCol w:w="1578"/>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序号</w:t>
            </w:r>
          </w:p>
        </w:tc>
        <w:tc>
          <w:tcPr>
            <w:tcW w:w="1298" w:type="dxa"/>
            <w:vAlign w:val="center"/>
          </w:tcPr>
          <w:p>
            <w:pPr>
              <w:widowControl/>
              <w:spacing w:line="240" w:lineRule="exact"/>
              <w:jc w:val="center"/>
              <w:rPr>
                <w:rFonts w:hint="eastAsia" w:cs="Arial" w:asciiTheme="majorEastAsia" w:hAnsiTheme="majorEastAsia" w:eastAsiaTheme="majorEastAsia"/>
                <w:kern w:val="0"/>
                <w:szCs w:val="21"/>
                <w:highlight w:val="none"/>
                <w:lang w:eastAsia="zh-CN"/>
              </w:rPr>
            </w:pPr>
            <w:r>
              <w:rPr>
                <w:rFonts w:hint="eastAsia" w:cs="Arial" w:asciiTheme="majorEastAsia" w:hAnsiTheme="majorEastAsia" w:eastAsiaTheme="majorEastAsia"/>
                <w:kern w:val="0"/>
                <w:szCs w:val="21"/>
                <w:highlight w:val="none"/>
                <w:lang w:val="en-US" w:eastAsia="zh-CN"/>
              </w:rPr>
              <w:t>项目</w:t>
            </w:r>
          </w:p>
        </w:tc>
        <w:tc>
          <w:tcPr>
            <w:tcW w:w="1734"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cs="Arial" w:asciiTheme="majorEastAsia" w:hAnsiTheme="majorEastAsia" w:eastAsiaTheme="majorEastAsia"/>
                <w:kern w:val="0"/>
                <w:szCs w:val="21"/>
                <w:highlight w:val="none"/>
              </w:rPr>
              <w:t>技术要求</w:t>
            </w:r>
          </w:p>
        </w:tc>
        <w:tc>
          <w:tcPr>
            <w:tcW w:w="2061"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highlight w:val="none"/>
              </w:rPr>
              <w:t>投标响应的参数情况</w:t>
            </w:r>
          </w:p>
        </w:tc>
        <w:tc>
          <w:tcPr>
            <w:tcW w:w="1578" w:type="dxa"/>
          </w:tcPr>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spacing w:line="240" w:lineRule="exact"/>
              <w:jc w:val="center"/>
              <w:rPr>
                <w:rFonts w:asciiTheme="majorEastAsia" w:hAnsiTheme="majorEastAsia" w:eastAsiaTheme="majorEastAsia"/>
                <w:szCs w:val="21"/>
                <w:highlight w:val="none"/>
              </w:rPr>
            </w:pPr>
            <w:r>
              <w:rPr>
                <w:rFonts w:hint="eastAsia" w:asciiTheme="majorEastAsia" w:hAnsiTheme="majorEastAsia" w:eastAsiaTheme="majorEastAsia"/>
                <w:highlight w:val="none"/>
              </w:rPr>
              <w:t>（正偏离/响应/负偏离）</w:t>
            </w:r>
          </w:p>
        </w:tc>
        <w:tc>
          <w:tcPr>
            <w:tcW w:w="1625" w:type="dxa"/>
            <w:vAlign w:val="center"/>
          </w:tcPr>
          <w:p>
            <w:pPr>
              <w:widowControl/>
              <w:spacing w:line="240" w:lineRule="exact"/>
              <w:jc w:val="center"/>
              <w:rPr>
                <w:rFonts w:cs="Arial" w:asciiTheme="majorEastAsia" w:hAnsiTheme="majorEastAsia" w:eastAsiaTheme="majorEastAsia"/>
                <w:kern w:val="0"/>
                <w:szCs w:val="21"/>
                <w:highlight w:val="none"/>
              </w:rPr>
            </w:pPr>
            <w:r>
              <w:rPr>
                <w:rFonts w:hint="eastAsia" w:asciiTheme="majorEastAsia" w:hAnsiTheme="majorEastAsia" w:eastAsiaTheme="majorEastAsia"/>
                <w:szCs w:val="21"/>
                <w:highlight w:val="none"/>
              </w:rPr>
              <w:t>偏离情况说明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asciiTheme="majorEastAsia" w:hAnsiTheme="majorEastAsia" w:eastAsiaTheme="majorEastAsia"/>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298" w:type="dxa"/>
            <w:vAlign w:val="center"/>
          </w:tcPr>
          <w:p>
            <w:pPr>
              <w:pStyle w:val="385"/>
              <w:spacing w:line="240" w:lineRule="exact"/>
              <w:ind w:left="0" w:leftChars="0" w:firstLine="0"/>
              <w:rPr>
                <w:rFonts w:asciiTheme="majorEastAsia" w:hAnsiTheme="majorEastAsia" w:eastAsiaTheme="majorEastAsia"/>
                <w:highlight w:val="none"/>
              </w:rPr>
            </w:pPr>
          </w:p>
        </w:tc>
        <w:tc>
          <w:tcPr>
            <w:tcW w:w="1734" w:type="dxa"/>
            <w:vAlign w:val="center"/>
          </w:tcPr>
          <w:p>
            <w:pPr>
              <w:pStyle w:val="385"/>
              <w:spacing w:line="240" w:lineRule="exact"/>
              <w:ind w:left="0" w:leftChars="0" w:firstLine="0"/>
              <w:rPr>
                <w:rFonts w:cs="Arial" w:asciiTheme="majorEastAsia" w:hAnsiTheme="majorEastAsia" w:eastAsiaTheme="majorEastAsia"/>
                <w:kern w:val="0"/>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spacing w:line="300" w:lineRule="exac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7</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8</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9</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10</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8" w:type="dxa"/>
            <w:vAlign w:val="center"/>
          </w:tcPr>
          <w:p>
            <w:pPr>
              <w:pStyle w:val="385"/>
              <w:spacing w:line="240" w:lineRule="exact"/>
              <w:ind w:left="0" w:leftChars="0" w:firstLine="0"/>
              <w:jc w:val="center"/>
              <w:rPr>
                <w:rFonts w:asciiTheme="majorEastAsia" w:hAnsiTheme="majorEastAsia" w:eastAsiaTheme="majorEastAsia"/>
                <w:highlight w:val="none"/>
              </w:rPr>
            </w:pPr>
            <w:r>
              <w:rPr>
                <w:rFonts w:hint="eastAsia" w:asciiTheme="majorEastAsia" w:hAnsiTheme="majorEastAsia" w:eastAsiaTheme="majorEastAsia"/>
                <w:highlight w:val="none"/>
              </w:rPr>
              <w:t>...</w:t>
            </w:r>
          </w:p>
        </w:tc>
        <w:tc>
          <w:tcPr>
            <w:tcW w:w="1298" w:type="dxa"/>
            <w:vAlign w:val="center"/>
          </w:tcPr>
          <w:p>
            <w:pPr>
              <w:widowControl/>
              <w:rPr>
                <w:rFonts w:cs="Arial" w:asciiTheme="majorEastAsia" w:hAnsiTheme="majorEastAsia" w:eastAsiaTheme="majorEastAsia"/>
                <w:kern w:val="0"/>
                <w:szCs w:val="21"/>
                <w:highlight w:val="none"/>
              </w:rPr>
            </w:pPr>
          </w:p>
        </w:tc>
        <w:tc>
          <w:tcPr>
            <w:tcW w:w="1734" w:type="dxa"/>
            <w:vAlign w:val="center"/>
          </w:tcPr>
          <w:p>
            <w:pPr>
              <w:widowControl/>
              <w:rPr>
                <w:rFonts w:cs="Arial" w:asciiTheme="majorEastAsia" w:hAnsiTheme="majorEastAsia" w:eastAsiaTheme="majorEastAsia"/>
                <w:kern w:val="0"/>
                <w:szCs w:val="21"/>
                <w:highlight w:val="none"/>
              </w:rPr>
            </w:pPr>
          </w:p>
        </w:tc>
        <w:tc>
          <w:tcPr>
            <w:tcW w:w="2061" w:type="dxa"/>
            <w:vAlign w:val="center"/>
          </w:tcPr>
          <w:p>
            <w:pPr>
              <w:pStyle w:val="385"/>
              <w:spacing w:line="240" w:lineRule="exact"/>
              <w:ind w:left="0" w:leftChars="0" w:firstLine="0"/>
              <w:rPr>
                <w:rFonts w:asciiTheme="majorEastAsia" w:hAnsiTheme="majorEastAsia" w:eastAsiaTheme="majorEastAsia"/>
                <w:highlight w:val="none"/>
              </w:rPr>
            </w:pPr>
          </w:p>
        </w:tc>
        <w:tc>
          <w:tcPr>
            <w:tcW w:w="1578" w:type="dxa"/>
            <w:vAlign w:val="center"/>
          </w:tcPr>
          <w:p>
            <w:pPr>
              <w:pStyle w:val="385"/>
              <w:spacing w:line="240" w:lineRule="exact"/>
              <w:ind w:left="0" w:leftChars="0" w:firstLine="0"/>
              <w:rPr>
                <w:rFonts w:asciiTheme="majorEastAsia" w:hAnsiTheme="majorEastAsia" w:eastAsiaTheme="majorEastAsia"/>
                <w:highlight w:val="none"/>
              </w:rPr>
            </w:pPr>
          </w:p>
        </w:tc>
        <w:tc>
          <w:tcPr>
            <w:tcW w:w="1625" w:type="dxa"/>
            <w:vAlign w:val="center"/>
          </w:tcPr>
          <w:p>
            <w:pPr>
              <w:pStyle w:val="385"/>
              <w:spacing w:line="240" w:lineRule="exact"/>
              <w:ind w:left="0" w:leftChars="0" w:firstLine="0"/>
              <w:rPr>
                <w:rFonts w:asciiTheme="majorEastAsia" w:hAnsiTheme="majorEastAsia" w:eastAsiaTheme="majorEastAsia"/>
                <w:highlight w:val="none"/>
              </w:rPr>
            </w:pPr>
          </w:p>
        </w:tc>
      </w:tr>
    </w:tbl>
    <w:p>
      <w:pPr>
        <w:snapToGrid w:val="0"/>
        <w:spacing w:before="50" w:after="50" w:line="360" w:lineRule="auto"/>
        <w:ind w:left="-23" w:leftChars="-11" w:right="27" w:rightChars="13" w:firstLine="21" w:firstLineChars="10"/>
        <w:rPr>
          <w:rFonts w:cs="宋体" w:asciiTheme="majorEastAsia" w:hAnsiTheme="majorEastAsia" w:eastAsiaTheme="majorEastAsia"/>
          <w:b/>
          <w:bCs/>
          <w:szCs w:val="30"/>
          <w:highlight w:val="none"/>
        </w:rPr>
      </w:pPr>
      <w:r>
        <w:rPr>
          <w:rFonts w:hint="eastAsia" w:cs="宋体" w:asciiTheme="majorEastAsia" w:hAnsiTheme="majorEastAsia" w:eastAsiaTheme="majorEastAsia"/>
          <w:b/>
          <w:bCs/>
          <w:szCs w:val="30"/>
          <w:highlight w:val="none"/>
        </w:rPr>
        <w:t>注：1、投标人应将投标产品的实际技术参数和性能指标进行针对性的描述，以证明投标产品对招标文件要求的技术参数和性能指标做出实质性响应。</w:t>
      </w:r>
    </w:p>
    <w:p>
      <w:pPr>
        <w:snapToGrid w:val="0"/>
        <w:spacing w:before="50" w:after="50" w:line="360" w:lineRule="auto"/>
        <w:ind w:left="-23" w:leftChars="-11" w:right="27" w:rightChars="13" w:firstLine="21" w:firstLineChars="10"/>
        <w:rPr>
          <w:rFonts w:cs="宋体" w:asciiTheme="majorEastAsia" w:hAnsiTheme="majorEastAsia" w:eastAsiaTheme="majorEastAsia"/>
          <w:b/>
          <w:bCs/>
          <w:highlight w:val="none"/>
        </w:rPr>
      </w:pPr>
      <w:r>
        <w:rPr>
          <w:rFonts w:hint="eastAsia" w:cs="宋体" w:asciiTheme="majorEastAsia" w:hAnsiTheme="majorEastAsia" w:eastAsiaTheme="majorEastAsia"/>
          <w:b/>
          <w:bCs/>
          <w:szCs w:val="30"/>
          <w:highlight w:val="none"/>
        </w:rPr>
        <w:t>2、</w:t>
      </w:r>
      <w:r>
        <w:rPr>
          <w:rFonts w:hint="eastAsia" w:cs="宋体" w:asciiTheme="majorEastAsia" w:hAnsiTheme="majorEastAsia" w:eastAsiaTheme="majorEastAsia"/>
          <w:b/>
          <w:bCs/>
          <w:highlight w:val="none"/>
        </w:rPr>
        <w:t>响应情况栏填写“响应”即为满足招标文件要求，填写“正偏离”为优于招标文件要求，填写“负偏离”为不能满足招标文件要求。</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cs="宋体" w:asciiTheme="majorEastAsia" w:hAnsiTheme="majorEastAsia" w:eastAsiaTheme="majorEastAsia"/>
          <w:b/>
          <w:bCs/>
          <w:szCs w:val="30"/>
          <w:highlight w:val="none"/>
        </w:rPr>
        <w:t>3、</w:t>
      </w:r>
      <w:r>
        <w:rPr>
          <w:rFonts w:hint="eastAsia" w:asciiTheme="majorEastAsia" w:hAnsiTheme="majorEastAsia" w:eastAsiaTheme="majorEastAsia"/>
          <w:b/>
          <w:szCs w:val="21"/>
          <w:highlight w:val="none"/>
        </w:rPr>
        <w:t>响应条款与招标要求不一致（包括</w:t>
      </w:r>
      <w:r>
        <w:rPr>
          <w:rFonts w:hint="eastAsia" w:cs="宋体" w:asciiTheme="majorEastAsia" w:hAnsiTheme="majorEastAsia" w:eastAsiaTheme="majorEastAsia"/>
          <w:b/>
          <w:bCs/>
          <w:highlight w:val="none"/>
        </w:rPr>
        <w:t>正偏离</w:t>
      </w:r>
      <w:r>
        <w:rPr>
          <w:rFonts w:hint="eastAsia" w:asciiTheme="majorEastAsia" w:hAnsiTheme="majorEastAsia" w:eastAsiaTheme="majorEastAsia"/>
          <w:b/>
          <w:szCs w:val="21"/>
          <w:highlight w:val="none"/>
        </w:rPr>
        <w:t>或</w:t>
      </w:r>
      <w:r>
        <w:rPr>
          <w:rFonts w:hint="eastAsia" w:cs="宋体" w:asciiTheme="majorEastAsia" w:hAnsiTheme="majorEastAsia" w:eastAsiaTheme="majorEastAsia"/>
          <w:b/>
          <w:bCs/>
          <w:highlight w:val="none"/>
        </w:rPr>
        <w:t>负偏离</w:t>
      </w:r>
      <w:r>
        <w:rPr>
          <w:rFonts w:hint="eastAsia" w:asciiTheme="majorEastAsia" w:hAnsiTheme="majorEastAsia" w:eastAsiaTheme="majorEastAsia"/>
          <w:b/>
          <w:szCs w:val="21"/>
          <w:highlight w:val="none"/>
        </w:rPr>
        <w:t>）的具体条款内容应当在“偏离情况说明”栏进行描述，响应情况由评标委员会认定。</w:t>
      </w:r>
    </w:p>
    <w:p>
      <w:pPr>
        <w:snapToGrid w:val="0"/>
        <w:spacing w:before="50" w:after="50" w:line="360" w:lineRule="auto"/>
        <w:ind w:left="-23" w:leftChars="-11" w:right="27" w:rightChars="13" w:firstLine="21" w:firstLineChars="10"/>
        <w:rPr>
          <w:rFonts w:cs="宋体" w:asciiTheme="majorEastAsia" w:hAnsiTheme="majorEastAsia" w:eastAsiaTheme="majorEastAsia"/>
          <w:b/>
          <w:bCs/>
          <w:szCs w:val="30"/>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numPr>
          <w:ilvl w:val="0"/>
          <w:numId w:val="4"/>
        </w:numPr>
        <w:jc w:val="center"/>
        <w:rPr>
          <w:rFonts w:hint="eastAsia" w:cs="宋体" w:asciiTheme="majorEastAsia" w:hAnsiTheme="majorEastAsia" w:eastAsiaTheme="majorEastAsia"/>
          <w:b/>
          <w:kern w:val="0"/>
          <w:sz w:val="21"/>
          <w:szCs w:val="21"/>
          <w:highlight w:val="none"/>
          <w:lang w:val="en-US" w:eastAsia="zh-CN" w:bidi="ar-SA"/>
        </w:rPr>
      </w:pPr>
      <w:r>
        <w:rPr>
          <w:rFonts w:asciiTheme="majorEastAsia" w:hAnsiTheme="majorEastAsia" w:eastAsiaTheme="majorEastAsia"/>
          <w:szCs w:val="21"/>
          <w:highlight w:val="none"/>
        </w:rPr>
        <w:br w:type="page"/>
      </w:r>
      <w:r>
        <w:rPr>
          <w:rFonts w:hint="eastAsia" w:cs="宋体" w:asciiTheme="majorEastAsia" w:hAnsiTheme="majorEastAsia" w:eastAsiaTheme="majorEastAsia"/>
          <w:b/>
          <w:kern w:val="0"/>
          <w:sz w:val="21"/>
          <w:szCs w:val="21"/>
          <w:highlight w:val="none"/>
          <w:lang w:val="en-US" w:eastAsia="zh-CN" w:bidi="ar-SA"/>
        </w:rPr>
        <w:t>服务要求要求响应表</w:t>
      </w:r>
    </w:p>
    <w:p>
      <w:pPr>
        <w:numPr>
          <w:ilvl w:val="0"/>
          <w:numId w:val="0"/>
        </w:numPr>
        <w:jc w:val="both"/>
        <w:rPr>
          <w:rFonts w:hint="eastAsia" w:cs="宋体" w:asciiTheme="majorEastAsia" w:hAnsiTheme="majorEastAsia" w:eastAsiaTheme="majorEastAsia"/>
          <w:b/>
          <w:kern w:val="0"/>
          <w:sz w:val="21"/>
          <w:szCs w:val="21"/>
          <w:highlight w:val="none"/>
          <w:lang w:val="en-US" w:eastAsia="zh-CN" w:bidi="ar-SA"/>
        </w:rPr>
      </w:pP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招标文件</w:t>
            </w:r>
            <w:r>
              <w:rPr>
                <w:rFonts w:hint="eastAsia" w:asciiTheme="majorEastAsia" w:hAnsiTheme="majorEastAsia" w:eastAsiaTheme="majorEastAsia"/>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cs="宋体"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bl>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注：响应情况栏填写“响应”即为满足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的要求，填写“正偏离”为优于</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的要求，填写“负偏离”为不能满足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rPr>
        <w:t>日  期：</w:t>
      </w:r>
    </w:p>
    <w:p>
      <w:pPr>
        <w:numPr>
          <w:ilvl w:val="0"/>
          <w:numId w:val="4"/>
        </w:numPr>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p>
    <w:p>
      <w:pPr>
        <w:pStyle w:val="21"/>
        <w:spacing w:line="360" w:lineRule="auto"/>
        <w:ind w:left="0" w:leftChars="0"/>
        <w:jc w:val="center"/>
        <w:rPr>
          <w:rFonts w:cs="宋体" w:asciiTheme="majorEastAsia" w:hAnsiTheme="majorEastAsia" w:eastAsiaTheme="majorEastAsia"/>
          <w:b/>
          <w:sz w:val="21"/>
          <w:szCs w:val="21"/>
          <w:highlight w:val="none"/>
        </w:rPr>
      </w:pPr>
      <w:r>
        <w:rPr>
          <w:rFonts w:hint="eastAsia" w:cs="宋体" w:asciiTheme="majorEastAsia" w:hAnsiTheme="majorEastAsia" w:eastAsiaTheme="majorEastAsia"/>
          <w:b/>
          <w:sz w:val="21"/>
          <w:szCs w:val="21"/>
          <w:highlight w:val="none"/>
          <w:lang w:val="en-US" w:eastAsia="zh-CN"/>
        </w:rPr>
        <w:t>7</w:t>
      </w:r>
      <w:r>
        <w:rPr>
          <w:rFonts w:hint="eastAsia" w:cs="宋体" w:asciiTheme="majorEastAsia" w:hAnsiTheme="majorEastAsia" w:eastAsiaTheme="majorEastAsia"/>
          <w:b/>
          <w:sz w:val="21"/>
          <w:szCs w:val="21"/>
          <w:highlight w:val="none"/>
        </w:rPr>
        <w:t>）商务要求响应表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93"/>
        <w:gridCol w:w="3260"/>
        <w:gridCol w:w="2551"/>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kern w:val="1"/>
                <w:szCs w:val="21"/>
                <w:highlight w:val="none"/>
              </w:rPr>
              <w:t>项目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t>招标文件</w:t>
            </w:r>
            <w:r>
              <w:rPr>
                <w:rFonts w:hint="eastAsia" w:asciiTheme="majorEastAsia" w:hAnsiTheme="majorEastAsia" w:eastAsiaTheme="majorEastAsia"/>
                <w:szCs w:val="21"/>
                <w:highlight w:val="none"/>
              </w:rPr>
              <w:t>的条款描述</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响应情况</w:t>
            </w:r>
          </w:p>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（正偏离/响应/负偏离）</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kern w:val="1"/>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6</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7</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cs="宋体"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10</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right w:val="single" w:color="auto" w:sz="4" w:space="0"/>
            </w:tcBorders>
            <w:vAlign w:val="center"/>
          </w:tcPr>
          <w:p>
            <w:pPr>
              <w:widowControl/>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993" w:type="dxa"/>
            <w:tcBorders>
              <w:top w:val="single" w:color="auto" w:sz="4" w:space="0"/>
              <w:left w:val="single" w:color="auto" w:sz="4" w:space="0"/>
              <w:right w:val="single" w:color="auto" w:sz="4" w:space="0"/>
            </w:tcBorders>
            <w:vAlign w:val="center"/>
          </w:tcPr>
          <w:p>
            <w:pPr>
              <w:rPr>
                <w:rFonts w:asciiTheme="majorEastAsia" w:hAnsiTheme="majorEastAsia" w:eastAsiaTheme="majorEastAsia"/>
                <w:szCs w:val="21"/>
                <w:highlight w:val="none"/>
              </w:rPr>
            </w:pPr>
          </w:p>
        </w:tc>
        <w:tc>
          <w:tcPr>
            <w:tcW w:w="3260" w:type="dxa"/>
            <w:tcBorders>
              <w:top w:val="single" w:color="auto" w:sz="4" w:space="0"/>
              <w:left w:val="single" w:color="auto" w:sz="4" w:space="0"/>
              <w:right w:val="single" w:color="auto" w:sz="4" w:space="0"/>
            </w:tcBorders>
            <w:vAlign w:val="center"/>
          </w:tcPr>
          <w:p>
            <w:pPr>
              <w:ind w:right="34" w:rightChars="16"/>
              <w:rPr>
                <w:rFonts w:asciiTheme="majorEastAsia" w:hAnsiTheme="majorEastAsia" w:eastAsiaTheme="majorEastAsia"/>
                <w:szCs w:val="21"/>
                <w:highlight w:val="none"/>
              </w:rPr>
            </w:pPr>
          </w:p>
        </w:tc>
        <w:tc>
          <w:tcPr>
            <w:tcW w:w="2551"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c>
          <w:tcPr>
            <w:tcW w:w="1560" w:type="dxa"/>
            <w:tcBorders>
              <w:top w:val="single" w:color="auto" w:sz="4" w:space="0"/>
              <w:left w:val="single" w:color="auto" w:sz="4" w:space="0"/>
              <w:right w:val="single" w:color="auto" w:sz="4" w:space="0"/>
            </w:tcBorders>
            <w:vAlign w:val="center"/>
          </w:tcPr>
          <w:p>
            <w:pPr>
              <w:widowControl/>
              <w:rPr>
                <w:rFonts w:asciiTheme="majorEastAsia" w:hAnsiTheme="majorEastAsia" w:eastAsiaTheme="majorEastAsia"/>
                <w:szCs w:val="21"/>
                <w:highlight w:val="none"/>
              </w:rPr>
            </w:pPr>
          </w:p>
        </w:tc>
      </w:tr>
    </w:tbl>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注：响应情况栏填写“响应”即为满足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的要求，填写“正偏离”为优于</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的要求，填写“负偏离”为不能满足</w:t>
      </w:r>
      <w:r>
        <w:rPr>
          <w:rFonts w:asciiTheme="majorEastAsia" w:hAnsiTheme="majorEastAsia" w:eastAsiaTheme="majorEastAsia"/>
          <w:b/>
          <w:szCs w:val="21"/>
          <w:highlight w:val="none"/>
        </w:rPr>
        <w:t>招标文件</w:t>
      </w:r>
      <w:r>
        <w:rPr>
          <w:rFonts w:hint="eastAsia" w:asciiTheme="majorEastAsia" w:hAnsiTheme="majorEastAsia" w:eastAsiaTheme="majorEastAsia"/>
          <w:b/>
          <w:szCs w:val="21"/>
          <w:highlight w:val="none"/>
        </w:rPr>
        <w:t>的要求，响应条款有“正偏离”和“负偏离”的应当在“偏离情况说明”栏进行明确描述，响应情况由评标委员会认定。</w:t>
      </w:r>
    </w:p>
    <w:p>
      <w:pPr>
        <w:snapToGrid w:val="0"/>
        <w:spacing w:before="50" w:after="50" w:line="360" w:lineRule="auto"/>
        <w:ind w:left="-23" w:leftChars="-11" w:right="-57" w:rightChars="-27" w:firstLine="21" w:firstLineChars="10"/>
        <w:rPr>
          <w:rFonts w:asciiTheme="majorEastAsia" w:hAnsiTheme="majorEastAsia" w:eastAsiaTheme="majorEastAsia"/>
          <w:b/>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snapToGrid w:val="0"/>
        <w:spacing w:line="360" w:lineRule="auto"/>
        <w:ind w:firstLine="3685" w:firstLineChars="1755"/>
        <w:rPr>
          <w:rFonts w:asciiTheme="majorEastAsia" w:hAnsiTheme="majorEastAsia" w:eastAsiaTheme="majorEastAsia"/>
          <w:szCs w:val="21"/>
          <w:highlight w:val="none"/>
        </w:rPr>
      </w:pPr>
    </w:p>
    <w:p>
      <w:pPr>
        <w:pStyle w:val="21"/>
        <w:spacing w:line="360" w:lineRule="auto"/>
        <w:ind w:left="0" w:leftChars="0"/>
        <w:jc w:val="center"/>
        <w:rPr>
          <w:rFonts w:asciiTheme="majorEastAsia" w:hAnsiTheme="majorEastAsia" w:eastAsiaTheme="majorEastAsia"/>
          <w:b/>
          <w:highlight w:val="none"/>
        </w:rPr>
      </w:pPr>
      <w:r>
        <w:rPr>
          <w:rFonts w:asciiTheme="majorEastAsia" w:hAnsiTheme="majorEastAsia" w:eastAsiaTheme="majorEastAsia"/>
          <w:szCs w:val="21"/>
          <w:highlight w:val="none"/>
        </w:rPr>
        <w:br w:type="page"/>
      </w:r>
      <w:r>
        <w:rPr>
          <w:rFonts w:hint="eastAsia" w:cs="宋体" w:asciiTheme="majorEastAsia" w:hAnsiTheme="majorEastAsia" w:eastAsiaTheme="majorEastAsia"/>
          <w:b/>
          <w:sz w:val="21"/>
          <w:szCs w:val="21"/>
          <w:highlight w:val="none"/>
          <w:lang w:val="en-US" w:eastAsia="zh-CN"/>
        </w:rPr>
        <w:t>8</w:t>
      </w:r>
      <w:r>
        <w:rPr>
          <w:rFonts w:hint="eastAsia" w:cs="宋体" w:asciiTheme="majorEastAsia" w:hAnsiTheme="majorEastAsia" w:eastAsiaTheme="majorEastAsia"/>
          <w:b/>
          <w:sz w:val="21"/>
          <w:szCs w:val="21"/>
          <w:highlight w:val="none"/>
        </w:rPr>
        <w:t>）项目实施人员情况表</w:t>
      </w:r>
    </w:p>
    <w:tbl>
      <w:tblPr>
        <w:tblStyle w:val="4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27"/>
        <w:gridCol w:w="1167"/>
        <w:gridCol w:w="1275"/>
        <w:gridCol w:w="851"/>
        <w:gridCol w:w="850"/>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序号</w:t>
            </w:r>
          </w:p>
        </w:tc>
        <w:tc>
          <w:tcPr>
            <w:tcW w:w="1527"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姓名</w:t>
            </w:r>
          </w:p>
        </w:tc>
        <w:tc>
          <w:tcPr>
            <w:tcW w:w="1167"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岗位</w:t>
            </w:r>
          </w:p>
        </w:tc>
        <w:tc>
          <w:tcPr>
            <w:tcW w:w="1275"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本项目主要工作内容</w:t>
            </w:r>
          </w:p>
        </w:tc>
        <w:tc>
          <w:tcPr>
            <w:tcW w:w="851"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年龄</w:t>
            </w:r>
          </w:p>
        </w:tc>
        <w:tc>
          <w:tcPr>
            <w:tcW w:w="850"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性别</w:t>
            </w:r>
          </w:p>
        </w:tc>
        <w:tc>
          <w:tcPr>
            <w:tcW w:w="1134"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学历</w:t>
            </w:r>
          </w:p>
        </w:tc>
        <w:tc>
          <w:tcPr>
            <w:tcW w:w="1560" w:type="dxa"/>
            <w:vAlign w:val="center"/>
          </w:tcPr>
          <w:p>
            <w:pPr>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职称、执业资格等能力情况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Align w:val="center"/>
          </w:tcPr>
          <w:p>
            <w:pPr>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p>
        </w:tc>
        <w:tc>
          <w:tcPr>
            <w:tcW w:w="1527" w:type="dxa"/>
            <w:vAlign w:val="center"/>
          </w:tcPr>
          <w:p>
            <w:pPr>
              <w:rPr>
                <w:rFonts w:asciiTheme="majorEastAsia" w:hAnsiTheme="majorEastAsia" w:eastAsiaTheme="majorEastAsia"/>
                <w:szCs w:val="21"/>
                <w:highlight w:val="none"/>
              </w:rPr>
            </w:pPr>
          </w:p>
        </w:tc>
        <w:tc>
          <w:tcPr>
            <w:tcW w:w="1167" w:type="dxa"/>
            <w:vAlign w:val="center"/>
          </w:tcPr>
          <w:p>
            <w:pPr>
              <w:rPr>
                <w:rFonts w:asciiTheme="majorEastAsia" w:hAnsiTheme="majorEastAsia" w:eastAsiaTheme="majorEastAsia"/>
                <w:szCs w:val="21"/>
                <w:highlight w:val="none"/>
              </w:rPr>
            </w:pPr>
          </w:p>
        </w:tc>
        <w:tc>
          <w:tcPr>
            <w:tcW w:w="1275" w:type="dxa"/>
            <w:vAlign w:val="center"/>
          </w:tcPr>
          <w:p>
            <w:pPr>
              <w:rPr>
                <w:rFonts w:asciiTheme="majorEastAsia" w:hAnsiTheme="majorEastAsia" w:eastAsiaTheme="majorEastAsia"/>
                <w:szCs w:val="21"/>
                <w:highlight w:val="none"/>
              </w:rPr>
            </w:pPr>
          </w:p>
        </w:tc>
        <w:tc>
          <w:tcPr>
            <w:tcW w:w="851" w:type="dxa"/>
            <w:vAlign w:val="center"/>
          </w:tcPr>
          <w:p>
            <w:pPr>
              <w:rPr>
                <w:rFonts w:asciiTheme="majorEastAsia" w:hAnsiTheme="majorEastAsia" w:eastAsiaTheme="majorEastAsia"/>
                <w:szCs w:val="21"/>
                <w:highlight w:val="none"/>
              </w:rPr>
            </w:pPr>
          </w:p>
        </w:tc>
        <w:tc>
          <w:tcPr>
            <w:tcW w:w="850" w:type="dxa"/>
            <w:vAlign w:val="center"/>
          </w:tcPr>
          <w:p>
            <w:pPr>
              <w:rPr>
                <w:rFonts w:asciiTheme="majorEastAsia" w:hAnsiTheme="majorEastAsia" w:eastAsiaTheme="majorEastAsia"/>
                <w:szCs w:val="21"/>
                <w:highlight w:val="none"/>
              </w:rPr>
            </w:pPr>
          </w:p>
        </w:tc>
        <w:tc>
          <w:tcPr>
            <w:tcW w:w="1134" w:type="dxa"/>
            <w:vAlign w:val="center"/>
          </w:tcPr>
          <w:p>
            <w:pPr>
              <w:rPr>
                <w:rFonts w:asciiTheme="majorEastAsia" w:hAnsiTheme="majorEastAsia" w:eastAsiaTheme="majorEastAsia"/>
                <w:szCs w:val="21"/>
                <w:highlight w:val="none"/>
              </w:rPr>
            </w:pPr>
          </w:p>
        </w:tc>
        <w:tc>
          <w:tcPr>
            <w:tcW w:w="1560" w:type="dxa"/>
            <w:vAlign w:val="center"/>
          </w:tcPr>
          <w:p>
            <w:pPr>
              <w:rPr>
                <w:rFonts w:asciiTheme="majorEastAsia" w:hAnsiTheme="majorEastAsia" w:eastAsiaTheme="majorEastAsia"/>
                <w:szCs w:val="21"/>
                <w:highlight w:val="none"/>
              </w:rPr>
            </w:pPr>
          </w:p>
        </w:tc>
      </w:tr>
    </w:tbl>
    <w:p>
      <w:pPr>
        <w:spacing w:line="360" w:lineRule="auto"/>
        <w:ind w:left="924" w:hanging="924" w:hangingChars="440"/>
        <w:rPr>
          <w:rFonts w:cs="宋体" w:asciiTheme="majorEastAsia" w:hAnsiTheme="majorEastAsia" w:eastAsiaTheme="majorEastAsia"/>
          <w:b/>
          <w:highlight w:val="none"/>
        </w:rPr>
      </w:pPr>
      <w:r>
        <w:rPr>
          <w:rFonts w:hint="eastAsia" w:cs="宋体" w:asciiTheme="majorEastAsia" w:hAnsiTheme="majorEastAsia" w:eastAsiaTheme="majorEastAsia"/>
          <w:highlight w:val="none"/>
        </w:rPr>
        <w:t>注：</w:t>
      </w:r>
      <w:r>
        <w:rPr>
          <w:rFonts w:hint="eastAsia" w:cs="宋体" w:asciiTheme="majorEastAsia" w:hAnsiTheme="majorEastAsia" w:eastAsiaTheme="majorEastAsia"/>
          <w:b/>
          <w:highlight w:val="none"/>
        </w:rPr>
        <w:t>1、项目负责人等与评审因素相关的人员必须列入本表并明确，否则在评审中不予认可。</w:t>
      </w:r>
    </w:p>
    <w:p>
      <w:pPr>
        <w:spacing w:line="360" w:lineRule="auto"/>
        <w:ind w:left="924" w:hanging="924" w:hangingChars="440"/>
        <w:rPr>
          <w:rFonts w:cs="宋体" w:asciiTheme="majorEastAsia" w:hAnsiTheme="majorEastAsia" w:eastAsiaTheme="majorEastAsia"/>
          <w:highlight w:val="none"/>
        </w:rPr>
      </w:pPr>
      <w:r>
        <w:rPr>
          <w:rFonts w:hint="eastAsia" w:cs="宋体" w:asciiTheme="majorEastAsia" w:hAnsiTheme="majorEastAsia" w:eastAsiaTheme="majorEastAsia"/>
          <w:highlight w:val="none"/>
        </w:rPr>
        <w:t>2、列入本表人员如要更换，需经采购人同意，擅自更换或不到位属违约行为。</w:t>
      </w:r>
    </w:p>
    <w:p>
      <w:pPr>
        <w:spacing w:line="360" w:lineRule="auto"/>
        <w:ind w:left="924" w:hanging="924" w:hangingChars="440"/>
        <w:rPr>
          <w:rFonts w:cs="宋体" w:asciiTheme="majorEastAsia" w:hAnsiTheme="majorEastAsia" w:eastAsiaTheme="majorEastAsia"/>
          <w:highlight w:val="none"/>
        </w:rPr>
      </w:pPr>
      <w:r>
        <w:rPr>
          <w:rFonts w:hint="eastAsia" w:cs="宋体" w:asciiTheme="majorEastAsia" w:hAnsiTheme="majorEastAsia" w:eastAsiaTheme="majorEastAsia"/>
          <w:highlight w:val="none"/>
        </w:rPr>
        <w:t>3、</w:t>
      </w:r>
      <w:r>
        <w:rPr>
          <w:rFonts w:hint="eastAsia" w:asciiTheme="majorEastAsia" w:hAnsiTheme="majorEastAsia" w:eastAsiaTheme="majorEastAsia"/>
          <w:bCs/>
          <w:szCs w:val="21"/>
          <w:highlight w:val="none"/>
        </w:rPr>
        <w:t>职称、执业资格等能力情况</w:t>
      </w:r>
      <w:r>
        <w:rPr>
          <w:rFonts w:hint="eastAsia" w:cs="宋体" w:asciiTheme="majorEastAsia" w:hAnsiTheme="majorEastAsia" w:eastAsiaTheme="majorEastAsia"/>
          <w:highlight w:val="none"/>
        </w:rPr>
        <w:t>证明材料的复印件后附（如有）。</w:t>
      </w:r>
    </w:p>
    <w:p>
      <w:pPr>
        <w:spacing w:line="360" w:lineRule="auto"/>
        <w:ind w:firstLine="420" w:firstLineChars="200"/>
        <w:rPr>
          <w:rFonts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snapToGrid w:val="0"/>
        <w:spacing w:line="360" w:lineRule="auto"/>
        <w:rPr>
          <w:rFonts w:asciiTheme="majorEastAsia" w:hAnsiTheme="majorEastAsia" w:eastAsiaTheme="majorEastAsia"/>
          <w:szCs w:val="21"/>
          <w:highlight w:val="none"/>
        </w:rPr>
      </w:pPr>
    </w:p>
    <w:p>
      <w:pPr>
        <w:pStyle w:val="21"/>
        <w:spacing w:line="360" w:lineRule="auto"/>
        <w:jc w:val="center"/>
        <w:rPr>
          <w:rFonts w:asciiTheme="majorEastAsia" w:hAnsiTheme="majorEastAsia" w:eastAsiaTheme="majorEastAsia"/>
          <w:sz w:val="21"/>
          <w:szCs w:val="21"/>
          <w:highlight w:val="none"/>
        </w:rPr>
      </w:pPr>
    </w:p>
    <w:p>
      <w:pPr>
        <w:pStyle w:val="21"/>
        <w:spacing w:line="360" w:lineRule="auto"/>
        <w:ind w:left="0" w:leftChars="0"/>
        <w:jc w:val="center"/>
        <w:rPr>
          <w:rFonts w:asciiTheme="majorEastAsia" w:hAnsiTheme="majorEastAsia" w:eastAsiaTheme="majorEastAsia"/>
          <w:szCs w:val="21"/>
          <w:highlight w:val="none"/>
        </w:rPr>
      </w:pPr>
      <w:r>
        <w:rPr>
          <w:rFonts w:asciiTheme="majorEastAsia" w:hAnsiTheme="majorEastAsia" w:eastAsiaTheme="majorEastAsia"/>
          <w:szCs w:val="21"/>
          <w:highlight w:val="none"/>
        </w:rPr>
        <w:br w:type="page"/>
      </w:r>
      <w:r>
        <w:rPr>
          <w:rFonts w:hint="eastAsia" w:cs="宋体" w:asciiTheme="majorEastAsia" w:hAnsiTheme="majorEastAsia" w:eastAsiaTheme="majorEastAsia"/>
          <w:b/>
          <w:sz w:val="21"/>
          <w:szCs w:val="21"/>
          <w:highlight w:val="none"/>
          <w:lang w:val="en-US" w:eastAsia="zh-CN"/>
        </w:rPr>
        <w:t>9</w:t>
      </w:r>
      <w:r>
        <w:rPr>
          <w:rFonts w:hint="eastAsia" w:cs="宋体" w:asciiTheme="majorEastAsia" w:hAnsiTheme="majorEastAsia" w:eastAsiaTheme="majorEastAsia"/>
          <w:b/>
          <w:sz w:val="21"/>
          <w:szCs w:val="21"/>
          <w:highlight w:val="none"/>
        </w:rPr>
        <w:t>）类似项目业绩一览表</w:t>
      </w:r>
    </w:p>
    <w:tbl>
      <w:tblPr>
        <w:tblStyle w:val="44"/>
        <w:tblW w:w="8827"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7"/>
        <w:gridCol w:w="1701"/>
        <w:gridCol w:w="1560"/>
        <w:gridCol w:w="1984"/>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序号</w:t>
            </w:r>
          </w:p>
        </w:tc>
        <w:tc>
          <w:tcPr>
            <w:tcW w:w="1701"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用户名称</w:t>
            </w:r>
          </w:p>
        </w:tc>
        <w:tc>
          <w:tcPr>
            <w:tcW w:w="1560"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项目内容</w:t>
            </w:r>
          </w:p>
        </w:tc>
        <w:tc>
          <w:tcPr>
            <w:tcW w:w="1984"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合同金额</w:t>
            </w:r>
          </w:p>
        </w:tc>
        <w:tc>
          <w:tcPr>
            <w:tcW w:w="2835" w:type="dxa"/>
            <w:tcBorders>
              <w:right w:val="single" w:color="auto" w:sz="4" w:space="0"/>
            </w:tcBorders>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用户联系人及其联系电话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4</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5</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747" w:type="dxa"/>
            <w:vAlign w:val="center"/>
          </w:tcPr>
          <w:p>
            <w:pPr>
              <w:spacing w:line="300" w:lineRule="exact"/>
              <w:jc w:val="center"/>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w:t>
            </w:r>
          </w:p>
        </w:tc>
        <w:tc>
          <w:tcPr>
            <w:tcW w:w="1701" w:type="dxa"/>
            <w:vAlign w:val="center"/>
          </w:tcPr>
          <w:p>
            <w:pPr>
              <w:jc w:val="center"/>
              <w:rPr>
                <w:rFonts w:asciiTheme="majorEastAsia" w:hAnsiTheme="majorEastAsia" w:eastAsiaTheme="majorEastAsia"/>
                <w:szCs w:val="21"/>
                <w:highlight w:val="none"/>
              </w:rPr>
            </w:pPr>
          </w:p>
        </w:tc>
        <w:tc>
          <w:tcPr>
            <w:tcW w:w="1560" w:type="dxa"/>
            <w:vAlign w:val="center"/>
          </w:tcPr>
          <w:p>
            <w:pPr>
              <w:jc w:val="center"/>
              <w:rPr>
                <w:rFonts w:asciiTheme="majorEastAsia" w:hAnsiTheme="majorEastAsia" w:eastAsiaTheme="majorEastAsia"/>
                <w:szCs w:val="21"/>
                <w:highlight w:val="none"/>
              </w:rPr>
            </w:pPr>
          </w:p>
        </w:tc>
        <w:tc>
          <w:tcPr>
            <w:tcW w:w="1984" w:type="dxa"/>
            <w:vAlign w:val="center"/>
          </w:tcPr>
          <w:p>
            <w:pPr>
              <w:jc w:val="center"/>
              <w:rPr>
                <w:rFonts w:asciiTheme="majorEastAsia" w:hAnsiTheme="majorEastAsia" w:eastAsiaTheme="majorEastAsia"/>
                <w:szCs w:val="21"/>
                <w:highlight w:val="none"/>
              </w:rPr>
            </w:pPr>
          </w:p>
        </w:tc>
        <w:tc>
          <w:tcPr>
            <w:tcW w:w="2835" w:type="dxa"/>
            <w:tcBorders>
              <w:right w:val="single" w:color="auto" w:sz="4" w:space="0"/>
            </w:tcBorders>
            <w:vAlign w:val="center"/>
          </w:tcPr>
          <w:p>
            <w:pPr>
              <w:jc w:val="center"/>
              <w:rPr>
                <w:rFonts w:asciiTheme="majorEastAsia" w:hAnsiTheme="majorEastAsia" w:eastAsiaTheme="majorEastAsia"/>
                <w:szCs w:val="21"/>
                <w:highlight w:val="none"/>
              </w:rPr>
            </w:pPr>
          </w:p>
        </w:tc>
      </w:tr>
    </w:tbl>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widowControl/>
        <w:jc w:val="left"/>
        <w:rPr>
          <w:rFonts w:asciiTheme="majorEastAsia" w:hAnsiTheme="majorEastAsia" w:eastAsiaTheme="majorEastAsia"/>
          <w:b/>
          <w:szCs w:val="21"/>
          <w:highlight w:val="none"/>
        </w:rPr>
      </w:pPr>
      <w:r>
        <w:rPr>
          <w:rFonts w:asciiTheme="majorEastAsia" w:hAnsiTheme="majorEastAsia" w:eastAsiaTheme="majorEastAsia"/>
          <w:b/>
          <w:szCs w:val="21"/>
          <w:highlight w:val="none"/>
        </w:rPr>
        <w:br w:type="page"/>
      </w:r>
      <w:r>
        <w:rPr>
          <w:rFonts w:hint="eastAsia" w:asciiTheme="majorEastAsia" w:hAnsiTheme="majorEastAsia" w:eastAsiaTheme="majorEastAsia"/>
          <w:b/>
          <w:highlight w:val="none"/>
        </w:rPr>
        <w:t>3、报价要求响应文件的有关格式</w:t>
      </w:r>
    </w:p>
    <w:p>
      <w:pPr>
        <w:pStyle w:val="21"/>
        <w:spacing w:line="360" w:lineRule="auto"/>
        <w:ind w:left="0" w:leftChars="0"/>
        <w:jc w:val="center"/>
        <w:rPr>
          <w:rFonts w:asciiTheme="majorEastAsia" w:hAnsiTheme="majorEastAsia" w:eastAsiaTheme="majorEastAsia"/>
          <w:kern w:val="1"/>
          <w:szCs w:val="21"/>
          <w:highlight w:val="none"/>
        </w:rPr>
      </w:pPr>
      <w:r>
        <w:rPr>
          <w:rFonts w:hint="eastAsia" w:cs="宋体" w:asciiTheme="majorEastAsia" w:hAnsiTheme="majorEastAsia" w:eastAsiaTheme="majorEastAsia"/>
          <w:b/>
          <w:sz w:val="21"/>
          <w:szCs w:val="21"/>
          <w:highlight w:val="none"/>
        </w:rPr>
        <w:t>1）开标一览表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943" w:type="dxa"/>
            <w:tcBorders>
              <w:top w:val="single" w:color="auto" w:sz="4" w:space="0"/>
              <w:left w:val="single" w:color="auto" w:sz="4" w:space="0"/>
              <w:bottom w:val="single" w:color="auto" w:sz="4" w:space="0"/>
              <w:right w:val="single" w:color="auto" w:sz="4" w:space="0"/>
            </w:tcBorders>
            <w:vAlign w:val="center"/>
          </w:tcPr>
          <w:p>
            <w:pPr>
              <w:pStyle w:val="21"/>
              <w:spacing w:after="0"/>
              <w:ind w:left="457" w:leftChars="0" w:hanging="457" w:hangingChars="218"/>
              <w:jc w:val="center"/>
              <w:rPr>
                <w:rFonts w:ascii="宋体" w:hAnsi="宋体"/>
                <w:kern w:val="2"/>
                <w:sz w:val="21"/>
                <w:szCs w:val="21"/>
                <w:highlight w:val="none"/>
              </w:rPr>
            </w:pPr>
            <w:r>
              <w:rPr>
                <w:rFonts w:ascii="宋体" w:hAnsi="宋体"/>
                <w:kern w:val="2"/>
                <w:sz w:val="21"/>
                <w:szCs w:val="21"/>
                <w:highlight w:val="none"/>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pPr>
              <w:pStyle w:val="21"/>
              <w:spacing w:after="0"/>
              <w:ind w:left="36" w:leftChars="17"/>
              <w:jc w:val="center"/>
              <w:rPr>
                <w:rFonts w:hint="eastAsia" w:cs="Times New Roman" w:asciiTheme="majorEastAsia" w:hAnsiTheme="majorEastAsia" w:eastAsiaTheme="majorEastAsia"/>
                <w:bCs/>
                <w:kern w:val="2"/>
                <w:sz w:val="21"/>
                <w:szCs w:val="21"/>
                <w:highlight w:val="none"/>
                <w:lang w:val="en-US" w:eastAsia="zh-CN" w:bidi="ar-SA"/>
              </w:rPr>
            </w:pPr>
            <w:r>
              <w:rPr>
                <w:rFonts w:hint="eastAsia" w:cs="Times New Roman" w:asciiTheme="majorEastAsia" w:hAnsiTheme="majorEastAsia" w:eastAsiaTheme="majorEastAsia"/>
                <w:bCs/>
                <w:kern w:val="2"/>
                <w:sz w:val="21"/>
                <w:szCs w:val="21"/>
                <w:highlight w:val="none"/>
                <w:lang w:val="en-US" w:eastAsia="zh-CN" w:bidi="ar-SA"/>
              </w:rPr>
              <w:t>宁波广播电视集团</w:t>
            </w:r>
          </w:p>
          <w:p>
            <w:pPr>
              <w:pStyle w:val="21"/>
              <w:spacing w:after="0"/>
              <w:ind w:left="36" w:leftChars="17"/>
              <w:jc w:val="center"/>
              <w:rPr>
                <w:rFonts w:hint="eastAsia" w:ascii="宋体" w:hAnsi="宋体" w:eastAsia="宋体"/>
                <w:kern w:val="2"/>
                <w:sz w:val="21"/>
                <w:szCs w:val="21"/>
                <w:highlight w:val="none"/>
                <w:lang w:eastAsia="zh-CN"/>
              </w:rPr>
            </w:pPr>
            <w:r>
              <w:rPr>
                <w:rFonts w:hint="eastAsia" w:cs="Times New Roman" w:asciiTheme="majorEastAsia" w:hAnsiTheme="majorEastAsia" w:eastAsiaTheme="majorEastAsia"/>
                <w:bCs/>
                <w:kern w:val="2"/>
                <w:sz w:val="21"/>
                <w:szCs w:val="21"/>
                <w:highlight w:val="none"/>
                <w:lang w:val="en-US" w:eastAsia="zh-CN" w:bidi="ar-SA"/>
              </w:rPr>
              <w:t>采购新大楼全媒体业务共享系统（一期）建设项目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项目编号</w:t>
            </w:r>
          </w:p>
        </w:tc>
        <w:tc>
          <w:tcPr>
            <w:tcW w:w="5954" w:type="dxa"/>
            <w:tcBorders>
              <w:top w:val="single" w:color="auto" w:sz="4" w:space="0"/>
              <w:left w:val="single" w:color="auto" w:sz="4" w:space="0"/>
              <w:right w:val="single" w:color="auto" w:sz="4" w:space="0"/>
            </w:tcBorders>
            <w:vAlign w:val="center"/>
          </w:tcPr>
          <w:p>
            <w:pPr>
              <w:pStyle w:val="21"/>
              <w:spacing w:after="0"/>
              <w:ind w:left="36" w:leftChars="17"/>
              <w:jc w:val="center"/>
              <w:rPr>
                <w:rFonts w:hint="eastAsia" w:ascii="宋体" w:hAnsi="宋体" w:eastAsia="宋体"/>
                <w:kern w:val="2"/>
                <w:sz w:val="21"/>
                <w:szCs w:val="21"/>
                <w:highlight w:val="none"/>
                <w:lang w:eastAsia="zh-CN"/>
              </w:rPr>
            </w:pPr>
            <w:r>
              <w:rPr>
                <w:rFonts w:hint="eastAsia" w:ascii="宋体" w:hAnsi="宋体"/>
                <w:kern w:val="2"/>
                <w:sz w:val="21"/>
                <w:szCs w:val="21"/>
                <w:highlight w:val="none"/>
                <w:lang w:eastAsia="zh-CN"/>
              </w:rPr>
              <w:t>NBMC-202411024G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标项</w:t>
            </w:r>
          </w:p>
        </w:tc>
        <w:tc>
          <w:tcPr>
            <w:tcW w:w="5954" w:type="dxa"/>
            <w:tcBorders>
              <w:top w:val="single" w:color="auto" w:sz="4" w:space="0"/>
              <w:left w:val="single" w:color="auto" w:sz="4" w:space="0"/>
              <w:right w:val="single" w:color="auto" w:sz="4" w:space="0"/>
            </w:tcBorders>
            <w:vAlign w:val="center"/>
          </w:tcPr>
          <w:p>
            <w:pPr>
              <w:pStyle w:val="21"/>
              <w:spacing w:after="0"/>
              <w:ind w:left="36" w:leftChars="17"/>
              <w:jc w:val="center"/>
              <w:rPr>
                <w:rFonts w:ascii="宋体" w:hAnsi="宋体"/>
                <w:kern w:val="2"/>
                <w:sz w:val="21"/>
                <w:szCs w:val="21"/>
                <w:highlight w:val="none"/>
              </w:rPr>
            </w:pPr>
            <w:r>
              <w:rPr>
                <w:rFonts w:ascii="宋体" w:hAnsi="宋体"/>
                <w:kern w:val="2"/>
                <w:sz w:val="21"/>
                <w:szCs w:val="21"/>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2943"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center"/>
              <w:rPr>
                <w:rFonts w:ascii="宋体" w:hAnsi="宋体"/>
                <w:sz w:val="21"/>
                <w:szCs w:val="21"/>
                <w:highlight w:val="none"/>
              </w:rPr>
            </w:pPr>
            <w:r>
              <w:rPr>
                <w:rFonts w:hint="eastAsia" w:ascii="宋体" w:hAnsi="宋体"/>
                <w:kern w:val="2"/>
                <w:sz w:val="21"/>
                <w:szCs w:val="21"/>
                <w:highlight w:val="none"/>
              </w:rPr>
              <w:t>投标报价（元）</w:t>
            </w:r>
          </w:p>
        </w:tc>
        <w:tc>
          <w:tcPr>
            <w:tcW w:w="5954" w:type="dxa"/>
            <w:tcBorders>
              <w:top w:val="single" w:color="auto" w:sz="4" w:space="0"/>
              <w:left w:val="single" w:color="auto" w:sz="4" w:space="0"/>
              <w:right w:val="single" w:color="auto" w:sz="4" w:space="0"/>
            </w:tcBorders>
            <w:vAlign w:val="center"/>
          </w:tcPr>
          <w:p>
            <w:pPr>
              <w:pStyle w:val="21"/>
              <w:spacing w:after="0"/>
              <w:ind w:left="457" w:leftChars="0" w:hanging="457" w:hangingChars="218"/>
              <w:jc w:val="left"/>
              <w:rPr>
                <w:rFonts w:ascii="宋体" w:hAnsi="宋体"/>
                <w:sz w:val="21"/>
                <w:szCs w:val="21"/>
                <w:highlight w:val="none"/>
              </w:rPr>
            </w:pPr>
            <w:r>
              <w:rPr>
                <w:rFonts w:hint="eastAsia" w:ascii="宋体" w:hAnsi="宋体"/>
                <w:kern w:val="2"/>
                <w:sz w:val="21"/>
                <w:szCs w:val="21"/>
                <w:highlight w:val="none"/>
              </w:rPr>
              <w:t>小写：</w:t>
            </w:r>
          </w:p>
          <w:p>
            <w:pPr>
              <w:pStyle w:val="21"/>
              <w:spacing w:after="0"/>
              <w:ind w:left="457" w:leftChars="0" w:hanging="457" w:hangingChars="218"/>
              <w:jc w:val="left"/>
              <w:rPr>
                <w:rFonts w:ascii="宋体" w:hAnsi="宋体"/>
                <w:kern w:val="2"/>
                <w:sz w:val="21"/>
                <w:szCs w:val="21"/>
                <w:highlight w:val="none"/>
              </w:rPr>
            </w:pPr>
            <w:r>
              <w:rPr>
                <w:rFonts w:hint="eastAsia" w:ascii="宋体" w:hAnsi="宋体"/>
                <w:kern w:val="2"/>
                <w:sz w:val="21"/>
                <w:szCs w:val="21"/>
                <w:highlight w:val="none"/>
              </w:rPr>
              <w:t>大写：</w:t>
            </w:r>
          </w:p>
        </w:tc>
      </w:tr>
    </w:tbl>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注</w:t>
      </w:r>
      <w:r>
        <w:rPr>
          <w:rFonts w:cs="宋体" w:asciiTheme="majorEastAsia" w:hAnsiTheme="majorEastAsia" w:eastAsiaTheme="majorEastAsia"/>
          <w:bCs/>
          <w:szCs w:val="21"/>
          <w:highlight w:val="none"/>
        </w:rPr>
        <w:t>:</w:t>
      </w:r>
      <w:r>
        <w:rPr>
          <w:rFonts w:hint="eastAsia" w:cs="宋体" w:asciiTheme="majorEastAsia" w:hAnsiTheme="majorEastAsia" w:eastAsiaTheme="majorEastAsia"/>
          <w:bCs/>
          <w:szCs w:val="21"/>
          <w:highlight w:val="none"/>
        </w:rPr>
        <w:t>1、报价一经涂改，应在涂改处加盖单位公章或由法定代表人或其授权代表签字，否则评标委员会将不接受该修改内容。</w:t>
      </w:r>
    </w:p>
    <w:p>
      <w:pPr>
        <w:spacing w:line="360" w:lineRule="auto"/>
        <w:rPr>
          <w:rFonts w:ascii="宋体" w:hAnsi="宋体" w:cs="宋体"/>
          <w:highlight w:val="none"/>
        </w:rPr>
      </w:pPr>
    </w:p>
    <w:p>
      <w:pPr>
        <w:snapToGrid w:val="0"/>
        <w:spacing w:before="50" w:after="50" w:line="360" w:lineRule="auto"/>
        <w:ind w:left="-23" w:leftChars="-11" w:right="27" w:rightChars="13" w:firstLine="21" w:firstLineChars="10"/>
        <w:rPr>
          <w:rFonts w:cs="宋体" w:asciiTheme="majorEastAsia" w:hAnsiTheme="majorEastAsia" w:eastAsiaTheme="majorEastAsia"/>
          <w:bCs/>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pacing w:line="360" w:lineRule="auto"/>
        <w:ind w:firstLine="420" w:firstLineChars="200"/>
        <w:rPr>
          <w:rFonts w:cs="宋体" w:asciiTheme="majorEastAsia" w:hAnsiTheme="majorEastAsia" w:eastAsiaTheme="majorEastAsia"/>
          <w:szCs w:val="21"/>
          <w:highlight w:val="none"/>
        </w:rPr>
      </w:pP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投标人：</w:t>
      </w:r>
      <w:r>
        <w:rPr>
          <w:rFonts w:asciiTheme="majorEastAsia" w:hAnsiTheme="majorEastAsia" w:eastAsiaTheme="majorEastAsia"/>
          <w:szCs w:val="21"/>
          <w:highlight w:val="none"/>
          <w:u w:val="single"/>
        </w:rPr>
        <w:t>___</w:t>
      </w:r>
      <w:r>
        <w:rPr>
          <w:rFonts w:hint="eastAsia" w:asciiTheme="majorEastAsia" w:hAnsiTheme="majorEastAsia" w:eastAsiaTheme="majorEastAsia"/>
          <w:szCs w:val="21"/>
          <w:highlight w:val="none"/>
          <w:u w:val="single"/>
        </w:rPr>
        <w:t xml:space="preserve">    （填写全称并加盖公章)</w:t>
      </w:r>
      <w:r>
        <w:rPr>
          <w:rFonts w:asciiTheme="majorEastAsia" w:hAnsiTheme="majorEastAsia" w:eastAsiaTheme="majorEastAsia"/>
          <w:szCs w:val="21"/>
          <w:highlight w:val="none"/>
          <w:u w:val="single"/>
        </w:rPr>
        <w:t>___________</w:t>
      </w:r>
    </w:p>
    <w:p>
      <w:pPr>
        <w:snapToGrid w:val="0"/>
        <w:spacing w:line="360" w:lineRule="auto"/>
        <w:ind w:firstLine="3685" w:firstLineChars="1755"/>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widowControl/>
        <w:jc w:val="left"/>
        <w:rPr>
          <w:rFonts w:asciiTheme="majorEastAsia" w:hAnsiTheme="majorEastAsia" w:eastAsiaTheme="majorEastAsia"/>
          <w:b/>
          <w:kern w:val="0"/>
          <w:sz w:val="20"/>
          <w:szCs w:val="21"/>
          <w:highlight w:val="none"/>
        </w:rPr>
      </w:pPr>
      <w:r>
        <w:rPr>
          <w:rFonts w:asciiTheme="majorEastAsia" w:hAnsiTheme="majorEastAsia" w:eastAsiaTheme="majorEastAsia"/>
          <w:b/>
          <w:szCs w:val="21"/>
          <w:highlight w:val="none"/>
        </w:rPr>
        <w:br w:type="page"/>
      </w:r>
    </w:p>
    <w:p>
      <w:pPr>
        <w:pStyle w:val="21"/>
        <w:spacing w:line="360" w:lineRule="auto"/>
        <w:ind w:left="0" w:leftChars="0"/>
        <w:jc w:val="center"/>
        <w:rPr>
          <w:rFonts w:ascii="宋体" w:hAnsi="宋体"/>
          <w:b/>
          <w:szCs w:val="21"/>
          <w:highlight w:val="none"/>
        </w:rPr>
      </w:pPr>
      <w:r>
        <w:rPr>
          <w:rFonts w:hint="eastAsia" w:ascii="宋体" w:hAnsi="宋体" w:cs="宋体"/>
          <w:b/>
          <w:sz w:val="21"/>
          <w:szCs w:val="21"/>
          <w:highlight w:val="none"/>
        </w:rPr>
        <w:t>2</w:t>
      </w:r>
      <w:r>
        <w:rPr>
          <w:rFonts w:ascii="宋体" w:hAnsi="宋体" w:cs="宋体"/>
          <w:b/>
          <w:sz w:val="21"/>
          <w:szCs w:val="21"/>
          <w:highlight w:val="none"/>
        </w:rPr>
        <w:t>）投标报价组成明细表</w:t>
      </w:r>
    </w:p>
    <w:tbl>
      <w:tblPr>
        <w:tblStyle w:val="44"/>
        <w:tblW w:w="89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950"/>
        <w:gridCol w:w="1172"/>
        <w:gridCol w:w="1268"/>
        <w:gridCol w:w="665"/>
        <w:gridCol w:w="709"/>
        <w:gridCol w:w="127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8" w:type="dxa"/>
            <w:vAlign w:val="center"/>
          </w:tcPr>
          <w:p>
            <w:pPr>
              <w:spacing w:line="300" w:lineRule="exact"/>
              <w:jc w:val="center"/>
              <w:rPr>
                <w:rFonts w:ascii="宋体" w:hAnsi="宋体"/>
                <w:bCs/>
                <w:szCs w:val="21"/>
                <w:highlight w:val="none"/>
              </w:rPr>
            </w:pPr>
            <w:r>
              <w:rPr>
                <w:rFonts w:ascii="宋体" w:hAnsi="宋体"/>
                <w:bCs/>
                <w:szCs w:val="21"/>
                <w:highlight w:val="none"/>
              </w:rPr>
              <w:t>序号</w:t>
            </w:r>
          </w:p>
        </w:tc>
        <w:tc>
          <w:tcPr>
            <w:tcW w:w="1950" w:type="dxa"/>
            <w:vAlign w:val="center"/>
          </w:tcPr>
          <w:p>
            <w:pPr>
              <w:spacing w:line="300" w:lineRule="exact"/>
              <w:jc w:val="center"/>
              <w:rPr>
                <w:rFonts w:ascii="宋体" w:hAnsi="宋体"/>
                <w:bCs/>
                <w:szCs w:val="21"/>
                <w:highlight w:val="none"/>
              </w:rPr>
            </w:pPr>
            <w:r>
              <w:rPr>
                <w:rFonts w:hint="eastAsia" w:ascii="宋体" w:hAnsi="宋体"/>
                <w:szCs w:val="21"/>
                <w:highlight w:val="none"/>
                <w:lang w:val="en-GB"/>
              </w:rPr>
              <w:t>费用名称</w:t>
            </w:r>
          </w:p>
        </w:tc>
        <w:tc>
          <w:tcPr>
            <w:tcW w:w="117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宋体" w:hAnsi="宋体"/>
                <w:bCs/>
                <w:szCs w:val="21"/>
                <w:highlight w:val="none"/>
              </w:rPr>
            </w:pPr>
            <w:r>
              <w:rPr>
                <w:rFonts w:ascii="宋体" w:hAnsi="宋体"/>
                <w:bCs/>
                <w:szCs w:val="21"/>
                <w:highlight w:val="none"/>
              </w:rPr>
              <w:t>品牌</w:t>
            </w:r>
          </w:p>
          <w:p>
            <w:pPr>
              <w:pStyle w:val="54"/>
              <w:keepNext w:val="0"/>
              <w:keepLines w:val="0"/>
              <w:pageBreakBefore w:val="0"/>
              <w:widowControl w:val="0"/>
              <w:kinsoku/>
              <w:wordWrap/>
              <w:overflowPunct/>
              <w:topLinePunct w:val="0"/>
              <w:autoSpaceDE/>
              <w:autoSpaceDN/>
              <w:bidi w:val="0"/>
              <w:adjustRightInd/>
              <w:snapToGrid/>
              <w:spacing w:line="240" w:lineRule="exact"/>
              <w:jc w:val="center"/>
              <w:rPr>
                <w:rFonts w:hint="eastAsia" w:eastAsia="宋体"/>
                <w:highlight w:val="none"/>
                <w:lang w:eastAsia="zh-CN"/>
              </w:rPr>
            </w:pPr>
            <w:r>
              <w:rPr>
                <w:rFonts w:hint="eastAsia" w:ascii="宋体" w:hAnsi="宋体"/>
                <w:bCs/>
                <w:szCs w:val="21"/>
                <w:highlight w:val="none"/>
                <w:lang w:eastAsia="zh-CN"/>
              </w:rPr>
              <w:t>（</w:t>
            </w:r>
            <w:r>
              <w:rPr>
                <w:rFonts w:hint="eastAsia" w:ascii="宋体" w:hAnsi="宋体"/>
                <w:bCs/>
                <w:szCs w:val="21"/>
                <w:highlight w:val="none"/>
                <w:lang w:val="en-US" w:eastAsia="zh-CN"/>
              </w:rPr>
              <w:t>型号</w:t>
            </w:r>
            <w:r>
              <w:rPr>
                <w:rFonts w:hint="eastAsia" w:ascii="宋体" w:hAnsi="宋体"/>
                <w:bCs/>
                <w:szCs w:val="21"/>
                <w:highlight w:val="none"/>
                <w:lang w:eastAsia="zh-CN"/>
              </w:rPr>
              <w:t>）</w:t>
            </w:r>
          </w:p>
        </w:tc>
        <w:tc>
          <w:tcPr>
            <w:tcW w:w="1268" w:type="dxa"/>
            <w:vAlign w:val="center"/>
          </w:tcPr>
          <w:p>
            <w:pPr>
              <w:spacing w:line="300" w:lineRule="exact"/>
              <w:jc w:val="center"/>
              <w:rPr>
                <w:rFonts w:ascii="宋体" w:hAnsi="宋体"/>
                <w:bCs/>
                <w:szCs w:val="21"/>
                <w:highlight w:val="none"/>
              </w:rPr>
            </w:pPr>
            <w:r>
              <w:rPr>
                <w:rFonts w:ascii="宋体" w:hAnsi="宋体"/>
                <w:bCs/>
                <w:szCs w:val="21"/>
                <w:highlight w:val="none"/>
              </w:rPr>
              <w:t>制造商</w:t>
            </w:r>
          </w:p>
        </w:tc>
        <w:tc>
          <w:tcPr>
            <w:tcW w:w="665" w:type="dxa"/>
            <w:vAlign w:val="center"/>
          </w:tcPr>
          <w:p>
            <w:pPr>
              <w:spacing w:line="300" w:lineRule="exact"/>
              <w:jc w:val="center"/>
              <w:rPr>
                <w:rFonts w:ascii="宋体" w:hAnsi="宋体"/>
                <w:bCs/>
                <w:szCs w:val="21"/>
                <w:highlight w:val="none"/>
              </w:rPr>
            </w:pPr>
            <w:r>
              <w:rPr>
                <w:rFonts w:hint="eastAsia" w:ascii="宋体" w:hAnsi="宋体"/>
                <w:bCs/>
                <w:szCs w:val="21"/>
                <w:highlight w:val="none"/>
              </w:rPr>
              <w:t>单位</w:t>
            </w:r>
          </w:p>
        </w:tc>
        <w:tc>
          <w:tcPr>
            <w:tcW w:w="709" w:type="dxa"/>
            <w:vAlign w:val="center"/>
          </w:tcPr>
          <w:p>
            <w:pPr>
              <w:spacing w:line="300" w:lineRule="exact"/>
              <w:jc w:val="center"/>
              <w:rPr>
                <w:rFonts w:ascii="宋体" w:hAnsi="宋体"/>
                <w:bCs/>
                <w:szCs w:val="21"/>
                <w:highlight w:val="none"/>
              </w:rPr>
            </w:pPr>
            <w:r>
              <w:rPr>
                <w:rFonts w:ascii="宋体" w:hAnsi="宋体"/>
                <w:bCs/>
                <w:szCs w:val="21"/>
                <w:highlight w:val="none"/>
              </w:rPr>
              <w:t>数量</w:t>
            </w:r>
          </w:p>
        </w:tc>
        <w:tc>
          <w:tcPr>
            <w:tcW w:w="1276" w:type="dxa"/>
            <w:vAlign w:val="center"/>
          </w:tcPr>
          <w:p>
            <w:pPr>
              <w:spacing w:line="300" w:lineRule="exact"/>
              <w:jc w:val="center"/>
              <w:rPr>
                <w:rFonts w:ascii="宋体" w:hAnsi="宋体"/>
                <w:bCs/>
                <w:szCs w:val="21"/>
                <w:highlight w:val="none"/>
              </w:rPr>
            </w:pPr>
            <w:r>
              <w:rPr>
                <w:rFonts w:ascii="宋体" w:hAnsi="宋体"/>
                <w:bCs/>
                <w:szCs w:val="21"/>
                <w:highlight w:val="none"/>
              </w:rPr>
              <w:t>单价（元）</w:t>
            </w:r>
          </w:p>
        </w:tc>
        <w:tc>
          <w:tcPr>
            <w:tcW w:w="1186" w:type="dxa"/>
            <w:vAlign w:val="center"/>
          </w:tcPr>
          <w:p>
            <w:pPr>
              <w:spacing w:line="300" w:lineRule="exact"/>
              <w:jc w:val="center"/>
              <w:rPr>
                <w:rFonts w:ascii="宋体" w:hAnsi="宋体"/>
                <w:bCs/>
                <w:szCs w:val="21"/>
                <w:highlight w:val="none"/>
              </w:rPr>
            </w:pPr>
            <w:r>
              <w:rPr>
                <w:rFonts w:ascii="宋体" w:hAnsi="宋体"/>
                <w:bCs/>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944" w:type="dxa"/>
            <w:gridSpan w:val="8"/>
            <w:vAlign w:val="center"/>
          </w:tcPr>
          <w:p>
            <w:pPr>
              <w:spacing w:line="300" w:lineRule="exact"/>
              <w:jc w:val="center"/>
              <w:rPr>
                <w:rFonts w:ascii="宋体" w:hAnsi="宋体"/>
                <w:bCs/>
                <w:szCs w:val="21"/>
                <w:highlight w:val="none"/>
              </w:rPr>
            </w:pPr>
            <w:r>
              <w:rPr>
                <w:rFonts w:hint="eastAsia" w:cs="宋体" w:asciiTheme="majorEastAsia" w:hAnsiTheme="majorEastAsia" w:eastAsiaTheme="majorEastAsia"/>
                <w:b w:val="0"/>
                <w:bCs w:val="0"/>
                <w:kern w:val="0"/>
                <w:szCs w:val="21"/>
                <w:highlight w:val="none"/>
              </w:rPr>
              <w:t>系统部分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1</w:t>
            </w:r>
          </w:p>
        </w:tc>
        <w:tc>
          <w:tcPr>
            <w:tcW w:w="1950" w:type="dxa"/>
            <w:vAlign w:val="center"/>
          </w:tcPr>
          <w:p>
            <w:pPr>
              <w:widowControl/>
              <w:jc w:val="center"/>
              <w:rPr>
                <w:rFonts w:ascii="宋体" w:hAnsi="宋体"/>
                <w:szCs w:val="21"/>
                <w:highlight w:val="none"/>
                <w:lang w:val="en-GB"/>
              </w:rPr>
            </w:pPr>
          </w:p>
        </w:tc>
        <w:tc>
          <w:tcPr>
            <w:tcW w:w="1172" w:type="dxa"/>
            <w:vAlign w:val="center"/>
          </w:tcPr>
          <w:p>
            <w:pPr>
              <w:widowControl/>
              <w:spacing w:line="260" w:lineRule="exact"/>
              <w:jc w:val="center"/>
              <w:rPr>
                <w:rFonts w:ascii="宋体" w:hAnsi="宋体" w:cs="Arial"/>
                <w:b/>
                <w:highlight w:val="none"/>
              </w:rPr>
            </w:pPr>
          </w:p>
        </w:tc>
        <w:tc>
          <w:tcPr>
            <w:tcW w:w="1268" w:type="dxa"/>
            <w:vAlign w:val="center"/>
          </w:tcPr>
          <w:p>
            <w:pPr>
              <w:widowControl/>
              <w:spacing w:line="260" w:lineRule="exact"/>
              <w:jc w:val="center"/>
              <w:rPr>
                <w:rFonts w:ascii="宋体" w:hAnsi="宋体" w:cs="Arial"/>
                <w:b/>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hint="eastAsia" w:ascii="宋体" w:hAnsi="宋体" w:eastAsia="宋体" w:cs="Arial"/>
                <w:highlight w:val="none"/>
                <w:lang w:val="en-US" w:eastAsia="zh-CN"/>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2</w:t>
            </w:r>
          </w:p>
        </w:tc>
        <w:tc>
          <w:tcPr>
            <w:tcW w:w="1950" w:type="dxa"/>
            <w:vAlign w:val="center"/>
          </w:tcPr>
          <w:p>
            <w:pPr>
              <w:widowControl/>
              <w:jc w:val="center"/>
              <w:rPr>
                <w:rFonts w:ascii="宋体" w:hAnsi="宋体"/>
                <w:szCs w:val="21"/>
                <w:highlight w:val="none"/>
                <w:lang w:val="en-GB"/>
              </w:rPr>
            </w:pPr>
          </w:p>
        </w:tc>
        <w:tc>
          <w:tcPr>
            <w:tcW w:w="1172" w:type="dxa"/>
            <w:vAlign w:val="center"/>
          </w:tcPr>
          <w:p>
            <w:pPr>
              <w:widowControl/>
              <w:spacing w:line="260" w:lineRule="exact"/>
              <w:jc w:val="center"/>
              <w:rPr>
                <w:rFonts w:ascii="宋体" w:hAnsi="宋体" w:cs="Arial"/>
                <w:highlight w:val="none"/>
              </w:rPr>
            </w:pPr>
          </w:p>
        </w:tc>
        <w:tc>
          <w:tcPr>
            <w:tcW w:w="1268" w:type="dxa"/>
            <w:vAlign w:val="center"/>
          </w:tcPr>
          <w:p>
            <w:pPr>
              <w:widowControl/>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hint="eastAsia" w:ascii="宋体" w:hAnsi="宋体" w:eastAsia="宋体" w:cs="Arial"/>
                <w:highlight w:val="none"/>
                <w:lang w:val="en-US" w:eastAsia="zh-CN"/>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3</w:t>
            </w:r>
          </w:p>
        </w:tc>
        <w:tc>
          <w:tcPr>
            <w:tcW w:w="1950" w:type="dxa"/>
            <w:vAlign w:val="top"/>
          </w:tcPr>
          <w:p>
            <w:pPr>
              <w:widowControl/>
              <w:jc w:val="center"/>
              <w:rPr>
                <w:rFonts w:ascii="宋体" w:hAnsi="宋体"/>
                <w:szCs w:val="21"/>
                <w:highlight w:val="none"/>
                <w:lang w:val="en-GB"/>
              </w:rPr>
            </w:pPr>
          </w:p>
        </w:tc>
        <w:tc>
          <w:tcPr>
            <w:tcW w:w="1172" w:type="dxa"/>
            <w:vAlign w:val="center"/>
          </w:tcPr>
          <w:p>
            <w:pPr>
              <w:spacing w:line="260" w:lineRule="exact"/>
              <w:jc w:val="center"/>
              <w:rPr>
                <w:rFonts w:ascii="宋体" w:hAnsi="宋体" w:cs="Arial"/>
                <w:highlight w:val="none"/>
              </w:rPr>
            </w:pPr>
          </w:p>
        </w:tc>
        <w:tc>
          <w:tcPr>
            <w:tcW w:w="1268"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hint="eastAsia" w:ascii="宋体" w:hAnsi="宋体" w:eastAsia="宋体" w:cs="Arial"/>
                <w:highlight w:val="none"/>
                <w:lang w:val="en-US" w:eastAsia="zh-CN"/>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ascii="宋体" w:hAnsi="宋体"/>
                <w:caps/>
                <w:szCs w:val="21"/>
                <w:highlight w:val="none"/>
              </w:rPr>
            </w:pPr>
            <w:r>
              <w:rPr>
                <w:rFonts w:hint="eastAsia" w:ascii="宋体" w:hAnsi="宋体"/>
                <w:caps/>
                <w:szCs w:val="21"/>
                <w:highlight w:val="none"/>
              </w:rPr>
              <w:t>4</w:t>
            </w:r>
          </w:p>
        </w:tc>
        <w:tc>
          <w:tcPr>
            <w:tcW w:w="1950" w:type="dxa"/>
            <w:vAlign w:val="top"/>
          </w:tcPr>
          <w:p>
            <w:pPr>
              <w:widowControl/>
              <w:jc w:val="center"/>
              <w:rPr>
                <w:rFonts w:ascii="宋体" w:hAnsi="宋体"/>
                <w:szCs w:val="21"/>
                <w:highlight w:val="none"/>
                <w:lang w:val="en-GB"/>
              </w:rPr>
            </w:pPr>
          </w:p>
        </w:tc>
        <w:tc>
          <w:tcPr>
            <w:tcW w:w="1172" w:type="dxa"/>
            <w:vAlign w:val="center"/>
          </w:tcPr>
          <w:p>
            <w:pPr>
              <w:spacing w:line="260" w:lineRule="exact"/>
              <w:jc w:val="center"/>
              <w:rPr>
                <w:rFonts w:ascii="宋体" w:hAnsi="宋体" w:cs="Arial"/>
                <w:highlight w:val="none"/>
              </w:rPr>
            </w:pPr>
          </w:p>
        </w:tc>
        <w:tc>
          <w:tcPr>
            <w:tcW w:w="1268"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hint="eastAsia" w:ascii="宋体" w:hAnsi="宋体" w:eastAsia="宋体" w:cs="Arial"/>
                <w:highlight w:val="none"/>
                <w:lang w:val="en-US" w:eastAsia="zh-CN"/>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hint="default" w:ascii="宋体" w:hAnsi="宋体" w:eastAsia="宋体"/>
                <w:caps/>
                <w:szCs w:val="21"/>
                <w:highlight w:val="none"/>
                <w:lang w:val="en-US" w:eastAsia="zh-CN"/>
              </w:rPr>
            </w:pPr>
            <w:r>
              <w:rPr>
                <w:rFonts w:hint="eastAsia" w:ascii="宋体" w:hAnsi="宋体"/>
                <w:caps/>
                <w:szCs w:val="21"/>
                <w:highlight w:val="none"/>
                <w:lang w:val="en-US" w:eastAsia="zh-CN"/>
              </w:rPr>
              <w:t>...</w:t>
            </w:r>
          </w:p>
        </w:tc>
        <w:tc>
          <w:tcPr>
            <w:tcW w:w="1950" w:type="dxa"/>
            <w:vAlign w:val="top"/>
          </w:tcPr>
          <w:p>
            <w:pPr>
              <w:widowControl/>
              <w:jc w:val="center"/>
              <w:rPr>
                <w:rFonts w:ascii="宋体" w:hAnsi="宋体"/>
                <w:szCs w:val="21"/>
                <w:highlight w:val="none"/>
                <w:lang w:val="en-GB"/>
              </w:rPr>
            </w:pPr>
          </w:p>
        </w:tc>
        <w:tc>
          <w:tcPr>
            <w:tcW w:w="1172" w:type="dxa"/>
            <w:vAlign w:val="center"/>
          </w:tcPr>
          <w:p>
            <w:pPr>
              <w:spacing w:line="260" w:lineRule="exact"/>
              <w:jc w:val="center"/>
              <w:rPr>
                <w:rFonts w:ascii="宋体" w:hAnsi="宋体" w:cs="Arial"/>
                <w:highlight w:val="none"/>
              </w:rPr>
            </w:pPr>
          </w:p>
        </w:tc>
        <w:tc>
          <w:tcPr>
            <w:tcW w:w="1268"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hint="eastAsia" w:ascii="宋体" w:hAnsi="宋体" w:eastAsia="宋体" w:cs="Arial"/>
                <w:highlight w:val="none"/>
                <w:lang w:val="en-US" w:eastAsia="zh-CN"/>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18" w:type="dxa"/>
            <w:vAlign w:val="center"/>
          </w:tcPr>
          <w:p>
            <w:pPr>
              <w:spacing w:line="260" w:lineRule="exact"/>
              <w:jc w:val="center"/>
              <w:rPr>
                <w:rFonts w:hint="eastAsia" w:ascii="宋体" w:hAnsi="宋体"/>
                <w:caps/>
                <w:szCs w:val="21"/>
                <w:highlight w:val="none"/>
              </w:rPr>
            </w:pPr>
          </w:p>
        </w:tc>
        <w:tc>
          <w:tcPr>
            <w:tcW w:w="1950" w:type="dxa"/>
            <w:vAlign w:val="top"/>
          </w:tcPr>
          <w:p>
            <w:pPr>
              <w:widowControl/>
              <w:jc w:val="center"/>
              <w:rPr>
                <w:rFonts w:ascii="宋体" w:hAnsi="宋体"/>
                <w:szCs w:val="21"/>
                <w:highlight w:val="none"/>
                <w:lang w:val="en-GB"/>
              </w:rPr>
            </w:pPr>
          </w:p>
        </w:tc>
        <w:tc>
          <w:tcPr>
            <w:tcW w:w="1172" w:type="dxa"/>
            <w:vAlign w:val="center"/>
          </w:tcPr>
          <w:p>
            <w:pPr>
              <w:spacing w:line="260" w:lineRule="exact"/>
              <w:jc w:val="center"/>
              <w:rPr>
                <w:rFonts w:ascii="宋体" w:hAnsi="宋体" w:cs="Arial"/>
                <w:highlight w:val="none"/>
              </w:rPr>
            </w:pPr>
          </w:p>
        </w:tc>
        <w:tc>
          <w:tcPr>
            <w:tcW w:w="1268" w:type="dxa"/>
            <w:vAlign w:val="center"/>
          </w:tcPr>
          <w:p>
            <w:pPr>
              <w:spacing w:line="260" w:lineRule="exact"/>
              <w:jc w:val="center"/>
              <w:rPr>
                <w:rFonts w:ascii="宋体" w:hAnsi="宋体" w:cs="Arial"/>
                <w:highlight w:val="none"/>
              </w:rPr>
            </w:pPr>
          </w:p>
        </w:tc>
        <w:tc>
          <w:tcPr>
            <w:tcW w:w="665" w:type="dxa"/>
            <w:vAlign w:val="center"/>
          </w:tcPr>
          <w:p>
            <w:pPr>
              <w:widowControl/>
              <w:spacing w:line="260" w:lineRule="exact"/>
              <w:jc w:val="center"/>
              <w:rPr>
                <w:rFonts w:ascii="宋体" w:hAnsi="宋体" w:cs="Arial"/>
                <w:highlight w:val="none"/>
              </w:rPr>
            </w:pPr>
          </w:p>
        </w:tc>
        <w:tc>
          <w:tcPr>
            <w:tcW w:w="709" w:type="dxa"/>
            <w:vAlign w:val="center"/>
          </w:tcPr>
          <w:p>
            <w:pPr>
              <w:widowControl/>
              <w:spacing w:line="260" w:lineRule="exact"/>
              <w:jc w:val="center"/>
              <w:rPr>
                <w:rFonts w:ascii="宋体" w:hAnsi="宋体" w:cs="Arial"/>
                <w:highlight w:val="none"/>
              </w:rPr>
            </w:pPr>
          </w:p>
        </w:tc>
        <w:tc>
          <w:tcPr>
            <w:tcW w:w="1276" w:type="dxa"/>
            <w:vAlign w:val="center"/>
          </w:tcPr>
          <w:p>
            <w:pPr>
              <w:spacing w:line="260" w:lineRule="exact"/>
              <w:rPr>
                <w:rFonts w:ascii="宋体" w:hAnsi="宋体"/>
                <w:szCs w:val="21"/>
                <w:highlight w:val="none"/>
              </w:rPr>
            </w:pPr>
          </w:p>
        </w:tc>
        <w:tc>
          <w:tcPr>
            <w:tcW w:w="1186" w:type="dxa"/>
            <w:vAlign w:val="center"/>
          </w:tcPr>
          <w:p>
            <w:pPr>
              <w:spacing w:line="260" w:lineRule="exac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2" w:type="dxa"/>
            <w:gridSpan w:val="6"/>
            <w:vAlign w:val="center"/>
          </w:tcPr>
          <w:p>
            <w:pPr>
              <w:spacing w:line="300" w:lineRule="exact"/>
              <w:jc w:val="center"/>
              <w:rPr>
                <w:rFonts w:ascii="宋体" w:hAnsi="宋体"/>
                <w:szCs w:val="21"/>
                <w:highlight w:val="none"/>
              </w:rPr>
            </w:pPr>
            <w:r>
              <w:rPr>
                <w:rFonts w:hint="eastAsia" w:ascii="宋体" w:hAnsi="宋体"/>
                <w:szCs w:val="21"/>
                <w:highlight w:val="none"/>
              </w:rPr>
              <w:t>投标报价（元）</w:t>
            </w:r>
          </w:p>
        </w:tc>
        <w:tc>
          <w:tcPr>
            <w:tcW w:w="2462" w:type="dxa"/>
            <w:gridSpan w:val="2"/>
            <w:vAlign w:val="center"/>
          </w:tcPr>
          <w:p>
            <w:pPr>
              <w:spacing w:line="300" w:lineRule="exact"/>
              <w:jc w:val="left"/>
              <w:rPr>
                <w:rFonts w:ascii="宋体" w:hAnsi="宋体"/>
                <w:szCs w:val="21"/>
                <w:highlight w:val="none"/>
              </w:rPr>
            </w:pPr>
            <w:r>
              <w:rPr>
                <w:rFonts w:hint="eastAsia" w:ascii="宋体" w:hAnsi="宋体"/>
                <w:szCs w:val="21"/>
                <w:highlight w:val="none"/>
              </w:rPr>
              <w:t>小写：</w:t>
            </w:r>
          </w:p>
        </w:tc>
      </w:tr>
    </w:tbl>
    <w:p>
      <w:pPr>
        <w:snapToGrid w:val="0"/>
        <w:spacing w:before="50" w:after="50" w:line="360" w:lineRule="auto"/>
        <w:ind w:left="-23" w:leftChars="-11" w:right="27" w:rightChars="13" w:firstLine="21" w:firstLineChars="10"/>
        <w:rPr>
          <w:rFonts w:ascii="宋体" w:hAnsi="宋体" w:cs="宋体"/>
          <w:bCs/>
          <w:szCs w:val="21"/>
          <w:highlight w:val="none"/>
        </w:rPr>
      </w:pPr>
      <w:r>
        <w:rPr>
          <w:rFonts w:hint="eastAsia" w:ascii="宋体" w:hAnsi="宋体" w:cs="宋体"/>
          <w:bCs/>
          <w:szCs w:val="21"/>
          <w:highlight w:val="none"/>
        </w:rPr>
        <w:t>注：上述各项的详细分项报价及具体内容，可另页描述。</w:t>
      </w:r>
    </w:p>
    <w:p>
      <w:pPr>
        <w:spacing w:line="360" w:lineRule="auto"/>
        <w:rPr>
          <w:rFonts w:ascii="宋体" w:hAnsi="宋体" w:cs="宋体"/>
          <w:szCs w:val="21"/>
          <w:highlight w:val="none"/>
        </w:rPr>
      </w:pPr>
    </w:p>
    <w:p>
      <w:pPr>
        <w:snapToGrid w:val="0"/>
        <w:spacing w:line="360" w:lineRule="auto"/>
        <w:ind w:firstLine="3685" w:firstLineChars="1755"/>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___</w:t>
      </w:r>
      <w:r>
        <w:rPr>
          <w:rFonts w:hint="eastAsia" w:ascii="宋体" w:hAnsi="宋体"/>
          <w:szCs w:val="21"/>
          <w:highlight w:val="none"/>
          <w:u w:val="single"/>
        </w:rPr>
        <w:t xml:space="preserve">    （填写全称并加盖公章)</w:t>
      </w:r>
      <w:r>
        <w:rPr>
          <w:rFonts w:ascii="宋体" w:hAnsi="宋体"/>
          <w:szCs w:val="21"/>
          <w:highlight w:val="none"/>
          <w:u w:val="single"/>
        </w:rPr>
        <w:t>___________</w:t>
      </w:r>
    </w:p>
    <w:p>
      <w:pPr>
        <w:snapToGrid w:val="0"/>
        <w:spacing w:line="360" w:lineRule="auto"/>
        <w:ind w:firstLine="3685" w:firstLineChars="1755"/>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日  期：</w:t>
      </w:r>
    </w:p>
    <w:p>
      <w:pPr>
        <w:pStyle w:val="21"/>
        <w:spacing w:line="360" w:lineRule="auto"/>
        <w:ind w:left="0" w:leftChars="0"/>
        <w:jc w:val="both"/>
        <w:rPr>
          <w:rFonts w:cs="宋体" w:asciiTheme="majorEastAsia" w:hAnsiTheme="majorEastAsia" w:eastAsiaTheme="majorEastAsia"/>
          <w:b/>
          <w:sz w:val="21"/>
          <w:szCs w:val="21"/>
          <w:highlight w:val="none"/>
        </w:rPr>
      </w:pPr>
      <w:r>
        <w:rPr>
          <w:rFonts w:asciiTheme="majorEastAsia" w:hAnsiTheme="majorEastAsia" w:eastAsiaTheme="majorEastAsia"/>
          <w:b/>
          <w:szCs w:val="21"/>
          <w:highlight w:val="none"/>
        </w:rPr>
        <w:br w:type="page"/>
      </w:r>
      <w:r>
        <w:rPr>
          <w:rFonts w:hint="eastAsia" w:cs="宋体" w:asciiTheme="majorEastAsia" w:hAnsiTheme="majorEastAsia" w:eastAsiaTheme="majorEastAsia"/>
          <w:b/>
          <w:sz w:val="21"/>
          <w:szCs w:val="21"/>
          <w:highlight w:val="none"/>
        </w:rPr>
        <w:t>2）</w:t>
      </w:r>
      <w:r>
        <w:rPr>
          <w:rFonts w:cs="宋体" w:asciiTheme="majorEastAsia" w:hAnsiTheme="majorEastAsia" w:eastAsiaTheme="majorEastAsia"/>
          <w:b/>
          <w:sz w:val="21"/>
          <w:szCs w:val="21"/>
          <w:highlight w:val="none"/>
        </w:rPr>
        <w:t>中小企业声明函</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本公司郑重声明，根据《政府采购促进中小企业发展管理办法》（财库﹝2020﹞46号）的规定，本公司参加</w:t>
      </w:r>
      <w:r>
        <w:rPr>
          <w:rFonts w:asciiTheme="majorEastAsia" w:hAnsiTheme="majorEastAsia" w:eastAsiaTheme="majorEastAsia"/>
          <w:i/>
          <w:highlight w:val="none"/>
          <w:u w:val="single"/>
        </w:rPr>
        <w:t>（单位名称）</w:t>
      </w:r>
      <w:r>
        <w:rPr>
          <w:rFonts w:asciiTheme="majorEastAsia" w:hAnsiTheme="majorEastAsia" w:eastAsiaTheme="majorEastAsia"/>
          <w:highlight w:val="none"/>
        </w:rPr>
        <w:t>的</w:t>
      </w:r>
      <w:r>
        <w:rPr>
          <w:rFonts w:asciiTheme="majorEastAsia" w:hAnsiTheme="majorEastAsia" w:eastAsiaTheme="majorEastAsia"/>
          <w:i/>
          <w:highlight w:val="none"/>
          <w:u w:val="single"/>
        </w:rPr>
        <w:t>（项目名称）</w:t>
      </w:r>
      <w:r>
        <w:rPr>
          <w:rFonts w:asciiTheme="majorEastAsia" w:hAnsiTheme="majorEastAsia" w:eastAsiaTheme="majorEastAsia"/>
          <w:highlight w:val="none"/>
        </w:rPr>
        <w:t>采购活动，提供的货物全部由符合政策要求的中小企业制造。相关企业（含联合体中的中小企业、签订分包意向协议的中小企业）的具体情况如下：</w:t>
      </w:r>
    </w:p>
    <w:p>
      <w:pPr>
        <w:pStyle w:val="54"/>
        <w:rPr>
          <w:rFonts w:hint="eastAsia" w:eastAsiaTheme="majorEastAsia"/>
          <w:highlight w:val="none"/>
          <w:lang w:eastAsia="zh-CN"/>
        </w:rPr>
      </w:pPr>
      <w:r>
        <w:rPr>
          <w:rFonts w:hint="eastAsia" w:cs="宋体" w:asciiTheme="majorEastAsia" w:hAnsiTheme="majorEastAsia" w:eastAsiaTheme="majorEastAsia"/>
          <w:b/>
          <w:bCs/>
          <w:kern w:val="0"/>
          <w:szCs w:val="21"/>
          <w:highlight w:val="none"/>
        </w:rPr>
        <w:t>系统部分</w:t>
      </w:r>
      <w:r>
        <w:rPr>
          <w:rFonts w:hint="eastAsia" w:cs="宋体" w:asciiTheme="majorEastAsia" w:hAnsiTheme="majorEastAsia" w:eastAsiaTheme="majorEastAsia"/>
          <w:b/>
          <w:bCs/>
          <w:kern w:val="0"/>
          <w:szCs w:val="21"/>
          <w:highlight w:val="none"/>
          <w:lang w:eastAsia="zh-CN"/>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lang w:val="en-US" w:eastAsia="zh-CN"/>
        </w:rPr>
        <w:t>信源汇聚与分发服务系统，</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lang w:val="en-US" w:eastAsia="zh-CN"/>
        </w:rPr>
        <w:t>调度管理服务系统</w:t>
      </w:r>
      <w:r>
        <w:rPr>
          <w:rFonts w:ascii="宋体" w:hAnsi="宋体"/>
          <w:b/>
          <w:highlight w:val="none"/>
          <w:u w:val="single"/>
        </w:rPr>
        <w:t>，</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lang w:val="en-US" w:eastAsia="zh-CN"/>
        </w:rPr>
        <w:t>格式转换系统，</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9" w:firstLineChars="213"/>
        <w:jc w:val="left"/>
        <w:rPr>
          <w:rFonts w:asciiTheme="majorEastAsia" w:hAnsiTheme="majorEastAsia" w:eastAsiaTheme="majorEastAsia"/>
          <w:highlight w:val="none"/>
        </w:rPr>
      </w:pPr>
      <w:r>
        <w:rPr>
          <w:rFonts w:hint="eastAsia" w:ascii="宋体" w:hAnsi="宋体"/>
          <w:b/>
          <w:highlight w:val="none"/>
          <w:u w:val="single"/>
          <w:lang w:val="en-US" w:eastAsia="zh-CN"/>
        </w:rPr>
        <w:t>统一认证和网络安全，</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4"/>
        <w:rPr>
          <w:rFonts w:hint="eastAsia" w:cs="宋体" w:asciiTheme="majorEastAsia" w:hAnsiTheme="majorEastAsia" w:eastAsiaTheme="majorEastAsia"/>
          <w:b/>
          <w:bCs/>
          <w:kern w:val="0"/>
          <w:szCs w:val="21"/>
          <w:highlight w:val="none"/>
          <w:lang w:val="en-US" w:eastAsia="zh-CN"/>
        </w:rPr>
      </w:pPr>
      <w:r>
        <w:rPr>
          <w:rFonts w:hint="eastAsia" w:cs="宋体" w:asciiTheme="majorEastAsia" w:hAnsiTheme="majorEastAsia" w:eastAsiaTheme="majorEastAsia"/>
          <w:b/>
          <w:bCs/>
          <w:kern w:val="0"/>
          <w:szCs w:val="21"/>
          <w:highlight w:val="none"/>
          <w:lang w:val="en-US" w:eastAsia="zh-CN"/>
        </w:rPr>
        <w:t>其他设备：</w:t>
      </w:r>
    </w:p>
    <w:p>
      <w:pPr>
        <w:pStyle w:val="54"/>
        <w:ind w:firstLine="422" w:firstLineChars="200"/>
        <w:rPr>
          <w:rFonts w:asciiTheme="majorEastAsia" w:hAnsiTheme="majorEastAsia" w:eastAsiaTheme="majorEastAsia"/>
          <w:highlight w:val="none"/>
        </w:rPr>
      </w:pPr>
      <w:r>
        <w:rPr>
          <w:rFonts w:hint="eastAsia" w:ascii="宋体" w:hAnsi="宋体"/>
          <w:b/>
          <w:highlight w:val="none"/>
          <w:u w:val="single"/>
        </w:rPr>
        <w:t>控制终端</w:t>
      </w:r>
      <w:r>
        <w:rPr>
          <w:rFonts w:hint="eastAsia" w:ascii="宋体" w:hAnsi="宋体"/>
          <w:b/>
          <w:highlight w:val="none"/>
          <w:u w:val="single"/>
          <w:lang w:val="en-US" w:eastAsia="zh-CN"/>
        </w:rPr>
        <w:t>，</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4"/>
        <w:ind w:firstLine="422" w:firstLineChars="200"/>
        <w:rPr>
          <w:rFonts w:asciiTheme="majorEastAsia" w:hAnsiTheme="majorEastAsia" w:eastAsiaTheme="majorEastAsia"/>
          <w:highlight w:val="none"/>
        </w:rPr>
      </w:pPr>
      <w:r>
        <w:rPr>
          <w:rFonts w:hint="eastAsia" w:ascii="宋体" w:hAnsi="宋体"/>
          <w:b/>
          <w:highlight w:val="none"/>
          <w:u w:val="single"/>
        </w:rPr>
        <w:t>交换</w:t>
      </w:r>
      <w:r>
        <w:rPr>
          <w:rFonts w:hint="eastAsia" w:ascii="宋体" w:hAnsi="宋体"/>
          <w:b/>
          <w:highlight w:val="none"/>
          <w:u w:val="single"/>
          <w:lang w:val="en-US" w:eastAsia="zh-CN"/>
        </w:rPr>
        <w:t>单元，</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4"/>
        <w:ind w:firstLine="422" w:firstLineChars="200"/>
        <w:rPr>
          <w:rFonts w:asciiTheme="majorEastAsia" w:hAnsiTheme="majorEastAsia" w:eastAsiaTheme="majorEastAsia"/>
          <w:highlight w:val="none"/>
        </w:rPr>
      </w:pPr>
      <w:r>
        <w:rPr>
          <w:rFonts w:hint="eastAsia" w:ascii="宋体" w:hAnsi="宋体"/>
          <w:b/>
          <w:highlight w:val="none"/>
          <w:u w:val="single"/>
        </w:rPr>
        <w:t>KVM设备</w:t>
      </w:r>
      <w:r>
        <w:rPr>
          <w:rFonts w:hint="eastAsia" w:ascii="宋体" w:hAnsi="宋体"/>
          <w:b/>
          <w:highlight w:val="none"/>
          <w:u w:val="single"/>
          <w:lang w:val="en-US" w:eastAsia="zh-CN"/>
        </w:rPr>
        <w:t>，</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pStyle w:val="54"/>
        <w:ind w:firstLine="422" w:firstLineChars="200"/>
        <w:rPr>
          <w:rFonts w:hint="eastAsia" w:asciiTheme="majorEastAsia" w:hAnsiTheme="majorEastAsia" w:eastAsiaTheme="majorEastAsia"/>
          <w:highlight w:val="none"/>
          <w:lang w:val="en-US" w:eastAsia="zh-CN"/>
        </w:rPr>
      </w:pPr>
      <w:r>
        <w:rPr>
          <w:rFonts w:hint="eastAsia" w:ascii="宋体" w:hAnsi="宋体"/>
          <w:b/>
          <w:highlight w:val="none"/>
          <w:u w:val="single"/>
        </w:rPr>
        <w:t>机柜</w:t>
      </w:r>
      <w:r>
        <w:rPr>
          <w:rFonts w:hint="eastAsia" w:ascii="宋体" w:hAnsi="宋体"/>
          <w:b/>
          <w:highlight w:val="none"/>
          <w:u w:val="single"/>
          <w:lang w:val="en-US" w:eastAsia="zh-CN"/>
        </w:rPr>
        <w:t>，</w:t>
      </w:r>
      <w:r>
        <w:rPr>
          <w:rFonts w:asciiTheme="majorEastAsia" w:hAnsiTheme="majorEastAsia" w:eastAsiaTheme="majorEastAsia"/>
          <w:highlight w:val="none"/>
        </w:rPr>
        <w:t>属于</w:t>
      </w:r>
      <w:r>
        <w:rPr>
          <w:rFonts w:ascii="宋体" w:hAnsi="宋体"/>
          <w:b/>
          <w:highlight w:val="none"/>
          <w:u w:val="single"/>
        </w:rPr>
        <w:t>工</w:t>
      </w:r>
      <w:r>
        <w:rPr>
          <w:rFonts w:hint="eastAsia" w:ascii="宋体" w:hAnsi="宋体"/>
          <w:b/>
          <w:highlight w:val="none"/>
          <w:u w:val="single"/>
        </w:rPr>
        <w:t>业</w:t>
      </w:r>
      <w:r>
        <w:rPr>
          <w:rFonts w:asciiTheme="majorEastAsia" w:hAnsiTheme="majorEastAsia" w:eastAsiaTheme="majorEastAsia"/>
          <w:highlight w:val="none"/>
        </w:rPr>
        <w:t>；投标人为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；制造商为</w:t>
      </w:r>
      <w:r>
        <w:rPr>
          <w:rFonts w:asciiTheme="majorEastAsia" w:hAnsiTheme="majorEastAsia" w:eastAsiaTheme="majorEastAsia"/>
          <w:i/>
          <w:highlight w:val="none"/>
          <w:u w:val="single"/>
        </w:rPr>
        <w:t>（企业名称）</w:t>
      </w:r>
      <w:r>
        <w:rPr>
          <w:rFonts w:asciiTheme="majorEastAsia" w:hAnsiTheme="majorEastAsia" w:eastAsiaTheme="majorEastAsia"/>
          <w:highlight w:val="none"/>
        </w:rPr>
        <w:t>，从业人员</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人，营业收入为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万元，资产总额为</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rPr>
        <w:t>万元，属于</w:t>
      </w:r>
      <w:r>
        <w:rPr>
          <w:rFonts w:asciiTheme="majorEastAsia" w:hAnsiTheme="majorEastAsia" w:eastAsiaTheme="majorEastAsia"/>
          <w:i/>
          <w:highlight w:val="none"/>
          <w:u w:val="single"/>
        </w:rPr>
        <w:t>（中型企业、小型企业、微型企业）</w:t>
      </w:r>
      <w:r>
        <w:rPr>
          <w:rFonts w:asciiTheme="majorEastAsia" w:hAnsiTheme="majorEastAsia" w:eastAsiaTheme="majorEastAsia"/>
          <w:highlight w:val="none"/>
        </w:rPr>
        <w:t>；</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以上企业，不属于大企业的分支机构，不存在控股股东为大企业的情形，也不存在与大企业的负责人为同一人的情形。</w:t>
      </w:r>
    </w:p>
    <w:p>
      <w:pPr>
        <w:snapToGrid w:val="0"/>
        <w:spacing w:line="360" w:lineRule="auto"/>
        <w:ind w:left="-23" w:leftChars="-11" w:right="-214" w:rightChars="-102" w:firstLine="447" w:firstLineChars="213"/>
        <w:jc w:val="left"/>
        <w:rPr>
          <w:rFonts w:asciiTheme="majorEastAsia" w:hAnsiTheme="majorEastAsia" w:eastAsiaTheme="majorEastAsia"/>
          <w:highlight w:val="none"/>
        </w:rPr>
      </w:pPr>
      <w:r>
        <w:rPr>
          <w:rFonts w:asciiTheme="majorEastAsia" w:hAnsiTheme="majorEastAsia" w:eastAsiaTheme="majorEastAsia"/>
          <w:highlight w:val="none"/>
        </w:rPr>
        <w:t>本企业对上述声明内容的真实性负责。如有虚假，将依法承担相应责任。</w:t>
      </w:r>
    </w:p>
    <w:p>
      <w:pPr>
        <w:snapToGrid w:val="0"/>
        <w:spacing w:line="360" w:lineRule="auto"/>
        <w:ind w:left="-23" w:leftChars="-11" w:right="-214" w:rightChars="-102" w:firstLine="4416" w:firstLineChars="2103"/>
        <w:jc w:val="left"/>
        <w:rPr>
          <w:rFonts w:asciiTheme="majorEastAsia" w:hAnsiTheme="majorEastAsia" w:eastAsiaTheme="majorEastAsia"/>
          <w:highlight w:val="none"/>
        </w:rPr>
      </w:pPr>
    </w:p>
    <w:p>
      <w:pPr>
        <w:snapToGrid w:val="0"/>
        <w:spacing w:line="360" w:lineRule="auto"/>
        <w:ind w:left="-23" w:leftChars="-11" w:right="-214" w:rightChars="-102" w:firstLine="4416" w:firstLineChars="2103"/>
        <w:jc w:val="left"/>
        <w:rPr>
          <w:rFonts w:asciiTheme="majorEastAsia" w:hAnsiTheme="majorEastAsia" w:eastAsiaTheme="majorEastAsia"/>
          <w:highlight w:val="none"/>
        </w:rPr>
      </w:pPr>
    </w:p>
    <w:p>
      <w:pPr>
        <w:snapToGrid w:val="0"/>
        <w:spacing w:line="360" w:lineRule="auto"/>
        <w:ind w:left="-23" w:leftChars="-11" w:right="-214" w:rightChars="-102" w:firstLine="4416" w:firstLineChars="2103"/>
        <w:jc w:val="left"/>
        <w:rPr>
          <w:rFonts w:asciiTheme="majorEastAsia" w:hAnsiTheme="majorEastAsia" w:eastAsiaTheme="majorEastAsia"/>
          <w:highlight w:val="none"/>
        </w:rPr>
      </w:pPr>
      <w:r>
        <w:rPr>
          <w:rFonts w:asciiTheme="majorEastAsia" w:hAnsiTheme="majorEastAsia" w:eastAsiaTheme="majorEastAsia"/>
          <w:highlight w:val="none"/>
        </w:rPr>
        <w:t>企业名称（盖章）：</w:t>
      </w:r>
    </w:p>
    <w:p>
      <w:pPr>
        <w:snapToGrid w:val="0"/>
        <w:spacing w:before="50" w:after="50" w:line="360" w:lineRule="auto"/>
        <w:ind w:left="-23" w:leftChars="-11" w:right="-214" w:rightChars="-102" w:firstLine="447" w:firstLineChars="213"/>
        <w:jc w:val="left"/>
        <w:rPr>
          <w:rFonts w:asciiTheme="majorEastAsia" w:hAnsiTheme="majorEastAsia" w:eastAsiaTheme="majorEastAsia"/>
          <w:highlight w:val="none"/>
        </w:rPr>
      </w:pP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填写说明：</w:t>
      </w:r>
    </w:p>
    <w:p>
      <w:pPr>
        <w:snapToGrid w:val="0"/>
        <w:spacing w:before="50" w:after="50" w:line="360" w:lineRule="auto"/>
        <w:ind w:right="-214" w:rightChars="-102"/>
        <w:jc w:val="left"/>
        <w:rPr>
          <w:rFonts w:asciiTheme="majorEastAsia" w:hAnsiTheme="majorEastAsia" w:eastAsiaTheme="majorEastAsia"/>
          <w:b/>
          <w:highlight w:val="none"/>
        </w:rPr>
      </w:pPr>
      <w:r>
        <w:rPr>
          <w:rFonts w:hint="eastAsia" w:asciiTheme="majorEastAsia" w:hAnsiTheme="majorEastAsia" w:eastAsiaTheme="majorEastAsia"/>
          <w:b/>
          <w:highlight w:val="none"/>
        </w:rPr>
        <w:t>1.从业人员、营业收入、资产总额填报上一年度数据，无上一年度数据的新成立企业可不填报。</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2.投标人应当对其出具的《中小企业声明函》真实性负责，出具的《中小企业声明函》内容不实的，属于提供虚假材料。</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3.事业单位不属于企业不应提交本声明函，其他组织形式的供应商参与本项目并提交本声明函前请仔细阅读相关政策文件。</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4.投标人不得修改声明函中加粗的文字。</w:t>
      </w:r>
    </w:p>
    <w:p>
      <w:pPr>
        <w:snapToGrid w:val="0"/>
        <w:spacing w:before="50" w:after="50" w:line="360" w:lineRule="auto"/>
        <w:ind w:left="-23" w:leftChars="-11" w:right="-214" w:rightChars="-102" w:firstLine="21" w:firstLineChars="10"/>
        <w:jc w:val="left"/>
        <w:rPr>
          <w:rFonts w:asciiTheme="majorEastAsia" w:hAnsiTheme="majorEastAsia" w:eastAsiaTheme="majorEastAsia"/>
          <w:b/>
          <w:highlight w:val="none"/>
        </w:rPr>
      </w:pPr>
      <w:r>
        <w:rPr>
          <w:rFonts w:hint="eastAsia" w:asciiTheme="majorEastAsia" w:hAnsiTheme="majorEastAsia" w:eastAsiaTheme="majorEastAsia"/>
          <w:b/>
          <w:highlight w:val="none"/>
        </w:rPr>
        <w:t>5.</w:t>
      </w:r>
      <w:r>
        <w:rPr>
          <w:rFonts w:hint="eastAsia" w:ascii="微软雅黑" w:hAnsi="微软雅黑" w:eastAsia="微软雅黑" w:cs="宋体"/>
          <w:kern w:val="0"/>
          <w:sz w:val="24"/>
          <w:highlight w:val="none"/>
        </w:rPr>
        <w:t xml:space="preserve"> </w:t>
      </w:r>
      <w:r>
        <w:rPr>
          <w:rFonts w:hint="eastAsia" w:ascii="宋体" w:hAnsi="宋体"/>
          <w:b/>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ajorEastAsia" w:hAnsiTheme="majorEastAsia" w:eastAsiaTheme="majorEastAsia"/>
          <w:b/>
          <w:highlight w:val="none"/>
        </w:rPr>
        <w:br w:type="page"/>
      </w:r>
    </w:p>
    <w:p>
      <w:pPr>
        <w:pStyle w:val="21"/>
        <w:spacing w:line="360" w:lineRule="auto"/>
        <w:ind w:left="0" w:leftChars="0"/>
        <w:jc w:val="center"/>
        <w:rPr>
          <w:rFonts w:asciiTheme="majorEastAsia" w:hAnsiTheme="majorEastAsia" w:eastAsiaTheme="majorEastAsia"/>
          <w:b/>
          <w:spacing w:val="6"/>
          <w:szCs w:val="21"/>
          <w:highlight w:val="none"/>
        </w:rPr>
      </w:pPr>
      <w:bookmarkStart w:id="39" w:name="OLE_LINK14"/>
      <w:bookmarkStart w:id="40" w:name="OLE_LINK13"/>
      <w:r>
        <w:rPr>
          <w:rFonts w:hint="eastAsia" w:cs="宋体" w:asciiTheme="majorEastAsia" w:hAnsiTheme="majorEastAsia" w:eastAsiaTheme="majorEastAsia"/>
          <w:b/>
          <w:sz w:val="21"/>
          <w:szCs w:val="21"/>
          <w:highlight w:val="none"/>
        </w:rPr>
        <w:t>3）残疾人福利性单位声明函</w:t>
      </w:r>
      <w:bookmarkEnd w:id="39"/>
      <w:bookmarkEnd w:id="40"/>
    </w:p>
    <w:p>
      <w:pPr>
        <w:spacing w:line="360" w:lineRule="auto"/>
        <w:ind w:firstLine="444" w:firstLineChars="200"/>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本单位郑重声明，根据《财政部 民政部 中国残疾人联合会关于促进残疾人就业政府采购政策的通知》（财库</w:t>
      </w:r>
      <w:r>
        <w:rPr>
          <w:rFonts w:hint="eastAsia" w:asciiTheme="majorEastAsia" w:hAnsiTheme="majorEastAsia" w:eastAsiaTheme="majorEastAsia"/>
          <w:highlight w:val="none"/>
        </w:rPr>
        <w:t>〔2017〕 141</w:t>
      </w:r>
      <w:r>
        <w:rPr>
          <w:rFonts w:hint="eastAsia" w:asciiTheme="majorEastAsia" w:hAnsiTheme="majorEastAsia" w:eastAsiaTheme="majorEastAsia"/>
          <w:spacing w:val="6"/>
          <w:highlight w:val="none"/>
        </w:rPr>
        <w:t>号）的规定，本单位为符合条件的残疾人福利性单位，且本单位参加</w:t>
      </w:r>
      <w:r>
        <w:rPr>
          <w:rFonts w:hint="eastAsia" w:asciiTheme="majorEastAsia" w:hAnsiTheme="majorEastAsia" w:eastAsiaTheme="majorEastAsia"/>
          <w:spacing w:val="6"/>
          <w:highlight w:val="none"/>
          <w:u w:val="single"/>
        </w:rPr>
        <w:t xml:space="preserve"> </w:t>
      </w:r>
      <w:r>
        <w:rPr>
          <w:rFonts w:hint="eastAsia" w:asciiTheme="majorEastAsia" w:hAnsiTheme="majorEastAsia" w:eastAsiaTheme="majorEastAsia"/>
          <w:spacing w:val="6"/>
          <w:highlight w:val="none"/>
          <w:u w:val="single"/>
          <w:lang w:eastAsia="zh-CN"/>
        </w:rPr>
        <w:t>宁波广播电视集团</w:t>
      </w:r>
      <w:r>
        <w:rPr>
          <w:rFonts w:hint="eastAsia" w:asciiTheme="majorEastAsia" w:hAnsiTheme="majorEastAsia" w:eastAsiaTheme="majorEastAsia"/>
          <w:spacing w:val="6"/>
          <w:highlight w:val="none"/>
          <w:u w:val="single"/>
        </w:rPr>
        <w:t xml:space="preserve"> </w:t>
      </w:r>
      <w:r>
        <w:rPr>
          <w:rFonts w:hint="eastAsia" w:asciiTheme="majorEastAsia" w:hAnsiTheme="majorEastAsia" w:eastAsiaTheme="majorEastAsia"/>
          <w:spacing w:val="6"/>
          <w:highlight w:val="none"/>
        </w:rPr>
        <w:t>单位的</w:t>
      </w:r>
      <w:r>
        <w:rPr>
          <w:rFonts w:hint="eastAsia" w:asciiTheme="majorEastAsia" w:hAnsiTheme="majorEastAsia" w:eastAsiaTheme="majorEastAsia"/>
          <w:spacing w:val="6"/>
          <w:highlight w:val="none"/>
          <w:u w:val="single"/>
        </w:rPr>
        <w:t xml:space="preserve">          项目</w:t>
      </w:r>
      <w:r>
        <w:rPr>
          <w:rFonts w:hint="eastAsia" w:asciiTheme="majorEastAsia" w:hAnsiTheme="majorEastAsia" w:eastAsiaTheme="majorEastAsia"/>
          <w:spacing w:val="6"/>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本单位对上述声明的真实性负责。如有虚假，将依法承担相应责任。</w:t>
      </w:r>
    </w:p>
    <w:p>
      <w:pPr>
        <w:spacing w:line="360" w:lineRule="auto"/>
        <w:ind w:firstLine="444" w:firstLineChars="200"/>
        <w:rPr>
          <w:rFonts w:asciiTheme="majorEastAsia" w:hAnsiTheme="majorEastAsia" w:eastAsiaTheme="majorEastAsia"/>
          <w:spacing w:val="6"/>
          <w:highlight w:val="none"/>
        </w:rPr>
      </w:pPr>
    </w:p>
    <w:p>
      <w:pPr>
        <w:spacing w:line="360" w:lineRule="auto"/>
        <w:ind w:firstLine="444" w:firstLineChars="200"/>
        <w:rPr>
          <w:rFonts w:asciiTheme="majorEastAsia" w:hAnsiTheme="majorEastAsia" w:eastAsiaTheme="majorEastAsia"/>
          <w:spacing w:val="6"/>
          <w:highlight w:val="none"/>
        </w:rPr>
      </w:pPr>
    </w:p>
    <w:p>
      <w:pPr>
        <w:tabs>
          <w:tab w:val="left" w:pos="4860"/>
        </w:tabs>
        <w:spacing w:line="360" w:lineRule="auto"/>
        <w:ind w:right="1560" w:firstLine="444" w:firstLineChars="200"/>
        <w:jc w:val="center"/>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单位名称（盖章）：</w:t>
      </w:r>
    </w:p>
    <w:p>
      <w:pPr>
        <w:tabs>
          <w:tab w:val="left" w:pos="4860"/>
        </w:tabs>
        <w:spacing w:line="360" w:lineRule="auto"/>
        <w:ind w:right="1560" w:firstLine="444" w:firstLineChars="200"/>
        <w:jc w:val="center"/>
        <w:rPr>
          <w:rFonts w:asciiTheme="majorEastAsia" w:hAnsiTheme="majorEastAsia" w:eastAsiaTheme="majorEastAsia"/>
          <w:spacing w:val="6"/>
          <w:highlight w:val="none"/>
        </w:rPr>
      </w:pPr>
      <w:r>
        <w:rPr>
          <w:rFonts w:hint="eastAsia" w:asciiTheme="majorEastAsia" w:hAnsiTheme="majorEastAsia" w:eastAsiaTheme="majorEastAsia"/>
          <w:spacing w:val="6"/>
          <w:highlight w:val="none"/>
        </w:rPr>
        <w:t>日  期：</w:t>
      </w:r>
    </w:p>
    <w:p>
      <w:pPr>
        <w:pStyle w:val="21"/>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1"/>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1"/>
        <w:snapToGrid w:val="0"/>
        <w:spacing w:line="360" w:lineRule="auto"/>
        <w:ind w:firstLine="437" w:firstLineChars="196"/>
        <w:rPr>
          <w:rFonts w:cs="宋体" w:asciiTheme="majorEastAsia" w:hAnsiTheme="majorEastAsia" w:eastAsiaTheme="majorEastAsia"/>
          <w:b/>
          <w:spacing w:val="6"/>
          <w:sz w:val="21"/>
          <w:szCs w:val="21"/>
          <w:highlight w:val="none"/>
        </w:rPr>
      </w:pPr>
    </w:p>
    <w:p>
      <w:pPr>
        <w:pStyle w:val="21"/>
        <w:snapToGrid w:val="0"/>
        <w:spacing w:line="360" w:lineRule="auto"/>
        <w:ind w:firstLine="437" w:firstLineChars="196"/>
        <w:rPr>
          <w:rFonts w:cs="宋体" w:asciiTheme="majorEastAsia" w:hAnsiTheme="majorEastAsia" w:eastAsiaTheme="majorEastAsia"/>
          <w:b/>
          <w:spacing w:val="6"/>
          <w:sz w:val="21"/>
          <w:szCs w:val="21"/>
          <w:highlight w:val="none"/>
        </w:rPr>
      </w:pPr>
    </w:p>
    <w:p>
      <w:pPr>
        <w:spacing w:line="360" w:lineRule="auto"/>
        <w:rPr>
          <w:rFonts w:asciiTheme="majorEastAsia" w:hAnsiTheme="majorEastAsia" w:eastAsiaTheme="majorEastAsia"/>
          <w:b/>
          <w:szCs w:val="21"/>
          <w:highlight w:val="none"/>
        </w:rPr>
      </w:pPr>
    </w:p>
    <w:p>
      <w:pPr>
        <w:rPr>
          <w:rFonts w:asciiTheme="majorEastAsia" w:hAnsiTheme="majorEastAsia" w:eastAsiaTheme="majorEastAsia"/>
          <w:b/>
          <w:highlight w:val="none"/>
        </w:rPr>
      </w:pPr>
      <w:r>
        <w:rPr>
          <w:rFonts w:hint="eastAsia" w:cs="宋体" w:asciiTheme="majorEastAsia" w:hAnsiTheme="majorEastAsia" w:eastAsiaTheme="majorEastAsia"/>
          <w:b/>
          <w:sz w:val="21"/>
          <w:szCs w:val="21"/>
          <w:highlight w:val="none"/>
        </w:rPr>
        <w:t>说明：投标人不属于残疾人福利性单位无需且不应当提供本声明函，否则自行承担相应的责任。</w:t>
      </w:r>
    </w:p>
    <w:sectPr>
      <w:footerReference r:id="rId11" w:type="default"/>
      <w:pgSz w:w="11906" w:h="16838"/>
      <w:pgMar w:top="1276" w:right="1440" w:bottom="1276" w:left="1610"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華康辦公用具篇">
    <w:altName w:val="Times New Roman"/>
    <w:panose1 w:val="00000000000000000000"/>
    <w:charset w:val="00"/>
    <w:family w:val="roman"/>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仿宋_GB2312">
    <w:altName w:val="@仿宋"/>
    <w:panose1 w:val="00000000000000000000"/>
    <w:charset w:val="86"/>
    <w:family w:val="moder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0087995"/>
                          </w:sdtPr>
                          <w:sdtContent>
                            <w:p>
                              <w:pPr>
                                <w:pStyle w:val="29"/>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FsHfRLUAQAApQMAAA4AAAAAAAAAAQAgAAAAHgEA&#10;AGRycy9lMm9Eb2MueG1sUEsFBgAAAAAGAAYAWQEAAGQFAAAAAA==&#10;">
              <v:fill on="f" focussize="0,0"/>
              <v:stroke on="f"/>
              <v:imagedata o:title=""/>
              <o:lock v:ext="edit" aspectratio="f"/>
              <v:textbox inset="0mm,0mm,0mm,0mm" style="mso-fit-shape-to-text:t;">
                <w:txbxContent>
                  <w:sdt>
                    <w:sdtPr>
                      <w:id w:val="10087995"/>
                    </w:sdtPr>
                    <w:sdtContent>
                      <w:p>
                        <w:pPr>
                          <w:pStyle w:val="29"/>
                          <w:jc w:val="center"/>
                        </w:pPr>
                        <w:r>
                          <w:fldChar w:fldCharType="begin"/>
                        </w:r>
                        <w:r>
                          <w:instrText xml:space="preserve"> PAGE   \* MERGEFORMAT </w:instrText>
                        </w:r>
                        <w:r>
                          <w:fldChar w:fldCharType="separate"/>
                        </w:r>
                        <w:r>
                          <w:rPr>
                            <w:lang w:val="zh-CN"/>
                          </w:rPr>
                          <w:t>39</w:t>
                        </w:r>
                        <w:r>
                          <w:rPr>
                            <w:lang w:val="zh-CN"/>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gvqYn9MBAAClAwAADgAAAAAAAAABACAAAAAeAQAA&#10;ZHJzL2Uyb0RvYy54bWxQSwUGAAAAAAYABgBZAQAAYw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8"/>
      </w:rPr>
    </w:pPr>
    <w:r>
      <w:fldChar w:fldCharType="begin"/>
    </w:r>
    <w:r>
      <w:rPr>
        <w:rStyle w:val="48"/>
      </w:rPr>
      <w:instrText xml:space="preserve">PAGE  </w:instrText>
    </w:r>
    <w:r>
      <w:fldChar w:fldCharType="end"/>
    </w:r>
  </w:p>
  <w:p>
    <w:pPr>
      <w:pStyle w:val="2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eg6vbUAQAApQMAAA4AAAAAAAAAAQAgAAAAHgEA&#10;AGRycy9lMm9Eb2MueG1sUEsFBgAAAAAGAAYAWQEAAGQFAAAAAA==&#10;">
              <v:fill on="f" focussize="0,0"/>
              <v:stroke on="f"/>
              <v:imagedata o:title=""/>
              <o:lock v:ext="edit" aspectratio="f"/>
              <v:textbox inset="0mm,0mm,0mm,0mm" style="mso-fit-shape-to-text:t;">
                <w:txbxContent>
                  <w:p>
                    <w:pPr>
                      <w:pStyle w:val="29"/>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pPr>
      <w:pStyle w:val="397"/>
      <w:ind w:right="680"/>
      <w:jc w:val="both"/>
      <w:rPr>
        <w:rStyle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jc w:val="center"/>
                          </w:pPr>
                          <w:r>
                            <w:fldChar w:fldCharType="begin"/>
                          </w:r>
                          <w:r>
                            <w:instrText xml:space="preserve"> PAGE   \* MERGEFORMAT </w:instrText>
                          </w:r>
                          <w:r>
                            <w:fldChar w:fldCharType="separate"/>
                          </w:r>
                          <w:r>
                            <w:rPr>
                              <w:lang w:val="zh-CN"/>
                            </w:rPr>
                            <w:t>5</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728ibUAQAApQMAAA4AAAAAAAAAAQAgAAAAHgEA&#10;AGRycy9lMm9Eb2MueG1sUEsFBgAAAAAGAAYAWQEAAGQFAAAAAA==&#10;">
              <v:fill on="f" focussize="0,0"/>
              <v:stroke on="f"/>
              <v:imagedata o:title=""/>
              <o:lock v:ext="edit" aspectratio="f"/>
              <v:textbox inset="0mm,0mm,0mm,0mm" style="mso-fit-shape-to-text:t;">
                <w:txbxContent>
                  <w:p>
                    <w:pPr>
                      <w:pStyle w:val="29"/>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p>
    <w:pPr>
      <w:pStyle w:val="397"/>
      <w:ind w:right="680"/>
      <w:jc w:val="both"/>
      <w:rPr>
        <w:rStyle w:val="4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581A"/>
    <w:multiLevelType w:val="singleLevel"/>
    <w:tmpl w:val="827C581A"/>
    <w:lvl w:ilvl="0" w:tentative="0">
      <w:start w:val="6"/>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13"/>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14F0BE31"/>
    <w:multiLevelType w:val="singleLevel"/>
    <w:tmpl w:val="14F0BE31"/>
    <w:lvl w:ilvl="0" w:tentative="0">
      <w:start w:val="6"/>
      <w:numFmt w:val="decimal"/>
      <w:suff w:val="nothing"/>
      <w:lvlText w:val="%1）"/>
      <w:lvlJc w:val="left"/>
    </w:lvl>
  </w:abstractNum>
  <w:abstractNum w:abstractNumId="3">
    <w:nsid w:val="208E3671"/>
    <w:multiLevelType w:val="singleLevel"/>
    <w:tmpl w:val="208E3671"/>
    <w:lvl w:ilvl="0" w:tentative="0">
      <w:start w:val="1"/>
      <w:numFmt w:val="bullet"/>
      <w:lvlText w:val=""/>
      <w:lvlJc w:val="left"/>
      <w:pPr>
        <w:ind w:left="42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OWUwNTlmNzJmZmQxMjMxZDIzNzVhOGMyYWY0M2EifQ=="/>
  </w:docVars>
  <w:rsids>
    <w:rsidRoot w:val="003E2D88"/>
    <w:rsid w:val="000019F8"/>
    <w:rsid w:val="000036E1"/>
    <w:rsid w:val="00004BCB"/>
    <w:rsid w:val="00005489"/>
    <w:rsid w:val="00005F00"/>
    <w:rsid w:val="00005F49"/>
    <w:rsid w:val="00007484"/>
    <w:rsid w:val="0001041F"/>
    <w:rsid w:val="00010A88"/>
    <w:rsid w:val="00010BE9"/>
    <w:rsid w:val="00010E02"/>
    <w:rsid w:val="00011796"/>
    <w:rsid w:val="0001181A"/>
    <w:rsid w:val="0001278C"/>
    <w:rsid w:val="00012AAB"/>
    <w:rsid w:val="00012BD8"/>
    <w:rsid w:val="00013295"/>
    <w:rsid w:val="00013641"/>
    <w:rsid w:val="00014331"/>
    <w:rsid w:val="0001460A"/>
    <w:rsid w:val="00016639"/>
    <w:rsid w:val="00016976"/>
    <w:rsid w:val="00016D6A"/>
    <w:rsid w:val="000171CD"/>
    <w:rsid w:val="00017683"/>
    <w:rsid w:val="0001783E"/>
    <w:rsid w:val="00017E03"/>
    <w:rsid w:val="00020261"/>
    <w:rsid w:val="00020649"/>
    <w:rsid w:val="000210F3"/>
    <w:rsid w:val="000227D3"/>
    <w:rsid w:val="00022B6E"/>
    <w:rsid w:val="0002338A"/>
    <w:rsid w:val="0002554D"/>
    <w:rsid w:val="0002586E"/>
    <w:rsid w:val="0002731E"/>
    <w:rsid w:val="000314AF"/>
    <w:rsid w:val="00032C55"/>
    <w:rsid w:val="00034A7D"/>
    <w:rsid w:val="00034C0C"/>
    <w:rsid w:val="00034DFC"/>
    <w:rsid w:val="00035F43"/>
    <w:rsid w:val="000361E5"/>
    <w:rsid w:val="00036408"/>
    <w:rsid w:val="00036FA2"/>
    <w:rsid w:val="00040AD2"/>
    <w:rsid w:val="00040D82"/>
    <w:rsid w:val="000414F8"/>
    <w:rsid w:val="00042DCA"/>
    <w:rsid w:val="00043CE0"/>
    <w:rsid w:val="00043D09"/>
    <w:rsid w:val="00044921"/>
    <w:rsid w:val="00044F0D"/>
    <w:rsid w:val="000451BE"/>
    <w:rsid w:val="000453DF"/>
    <w:rsid w:val="0004704A"/>
    <w:rsid w:val="00047B97"/>
    <w:rsid w:val="00051340"/>
    <w:rsid w:val="00051C25"/>
    <w:rsid w:val="00053642"/>
    <w:rsid w:val="000537CA"/>
    <w:rsid w:val="00053A47"/>
    <w:rsid w:val="00053B0C"/>
    <w:rsid w:val="0005427E"/>
    <w:rsid w:val="00054668"/>
    <w:rsid w:val="00054A34"/>
    <w:rsid w:val="00054EEA"/>
    <w:rsid w:val="00055BB5"/>
    <w:rsid w:val="00055BE8"/>
    <w:rsid w:val="0005609E"/>
    <w:rsid w:val="00056188"/>
    <w:rsid w:val="000569B8"/>
    <w:rsid w:val="00057B19"/>
    <w:rsid w:val="00057C53"/>
    <w:rsid w:val="000602AB"/>
    <w:rsid w:val="0006115E"/>
    <w:rsid w:val="00061401"/>
    <w:rsid w:val="00061775"/>
    <w:rsid w:val="000629A5"/>
    <w:rsid w:val="000632DB"/>
    <w:rsid w:val="000646CB"/>
    <w:rsid w:val="000656CA"/>
    <w:rsid w:val="00065D43"/>
    <w:rsid w:val="00066348"/>
    <w:rsid w:val="00066D44"/>
    <w:rsid w:val="00067726"/>
    <w:rsid w:val="000702FB"/>
    <w:rsid w:val="0007082C"/>
    <w:rsid w:val="00070B7E"/>
    <w:rsid w:val="00070D34"/>
    <w:rsid w:val="000711DD"/>
    <w:rsid w:val="00071518"/>
    <w:rsid w:val="00071B75"/>
    <w:rsid w:val="000721AA"/>
    <w:rsid w:val="00073B07"/>
    <w:rsid w:val="0007412D"/>
    <w:rsid w:val="00074646"/>
    <w:rsid w:val="00074A24"/>
    <w:rsid w:val="000750F1"/>
    <w:rsid w:val="00076320"/>
    <w:rsid w:val="0007652A"/>
    <w:rsid w:val="000772D0"/>
    <w:rsid w:val="00077C51"/>
    <w:rsid w:val="0008036E"/>
    <w:rsid w:val="00080EE8"/>
    <w:rsid w:val="00081F9E"/>
    <w:rsid w:val="00082B8F"/>
    <w:rsid w:val="00082FC2"/>
    <w:rsid w:val="000853BB"/>
    <w:rsid w:val="00085BE6"/>
    <w:rsid w:val="00090224"/>
    <w:rsid w:val="000903AA"/>
    <w:rsid w:val="00090898"/>
    <w:rsid w:val="00090A04"/>
    <w:rsid w:val="000917BA"/>
    <w:rsid w:val="00091AF7"/>
    <w:rsid w:val="00091D00"/>
    <w:rsid w:val="000922BF"/>
    <w:rsid w:val="000928C4"/>
    <w:rsid w:val="0009369B"/>
    <w:rsid w:val="00093C95"/>
    <w:rsid w:val="00093DD1"/>
    <w:rsid w:val="00094A2D"/>
    <w:rsid w:val="00094A83"/>
    <w:rsid w:val="00096667"/>
    <w:rsid w:val="00097614"/>
    <w:rsid w:val="00097827"/>
    <w:rsid w:val="000A00F3"/>
    <w:rsid w:val="000A0900"/>
    <w:rsid w:val="000A0EB3"/>
    <w:rsid w:val="000A12BF"/>
    <w:rsid w:val="000A2717"/>
    <w:rsid w:val="000A2EC7"/>
    <w:rsid w:val="000A2FA0"/>
    <w:rsid w:val="000A3D8C"/>
    <w:rsid w:val="000A5028"/>
    <w:rsid w:val="000B17C7"/>
    <w:rsid w:val="000B1C2D"/>
    <w:rsid w:val="000B2161"/>
    <w:rsid w:val="000B220D"/>
    <w:rsid w:val="000B2EFC"/>
    <w:rsid w:val="000B31EA"/>
    <w:rsid w:val="000B3666"/>
    <w:rsid w:val="000B3948"/>
    <w:rsid w:val="000B3FA8"/>
    <w:rsid w:val="000B405E"/>
    <w:rsid w:val="000B465E"/>
    <w:rsid w:val="000B4DDB"/>
    <w:rsid w:val="000B51C2"/>
    <w:rsid w:val="000B5760"/>
    <w:rsid w:val="000B5B1A"/>
    <w:rsid w:val="000B5BA9"/>
    <w:rsid w:val="000B621D"/>
    <w:rsid w:val="000B6961"/>
    <w:rsid w:val="000B72E4"/>
    <w:rsid w:val="000C0A82"/>
    <w:rsid w:val="000C0B05"/>
    <w:rsid w:val="000C333C"/>
    <w:rsid w:val="000C3D43"/>
    <w:rsid w:val="000C5050"/>
    <w:rsid w:val="000C59EF"/>
    <w:rsid w:val="000C6491"/>
    <w:rsid w:val="000C7234"/>
    <w:rsid w:val="000C74C3"/>
    <w:rsid w:val="000C79BB"/>
    <w:rsid w:val="000D0CE7"/>
    <w:rsid w:val="000D0D65"/>
    <w:rsid w:val="000D13E8"/>
    <w:rsid w:val="000D24E4"/>
    <w:rsid w:val="000D3745"/>
    <w:rsid w:val="000D39B4"/>
    <w:rsid w:val="000D4681"/>
    <w:rsid w:val="000D4974"/>
    <w:rsid w:val="000D4B5F"/>
    <w:rsid w:val="000D56E5"/>
    <w:rsid w:val="000D57AC"/>
    <w:rsid w:val="000D6F04"/>
    <w:rsid w:val="000D7745"/>
    <w:rsid w:val="000D7BBF"/>
    <w:rsid w:val="000D7FFC"/>
    <w:rsid w:val="000E148F"/>
    <w:rsid w:val="000E1FDB"/>
    <w:rsid w:val="000E277D"/>
    <w:rsid w:val="000E30E9"/>
    <w:rsid w:val="000E3701"/>
    <w:rsid w:val="000E4B51"/>
    <w:rsid w:val="000E5B4F"/>
    <w:rsid w:val="000E5C77"/>
    <w:rsid w:val="000E5F40"/>
    <w:rsid w:val="000E77C4"/>
    <w:rsid w:val="000E7E17"/>
    <w:rsid w:val="000F15ED"/>
    <w:rsid w:val="000F196D"/>
    <w:rsid w:val="000F19B2"/>
    <w:rsid w:val="000F1B15"/>
    <w:rsid w:val="000F52B9"/>
    <w:rsid w:val="000F6555"/>
    <w:rsid w:val="000F765B"/>
    <w:rsid w:val="00102A07"/>
    <w:rsid w:val="00103A7C"/>
    <w:rsid w:val="0010500C"/>
    <w:rsid w:val="00105764"/>
    <w:rsid w:val="00105B77"/>
    <w:rsid w:val="001066B9"/>
    <w:rsid w:val="001067DC"/>
    <w:rsid w:val="00107B7A"/>
    <w:rsid w:val="00110F1E"/>
    <w:rsid w:val="00111BBA"/>
    <w:rsid w:val="001123E9"/>
    <w:rsid w:val="00112670"/>
    <w:rsid w:val="00114ACB"/>
    <w:rsid w:val="0011530A"/>
    <w:rsid w:val="001153C8"/>
    <w:rsid w:val="00115456"/>
    <w:rsid w:val="00116493"/>
    <w:rsid w:val="0011700D"/>
    <w:rsid w:val="00117330"/>
    <w:rsid w:val="00117D03"/>
    <w:rsid w:val="001228AA"/>
    <w:rsid w:val="00123805"/>
    <w:rsid w:val="00124212"/>
    <w:rsid w:val="001243E1"/>
    <w:rsid w:val="00125166"/>
    <w:rsid w:val="00125FD5"/>
    <w:rsid w:val="00126D87"/>
    <w:rsid w:val="0012785F"/>
    <w:rsid w:val="00130BC0"/>
    <w:rsid w:val="00131096"/>
    <w:rsid w:val="001311D7"/>
    <w:rsid w:val="0013137F"/>
    <w:rsid w:val="00131681"/>
    <w:rsid w:val="0013350F"/>
    <w:rsid w:val="00134DF0"/>
    <w:rsid w:val="0013587D"/>
    <w:rsid w:val="0013630C"/>
    <w:rsid w:val="0013681C"/>
    <w:rsid w:val="0013692D"/>
    <w:rsid w:val="00136D06"/>
    <w:rsid w:val="00137EDD"/>
    <w:rsid w:val="00140197"/>
    <w:rsid w:val="00140458"/>
    <w:rsid w:val="001404E9"/>
    <w:rsid w:val="00140814"/>
    <w:rsid w:val="0014297F"/>
    <w:rsid w:val="00143FCF"/>
    <w:rsid w:val="00144746"/>
    <w:rsid w:val="00146925"/>
    <w:rsid w:val="001469A5"/>
    <w:rsid w:val="001476FE"/>
    <w:rsid w:val="00147B0A"/>
    <w:rsid w:val="00151CCB"/>
    <w:rsid w:val="001528B0"/>
    <w:rsid w:val="001534DD"/>
    <w:rsid w:val="00153B15"/>
    <w:rsid w:val="00153BE7"/>
    <w:rsid w:val="00153FD2"/>
    <w:rsid w:val="00155BDD"/>
    <w:rsid w:val="00155F86"/>
    <w:rsid w:val="001561A4"/>
    <w:rsid w:val="00156D02"/>
    <w:rsid w:val="00157973"/>
    <w:rsid w:val="0016078C"/>
    <w:rsid w:val="00161721"/>
    <w:rsid w:val="0016179A"/>
    <w:rsid w:val="00161AA2"/>
    <w:rsid w:val="00161F86"/>
    <w:rsid w:val="00162871"/>
    <w:rsid w:val="00164318"/>
    <w:rsid w:val="0016477C"/>
    <w:rsid w:val="00165272"/>
    <w:rsid w:val="001652AB"/>
    <w:rsid w:val="00165980"/>
    <w:rsid w:val="0016603F"/>
    <w:rsid w:val="0016640A"/>
    <w:rsid w:val="00166DE3"/>
    <w:rsid w:val="001703EC"/>
    <w:rsid w:val="00170558"/>
    <w:rsid w:val="0017055E"/>
    <w:rsid w:val="00172C1D"/>
    <w:rsid w:val="00172D34"/>
    <w:rsid w:val="00173244"/>
    <w:rsid w:val="001739D6"/>
    <w:rsid w:val="00174943"/>
    <w:rsid w:val="00174B4A"/>
    <w:rsid w:val="001774BC"/>
    <w:rsid w:val="00180189"/>
    <w:rsid w:val="00180AE4"/>
    <w:rsid w:val="00180C55"/>
    <w:rsid w:val="00183F8B"/>
    <w:rsid w:val="00184771"/>
    <w:rsid w:val="00184CD7"/>
    <w:rsid w:val="001862DF"/>
    <w:rsid w:val="00186E43"/>
    <w:rsid w:val="00186FC9"/>
    <w:rsid w:val="0018755D"/>
    <w:rsid w:val="00187A6B"/>
    <w:rsid w:val="00187C3C"/>
    <w:rsid w:val="00187F7E"/>
    <w:rsid w:val="001909F3"/>
    <w:rsid w:val="00191CF6"/>
    <w:rsid w:val="00191E38"/>
    <w:rsid w:val="00191EEC"/>
    <w:rsid w:val="00192313"/>
    <w:rsid w:val="00192BBF"/>
    <w:rsid w:val="0019413A"/>
    <w:rsid w:val="00194142"/>
    <w:rsid w:val="0019428B"/>
    <w:rsid w:val="00194641"/>
    <w:rsid w:val="00196D9B"/>
    <w:rsid w:val="0019759D"/>
    <w:rsid w:val="0019770D"/>
    <w:rsid w:val="0019792A"/>
    <w:rsid w:val="001A02E8"/>
    <w:rsid w:val="001A03AF"/>
    <w:rsid w:val="001A0732"/>
    <w:rsid w:val="001A0934"/>
    <w:rsid w:val="001A14BB"/>
    <w:rsid w:val="001A1F33"/>
    <w:rsid w:val="001A2AFD"/>
    <w:rsid w:val="001A2CFA"/>
    <w:rsid w:val="001A2F99"/>
    <w:rsid w:val="001A2FCE"/>
    <w:rsid w:val="001A3512"/>
    <w:rsid w:val="001A3874"/>
    <w:rsid w:val="001A3E4C"/>
    <w:rsid w:val="001A451D"/>
    <w:rsid w:val="001A59A9"/>
    <w:rsid w:val="001A5A5D"/>
    <w:rsid w:val="001A7873"/>
    <w:rsid w:val="001A7D73"/>
    <w:rsid w:val="001B22A7"/>
    <w:rsid w:val="001B25BA"/>
    <w:rsid w:val="001B2973"/>
    <w:rsid w:val="001B2EA0"/>
    <w:rsid w:val="001B3104"/>
    <w:rsid w:val="001B3F6D"/>
    <w:rsid w:val="001B4D51"/>
    <w:rsid w:val="001B5292"/>
    <w:rsid w:val="001B5486"/>
    <w:rsid w:val="001B6C3E"/>
    <w:rsid w:val="001B6D86"/>
    <w:rsid w:val="001C1463"/>
    <w:rsid w:val="001C33A5"/>
    <w:rsid w:val="001C36A8"/>
    <w:rsid w:val="001C4BD8"/>
    <w:rsid w:val="001C578C"/>
    <w:rsid w:val="001C5B24"/>
    <w:rsid w:val="001C63A1"/>
    <w:rsid w:val="001C6AB1"/>
    <w:rsid w:val="001C6AEE"/>
    <w:rsid w:val="001D17E3"/>
    <w:rsid w:val="001D24EA"/>
    <w:rsid w:val="001D35BD"/>
    <w:rsid w:val="001D397B"/>
    <w:rsid w:val="001D3B2C"/>
    <w:rsid w:val="001D3DC4"/>
    <w:rsid w:val="001D4239"/>
    <w:rsid w:val="001D46E7"/>
    <w:rsid w:val="001D4944"/>
    <w:rsid w:val="001D5309"/>
    <w:rsid w:val="001D55AF"/>
    <w:rsid w:val="001D6A6C"/>
    <w:rsid w:val="001D7940"/>
    <w:rsid w:val="001D7AAC"/>
    <w:rsid w:val="001D7CF0"/>
    <w:rsid w:val="001E0376"/>
    <w:rsid w:val="001E0FDC"/>
    <w:rsid w:val="001E16C8"/>
    <w:rsid w:val="001E215D"/>
    <w:rsid w:val="001E2FDA"/>
    <w:rsid w:val="001E3740"/>
    <w:rsid w:val="001E377A"/>
    <w:rsid w:val="001E3FE2"/>
    <w:rsid w:val="001E5A6B"/>
    <w:rsid w:val="001E6210"/>
    <w:rsid w:val="001E6352"/>
    <w:rsid w:val="001E6C06"/>
    <w:rsid w:val="001E7E64"/>
    <w:rsid w:val="001F0501"/>
    <w:rsid w:val="001F0816"/>
    <w:rsid w:val="001F1627"/>
    <w:rsid w:val="001F1CFE"/>
    <w:rsid w:val="001F2802"/>
    <w:rsid w:val="001F36CC"/>
    <w:rsid w:val="001F38AB"/>
    <w:rsid w:val="001F4F64"/>
    <w:rsid w:val="001F64F8"/>
    <w:rsid w:val="001F67A3"/>
    <w:rsid w:val="001F693A"/>
    <w:rsid w:val="001F69A7"/>
    <w:rsid w:val="001F78C9"/>
    <w:rsid w:val="002005BD"/>
    <w:rsid w:val="00201748"/>
    <w:rsid w:val="002019A0"/>
    <w:rsid w:val="00201E7D"/>
    <w:rsid w:val="00202DE9"/>
    <w:rsid w:val="00202E1D"/>
    <w:rsid w:val="00205CFA"/>
    <w:rsid w:val="00206C73"/>
    <w:rsid w:val="00207959"/>
    <w:rsid w:val="00207A20"/>
    <w:rsid w:val="00212063"/>
    <w:rsid w:val="00212D12"/>
    <w:rsid w:val="002155ED"/>
    <w:rsid w:val="00216B4E"/>
    <w:rsid w:val="002170E1"/>
    <w:rsid w:val="0021793A"/>
    <w:rsid w:val="00220EE2"/>
    <w:rsid w:val="00221651"/>
    <w:rsid w:val="0022382F"/>
    <w:rsid w:val="0022409F"/>
    <w:rsid w:val="00224529"/>
    <w:rsid w:val="0022470C"/>
    <w:rsid w:val="00224905"/>
    <w:rsid w:val="002264D3"/>
    <w:rsid w:val="00226CD8"/>
    <w:rsid w:val="00226F16"/>
    <w:rsid w:val="00227154"/>
    <w:rsid w:val="00227555"/>
    <w:rsid w:val="002301D1"/>
    <w:rsid w:val="00231DF4"/>
    <w:rsid w:val="00233365"/>
    <w:rsid w:val="00234A80"/>
    <w:rsid w:val="00234CD8"/>
    <w:rsid w:val="002356CE"/>
    <w:rsid w:val="00235D2B"/>
    <w:rsid w:val="002375AD"/>
    <w:rsid w:val="002410C2"/>
    <w:rsid w:val="0024158A"/>
    <w:rsid w:val="0024178D"/>
    <w:rsid w:val="002420DA"/>
    <w:rsid w:val="0024364D"/>
    <w:rsid w:val="0024401C"/>
    <w:rsid w:val="002446D5"/>
    <w:rsid w:val="00244C44"/>
    <w:rsid w:val="00245656"/>
    <w:rsid w:val="0024592B"/>
    <w:rsid w:val="00245AEC"/>
    <w:rsid w:val="00246E5E"/>
    <w:rsid w:val="00246F6E"/>
    <w:rsid w:val="00247071"/>
    <w:rsid w:val="002470E1"/>
    <w:rsid w:val="00247772"/>
    <w:rsid w:val="0025361A"/>
    <w:rsid w:val="00254348"/>
    <w:rsid w:val="00254428"/>
    <w:rsid w:val="00254BC6"/>
    <w:rsid w:val="00254D9C"/>
    <w:rsid w:val="00255CDB"/>
    <w:rsid w:val="00255DE4"/>
    <w:rsid w:val="002565F3"/>
    <w:rsid w:val="00256F84"/>
    <w:rsid w:val="002570FF"/>
    <w:rsid w:val="00261846"/>
    <w:rsid w:val="00262BF3"/>
    <w:rsid w:val="002632B8"/>
    <w:rsid w:val="0026350D"/>
    <w:rsid w:val="00263B0D"/>
    <w:rsid w:val="00264F2F"/>
    <w:rsid w:val="0026504D"/>
    <w:rsid w:val="002654C1"/>
    <w:rsid w:val="00266B8D"/>
    <w:rsid w:val="00267C62"/>
    <w:rsid w:val="00271529"/>
    <w:rsid w:val="0027323D"/>
    <w:rsid w:val="002737AA"/>
    <w:rsid w:val="00273EF7"/>
    <w:rsid w:val="00273F1F"/>
    <w:rsid w:val="00274A78"/>
    <w:rsid w:val="0027512C"/>
    <w:rsid w:val="002757AB"/>
    <w:rsid w:val="00275E97"/>
    <w:rsid w:val="0027766B"/>
    <w:rsid w:val="00280FAA"/>
    <w:rsid w:val="002813C9"/>
    <w:rsid w:val="00281686"/>
    <w:rsid w:val="00281E5B"/>
    <w:rsid w:val="00282346"/>
    <w:rsid w:val="00282ACD"/>
    <w:rsid w:val="00282C01"/>
    <w:rsid w:val="00283696"/>
    <w:rsid w:val="002836C0"/>
    <w:rsid w:val="00285478"/>
    <w:rsid w:val="00285CA6"/>
    <w:rsid w:val="00285F2E"/>
    <w:rsid w:val="002864EF"/>
    <w:rsid w:val="002874C3"/>
    <w:rsid w:val="002877AC"/>
    <w:rsid w:val="00290339"/>
    <w:rsid w:val="002903A5"/>
    <w:rsid w:val="00290701"/>
    <w:rsid w:val="002924F4"/>
    <w:rsid w:val="00292B6D"/>
    <w:rsid w:val="0029380C"/>
    <w:rsid w:val="00293E89"/>
    <w:rsid w:val="00294289"/>
    <w:rsid w:val="0029526A"/>
    <w:rsid w:val="002978AB"/>
    <w:rsid w:val="00297E71"/>
    <w:rsid w:val="002A0ED0"/>
    <w:rsid w:val="002A19B4"/>
    <w:rsid w:val="002A1ED2"/>
    <w:rsid w:val="002A20D2"/>
    <w:rsid w:val="002A33A0"/>
    <w:rsid w:val="002A37C1"/>
    <w:rsid w:val="002A4A1C"/>
    <w:rsid w:val="002A4AC0"/>
    <w:rsid w:val="002A521C"/>
    <w:rsid w:val="002A55AD"/>
    <w:rsid w:val="002B0E6C"/>
    <w:rsid w:val="002B20C5"/>
    <w:rsid w:val="002B36D5"/>
    <w:rsid w:val="002B4CEF"/>
    <w:rsid w:val="002B5A68"/>
    <w:rsid w:val="002B65A2"/>
    <w:rsid w:val="002B68DE"/>
    <w:rsid w:val="002B7060"/>
    <w:rsid w:val="002B7509"/>
    <w:rsid w:val="002B7933"/>
    <w:rsid w:val="002B7BA3"/>
    <w:rsid w:val="002C046A"/>
    <w:rsid w:val="002C049D"/>
    <w:rsid w:val="002C06BF"/>
    <w:rsid w:val="002C217D"/>
    <w:rsid w:val="002C3053"/>
    <w:rsid w:val="002C4373"/>
    <w:rsid w:val="002C4406"/>
    <w:rsid w:val="002C44C1"/>
    <w:rsid w:val="002C6B00"/>
    <w:rsid w:val="002C6DCB"/>
    <w:rsid w:val="002C7CC8"/>
    <w:rsid w:val="002D0343"/>
    <w:rsid w:val="002D1AC2"/>
    <w:rsid w:val="002D222F"/>
    <w:rsid w:val="002D2E76"/>
    <w:rsid w:val="002D4E64"/>
    <w:rsid w:val="002D5326"/>
    <w:rsid w:val="002D5C6E"/>
    <w:rsid w:val="002D6335"/>
    <w:rsid w:val="002D6B16"/>
    <w:rsid w:val="002D6E20"/>
    <w:rsid w:val="002D76BD"/>
    <w:rsid w:val="002E11F2"/>
    <w:rsid w:val="002E2727"/>
    <w:rsid w:val="002E351F"/>
    <w:rsid w:val="002E466C"/>
    <w:rsid w:val="002E4A46"/>
    <w:rsid w:val="002E5C65"/>
    <w:rsid w:val="002E7704"/>
    <w:rsid w:val="002E7820"/>
    <w:rsid w:val="002E7AC5"/>
    <w:rsid w:val="002F0BA3"/>
    <w:rsid w:val="002F20E5"/>
    <w:rsid w:val="002F3598"/>
    <w:rsid w:val="002F4142"/>
    <w:rsid w:val="002F43F9"/>
    <w:rsid w:val="002F4526"/>
    <w:rsid w:val="002F4860"/>
    <w:rsid w:val="002F556D"/>
    <w:rsid w:val="002F6CBE"/>
    <w:rsid w:val="002F6DF7"/>
    <w:rsid w:val="002F7194"/>
    <w:rsid w:val="002F73D9"/>
    <w:rsid w:val="00300715"/>
    <w:rsid w:val="00300D56"/>
    <w:rsid w:val="0030256A"/>
    <w:rsid w:val="003047D1"/>
    <w:rsid w:val="00304D4C"/>
    <w:rsid w:val="00307484"/>
    <w:rsid w:val="00307730"/>
    <w:rsid w:val="00310118"/>
    <w:rsid w:val="00310CF1"/>
    <w:rsid w:val="00310F45"/>
    <w:rsid w:val="00312BA1"/>
    <w:rsid w:val="00313678"/>
    <w:rsid w:val="00313943"/>
    <w:rsid w:val="003145D2"/>
    <w:rsid w:val="00315019"/>
    <w:rsid w:val="00315B43"/>
    <w:rsid w:val="0031678D"/>
    <w:rsid w:val="00317760"/>
    <w:rsid w:val="00317CFB"/>
    <w:rsid w:val="00317E72"/>
    <w:rsid w:val="00320549"/>
    <w:rsid w:val="0032067E"/>
    <w:rsid w:val="0032068B"/>
    <w:rsid w:val="0032216F"/>
    <w:rsid w:val="003236F0"/>
    <w:rsid w:val="00323CB0"/>
    <w:rsid w:val="00324302"/>
    <w:rsid w:val="003253AF"/>
    <w:rsid w:val="003255FC"/>
    <w:rsid w:val="003258FB"/>
    <w:rsid w:val="0032594F"/>
    <w:rsid w:val="00330965"/>
    <w:rsid w:val="0033165B"/>
    <w:rsid w:val="00331898"/>
    <w:rsid w:val="00331A7B"/>
    <w:rsid w:val="00331FE0"/>
    <w:rsid w:val="00332FA6"/>
    <w:rsid w:val="00333143"/>
    <w:rsid w:val="00333940"/>
    <w:rsid w:val="0033428F"/>
    <w:rsid w:val="00334707"/>
    <w:rsid w:val="00334C55"/>
    <w:rsid w:val="003353DD"/>
    <w:rsid w:val="003358AA"/>
    <w:rsid w:val="00335D90"/>
    <w:rsid w:val="00336045"/>
    <w:rsid w:val="0033700C"/>
    <w:rsid w:val="003378B7"/>
    <w:rsid w:val="00341968"/>
    <w:rsid w:val="003433AE"/>
    <w:rsid w:val="003437D2"/>
    <w:rsid w:val="0034408E"/>
    <w:rsid w:val="00344994"/>
    <w:rsid w:val="00344ED0"/>
    <w:rsid w:val="00347371"/>
    <w:rsid w:val="00347B30"/>
    <w:rsid w:val="00347B8F"/>
    <w:rsid w:val="00347BFD"/>
    <w:rsid w:val="00350E19"/>
    <w:rsid w:val="00351433"/>
    <w:rsid w:val="00351CC2"/>
    <w:rsid w:val="00351F90"/>
    <w:rsid w:val="00352721"/>
    <w:rsid w:val="003540DE"/>
    <w:rsid w:val="00354A37"/>
    <w:rsid w:val="00354B3C"/>
    <w:rsid w:val="00356412"/>
    <w:rsid w:val="00356CB7"/>
    <w:rsid w:val="00357403"/>
    <w:rsid w:val="00360669"/>
    <w:rsid w:val="003610DA"/>
    <w:rsid w:val="00361243"/>
    <w:rsid w:val="0036185C"/>
    <w:rsid w:val="00361E52"/>
    <w:rsid w:val="00361EAF"/>
    <w:rsid w:val="0036221B"/>
    <w:rsid w:val="00362DAF"/>
    <w:rsid w:val="00362ECC"/>
    <w:rsid w:val="00363102"/>
    <w:rsid w:val="00363253"/>
    <w:rsid w:val="00363BB0"/>
    <w:rsid w:val="0036481E"/>
    <w:rsid w:val="00365549"/>
    <w:rsid w:val="00365795"/>
    <w:rsid w:val="00366BEF"/>
    <w:rsid w:val="003674AC"/>
    <w:rsid w:val="003700C6"/>
    <w:rsid w:val="0037012F"/>
    <w:rsid w:val="003713EA"/>
    <w:rsid w:val="00372D0D"/>
    <w:rsid w:val="00373CB3"/>
    <w:rsid w:val="00374BC9"/>
    <w:rsid w:val="003761A4"/>
    <w:rsid w:val="00376AA5"/>
    <w:rsid w:val="0037719F"/>
    <w:rsid w:val="003778C5"/>
    <w:rsid w:val="00381B66"/>
    <w:rsid w:val="00381DC6"/>
    <w:rsid w:val="00382288"/>
    <w:rsid w:val="00382B53"/>
    <w:rsid w:val="00383E21"/>
    <w:rsid w:val="00383F04"/>
    <w:rsid w:val="00383FF6"/>
    <w:rsid w:val="00384FDB"/>
    <w:rsid w:val="00385C53"/>
    <w:rsid w:val="00386453"/>
    <w:rsid w:val="0038660A"/>
    <w:rsid w:val="00386A4D"/>
    <w:rsid w:val="00386CE1"/>
    <w:rsid w:val="00386F65"/>
    <w:rsid w:val="00387634"/>
    <w:rsid w:val="00390BA5"/>
    <w:rsid w:val="00391EC8"/>
    <w:rsid w:val="003930C5"/>
    <w:rsid w:val="00393DB8"/>
    <w:rsid w:val="003971BA"/>
    <w:rsid w:val="003A2048"/>
    <w:rsid w:val="003A20F9"/>
    <w:rsid w:val="003A2972"/>
    <w:rsid w:val="003A2C61"/>
    <w:rsid w:val="003A348B"/>
    <w:rsid w:val="003A39B6"/>
    <w:rsid w:val="003A4FC3"/>
    <w:rsid w:val="003A5FA3"/>
    <w:rsid w:val="003A69D2"/>
    <w:rsid w:val="003B0581"/>
    <w:rsid w:val="003B1A3E"/>
    <w:rsid w:val="003B1F20"/>
    <w:rsid w:val="003B1FFB"/>
    <w:rsid w:val="003B2003"/>
    <w:rsid w:val="003B20A8"/>
    <w:rsid w:val="003B2202"/>
    <w:rsid w:val="003B32C8"/>
    <w:rsid w:val="003B3C44"/>
    <w:rsid w:val="003B3D69"/>
    <w:rsid w:val="003B3ED1"/>
    <w:rsid w:val="003B42DA"/>
    <w:rsid w:val="003B44C0"/>
    <w:rsid w:val="003B60B1"/>
    <w:rsid w:val="003B6453"/>
    <w:rsid w:val="003B65F6"/>
    <w:rsid w:val="003B6A76"/>
    <w:rsid w:val="003C0E55"/>
    <w:rsid w:val="003C142F"/>
    <w:rsid w:val="003C2384"/>
    <w:rsid w:val="003C2561"/>
    <w:rsid w:val="003C34F8"/>
    <w:rsid w:val="003C5106"/>
    <w:rsid w:val="003C5D64"/>
    <w:rsid w:val="003C6276"/>
    <w:rsid w:val="003C77A0"/>
    <w:rsid w:val="003C7E10"/>
    <w:rsid w:val="003D1DF9"/>
    <w:rsid w:val="003D29E1"/>
    <w:rsid w:val="003D2B0F"/>
    <w:rsid w:val="003D3060"/>
    <w:rsid w:val="003D3B30"/>
    <w:rsid w:val="003D3E70"/>
    <w:rsid w:val="003D4E49"/>
    <w:rsid w:val="003D677D"/>
    <w:rsid w:val="003D6A0F"/>
    <w:rsid w:val="003D6BD7"/>
    <w:rsid w:val="003D6CDC"/>
    <w:rsid w:val="003D6ECD"/>
    <w:rsid w:val="003E0751"/>
    <w:rsid w:val="003E1D13"/>
    <w:rsid w:val="003E277E"/>
    <w:rsid w:val="003E2D88"/>
    <w:rsid w:val="003E5CF9"/>
    <w:rsid w:val="003E610A"/>
    <w:rsid w:val="003E6B06"/>
    <w:rsid w:val="003E70B8"/>
    <w:rsid w:val="003E7966"/>
    <w:rsid w:val="003F090C"/>
    <w:rsid w:val="003F1E1D"/>
    <w:rsid w:val="003F2AB1"/>
    <w:rsid w:val="003F3A34"/>
    <w:rsid w:val="003F4523"/>
    <w:rsid w:val="003F48D2"/>
    <w:rsid w:val="003F4996"/>
    <w:rsid w:val="003F56A5"/>
    <w:rsid w:val="003F5D06"/>
    <w:rsid w:val="003F7011"/>
    <w:rsid w:val="003F701E"/>
    <w:rsid w:val="003F704F"/>
    <w:rsid w:val="003F7285"/>
    <w:rsid w:val="003F74BD"/>
    <w:rsid w:val="003F74F9"/>
    <w:rsid w:val="003F7772"/>
    <w:rsid w:val="003F78B9"/>
    <w:rsid w:val="003F7EB1"/>
    <w:rsid w:val="00400431"/>
    <w:rsid w:val="00400A56"/>
    <w:rsid w:val="00400C0F"/>
    <w:rsid w:val="00401E08"/>
    <w:rsid w:val="00401F27"/>
    <w:rsid w:val="00401FB4"/>
    <w:rsid w:val="00402769"/>
    <w:rsid w:val="00405B0F"/>
    <w:rsid w:val="00406388"/>
    <w:rsid w:val="00406EDB"/>
    <w:rsid w:val="0040790B"/>
    <w:rsid w:val="004104CC"/>
    <w:rsid w:val="00411D87"/>
    <w:rsid w:val="00412FB4"/>
    <w:rsid w:val="004141EC"/>
    <w:rsid w:val="0041440E"/>
    <w:rsid w:val="00414653"/>
    <w:rsid w:val="00414960"/>
    <w:rsid w:val="00414E83"/>
    <w:rsid w:val="004159D7"/>
    <w:rsid w:val="00415A50"/>
    <w:rsid w:val="00415C20"/>
    <w:rsid w:val="00415D56"/>
    <w:rsid w:val="004168CD"/>
    <w:rsid w:val="00416CD6"/>
    <w:rsid w:val="00416EBB"/>
    <w:rsid w:val="004170F6"/>
    <w:rsid w:val="004174AA"/>
    <w:rsid w:val="004202C8"/>
    <w:rsid w:val="004213F1"/>
    <w:rsid w:val="004251AD"/>
    <w:rsid w:val="00427198"/>
    <w:rsid w:val="00427B8C"/>
    <w:rsid w:val="0043047C"/>
    <w:rsid w:val="00430D2A"/>
    <w:rsid w:val="004312C0"/>
    <w:rsid w:val="0043132E"/>
    <w:rsid w:val="0043223A"/>
    <w:rsid w:val="00433BC1"/>
    <w:rsid w:val="00433D97"/>
    <w:rsid w:val="004343C3"/>
    <w:rsid w:val="00435D87"/>
    <w:rsid w:val="00435E6E"/>
    <w:rsid w:val="00436352"/>
    <w:rsid w:val="004365A5"/>
    <w:rsid w:val="00437DB2"/>
    <w:rsid w:val="004400C4"/>
    <w:rsid w:val="00441159"/>
    <w:rsid w:val="004412CB"/>
    <w:rsid w:val="00441824"/>
    <w:rsid w:val="00441A5F"/>
    <w:rsid w:val="00441AD2"/>
    <w:rsid w:val="00441B71"/>
    <w:rsid w:val="00441F23"/>
    <w:rsid w:val="004445C9"/>
    <w:rsid w:val="004454D3"/>
    <w:rsid w:val="0044568E"/>
    <w:rsid w:val="004470B0"/>
    <w:rsid w:val="0044714E"/>
    <w:rsid w:val="00447A49"/>
    <w:rsid w:val="00447CB0"/>
    <w:rsid w:val="00450365"/>
    <w:rsid w:val="004509A8"/>
    <w:rsid w:val="00450D48"/>
    <w:rsid w:val="0045180D"/>
    <w:rsid w:val="00451EE5"/>
    <w:rsid w:val="004529F5"/>
    <w:rsid w:val="00452AB7"/>
    <w:rsid w:val="004540BB"/>
    <w:rsid w:val="0045446D"/>
    <w:rsid w:val="0045459A"/>
    <w:rsid w:val="00455309"/>
    <w:rsid w:val="004572C2"/>
    <w:rsid w:val="00460BB6"/>
    <w:rsid w:val="00461C63"/>
    <w:rsid w:val="00464A44"/>
    <w:rsid w:val="00465510"/>
    <w:rsid w:val="00467702"/>
    <w:rsid w:val="00467FC7"/>
    <w:rsid w:val="00470644"/>
    <w:rsid w:val="0047302F"/>
    <w:rsid w:val="00473E7D"/>
    <w:rsid w:val="00474E5F"/>
    <w:rsid w:val="004766FE"/>
    <w:rsid w:val="004774B9"/>
    <w:rsid w:val="00477E8F"/>
    <w:rsid w:val="00481879"/>
    <w:rsid w:val="00482D4E"/>
    <w:rsid w:val="00482DA6"/>
    <w:rsid w:val="00482FD9"/>
    <w:rsid w:val="00483B54"/>
    <w:rsid w:val="00483F6D"/>
    <w:rsid w:val="00484510"/>
    <w:rsid w:val="00484C2B"/>
    <w:rsid w:val="0048504C"/>
    <w:rsid w:val="00485176"/>
    <w:rsid w:val="004853D6"/>
    <w:rsid w:val="00485766"/>
    <w:rsid w:val="00486D95"/>
    <w:rsid w:val="00486E22"/>
    <w:rsid w:val="00487D4C"/>
    <w:rsid w:val="00487E32"/>
    <w:rsid w:val="00491018"/>
    <w:rsid w:val="0049259A"/>
    <w:rsid w:val="00492998"/>
    <w:rsid w:val="00492DA1"/>
    <w:rsid w:val="004944A6"/>
    <w:rsid w:val="004946AF"/>
    <w:rsid w:val="0049591A"/>
    <w:rsid w:val="00496BB9"/>
    <w:rsid w:val="00496C8B"/>
    <w:rsid w:val="004A0D0F"/>
    <w:rsid w:val="004A0D22"/>
    <w:rsid w:val="004A162D"/>
    <w:rsid w:val="004A1F05"/>
    <w:rsid w:val="004A1F39"/>
    <w:rsid w:val="004A2144"/>
    <w:rsid w:val="004A2AE8"/>
    <w:rsid w:val="004A2B68"/>
    <w:rsid w:val="004A3E12"/>
    <w:rsid w:val="004A4A85"/>
    <w:rsid w:val="004A54D4"/>
    <w:rsid w:val="004A630E"/>
    <w:rsid w:val="004B02D9"/>
    <w:rsid w:val="004B0A9B"/>
    <w:rsid w:val="004B12F4"/>
    <w:rsid w:val="004B3176"/>
    <w:rsid w:val="004B3AA2"/>
    <w:rsid w:val="004B3FA3"/>
    <w:rsid w:val="004B4C55"/>
    <w:rsid w:val="004B5A06"/>
    <w:rsid w:val="004B6D9A"/>
    <w:rsid w:val="004B721A"/>
    <w:rsid w:val="004B7F68"/>
    <w:rsid w:val="004C13FC"/>
    <w:rsid w:val="004C250C"/>
    <w:rsid w:val="004C3C0F"/>
    <w:rsid w:val="004C3F12"/>
    <w:rsid w:val="004C497F"/>
    <w:rsid w:val="004C4E7C"/>
    <w:rsid w:val="004C6785"/>
    <w:rsid w:val="004C738F"/>
    <w:rsid w:val="004D0D88"/>
    <w:rsid w:val="004D1842"/>
    <w:rsid w:val="004D1F73"/>
    <w:rsid w:val="004D3513"/>
    <w:rsid w:val="004D44F0"/>
    <w:rsid w:val="004D4B1F"/>
    <w:rsid w:val="004D5359"/>
    <w:rsid w:val="004D5409"/>
    <w:rsid w:val="004D5424"/>
    <w:rsid w:val="004D5CC4"/>
    <w:rsid w:val="004D6025"/>
    <w:rsid w:val="004D61D0"/>
    <w:rsid w:val="004D6D1F"/>
    <w:rsid w:val="004D7E80"/>
    <w:rsid w:val="004E08A7"/>
    <w:rsid w:val="004E218B"/>
    <w:rsid w:val="004E2598"/>
    <w:rsid w:val="004E2B01"/>
    <w:rsid w:val="004E3DAF"/>
    <w:rsid w:val="004E43D7"/>
    <w:rsid w:val="004E4B4E"/>
    <w:rsid w:val="004E5AD5"/>
    <w:rsid w:val="004E5DA5"/>
    <w:rsid w:val="004E6F29"/>
    <w:rsid w:val="004E72E9"/>
    <w:rsid w:val="004E742A"/>
    <w:rsid w:val="004E7615"/>
    <w:rsid w:val="004F1C50"/>
    <w:rsid w:val="004F26ED"/>
    <w:rsid w:val="004F2EA6"/>
    <w:rsid w:val="004F352B"/>
    <w:rsid w:val="004F371F"/>
    <w:rsid w:val="004F48B6"/>
    <w:rsid w:val="004F5126"/>
    <w:rsid w:val="004F5238"/>
    <w:rsid w:val="004F59B6"/>
    <w:rsid w:val="004F67EF"/>
    <w:rsid w:val="005011D7"/>
    <w:rsid w:val="00501216"/>
    <w:rsid w:val="00501517"/>
    <w:rsid w:val="005019E1"/>
    <w:rsid w:val="00502256"/>
    <w:rsid w:val="005033D1"/>
    <w:rsid w:val="00503707"/>
    <w:rsid w:val="00503964"/>
    <w:rsid w:val="005039EB"/>
    <w:rsid w:val="00504624"/>
    <w:rsid w:val="00504C8A"/>
    <w:rsid w:val="00505BD5"/>
    <w:rsid w:val="00506372"/>
    <w:rsid w:val="00506581"/>
    <w:rsid w:val="00506B1E"/>
    <w:rsid w:val="00506D1E"/>
    <w:rsid w:val="00507823"/>
    <w:rsid w:val="00511275"/>
    <w:rsid w:val="00512027"/>
    <w:rsid w:val="00513DBC"/>
    <w:rsid w:val="00514B87"/>
    <w:rsid w:val="00515BE2"/>
    <w:rsid w:val="00515C14"/>
    <w:rsid w:val="00515C5B"/>
    <w:rsid w:val="005162B6"/>
    <w:rsid w:val="00516715"/>
    <w:rsid w:val="00516B5A"/>
    <w:rsid w:val="00517018"/>
    <w:rsid w:val="00517199"/>
    <w:rsid w:val="00517707"/>
    <w:rsid w:val="005207CF"/>
    <w:rsid w:val="00520FDA"/>
    <w:rsid w:val="00521246"/>
    <w:rsid w:val="00522041"/>
    <w:rsid w:val="0052240F"/>
    <w:rsid w:val="005227D8"/>
    <w:rsid w:val="00523398"/>
    <w:rsid w:val="00523EA9"/>
    <w:rsid w:val="00524D2C"/>
    <w:rsid w:val="005262EC"/>
    <w:rsid w:val="00527907"/>
    <w:rsid w:val="00527E79"/>
    <w:rsid w:val="0053085F"/>
    <w:rsid w:val="00530CC2"/>
    <w:rsid w:val="00530FC6"/>
    <w:rsid w:val="00531090"/>
    <w:rsid w:val="00531585"/>
    <w:rsid w:val="00531B71"/>
    <w:rsid w:val="005324AB"/>
    <w:rsid w:val="0053437D"/>
    <w:rsid w:val="00534592"/>
    <w:rsid w:val="005345A8"/>
    <w:rsid w:val="0053502F"/>
    <w:rsid w:val="00535707"/>
    <w:rsid w:val="005363CE"/>
    <w:rsid w:val="00536620"/>
    <w:rsid w:val="00536C65"/>
    <w:rsid w:val="0053732B"/>
    <w:rsid w:val="0054111C"/>
    <w:rsid w:val="005428CE"/>
    <w:rsid w:val="00542EE4"/>
    <w:rsid w:val="0054330D"/>
    <w:rsid w:val="00543572"/>
    <w:rsid w:val="00545763"/>
    <w:rsid w:val="00545E1C"/>
    <w:rsid w:val="00545FF2"/>
    <w:rsid w:val="005465E4"/>
    <w:rsid w:val="005474BB"/>
    <w:rsid w:val="005506C9"/>
    <w:rsid w:val="00551D68"/>
    <w:rsid w:val="005521E9"/>
    <w:rsid w:val="005525D1"/>
    <w:rsid w:val="005531EE"/>
    <w:rsid w:val="00553794"/>
    <w:rsid w:val="00553D34"/>
    <w:rsid w:val="00553FFD"/>
    <w:rsid w:val="00554034"/>
    <w:rsid w:val="00554310"/>
    <w:rsid w:val="00554B70"/>
    <w:rsid w:val="0055559B"/>
    <w:rsid w:val="00556211"/>
    <w:rsid w:val="00556AAC"/>
    <w:rsid w:val="00560116"/>
    <w:rsid w:val="005601E5"/>
    <w:rsid w:val="005602CD"/>
    <w:rsid w:val="00560961"/>
    <w:rsid w:val="00561997"/>
    <w:rsid w:val="00562539"/>
    <w:rsid w:val="00562F6E"/>
    <w:rsid w:val="005635B1"/>
    <w:rsid w:val="00563776"/>
    <w:rsid w:val="00563785"/>
    <w:rsid w:val="00564A7F"/>
    <w:rsid w:val="00566140"/>
    <w:rsid w:val="0056673C"/>
    <w:rsid w:val="005673B1"/>
    <w:rsid w:val="00567832"/>
    <w:rsid w:val="0057005D"/>
    <w:rsid w:val="00571707"/>
    <w:rsid w:val="005721E0"/>
    <w:rsid w:val="00572590"/>
    <w:rsid w:val="00572F79"/>
    <w:rsid w:val="00574125"/>
    <w:rsid w:val="00576557"/>
    <w:rsid w:val="00577C9A"/>
    <w:rsid w:val="00580A7B"/>
    <w:rsid w:val="00580B9C"/>
    <w:rsid w:val="005825C9"/>
    <w:rsid w:val="00582BC3"/>
    <w:rsid w:val="005846E4"/>
    <w:rsid w:val="005856DC"/>
    <w:rsid w:val="00585DA7"/>
    <w:rsid w:val="0058678C"/>
    <w:rsid w:val="005875E1"/>
    <w:rsid w:val="005908E0"/>
    <w:rsid w:val="005908FE"/>
    <w:rsid w:val="005924DD"/>
    <w:rsid w:val="00593504"/>
    <w:rsid w:val="005948BF"/>
    <w:rsid w:val="005949A6"/>
    <w:rsid w:val="00594F24"/>
    <w:rsid w:val="00596156"/>
    <w:rsid w:val="0059638F"/>
    <w:rsid w:val="005965FA"/>
    <w:rsid w:val="00597CE9"/>
    <w:rsid w:val="005A05A0"/>
    <w:rsid w:val="005A0786"/>
    <w:rsid w:val="005A08C1"/>
    <w:rsid w:val="005A0D77"/>
    <w:rsid w:val="005A13F2"/>
    <w:rsid w:val="005A163B"/>
    <w:rsid w:val="005A1AE5"/>
    <w:rsid w:val="005A1FA0"/>
    <w:rsid w:val="005A3C31"/>
    <w:rsid w:val="005A4A02"/>
    <w:rsid w:val="005A4BAD"/>
    <w:rsid w:val="005A4CEA"/>
    <w:rsid w:val="005A5A46"/>
    <w:rsid w:val="005A7BDC"/>
    <w:rsid w:val="005A7CDA"/>
    <w:rsid w:val="005A7D9B"/>
    <w:rsid w:val="005B0D7C"/>
    <w:rsid w:val="005B1084"/>
    <w:rsid w:val="005B1B76"/>
    <w:rsid w:val="005B1E49"/>
    <w:rsid w:val="005B3B9D"/>
    <w:rsid w:val="005B3CBB"/>
    <w:rsid w:val="005B3EAF"/>
    <w:rsid w:val="005B51FB"/>
    <w:rsid w:val="005B591D"/>
    <w:rsid w:val="005B5C28"/>
    <w:rsid w:val="005B6223"/>
    <w:rsid w:val="005B671E"/>
    <w:rsid w:val="005B6F71"/>
    <w:rsid w:val="005B7F7D"/>
    <w:rsid w:val="005C0270"/>
    <w:rsid w:val="005C04E2"/>
    <w:rsid w:val="005C1FB9"/>
    <w:rsid w:val="005C2DBC"/>
    <w:rsid w:val="005C3A23"/>
    <w:rsid w:val="005C428E"/>
    <w:rsid w:val="005C51F7"/>
    <w:rsid w:val="005C568E"/>
    <w:rsid w:val="005C5B45"/>
    <w:rsid w:val="005C5D10"/>
    <w:rsid w:val="005C60D2"/>
    <w:rsid w:val="005C633C"/>
    <w:rsid w:val="005C64F2"/>
    <w:rsid w:val="005C667E"/>
    <w:rsid w:val="005D002C"/>
    <w:rsid w:val="005D2CC0"/>
    <w:rsid w:val="005D2E04"/>
    <w:rsid w:val="005D3829"/>
    <w:rsid w:val="005D437B"/>
    <w:rsid w:val="005D471B"/>
    <w:rsid w:val="005D4C66"/>
    <w:rsid w:val="005D4D7B"/>
    <w:rsid w:val="005D4E09"/>
    <w:rsid w:val="005D52A7"/>
    <w:rsid w:val="005D665B"/>
    <w:rsid w:val="005D6F77"/>
    <w:rsid w:val="005D7252"/>
    <w:rsid w:val="005D7E20"/>
    <w:rsid w:val="005E01E6"/>
    <w:rsid w:val="005E0370"/>
    <w:rsid w:val="005E13FF"/>
    <w:rsid w:val="005E1ED0"/>
    <w:rsid w:val="005E214D"/>
    <w:rsid w:val="005E2870"/>
    <w:rsid w:val="005E3478"/>
    <w:rsid w:val="005E4691"/>
    <w:rsid w:val="005E4816"/>
    <w:rsid w:val="005E504B"/>
    <w:rsid w:val="005E51D8"/>
    <w:rsid w:val="005E6528"/>
    <w:rsid w:val="005E6796"/>
    <w:rsid w:val="005E720F"/>
    <w:rsid w:val="005E73C1"/>
    <w:rsid w:val="005E7C74"/>
    <w:rsid w:val="005F32AA"/>
    <w:rsid w:val="005F3442"/>
    <w:rsid w:val="005F4213"/>
    <w:rsid w:val="005F4A7E"/>
    <w:rsid w:val="005F4A9B"/>
    <w:rsid w:val="005F5ACD"/>
    <w:rsid w:val="005F5AE0"/>
    <w:rsid w:val="005F6E4E"/>
    <w:rsid w:val="005F77C6"/>
    <w:rsid w:val="006001EA"/>
    <w:rsid w:val="00601257"/>
    <w:rsid w:val="00601CF8"/>
    <w:rsid w:val="00603EDA"/>
    <w:rsid w:val="00604766"/>
    <w:rsid w:val="00605635"/>
    <w:rsid w:val="006056ED"/>
    <w:rsid w:val="00605EAE"/>
    <w:rsid w:val="006060E0"/>
    <w:rsid w:val="00606493"/>
    <w:rsid w:val="006106CD"/>
    <w:rsid w:val="00610A4F"/>
    <w:rsid w:val="00611FE3"/>
    <w:rsid w:val="006125DA"/>
    <w:rsid w:val="006129B0"/>
    <w:rsid w:val="006133E0"/>
    <w:rsid w:val="00614126"/>
    <w:rsid w:val="00614180"/>
    <w:rsid w:val="00614303"/>
    <w:rsid w:val="00614617"/>
    <w:rsid w:val="006157B8"/>
    <w:rsid w:val="006158AE"/>
    <w:rsid w:val="00615F18"/>
    <w:rsid w:val="00616309"/>
    <w:rsid w:val="0061720E"/>
    <w:rsid w:val="00620867"/>
    <w:rsid w:val="006230A6"/>
    <w:rsid w:val="006242E6"/>
    <w:rsid w:val="00626344"/>
    <w:rsid w:val="00626909"/>
    <w:rsid w:val="006278B1"/>
    <w:rsid w:val="00627FA6"/>
    <w:rsid w:val="00630C2A"/>
    <w:rsid w:val="0063138D"/>
    <w:rsid w:val="00632422"/>
    <w:rsid w:val="00632B7C"/>
    <w:rsid w:val="00632F3D"/>
    <w:rsid w:val="00633CF3"/>
    <w:rsid w:val="0063427A"/>
    <w:rsid w:val="006344AB"/>
    <w:rsid w:val="00636C1E"/>
    <w:rsid w:val="006374C2"/>
    <w:rsid w:val="006412C6"/>
    <w:rsid w:val="006413FA"/>
    <w:rsid w:val="0064162A"/>
    <w:rsid w:val="006417B9"/>
    <w:rsid w:val="00641C61"/>
    <w:rsid w:val="0064237A"/>
    <w:rsid w:val="006427C0"/>
    <w:rsid w:val="0064295E"/>
    <w:rsid w:val="0064707F"/>
    <w:rsid w:val="006478F1"/>
    <w:rsid w:val="0065004A"/>
    <w:rsid w:val="006505B9"/>
    <w:rsid w:val="00651E1B"/>
    <w:rsid w:val="00652036"/>
    <w:rsid w:val="00652071"/>
    <w:rsid w:val="00652336"/>
    <w:rsid w:val="00652956"/>
    <w:rsid w:val="00652A46"/>
    <w:rsid w:val="0065325A"/>
    <w:rsid w:val="00653ADA"/>
    <w:rsid w:val="0065462C"/>
    <w:rsid w:val="0065492C"/>
    <w:rsid w:val="00654BDA"/>
    <w:rsid w:val="00654FD3"/>
    <w:rsid w:val="00655462"/>
    <w:rsid w:val="00655613"/>
    <w:rsid w:val="00655994"/>
    <w:rsid w:val="00655E55"/>
    <w:rsid w:val="006569EA"/>
    <w:rsid w:val="00656ADE"/>
    <w:rsid w:val="00657120"/>
    <w:rsid w:val="00657E32"/>
    <w:rsid w:val="00657E49"/>
    <w:rsid w:val="00661AE3"/>
    <w:rsid w:val="00661E51"/>
    <w:rsid w:val="00662A21"/>
    <w:rsid w:val="00665A32"/>
    <w:rsid w:val="00665C39"/>
    <w:rsid w:val="00666A30"/>
    <w:rsid w:val="00666B8C"/>
    <w:rsid w:val="00666FD1"/>
    <w:rsid w:val="00667B92"/>
    <w:rsid w:val="006700E6"/>
    <w:rsid w:val="00670EF5"/>
    <w:rsid w:val="006713DC"/>
    <w:rsid w:val="0067146E"/>
    <w:rsid w:val="0067231C"/>
    <w:rsid w:val="00672735"/>
    <w:rsid w:val="00672907"/>
    <w:rsid w:val="00672DA6"/>
    <w:rsid w:val="006757D4"/>
    <w:rsid w:val="00676F6A"/>
    <w:rsid w:val="00677938"/>
    <w:rsid w:val="006802FC"/>
    <w:rsid w:val="0068098B"/>
    <w:rsid w:val="0068196F"/>
    <w:rsid w:val="006827B0"/>
    <w:rsid w:val="00682C92"/>
    <w:rsid w:val="00683239"/>
    <w:rsid w:val="00684848"/>
    <w:rsid w:val="00685318"/>
    <w:rsid w:val="00685CC8"/>
    <w:rsid w:val="00690C3A"/>
    <w:rsid w:val="006913AF"/>
    <w:rsid w:val="0069183F"/>
    <w:rsid w:val="006919D0"/>
    <w:rsid w:val="00693A1A"/>
    <w:rsid w:val="00693C72"/>
    <w:rsid w:val="006945F0"/>
    <w:rsid w:val="006951B3"/>
    <w:rsid w:val="006964B5"/>
    <w:rsid w:val="00696685"/>
    <w:rsid w:val="006971F7"/>
    <w:rsid w:val="0069758D"/>
    <w:rsid w:val="006A0BAC"/>
    <w:rsid w:val="006A1402"/>
    <w:rsid w:val="006A1894"/>
    <w:rsid w:val="006A21B9"/>
    <w:rsid w:val="006A24EB"/>
    <w:rsid w:val="006A2873"/>
    <w:rsid w:val="006A3BFD"/>
    <w:rsid w:val="006A41CB"/>
    <w:rsid w:val="006A4C03"/>
    <w:rsid w:val="006A4E05"/>
    <w:rsid w:val="006A4FD5"/>
    <w:rsid w:val="006A58FA"/>
    <w:rsid w:val="006A65E3"/>
    <w:rsid w:val="006A7455"/>
    <w:rsid w:val="006A76F0"/>
    <w:rsid w:val="006B05C6"/>
    <w:rsid w:val="006B0C22"/>
    <w:rsid w:val="006B309D"/>
    <w:rsid w:val="006B32F7"/>
    <w:rsid w:val="006B3883"/>
    <w:rsid w:val="006B39DA"/>
    <w:rsid w:val="006B50B9"/>
    <w:rsid w:val="006B6139"/>
    <w:rsid w:val="006B68F8"/>
    <w:rsid w:val="006C0759"/>
    <w:rsid w:val="006C22A1"/>
    <w:rsid w:val="006C29E9"/>
    <w:rsid w:val="006C3208"/>
    <w:rsid w:val="006C5B67"/>
    <w:rsid w:val="006C5CD2"/>
    <w:rsid w:val="006C68DB"/>
    <w:rsid w:val="006C6DED"/>
    <w:rsid w:val="006C7AEA"/>
    <w:rsid w:val="006C7C16"/>
    <w:rsid w:val="006C7FF1"/>
    <w:rsid w:val="006D0C84"/>
    <w:rsid w:val="006D0EE6"/>
    <w:rsid w:val="006D10A2"/>
    <w:rsid w:val="006D18F1"/>
    <w:rsid w:val="006D1AAD"/>
    <w:rsid w:val="006D2467"/>
    <w:rsid w:val="006D275A"/>
    <w:rsid w:val="006D2FDE"/>
    <w:rsid w:val="006D32EA"/>
    <w:rsid w:val="006D3571"/>
    <w:rsid w:val="006D4924"/>
    <w:rsid w:val="006D6796"/>
    <w:rsid w:val="006D791B"/>
    <w:rsid w:val="006D7954"/>
    <w:rsid w:val="006D7B7B"/>
    <w:rsid w:val="006E0770"/>
    <w:rsid w:val="006E119B"/>
    <w:rsid w:val="006E1B49"/>
    <w:rsid w:val="006E35FD"/>
    <w:rsid w:val="006E3E9B"/>
    <w:rsid w:val="006E5971"/>
    <w:rsid w:val="006F0BE6"/>
    <w:rsid w:val="006F3353"/>
    <w:rsid w:val="006F3AA0"/>
    <w:rsid w:val="006F3F42"/>
    <w:rsid w:val="006F4249"/>
    <w:rsid w:val="006F5399"/>
    <w:rsid w:val="006F5B5C"/>
    <w:rsid w:val="006F6730"/>
    <w:rsid w:val="006F7DD0"/>
    <w:rsid w:val="00700F68"/>
    <w:rsid w:val="00701789"/>
    <w:rsid w:val="00702BB2"/>
    <w:rsid w:val="00702DD2"/>
    <w:rsid w:val="00705511"/>
    <w:rsid w:val="00705600"/>
    <w:rsid w:val="0070594F"/>
    <w:rsid w:val="00705FD0"/>
    <w:rsid w:val="00706D8E"/>
    <w:rsid w:val="00707754"/>
    <w:rsid w:val="00711496"/>
    <w:rsid w:val="00711925"/>
    <w:rsid w:val="00711DB3"/>
    <w:rsid w:val="00712311"/>
    <w:rsid w:val="00712E87"/>
    <w:rsid w:val="00713E14"/>
    <w:rsid w:val="00714117"/>
    <w:rsid w:val="0071475E"/>
    <w:rsid w:val="00714D25"/>
    <w:rsid w:val="00714DE2"/>
    <w:rsid w:val="0071693C"/>
    <w:rsid w:val="00717493"/>
    <w:rsid w:val="00720282"/>
    <w:rsid w:val="00720F8E"/>
    <w:rsid w:val="00721CF6"/>
    <w:rsid w:val="00721D37"/>
    <w:rsid w:val="00721F7D"/>
    <w:rsid w:val="00722356"/>
    <w:rsid w:val="007227BE"/>
    <w:rsid w:val="00725DAA"/>
    <w:rsid w:val="00726212"/>
    <w:rsid w:val="007264C0"/>
    <w:rsid w:val="0072670C"/>
    <w:rsid w:val="00726A7C"/>
    <w:rsid w:val="007271AD"/>
    <w:rsid w:val="0072721E"/>
    <w:rsid w:val="0072789A"/>
    <w:rsid w:val="00732B37"/>
    <w:rsid w:val="007343E1"/>
    <w:rsid w:val="00734A7B"/>
    <w:rsid w:val="00735088"/>
    <w:rsid w:val="007367E0"/>
    <w:rsid w:val="00736E6A"/>
    <w:rsid w:val="0073700F"/>
    <w:rsid w:val="00740251"/>
    <w:rsid w:val="00741467"/>
    <w:rsid w:val="007422AB"/>
    <w:rsid w:val="007428D8"/>
    <w:rsid w:val="00744620"/>
    <w:rsid w:val="007447E5"/>
    <w:rsid w:val="00745754"/>
    <w:rsid w:val="007458B7"/>
    <w:rsid w:val="00746507"/>
    <w:rsid w:val="00746FF0"/>
    <w:rsid w:val="007476BB"/>
    <w:rsid w:val="007476E1"/>
    <w:rsid w:val="00747D0E"/>
    <w:rsid w:val="007513C5"/>
    <w:rsid w:val="00751AD1"/>
    <w:rsid w:val="00751B95"/>
    <w:rsid w:val="00751ECF"/>
    <w:rsid w:val="00752BAC"/>
    <w:rsid w:val="00753362"/>
    <w:rsid w:val="00754169"/>
    <w:rsid w:val="007544A4"/>
    <w:rsid w:val="00755435"/>
    <w:rsid w:val="0075752F"/>
    <w:rsid w:val="007576E2"/>
    <w:rsid w:val="007605D9"/>
    <w:rsid w:val="007615EB"/>
    <w:rsid w:val="00761EE9"/>
    <w:rsid w:val="007622CE"/>
    <w:rsid w:val="00762628"/>
    <w:rsid w:val="00764542"/>
    <w:rsid w:val="00765D32"/>
    <w:rsid w:val="00766DAF"/>
    <w:rsid w:val="00766DD8"/>
    <w:rsid w:val="00767BD0"/>
    <w:rsid w:val="00767C06"/>
    <w:rsid w:val="00767D11"/>
    <w:rsid w:val="007712FA"/>
    <w:rsid w:val="0077275F"/>
    <w:rsid w:val="0077388C"/>
    <w:rsid w:val="00773FA4"/>
    <w:rsid w:val="0077410F"/>
    <w:rsid w:val="0077456D"/>
    <w:rsid w:val="0077631B"/>
    <w:rsid w:val="00776A7D"/>
    <w:rsid w:val="00776DEC"/>
    <w:rsid w:val="007774AE"/>
    <w:rsid w:val="00780516"/>
    <w:rsid w:val="007807B2"/>
    <w:rsid w:val="00781AB5"/>
    <w:rsid w:val="00781F37"/>
    <w:rsid w:val="007828BD"/>
    <w:rsid w:val="00783C73"/>
    <w:rsid w:val="00783DD7"/>
    <w:rsid w:val="00784161"/>
    <w:rsid w:val="007855A5"/>
    <w:rsid w:val="007855F3"/>
    <w:rsid w:val="00787674"/>
    <w:rsid w:val="007876C0"/>
    <w:rsid w:val="0079036F"/>
    <w:rsid w:val="007903FF"/>
    <w:rsid w:val="00790962"/>
    <w:rsid w:val="00791272"/>
    <w:rsid w:val="007927E1"/>
    <w:rsid w:val="00792A0D"/>
    <w:rsid w:val="007931F7"/>
    <w:rsid w:val="00793A2B"/>
    <w:rsid w:val="00793FF6"/>
    <w:rsid w:val="00794389"/>
    <w:rsid w:val="00794DEB"/>
    <w:rsid w:val="00794E61"/>
    <w:rsid w:val="00795A7F"/>
    <w:rsid w:val="00796CF1"/>
    <w:rsid w:val="007A09EF"/>
    <w:rsid w:val="007A125C"/>
    <w:rsid w:val="007A31FF"/>
    <w:rsid w:val="007A4583"/>
    <w:rsid w:val="007A471E"/>
    <w:rsid w:val="007A48B4"/>
    <w:rsid w:val="007A51C5"/>
    <w:rsid w:val="007A5249"/>
    <w:rsid w:val="007A6144"/>
    <w:rsid w:val="007A7594"/>
    <w:rsid w:val="007A78FD"/>
    <w:rsid w:val="007B1AAB"/>
    <w:rsid w:val="007B300E"/>
    <w:rsid w:val="007B3683"/>
    <w:rsid w:val="007B45E5"/>
    <w:rsid w:val="007B52D4"/>
    <w:rsid w:val="007B587B"/>
    <w:rsid w:val="007B5AAF"/>
    <w:rsid w:val="007B663F"/>
    <w:rsid w:val="007B6798"/>
    <w:rsid w:val="007B6CAC"/>
    <w:rsid w:val="007B76AE"/>
    <w:rsid w:val="007B7A5C"/>
    <w:rsid w:val="007C07CE"/>
    <w:rsid w:val="007C0FA2"/>
    <w:rsid w:val="007C11EC"/>
    <w:rsid w:val="007C217A"/>
    <w:rsid w:val="007C42F8"/>
    <w:rsid w:val="007C462D"/>
    <w:rsid w:val="007C47C5"/>
    <w:rsid w:val="007C4963"/>
    <w:rsid w:val="007C50D6"/>
    <w:rsid w:val="007C5546"/>
    <w:rsid w:val="007C720F"/>
    <w:rsid w:val="007C7742"/>
    <w:rsid w:val="007D00C2"/>
    <w:rsid w:val="007D0996"/>
    <w:rsid w:val="007D0AE2"/>
    <w:rsid w:val="007D1C90"/>
    <w:rsid w:val="007D1C91"/>
    <w:rsid w:val="007D1F2A"/>
    <w:rsid w:val="007D21FA"/>
    <w:rsid w:val="007D2ADE"/>
    <w:rsid w:val="007D3641"/>
    <w:rsid w:val="007D62D6"/>
    <w:rsid w:val="007D687B"/>
    <w:rsid w:val="007D6B89"/>
    <w:rsid w:val="007D7D8F"/>
    <w:rsid w:val="007D7F7E"/>
    <w:rsid w:val="007E05BF"/>
    <w:rsid w:val="007E0BB1"/>
    <w:rsid w:val="007E32E8"/>
    <w:rsid w:val="007E3552"/>
    <w:rsid w:val="007E35C1"/>
    <w:rsid w:val="007E37E9"/>
    <w:rsid w:val="007E3989"/>
    <w:rsid w:val="007E3B0F"/>
    <w:rsid w:val="007E3B46"/>
    <w:rsid w:val="007E5CD1"/>
    <w:rsid w:val="007E63CF"/>
    <w:rsid w:val="007E6AD5"/>
    <w:rsid w:val="007E7ED4"/>
    <w:rsid w:val="007F0237"/>
    <w:rsid w:val="007F0268"/>
    <w:rsid w:val="007F03F1"/>
    <w:rsid w:val="007F0977"/>
    <w:rsid w:val="007F0FD5"/>
    <w:rsid w:val="007F104B"/>
    <w:rsid w:val="007F25AB"/>
    <w:rsid w:val="007F40EC"/>
    <w:rsid w:val="007F4D47"/>
    <w:rsid w:val="007F5282"/>
    <w:rsid w:val="007F71AE"/>
    <w:rsid w:val="007F7A72"/>
    <w:rsid w:val="00800263"/>
    <w:rsid w:val="00800926"/>
    <w:rsid w:val="00800E91"/>
    <w:rsid w:val="008032DB"/>
    <w:rsid w:val="00803888"/>
    <w:rsid w:val="00805151"/>
    <w:rsid w:val="0080530A"/>
    <w:rsid w:val="00805544"/>
    <w:rsid w:val="0080580E"/>
    <w:rsid w:val="0080687B"/>
    <w:rsid w:val="00810402"/>
    <w:rsid w:val="00810489"/>
    <w:rsid w:val="0081076A"/>
    <w:rsid w:val="00810D37"/>
    <w:rsid w:val="00810F81"/>
    <w:rsid w:val="00811B37"/>
    <w:rsid w:val="008131D7"/>
    <w:rsid w:val="00813400"/>
    <w:rsid w:val="00813628"/>
    <w:rsid w:val="00813795"/>
    <w:rsid w:val="00813AAB"/>
    <w:rsid w:val="00813EBA"/>
    <w:rsid w:val="008147B3"/>
    <w:rsid w:val="008148F7"/>
    <w:rsid w:val="00815A3B"/>
    <w:rsid w:val="00815DB1"/>
    <w:rsid w:val="00820946"/>
    <w:rsid w:val="00821D20"/>
    <w:rsid w:val="00821F3C"/>
    <w:rsid w:val="008221B5"/>
    <w:rsid w:val="008231E3"/>
    <w:rsid w:val="00823894"/>
    <w:rsid w:val="0082416E"/>
    <w:rsid w:val="008244AD"/>
    <w:rsid w:val="00824A4A"/>
    <w:rsid w:val="00824E15"/>
    <w:rsid w:val="00826281"/>
    <w:rsid w:val="00826407"/>
    <w:rsid w:val="008265A0"/>
    <w:rsid w:val="00826608"/>
    <w:rsid w:val="008273D1"/>
    <w:rsid w:val="0082788F"/>
    <w:rsid w:val="008310DE"/>
    <w:rsid w:val="00831146"/>
    <w:rsid w:val="008312A0"/>
    <w:rsid w:val="008315A6"/>
    <w:rsid w:val="008327FC"/>
    <w:rsid w:val="00832AAA"/>
    <w:rsid w:val="00832CF1"/>
    <w:rsid w:val="00833A86"/>
    <w:rsid w:val="00833E93"/>
    <w:rsid w:val="00834C6F"/>
    <w:rsid w:val="00835468"/>
    <w:rsid w:val="0083566E"/>
    <w:rsid w:val="00835A9B"/>
    <w:rsid w:val="008376EA"/>
    <w:rsid w:val="00837B82"/>
    <w:rsid w:val="008429E3"/>
    <w:rsid w:val="008437A0"/>
    <w:rsid w:val="008438E6"/>
    <w:rsid w:val="00845B4C"/>
    <w:rsid w:val="00845C55"/>
    <w:rsid w:val="00845D3F"/>
    <w:rsid w:val="00845D56"/>
    <w:rsid w:val="00846822"/>
    <w:rsid w:val="008469A3"/>
    <w:rsid w:val="00846F4D"/>
    <w:rsid w:val="00851B7B"/>
    <w:rsid w:val="00852719"/>
    <w:rsid w:val="00852BC5"/>
    <w:rsid w:val="00852BF7"/>
    <w:rsid w:val="008533A9"/>
    <w:rsid w:val="008534DD"/>
    <w:rsid w:val="0085392D"/>
    <w:rsid w:val="00853A9E"/>
    <w:rsid w:val="00854CCA"/>
    <w:rsid w:val="00855A21"/>
    <w:rsid w:val="00856189"/>
    <w:rsid w:val="008577FC"/>
    <w:rsid w:val="00857DEB"/>
    <w:rsid w:val="0086026E"/>
    <w:rsid w:val="00860EC5"/>
    <w:rsid w:val="008616F6"/>
    <w:rsid w:val="00861A09"/>
    <w:rsid w:val="0086280C"/>
    <w:rsid w:val="00862A99"/>
    <w:rsid w:val="00863578"/>
    <w:rsid w:val="00865840"/>
    <w:rsid w:val="00865AD6"/>
    <w:rsid w:val="00865B75"/>
    <w:rsid w:val="00865D01"/>
    <w:rsid w:val="00865DD6"/>
    <w:rsid w:val="00866933"/>
    <w:rsid w:val="00867C15"/>
    <w:rsid w:val="00867C94"/>
    <w:rsid w:val="008706AD"/>
    <w:rsid w:val="00871599"/>
    <w:rsid w:val="00871F10"/>
    <w:rsid w:val="0087356D"/>
    <w:rsid w:val="00874062"/>
    <w:rsid w:val="008748D9"/>
    <w:rsid w:val="008752A4"/>
    <w:rsid w:val="00875DDB"/>
    <w:rsid w:val="008760E6"/>
    <w:rsid w:val="00876AB2"/>
    <w:rsid w:val="008776AF"/>
    <w:rsid w:val="00877A85"/>
    <w:rsid w:val="00880998"/>
    <w:rsid w:val="00881F65"/>
    <w:rsid w:val="00882165"/>
    <w:rsid w:val="008822B3"/>
    <w:rsid w:val="00882486"/>
    <w:rsid w:val="00882B75"/>
    <w:rsid w:val="00882C99"/>
    <w:rsid w:val="008839FB"/>
    <w:rsid w:val="00883AFC"/>
    <w:rsid w:val="00883F48"/>
    <w:rsid w:val="00884671"/>
    <w:rsid w:val="008854D2"/>
    <w:rsid w:val="00886874"/>
    <w:rsid w:val="00886965"/>
    <w:rsid w:val="00886B4C"/>
    <w:rsid w:val="008901D6"/>
    <w:rsid w:val="0089077A"/>
    <w:rsid w:val="00890A35"/>
    <w:rsid w:val="00890D8D"/>
    <w:rsid w:val="00890EB5"/>
    <w:rsid w:val="00891116"/>
    <w:rsid w:val="00891189"/>
    <w:rsid w:val="00891250"/>
    <w:rsid w:val="00891743"/>
    <w:rsid w:val="0089253A"/>
    <w:rsid w:val="00893626"/>
    <w:rsid w:val="00893B29"/>
    <w:rsid w:val="008947B3"/>
    <w:rsid w:val="00894C55"/>
    <w:rsid w:val="00896244"/>
    <w:rsid w:val="00896FCE"/>
    <w:rsid w:val="008A0148"/>
    <w:rsid w:val="008A03BE"/>
    <w:rsid w:val="008A04DA"/>
    <w:rsid w:val="008A06F1"/>
    <w:rsid w:val="008A12BA"/>
    <w:rsid w:val="008A1444"/>
    <w:rsid w:val="008A16CD"/>
    <w:rsid w:val="008A1AD7"/>
    <w:rsid w:val="008A2B3A"/>
    <w:rsid w:val="008A38D7"/>
    <w:rsid w:val="008A3A5D"/>
    <w:rsid w:val="008A4504"/>
    <w:rsid w:val="008A4F84"/>
    <w:rsid w:val="008A5541"/>
    <w:rsid w:val="008A58B2"/>
    <w:rsid w:val="008A6E72"/>
    <w:rsid w:val="008A7C88"/>
    <w:rsid w:val="008B00B6"/>
    <w:rsid w:val="008B106C"/>
    <w:rsid w:val="008B18C6"/>
    <w:rsid w:val="008B1B07"/>
    <w:rsid w:val="008B3D57"/>
    <w:rsid w:val="008B427D"/>
    <w:rsid w:val="008B64FB"/>
    <w:rsid w:val="008B7AEF"/>
    <w:rsid w:val="008C00D0"/>
    <w:rsid w:val="008C0473"/>
    <w:rsid w:val="008C2B0D"/>
    <w:rsid w:val="008C34B3"/>
    <w:rsid w:val="008C3E04"/>
    <w:rsid w:val="008C44F5"/>
    <w:rsid w:val="008C4A63"/>
    <w:rsid w:val="008D1092"/>
    <w:rsid w:val="008D145D"/>
    <w:rsid w:val="008D1841"/>
    <w:rsid w:val="008D24CE"/>
    <w:rsid w:val="008D27DF"/>
    <w:rsid w:val="008D2C35"/>
    <w:rsid w:val="008D2CDC"/>
    <w:rsid w:val="008D5E46"/>
    <w:rsid w:val="008D6D7B"/>
    <w:rsid w:val="008D7DB7"/>
    <w:rsid w:val="008D7EF7"/>
    <w:rsid w:val="008D7FAA"/>
    <w:rsid w:val="008E2FEB"/>
    <w:rsid w:val="008E480B"/>
    <w:rsid w:val="008E49C8"/>
    <w:rsid w:val="008E5C39"/>
    <w:rsid w:val="008E5D44"/>
    <w:rsid w:val="008E6610"/>
    <w:rsid w:val="008E718A"/>
    <w:rsid w:val="008F06F5"/>
    <w:rsid w:val="008F0A4D"/>
    <w:rsid w:val="008F0C25"/>
    <w:rsid w:val="008F2531"/>
    <w:rsid w:val="008F3037"/>
    <w:rsid w:val="008F30D5"/>
    <w:rsid w:val="008F3B44"/>
    <w:rsid w:val="008F4140"/>
    <w:rsid w:val="008F521A"/>
    <w:rsid w:val="008F5B3C"/>
    <w:rsid w:val="008F5EB9"/>
    <w:rsid w:val="008F738F"/>
    <w:rsid w:val="008F73CA"/>
    <w:rsid w:val="008F7791"/>
    <w:rsid w:val="008F7868"/>
    <w:rsid w:val="00900F99"/>
    <w:rsid w:val="00901067"/>
    <w:rsid w:val="009021FA"/>
    <w:rsid w:val="0090276A"/>
    <w:rsid w:val="00902B6D"/>
    <w:rsid w:val="009030BA"/>
    <w:rsid w:val="009038F2"/>
    <w:rsid w:val="00903ECD"/>
    <w:rsid w:val="00904741"/>
    <w:rsid w:val="0090510E"/>
    <w:rsid w:val="00905D12"/>
    <w:rsid w:val="009066AE"/>
    <w:rsid w:val="009068B8"/>
    <w:rsid w:val="00907A19"/>
    <w:rsid w:val="00907DEE"/>
    <w:rsid w:val="00910F94"/>
    <w:rsid w:val="00911F5E"/>
    <w:rsid w:val="009122BE"/>
    <w:rsid w:val="00912EA4"/>
    <w:rsid w:val="00914DCB"/>
    <w:rsid w:val="009163C4"/>
    <w:rsid w:val="00916B8F"/>
    <w:rsid w:val="00917137"/>
    <w:rsid w:val="009175A0"/>
    <w:rsid w:val="0091761B"/>
    <w:rsid w:val="00917D49"/>
    <w:rsid w:val="009209F3"/>
    <w:rsid w:val="00922B6E"/>
    <w:rsid w:val="009231F9"/>
    <w:rsid w:val="00924AD4"/>
    <w:rsid w:val="00926689"/>
    <w:rsid w:val="00926ECA"/>
    <w:rsid w:val="00927589"/>
    <w:rsid w:val="00927826"/>
    <w:rsid w:val="00927E34"/>
    <w:rsid w:val="00932731"/>
    <w:rsid w:val="00932C8C"/>
    <w:rsid w:val="009341B1"/>
    <w:rsid w:val="00934A3F"/>
    <w:rsid w:val="00935A52"/>
    <w:rsid w:val="009361CA"/>
    <w:rsid w:val="00937368"/>
    <w:rsid w:val="009403B5"/>
    <w:rsid w:val="00940E87"/>
    <w:rsid w:val="00942153"/>
    <w:rsid w:val="00942B0F"/>
    <w:rsid w:val="00943C15"/>
    <w:rsid w:val="009457A6"/>
    <w:rsid w:val="0094581C"/>
    <w:rsid w:val="00945C8A"/>
    <w:rsid w:val="00945CD6"/>
    <w:rsid w:val="00946058"/>
    <w:rsid w:val="009475A0"/>
    <w:rsid w:val="00947B1B"/>
    <w:rsid w:val="00947B7B"/>
    <w:rsid w:val="009508D2"/>
    <w:rsid w:val="00950B06"/>
    <w:rsid w:val="00950B7D"/>
    <w:rsid w:val="00950DB7"/>
    <w:rsid w:val="00952074"/>
    <w:rsid w:val="00952F25"/>
    <w:rsid w:val="009530A2"/>
    <w:rsid w:val="00953AC0"/>
    <w:rsid w:val="00953BB6"/>
    <w:rsid w:val="0095454E"/>
    <w:rsid w:val="00954602"/>
    <w:rsid w:val="0095527D"/>
    <w:rsid w:val="009552FE"/>
    <w:rsid w:val="009561CF"/>
    <w:rsid w:val="009568CE"/>
    <w:rsid w:val="00956F50"/>
    <w:rsid w:val="00957483"/>
    <w:rsid w:val="00957965"/>
    <w:rsid w:val="0096002E"/>
    <w:rsid w:val="00960A52"/>
    <w:rsid w:val="0096151E"/>
    <w:rsid w:val="009615AA"/>
    <w:rsid w:val="0096186D"/>
    <w:rsid w:val="00961943"/>
    <w:rsid w:val="0096236B"/>
    <w:rsid w:val="00962C16"/>
    <w:rsid w:val="00963EA0"/>
    <w:rsid w:val="009647E4"/>
    <w:rsid w:val="00964AFC"/>
    <w:rsid w:val="00965F01"/>
    <w:rsid w:val="0096628A"/>
    <w:rsid w:val="00966745"/>
    <w:rsid w:val="009679B5"/>
    <w:rsid w:val="0097177C"/>
    <w:rsid w:val="009721E6"/>
    <w:rsid w:val="00972E92"/>
    <w:rsid w:val="00973F91"/>
    <w:rsid w:val="009740E9"/>
    <w:rsid w:val="009744BF"/>
    <w:rsid w:val="00974DA7"/>
    <w:rsid w:val="009752D1"/>
    <w:rsid w:val="00977126"/>
    <w:rsid w:val="009777B9"/>
    <w:rsid w:val="00982E1A"/>
    <w:rsid w:val="00983368"/>
    <w:rsid w:val="009833E0"/>
    <w:rsid w:val="00985C90"/>
    <w:rsid w:val="009865FE"/>
    <w:rsid w:val="009870CF"/>
    <w:rsid w:val="00987C30"/>
    <w:rsid w:val="00990667"/>
    <w:rsid w:val="00990FBD"/>
    <w:rsid w:val="0099143D"/>
    <w:rsid w:val="00991919"/>
    <w:rsid w:val="00992176"/>
    <w:rsid w:val="00992785"/>
    <w:rsid w:val="00992883"/>
    <w:rsid w:val="00993534"/>
    <w:rsid w:val="0099415A"/>
    <w:rsid w:val="009944F8"/>
    <w:rsid w:val="009949DD"/>
    <w:rsid w:val="00995475"/>
    <w:rsid w:val="009959B8"/>
    <w:rsid w:val="00996CCE"/>
    <w:rsid w:val="0099732B"/>
    <w:rsid w:val="009977A8"/>
    <w:rsid w:val="009A02A3"/>
    <w:rsid w:val="009A15AF"/>
    <w:rsid w:val="009A1D6A"/>
    <w:rsid w:val="009A2EDF"/>
    <w:rsid w:val="009A467E"/>
    <w:rsid w:val="009A47D2"/>
    <w:rsid w:val="009A4A38"/>
    <w:rsid w:val="009A52D1"/>
    <w:rsid w:val="009A5342"/>
    <w:rsid w:val="009A5A4F"/>
    <w:rsid w:val="009A5C10"/>
    <w:rsid w:val="009A7827"/>
    <w:rsid w:val="009A79B1"/>
    <w:rsid w:val="009A7E6A"/>
    <w:rsid w:val="009B080D"/>
    <w:rsid w:val="009B0EBA"/>
    <w:rsid w:val="009B104E"/>
    <w:rsid w:val="009B140F"/>
    <w:rsid w:val="009B1991"/>
    <w:rsid w:val="009B2959"/>
    <w:rsid w:val="009B29F0"/>
    <w:rsid w:val="009B3877"/>
    <w:rsid w:val="009B442D"/>
    <w:rsid w:val="009B4EA0"/>
    <w:rsid w:val="009B50BC"/>
    <w:rsid w:val="009B59DA"/>
    <w:rsid w:val="009B5BF1"/>
    <w:rsid w:val="009B5D12"/>
    <w:rsid w:val="009B69C3"/>
    <w:rsid w:val="009B6B2E"/>
    <w:rsid w:val="009B6F8A"/>
    <w:rsid w:val="009B7D11"/>
    <w:rsid w:val="009C09F8"/>
    <w:rsid w:val="009C0E80"/>
    <w:rsid w:val="009C17B9"/>
    <w:rsid w:val="009C18EB"/>
    <w:rsid w:val="009C1E01"/>
    <w:rsid w:val="009C2591"/>
    <w:rsid w:val="009C262E"/>
    <w:rsid w:val="009C32E7"/>
    <w:rsid w:val="009C4830"/>
    <w:rsid w:val="009C53B5"/>
    <w:rsid w:val="009C5830"/>
    <w:rsid w:val="009C67E6"/>
    <w:rsid w:val="009C6880"/>
    <w:rsid w:val="009C6D99"/>
    <w:rsid w:val="009C6F5A"/>
    <w:rsid w:val="009D0422"/>
    <w:rsid w:val="009D1212"/>
    <w:rsid w:val="009D1551"/>
    <w:rsid w:val="009D16C7"/>
    <w:rsid w:val="009D1A18"/>
    <w:rsid w:val="009D228B"/>
    <w:rsid w:val="009D347A"/>
    <w:rsid w:val="009D4061"/>
    <w:rsid w:val="009D4670"/>
    <w:rsid w:val="009D4C84"/>
    <w:rsid w:val="009D5759"/>
    <w:rsid w:val="009D5ABB"/>
    <w:rsid w:val="009D61F7"/>
    <w:rsid w:val="009D6ABC"/>
    <w:rsid w:val="009E01D4"/>
    <w:rsid w:val="009E066F"/>
    <w:rsid w:val="009E2322"/>
    <w:rsid w:val="009E53A4"/>
    <w:rsid w:val="009E5CA9"/>
    <w:rsid w:val="009E5D0A"/>
    <w:rsid w:val="009E5F0A"/>
    <w:rsid w:val="009E6127"/>
    <w:rsid w:val="009E6512"/>
    <w:rsid w:val="009E666A"/>
    <w:rsid w:val="009F0A3F"/>
    <w:rsid w:val="009F0FD7"/>
    <w:rsid w:val="009F14C7"/>
    <w:rsid w:val="009F1D9D"/>
    <w:rsid w:val="009F1DB3"/>
    <w:rsid w:val="009F207E"/>
    <w:rsid w:val="009F2177"/>
    <w:rsid w:val="009F2309"/>
    <w:rsid w:val="009F3156"/>
    <w:rsid w:val="009F3DA7"/>
    <w:rsid w:val="009F4473"/>
    <w:rsid w:val="009F51DF"/>
    <w:rsid w:val="009F69C5"/>
    <w:rsid w:val="009F7ABB"/>
    <w:rsid w:val="00A011B1"/>
    <w:rsid w:val="00A01396"/>
    <w:rsid w:val="00A01C22"/>
    <w:rsid w:val="00A02648"/>
    <w:rsid w:val="00A03F51"/>
    <w:rsid w:val="00A04B28"/>
    <w:rsid w:val="00A04E51"/>
    <w:rsid w:val="00A04F2D"/>
    <w:rsid w:val="00A0591B"/>
    <w:rsid w:val="00A07917"/>
    <w:rsid w:val="00A107F2"/>
    <w:rsid w:val="00A11782"/>
    <w:rsid w:val="00A11D92"/>
    <w:rsid w:val="00A11E55"/>
    <w:rsid w:val="00A12F9F"/>
    <w:rsid w:val="00A1303D"/>
    <w:rsid w:val="00A13ED4"/>
    <w:rsid w:val="00A162F4"/>
    <w:rsid w:val="00A20306"/>
    <w:rsid w:val="00A20643"/>
    <w:rsid w:val="00A20690"/>
    <w:rsid w:val="00A20C25"/>
    <w:rsid w:val="00A217D0"/>
    <w:rsid w:val="00A2274D"/>
    <w:rsid w:val="00A22D72"/>
    <w:rsid w:val="00A237C4"/>
    <w:rsid w:val="00A25552"/>
    <w:rsid w:val="00A2680B"/>
    <w:rsid w:val="00A26D40"/>
    <w:rsid w:val="00A2712A"/>
    <w:rsid w:val="00A27960"/>
    <w:rsid w:val="00A30ABE"/>
    <w:rsid w:val="00A31281"/>
    <w:rsid w:val="00A320B4"/>
    <w:rsid w:val="00A3232F"/>
    <w:rsid w:val="00A32563"/>
    <w:rsid w:val="00A32841"/>
    <w:rsid w:val="00A32F46"/>
    <w:rsid w:val="00A353BD"/>
    <w:rsid w:val="00A35A41"/>
    <w:rsid w:val="00A36F35"/>
    <w:rsid w:val="00A371C7"/>
    <w:rsid w:val="00A3738D"/>
    <w:rsid w:val="00A3769A"/>
    <w:rsid w:val="00A40219"/>
    <w:rsid w:val="00A4065B"/>
    <w:rsid w:val="00A40870"/>
    <w:rsid w:val="00A41A3E"/>
    <w:rsid w:val="00A41E42"/>
    <w:rsid w:val="00A424D5"/>
    <w:rsid w:val="00A431A4"/>
    <w:rsid w:val="00A43B41"/>
    <w:rsid w:val="00A448AD"/>
    <w:rsid w:val="00A459DE"/>
    <w:rsid w:val="00A459DF"/>
    <w:rsid w:val="00A45D6A"/>
    <w:rsid w:val="00A46188"/>
    <w:rsid w:val="00A463C3"/>
    <w:rsid w:val="00A46639"/>
    <w:rsid w:val="00A466CF"/>
    <w:rsid w:val="00A46890"/>
    <w:rsid w:val="00A47A0D"/>
    <w:rsid w:val="00A47D24"/>
    <w:rsid w:val="00A47E8F"/>
    <w:rsid w:val="00A50E0A"/>
    <w:rsid w:val="00A51E42"/>
    <w:rsid w:val="00A523EB"/>
    <w:rsid w:val="00A52CFC"/>
    <w:rsid w:val="00A53732"/>
    <w:rsid w:val="00A53E0B"/>
    <w:rsid w:val="00A543BF"/>
    <w:rsid w:val="00A5522E"/>
    <w:rsid w:val="00A61368"/>
    <w:rsid w:val="00A61445"/>
    <w:rsid w:val="00A61AFF"/>
    <w:rsid w:val="00A62F31"/>
    <w:rsid w:val="00A63B93"/>
    <w:rsid w:val="00A64B65"/>
    <w:rsid w:val="00A64D8C"/>
    <w:rsid w:val="00A64F5D"/>
    <w:rsid w:val="00A65210"/>
    <w:rsid w:val="00A65941"/>
    <w:rsid w:val="00A66765"/>
    <w:rsid w:val="00A66819"/>
    <w:rsid w:val="00A66C4B"/>
    <w:rsid w:val="00A713DB"/>
    <w:rsid w:val="00A72BB8"/>
    <w:rsid w:val="00A72D4B"/>
    <w:rsid w:val="00A76209"/>
    <w:rsid w:val="00A777F5"/>
    <w:rsid w:val="00A77D4C"/>
    <w:rsid w:val="00A80F69"/>
    <w:rsid w:val="00A811DF"/>
    <w:rsid w:val="00A8141A"/>
    <w:rsid w:val="00A8198A"/>
    <w:rsid w:val="00A81B47"/>
    <w:rsid w:val="00A82F1A"/>
    <w:rsid w:val="00A8335F"/>
    <w:rsid w:val="00A8365B"/>
    <w:rsid w:val="00A85CF9"/>
    <w:rsid w:val="00A85EAE"/>
    <w:rsid w:val="00A86281"/>
    <w:rsid w:val="00A90CE8"/>
    <w:rsid w:val="00A91A03"/>
    <w:rsid w:val="00A920CC"/>
    <w:rsid w:val="00A938B0"/>
    <w:rsid w:val="00A93DE3"/>
    <w:rsid w:val="00A959CC"/>
    <w:rsid w:val="00A969F6"/>
    <w:rsid w:val="00A96D58"/>
    <w:rsid w:val="00A97381"/>
    <w:rsid w:val="00AA0F74"/>
    <w:rsid w:val="00AA216A"/>
    <w:rsid w:val="00AA2EF2"/>
    <w:rsid w:val="00AA30AE"/>
    <w:rsid w:val="00AA390B"/>
    <w:rsid w:val="00AA3CB9"/>
    <w:rsid w:val="00AA4F62"/>
    <w:rsid w:val="00AA4FFF"/>
    <w:rsid w:val="00AA58CE"/>
    <w:rsid w:val="00AA5B84"/>
    <w:rsid w:val="00AA5D1D"/>
    <w:rsid w:val="00AA7C35"/>
    <w:rsid w:val="00AB0295"/>
    <w:rsid w:val="00AB08C9"/>
    <w:rsid w:val="00AB0AB3"/>
    <w:rsid w:val="00AB23CC"/>
    <w:rsid w:val="00AB26D9"/>
    <w:rsid w:val="00AB300D"/>
    <w:rsid w:val="00AB31B3"/>
    <w:rsid w:val="00AB3ED9"/>
    <w:rsid w:val="00AB4972"/>
    <w:rsid w:val="00AB5414"/>
    <w:rsid w:val="00AB6376"/>
    <w:rsid w:val="00AB7B7C"/>
    <w:rsid w:val="00AB7C9F"/>
    <w:rsid w:val="00AC0897"/>
    <w:rsid w:val="00AC21C0"/>
    <w:rsid w:val="00AC23A0"/>
    <w:rsid w:val="00AC24F8"/>
    <w:rsid w:val="00AC31B0"/>
    <w:rsid w:val="00AC34E2"/>
    <w:rsid w:val="00AC360D"/>
    <w:rsid w:val="00AC37AC"/>
    <w:rsid w:val="00AC42FB"/>
    <w:rsid w:val="00AC4908"/>
    <w:rsid w:val="00AC51EE"/>
    <w:rsid w:val="00AC5517"/>
    <w:rsid w:val="00AC67E2"/>
    <w:rsid w:val="00AD0080"/>
    <w:rsid w:val="00AD3E62"/>
    <w:rsid w:val="00AD40C0"/>
    <w:rsid w:val="00AD57B9"/>
    <w:rsid w:val="00AD5B4F"/>
    <w:rsid w:val="00AD66D4"/>
    <w:rsid w:val="00AD755C"/>
    <w:rsid w:val="00AD7923"/>
    <w:rsid w:val="00AE286C"/>
    <w:rsid w:val="00AE4AED"/>
    <w:rsid w:val="00AE5167"/>
    <w:rsid w:val="00AE583E"/>
    <w:rsid w:val="00AE5EF2"/>
    <w:rsid w:val="00AE6E46"/>
    <w:rsid w:val="00AE7E8C"/>
    <w:rsid w:val="00AF0F52"/>
    <w:rsid w:val="00AF1125"/>
    <w:rsid w:val="00AF2FC9"/>
    <w:rsid w:val="00AF3143"/>
    <w:rsid w:val="00AF3FC8"/>
    <w:rsid w:val="00AF5424"/>
    <w:rsid w:val="00AF54CC"/>
    <w:rsid w:val="00AF568E"/>
    <w:rsid w:val="00AF577E"/>
    <w:rsid w:val="00AF65CD"/>
    <w:rsid w:val="00AF71FF"/>
    <w:rsid w:val="00AF72F7"/>
    <w:rsid w:val="00AF7922"/>
    <w:rsid w:val="00AF7F5B"/>
    <w:rsid w:val="00B00FC8"/>
    <w:rsid w:val="00B01697"/>
    <w:rsid w:val="00B01E32"/>
    <w:rsid w:val="00B021D6"/>
    <w:rsid w:val="00B024E0"/>
    <w:rsid w:val="00B0254A"/>
    <w:rsid w:val="00B03278"/>
    <w:rsid w:val="00B032C9"/>
    <w:rsid w:val="00B039B0"/>
    <w:rsid w:val="00B046CE"/>
    <w:rsid w:val="00B04DD9"/>
    <w:rsid w:val="00B04E5C"/>
    <w:rsid w:val="00B05B80"/>
    <w:rsid w:val="00B05E4F"/>
    <w:rsid w:val="00B10AD1"/>
    <w:rsid w:val="00B10CAC"/>
    <w:rsid w:val="00B10D2A"/>
    <w:rsid w:val="00B1227A"/>
    <w:rsid w:val="00B12EA7"/>
    <w:rsid w:val="00B13398"/>
    <w:rsid w:val="00B137D0"/>
    <w:rsid w:val="00B13857"/>
    <w:rsid w:val="00B13A9C"/>
    <w:rsid w:val="00B141F4"/>
    <w:rsid w:val="00B205F8"/>
    <w:rsid w:val="00B21330"/>
    <w:rsid w:val="00B22D31"/>
    <w:rsid w:val="00B22F51"/>
    <w:rsid w:val="00B23CE3"/>
    <w:rsid w:val="00B242C3"/>
    <w:rsid w:val="00B2454F"/>
    <w:rsid w:val="00B248E4"/>
    <w:rsid w:val="00B2586C"/>
    <w:rsid w:val="00B26131"/>
    <w:rsid w:val="00B277F5"/>
    <w:rsid w:val="00B27895"/>
    <w:rsid w:val="00B308C0"/>
    <w:rsid w:val="00B30B1A"/>
    <w:rsid w:val="00B31391"/>
    <w:rsid w:val="00B3164A"/>
    <w:rsid w:val="00B32688"/>
    <w:rsid w:val="00B32733"/>
    <w:rsid w:val="00B33214"/>
    <w:rsid w:val="00B333FF"/>
    <w:rsid w:val="00B33BAD"/>
    <w:rsid w:val="00B33DBF"/>
    <w:rsid w:val="00B35246"/>
    <w:rsid w:val="00B37033"/>
    <w:rsid w:val="00B37199"/>
    <w:rsid w:val="00B41043"/>
    <w:rsid w:val="00B411DB"/>
    <w:rsid w:val="00B41C72"/>
    <w:rsid w:val="00B42822"/>
    <w:rsid w:val="00B43223"/>
    <w:rsid w:val="00B433DE"/>
    <w:rsid w:val="00B43A5D"/>
    <w:rsid w:val="00B445FE"/>
    <w:rsid w:val="00B45238"/>
    <w:rsid w:val="00B4547C"/>
    <w:rsid w:val="00B45537"/>
    <w:rsid w:val="00B47711"/>
    <w:rsid w:val="00B47B48"/>
    <w:rsid w:val="00B5050D"/>
    <w:rsid w:val="00B50B5D"/>
    <w:rsid w:val="00B51147"/>
    <w:rsid w:val="00B5174F"/>
    <w:rsid w:val="00B52029"/>
    <w:rsid w:val="00B528C3"/>
    <w:rsid w:val="00B52B43"/>
    <w:rsid w:val="00B52E48"/>
    <w:rsid w:val="00B53359"/>
    <w:rsid w:val="00B533D2"/>
    <w:rsid w:val="00B53793"/>
    <w:rsid w:val="00B54633"/>
    <w:rsid w:val="00B554AD"/>
    <w:rsid w:val="00B55D80"/>
    <w:rsid w:val="00B61C69"/>
    <w:rsid w:val="00B626EC"/>
    <w:rsid w:val="00B63F28"/>
    <w:rsid w:val="00B65234"/>
    <w:rsid w:val="00B6539B"/>
    <w:rsid w:val="00B65569"/>
    <w:rsid w:val="00B655E7"/>
    <w:rsid w:val="00B65729"/>
    <w:rsid w:val="00B659D0"/>
    <w:rsid w:val="00B66285"/>
    <w:rsid w:val="00B66760"/>
    <w:rsid w:val="00B66797"/>
    <w:rsid w:val="00B67ACE"/>
    <w:rsid w:val="00B67D5A"/>
    <w:rsid w:val="00B67E10"/>
    <w:rsid w:val="00B67EDE"/>
    <w:rsid w:val="00B71247"/>
    <w:rsid w:val="00B714F0"/>
    <w:rsid w:val="00B71976"/>
    <w:rsid w:val="00B72CB6"/>
    <w:rsid w:val="00B73309"/>
    <w:rsid w:val="00B74B8B"/>
    <w:rsid w:val="00B74FCA"/>
    <w:rsid w:val="00B75ED9"/>
    <w:rsid w:val="00B771A0"/>
    <w:rsid w:val="00B774E5"/>
    <w:rsid w:val="00B7769E"/>
    <w:rsid w:val="00B808B1"/>
    <w:rsid w:val="00B81421"/>
    <w:rsid w:val="00B81563"/>
    <w:rsid w:val="00B8244B"/>
    <w:rsid w:val="00B82968"/>
    <w:rsid w:val="00B838FF"/>
    <w:rsid w:val="00B8477A"/>
    <w:rsid w:val="00B84E61"/>
    <w:rsid w:val="00B85EF6"/>
    <w:rsid w:val="00B87AB2"/>
    <w:rsid w:val="00B90B55"/>
    <w:rsid w:val="00B91993"/>
    <w:rsid w:val="00B92949"/>
    <w:rsid w:val="00B9335E"/>
    <w:rsid w:val="00B95344"/>
    <w:rsid w:val="00B95E5B"/>
    <w:rsid w:val="00B97CCF"/>
    <w:rsid w:val="00BA00FE"/>
    <w:rsid w:val="00BA0EC1"/>
    <w:rsid w:val="00BA1016"/>
    <w:rsid w:val="00BA249A"/>
    <w:rsid w:val="00BA3154"/>
    <w:rsid w:val="00BA36E2"/>
    <w:rsid w:val="00BA428D"/>
    <w:rsid w:val="00BA4681"/>
    <w:rsid w:val="00BA46FC"/>
    <w:rsid w:val="00BA5654"/>
    <w:rsid w:val="00BA66D0"/>
    <w:rsid w:val="00BA6E61"/>
    <w:rsid w:val="00BB03A4"/>
    <w:rsid w:val="00BB051F"/>
    <w:rsid w:val="00BB1384"/>
    <w:rsid w:val="00BB3957"/>
    <w:rsid w:val="00BB3FDF"/>
    <w:rsid w:val="00BB40BA"/>
    <w:rsid w:val="00BB40DC"/>
    <w:rsid w:val="00BB49D0"/>
    <w:rsid w:val="00BB64B8"/>
    <w:rsid w:val="00BB682B"/>
    <w:rsid w:val="00BB7B06"/>
    <w:rsid w:val="00BB7EDD"/>
    <w:rsid w:val="00BC0D1D"/>
    <w:rsid w:val="00BC0E40"/>
    <w:rsid w:val="00BC1F70"/>
    <w:rsid w:val="00BC31B3"/>
    <w:rsid w:val="00BC330E"/>
    <w:rsid w:val="00BC3360"/>
    <w:rsid w:val="00BC4C6A"/>
    <w:rsid w:val="00BC4F25"/>
    <w:rsid w:val="00BC5150"/>
    <w:rsid w:val="00BC5548"/>
    <w:rsid w:val="00BC55B5"/>
    <w:rsid w:val="00BC560A"/>
    <w:rsid w:val="00BC6061"/>
    <w:rsid w:val="00BC62E5"/>
    <w:rsid w:val="00BC6547"/>
    <w:rsid w:val="00BC7567"/>
    <w:rsid w:val="00BC7C7A"/>
    <w:rsid w:val="00BD00A1"/>
    <w:rsid w:val="00BD1756"/>
    <w:rsid w:val="00BD2000"/>
    <w:rsid w:val="00BD4C1A"/>
    <w:rsid w:val="00BD6A92"/>
    <w:rsid w:val="00BD6BCF"/>
    <w:rsid w:val="00BD7653"/>
    <w:rsid w:val="00BE0B86"/>
    <w:rsid w:val="00BE11BA"/>
    <w:rsid w:val="00BE144D"/>
    <w:rsid w:val="00BE1897"/>
    <w:rsid w:val="00BE28E2"/>
    <w:rsid w:val="00BE2F58"/>
    <w:rsid w:val="00BE30B7"/>
    <w:rsid w:val="00BE3787"/>
    <w:rsid w:val="00BE4584"/>
    <w:rsid w:val="00BE4D44"/>
    <w:rsid w:val="00BE53C1"/>
    <w:rsid w:val="00BE5FF0"/>
    <w:rsid w:val="00BE7446"/>
    <w:rsid w:val="00BF001C"/>
    <w:rsid w:val="00BF0C02"/>
    <w:rsid w:val="00BF1798"/>
    <w:rsid w:val="00BF233F"/>
    <w:rsid w:val="00BF28E3"/>
    <w:rsid w:val="00BF2CE4"/>
    <w:rsid w:val="00BF2F2F"/>
    <w:rsid w:val="00BF32F6"/>
    <w:rsid w:val="00BF378A"/>
    <w:rsid w:val="00BF522B"/>
    <w:rsid w:val="00BF5D1F"/>
    <w:rsid w:val="00BF6A40"/>
    <w:rsid w:val="00BF6D2C"/>
    <w:rsid w:val="00BF7401"/>
    <w:rsid w:val="00BF75CF"/>
    <w:rsid w:val="00C0026A"/>
    <w:rsid w:val="00C01291"/>
    <w:rsid w:val="00C02185"/>
    <w:rsid w:val="00C0287B"/>
    <w:rsid w:val="00C02C8A"/>
    <w:rsid w:val="00C02CFB"/>
    <w:rsid w:val="00C0409D"/>
    <w:rsid w:val="00C04B21"/>
    <w:rsid w:val="00C04D0B"/>
    <w:rsid w:val="00C052D6"/>
    <w:rsid w:val="00C06047"/>
    <w:rsid w:val="00C071CD"/>
    <w:rsid w:val="00C07529"/>
    <w:rsid w:val="00C07E07"/>
    <w:rsid w:val="00C07ED2"/>
    <w:rsid w:val="00C10888"/>
    <w:rsid w:val="00C10B55"/>
    <w:rsid w:val="00C10E98"/>
    <w:rsid w:val="00C12816"/>
    <w:rsid w:val="00C128BC"/>
    <w:rsid w:val="00C14272"/>
    <w:rsid w:val="00C155F8"/>
    <w:rsid w:val="00C15EE8"/>
    <w:rsid w:val="00C15F89"/>
    <w:rsid w:val="00C17EC1"/>
    <w:rsid w:val="00C208F0"/>
    <w:rsid w:val="00C21503"/>
    <w:rsid w:val="00C2239B"/>
    <w:rsid w:val="00C23297"/>
    <w:rsid w:val="00C2390B"/>
    <w:rsid w:val="00C2439B"/>
    <w:rsid w:val="00C25C8E"/>
    <w:rsid w:val="00C25E7D"/>
    <w:rsid w:val="00C26035"/>
    <w:rsid w:val="00C267BA"/>
    <w:rsid w:val="00C274D5"/>
    <w:rsid w:val="00C278E3"/>
    <w:rsid w:val="00C30389"/>
    <w:rsid w:val="00C307C5"/>
    <w:rsid w:val="00C30FFB"/>
    <w:rsid w:val="00C3119F"/>
    <w:rsid w:val="00C313C2"/>
    <w:rsid w:val="00C31A3B"/>
    <w:rsid w:val="00C323BD"/>
    <w:rsid w:val="00C3299E"/>
    <w:rsid w:val="00C33403"/>
    <w:rsid w:val="00C342B0"/>
    <w:rsid w:val="00C347F1"/>
    <w:rsid w:val="00C3654B"/>
    <w:rsid w:val="00C368EC"/>
    <w:rsid w:val="00C4022B"/>
    <w:rsid w:val="00C40A56"/>
    <w:rsid w:val="00C41104"/>
    <w:rsid w:val="00C4182B"/>
    <w:rsid w:val="00C42C20"/>
    <w:rsid w:val="00C431B6"/>
    <w:rsid w:val="00C44E78"/>
    <w:rsid w:val="00C450DF"/>
    <w:rsid w:val="00C4540C"/>
    <w:rsid w:val="00C471A3"/>
    <w:rsid w:val="00C47403"/>
    <w:rsid w:val="00C47EE6"/>
    <w:rsid w:val="00C517FE"/>
    <w:rsid w:val="00C51C90"/>
    <w:rsid w:val="00C52029"/>
    <w:rsid w:val="00C5435E"/>
    <w:rsid w:val="00C56570"/>
    <w:rsid w:val="00C57911"/>
    <w:rsid w:val="00C57CEB"/>
    <w:rsid w:val="00C61F0F"/>
    <w:rsid w:val="00C623BB"/>
    <w:rsid w:val="00C6343E"/>
    <w:rsid w:val="00C640FE"/>
    <w:rsid w:val="00C642AE"/>
    <w:rsid w:val="00C6475B"/>
    <w:rsid w:val="00C64EE6"/>
    <w:rsid w:val="00C65163"/>
    <w:rsid w:val="00C667ED"/>
    <w:rsid w:val="00C66B17"/>
    <w:rsid w:val="00C671D3"/>
    <w:rsid w:val="00C67603"/>
    <w:rsid w:val="00C73216"/>
    <w:rsid w:val="00C73A53"/>
    <w:rsid w:val="00C74D85"/>
    <w:rsid w:val="00C75173"/>
    <w:rsid w:val="00C75181"/>
    <w:rsid w:val="00C75235"/>
    <w:rsid w:val="00C774AB"/>
    <w:rsid w:val="00C77975"/>
    <w:rsid w:val="00C803C1"/>
    <w:rsid w:val="00C8053E"/>
    <w:rsid w:val="00C80FD7"/>
    <w:rsid w:val="00C8211E"/>
    <w:rsid w:val="00C83206"/>
    <w:rsid w:val="00C832D2"/>
    <w:rsid w:val="00C832D4"/>
    <w:rsid w:val="00C83C4E"/>
    <w:rsid w:val="00C843E8"/>
    <w:rsid w:val="00C86968"/>
    <w:rsid w:val="00C86D73"/>
    <w:rsid w:val="00C86E2B"/>
    <w:rsid w:val="00C86F0B"/>
    <w:rsid w:val="00C87AC5"/>
    <w:rsid w:val="00C87F17"/>
    <w:rsid w:val="00C916FA"/>
    <w:rsid w:val="00C9198B"/>
    <w:rsid w:val="00C92B75"/>
    <w:rsid w:val="00C932A2"/>
    <w:rsid w:val="00C93882"/>
    <w:rsid w:val="00C939BA"/>
    <w:rsid w:val="00C96C78"/>
    <w:rsid w:val="00C96DDB"/>
    <w:rsid w:val="00C96EA3"/>
    <w:rsid w:val="00C9711A"/>
    <w:rsid w:val="00C9764A"/>
    <w:rsid w:val="00C97DC6"/>
    <w:rsid w:val="00CA0187"/>
    <w:rsid w:val="00CA02F3"/>
    <w:rsid w:val="00CA0F45"/>
    <w:rsid w:val="00CA11D6"/>
    <w:rsid w:val="00CA1A3B"/>
    <w:rsid w:val="00CA1D18"/>
    <w:rsid w:val="00CA2A16"/>
    <w:rsid w:val="00CA3523"/>
    <w:rsid w:val="00CA366B"/>
    <w:rsid w:val="00CA3FAA"/>
    <w:rsid w:val="00CA4A9C"/>
    <w:rsid w:val="00CA4E72"/>
    <w:rsid w:val="00CA5C7F"/>
    <w:rsid w:val="00CA67C3"/>
    <w:rsid w:val="00CB129C"/>
    <w:rsid w:val="00CB2B47"/>
    <w:rsid w:val="00CB5526"/>
    <w:rsid w:val="00CB6690"/>
    <w:rsid w:val="00CB6BFA"/>
    <w:rsid w:val="00CB7236"/>
    <w:rsid w:val="00CB74DE"/>
    <w:rsid w:val="00CB7BF6"/>
    <w:rsid w:val="00CC0804"/>
    <w:rsid w:val="00CC0A7D"/>
    <w:rsid w:val="00CC0AF3"/>
    <w:rsid w:val="00CC19F9"/>
    <w:rsid w:val="00CC2E50"/>
    <w:rsid w:val="00CC2FA4"/>
    <w:rsid w:val="00CC30D0"/>
    <w:rsid w:val="00CC3701"/>
    <w:rsid w:val="00CC4EE3"/>
    <w:rsid w:val="00CC58C3"/>
    <w:rsid w:val="00CC64FA"/>
    <w:rsid w:val="00CC6A54"/>
    <w:rsid w:val="00CC6C8E"/>
    <w:rsid w:val="00CC6DE6"/>
    <w:rsid w:val="00CC7CC6"/>
    <w:rsid w:val="00CD0489"/>
    <w:rsid w:val="00CD0E41"/>
    <w:rsid w:val="00CD14F1"/>
    <w:rsid w:val="00CD15CF"/>
    <w:rsid w:val="00CD251F"/>
    <w:rsid w:val="00CD2724"/>
    <w:rsid w:val="00CD310D"/>
    <w:rsid w:val="00CD3216"/>
    <w:rsid w:val="00CD3753"/>
    <w:rsid w:val="00CD421B"/>
    <w:rsid w:val="00CD4423"/>
    <w:rsid w:val="00CD462D"/>
    <w:rsid w:val="00CD4B80"/>
    <w:rsid w:val="00CD5A2A"/>
    <w:rsid w:val="00CD6F3D"/>
    <w:rsid w:val="00CD7DD6"/>
    <w:rsid w:val="00CE0108"/>
    <w:rsid w:val="00CE04EE"/>
    <w:rsid w:val="00CE0D50"/>
    <w:rsid w:val="00CE0DFF"/>
    <w:rsid w:val="00CE1715"/>
    <w:rsid w:val="00CE3A9D"/>
    <w:rsid w:val="00CE422B"/>
    <w:rsid w:val="00CE454F"/>
    <w:rsid w:val="00CE53AD"/>
    <w:rsid w:val="00CE5682"/>
    <w:rsid w:val="00CE5685"/>
    <w:rsid w:val="00CE608E"/>
    <w:rsid w:val="00CE6197"/>
    <w:rsid w:val="00CE6327"/>
    <w:rsid w:val="00CE6781"/>
    <w:rsid w:val="00CE6AE2"/>
    <w:rsid w:val="00CE6DE8"/>
    <w:rsid w:val="00CE79F8"/>
    <w:rsid w:val="00CE7BB6"/>
    <w:rsid w:val="00CF148F"/>
    <w:rsid w:val="00CF1B03"/>
    <w:rsid w:val="00CF1D9D"/>
    <w:rsid w:val="00CF3AA9"/>
    <w:rsid w:val="00CF3EEF"/>
    <w:rsid w:val="00CF5150"/>
    <w:rsid w:val="00CF6DB2"/>
    <w:rsid w:val="00CF6FCB"/>
    <w:rsid w:val="00CF7D0D"/>
    <w:rsid w:val="00D00E9D"/>
    <w:rsid w:val="00D00FD1"/>
    <w:rsid w:val="00D017C6"/>
    <w:rsid w:val="00D01EA0"/>
    <w:rsid w:val="00D02A85"/>
    <w:rsid w:val="00D02AB8"/>
    <w:rsid w:val="00D02BF2"/>
    <w:rsid w:val="00D04A38"/>
    <w:rsid w:val="00D05EF4"/>
    <w:rsid w:val="00D065AB"/>
    <w:rsid w:val="00D066EB"/>
    <w:rsid w:val="00D10D17"/>
    <w:rsid w:val="00D1167B"/>
    <w:rsid w:val="00D11B2B"/>
    <w:rsid w:val="00D11C72"/>
    <w:rsid w:val="00D11E9B"/>
    <w:rsid w:val="00D11F16"/>
    <w:rsid w:val="00D12CCA"/>
    <w:rsid w:val="00D13531"/>
    <w:rsid w:val="00D136C2"/>
    <w:rsid w:val="00D14A0E"/>
    <w:rsid w:val="00D14A8D"/>
    <w:rsid w:val="00D1524B"/>
    <w:rsid w:val="00D169BB"/>
    <w:rsid w:val="00D17F51"/>
    <w:rsid w:val="00D20674"/>
    <w:rsid w:val="00D20696"/>
    <w:rsid w:val="00D2113A"/>
    <w:rsid w:val="00D215FD"/>
    <w:rsid w:val="00D21A73"/>
    <w:rsid w:val="00D22BCD"/>
    <w:rsid w:val="00D238BF"/>
    <w:rsid w:val="00D2426B"/>
    <w:rsid w:val="00D260F9"/>
    <w:rsid w:val="00D261C5"/>
    <w:rsid w:val="00D269FE"/>
    <w:rsid w:val="00D26E3A"/>
    <w:rsid w:val="00D278ED"/>
    <w:rsid w:val="00D27DAB"/>
    <w:rsid w:val="00D3041D"/>
    <w:rsid w:val="00D318C8"/>
    <w:rsid w:val="00D32069"/>
    <w:rsid w:val="00D32CA0"/>
    <w:rsid w:val="00D33DD9"/>
    <w:rsid w:val="00D33E78"/>
    <w:rsid w:val="00D34707"/>
    <w:rsid w:val="00D3648E"/>
    <w:rsid w:val="00D37870"/>
    <w:rsid w:val="00D37D5D"/>
    <w:rsid w:val="00D37E4D"/>
    <w:rsid w:val="00D37F20"/>
    <w:rsid w:val="00D40278"/>
    <w:rsid w:val="00D40440"/>
    <w:rsid w:val="00D41922"/>
    <w:rsid w:val="00D4275C"/>
    <w:rsid w:val="00D43977"/>
    <w:rsid w:val="00D44B5D"/>
    <w:rsid w:val="00D44CEE"/>
    <w:rsid w:val="00D44EAD"/>
    <w:rsid w:val="00D45504"/>
    <w:rsid w:val="00D4611A"/>
    <w:rsid w:val="00D50274"/>
    <w:rsid w:val="00D50707"/>
    <w:rsid w:val="00D5070C"/>
    <w:rsid w:val="00D518A7"/>
    <w:rsid w:val="00D54176"/>
    <w:rsid w:val="00D54774"/>
    <w:rsid w:val="00D54C55"/>
    <w:rsid w:val="00D54EFA"/>
    <w:rsid w:val="00D55214"/>
    <w:rsid w:val="00D553E0"/>
    <w:rsid w:val="00D55E48"/>
    <w:rsid w:val="00D56D9E"/>
    <w:rsid w:val="00D57585"/>
    <w:rsid w:val="00D57813"/>
    <w:rsid w:val="00D61D44"/>
    <w:rsid w:val="00D6222F"/>
    <w:rsid w:val="00D6282D"/>
    <w:rsid w:val="00D629C4"/>
    <w:rsid w:val="00D62B14"/>
    <w:rsid w:val="00D6371A"/>
    <w:rsid w:val="00D63C63"/>
    <w:rsid w:val="00D655CB"/>
    <w:rsid w:val="00D662C4"/>
    <w:rsid w:val="00D66F70"/>
    <w:rsid w:val="00D70B11"/>
    <w:rsid w:val="00D710B6"/>
    <w:rsid w:val="00D726FC"/>
    <w:rsid w:val="00D72BBA"/>
    <w:rsid w:val="00D72DC9"/>
    <w:rsid w:val="00D72E64"/>
    <w:rsid w:val="00D732C1"/>
    <w:rsid w:val="00D73C25"/>
    <w:rsid w:val="00D73FE4"/>
    <w:rsid w:val="00D75944"/>
    <w:rsid w:val="00D75A15"/>
    <w:rsid w:val="00D766FA"/>
    <w:rsid w:val="00D7695E"/>
    <w:rsid w:val="00D7793C"/>
    <w:rsid w:val="00D800B1"/>
    <w:rsid w:val="00D801EA"/>
    <w:rsid w:val="00D803CA"/>
    <w:rsid w:val="00D814E7"/>
    <w:rsid w:val="00D815F4"/>
    <w:rsid w:val="00D825E9"/>
    <w:rsid w:val="00D82BD6"/>
    <w:rsid w:val="00D83B33"/>
    <w:rsid w:val="00D83EC1"/>
    <w:rsid w:val="00D844B1"/>
    <w:rsid w:val="00D859AF"/>
    <w:rsid w:val="00D85EF7"/>
    <w:rsid w:val="00D8779C"/>
    <w:rsid w:val="00D87B09"/>
    <w:rsid w:val="00D87BC3"/>
    <w:rsid w:val="00D9254A"/>
    <w:rsid w:val="00D92BA1"/>
    <w:rsid w:val="00D934A4"/>
    <w:rsid w:val="00D950F8"/>
    <w:rsid w:val="00DA1D4B"/>
    <w:rsid w:val="00DA271A"/>
    <w:rsid w:val="00DA3688"/>
    <w:rsid w:val="00DA3DA6"/>
    <w:rsid w:val="00DA7B79"/>
    <w:rsid w:val="00DB080F"/>
    <w:rsid w:val="00DB0FE3"/>
    <w:rsid w:val="00DB1B52"/>
    <w:rsid w:val="00DB1EE5"/>
    <w:rsid w:val="00DB27EA"/>
    <w:rsid w:val="00DB31B8"/>
    <w:rsid w:val="00DB41CF"/>
    <w:rsid w:val="00DB4B20"/>
    <w:rsid w:val="00DB7525"/>
    <w:rsid w:val="00DB7925"/>
    <w:rsid w:val="00DB7B7E"/>
    <w:rsid w:val="00DC0C58"/>
    <w:rsid w:val="00DC0CFE"/>
    <w:rsid w:val="00DC1373"/>
    <w:rsid w:val="00DC16D3"/>
    <w:rsid w:val="00DC1B4C"/>
    <w:rsid w:val="00DC3294"/>
    <w:rsid w:val="00DC3F21"/>
    <w:rsid w:val="00DC46D5"/>
    <w:rsid w:val="00DC4C32"/>
    <w:rsid w:val="00DC6425"/>
    <w:rsid w:val="00DC6F87"/>
    <w:rsid w:val="00DD0866"/>
    <w:rsid w:val="00DD118D"/>
    <w:rsid w:val="00DD1445"/>
    <w:rsid w:val="00DD148A"/>
    <w:rsid w:val="00DD2192"/>
    <w:rsid w:val="00DD2DB3"/>
    <w:rsid w:val="00DD3E2C"/>
    <w:rsid w:val="00DD46DB"/>
    <w:rsid w:val="00DD48FA"/>
    <w:rsid w:val="00DD5EA5"/>
    <w:rsid w:val="00DD5ED4"/>
    <w:rsid w:val="00DD6196"/>
    <w:rsid w:val="00DD657F"/>
    <w:rsid w:val="00DD78C4"/>
    <w:rsid w:val="00DE0B53"/>
    <w:rsid w:val="00DE0B7D"/>
    <w:rsid w:val="00DE0C09"/>
    <w:rsid w:val="00DE2D5E"/>
    <w:rsid w:val="00DE352B"/>
    <w:rsid w:val="00DE3B9B"/>
    <w:rsid w:val="00DE505D"/>
    <w:rsid w:val="00DE53EA"/>
    <w:rsid w:val="00DE70F4"/>
    <w:rsid w:val="00DE7775"/>
    <w:rsid w:val="00DE7F73"/>
    <w:rsid w:val="00DF03D9"/>
    <w:rsid w:val="00DF05DD"/>
    <w:rsid w:val="00DF07DD"/>
    <w:rsid w:val="00DF0E1A"/>
    <w:rsid w:val="00DF0FEA"/>
    <w:rsid w:val="00DF12BC"/>
    <w:rsid w:val="00DF1547"/>
    <w:rsid w:val="00DF1867"/>
    <w:rsid w:val="00DF1FF5"/>
    <w:rsid w:val="00DF261B"/>
    <w:rsid w:val="00DF2CD0"/>
    <w:rsid w:val="00DF3310"/>
    <w:rsid w:val="00DF403E"/>
    <w:rsid w:val="00DF4380"/>
    <w:rsid w:val="00DF4766"/>
    <w:rsid w:val="00DF5DCE"/>
    <w:rsid w:val="00DF6386"/>
    <w:rsid w:val="00E0041A"/>
    <w:rsid w:val="00E0080C"/>
    <w:rsid w:val="00E00BAF"/>
    <w:rsid w:val="00E00CFE"/>
    <w:rsid w:val="00E00E4F"/>
    <w:rsid w:val="00E0126D"/>
    <w:rsid w:val="00E0197C"/>
    <w:rsid w:val="00E01DAF"/>
    <w:rsid w:val="00E020B7"/>
    <w:rsid w:val="00E03E34"/>
    <w:rsid w:val="00E04BDD"/>
    <w:rsid w:val="00E04D56"/>
    <w:rsid w:val="00E056DF"/>
    <w:rsid w:val="00E058B7"/>
    <w:rsid w:val="00E061D2"/>
    <w:rsid w:val="00E071C9"/>
    <w:rsid w:val="00E104FE"/>
    <w:rsid w:val="00E11148"/>
    <w:rsid w:val="00E126A3"/>
    <w:rsid w:val="00E14680"/>
    <w:rsid w:val="00E1488E"/>
    <w:rsid w:val="00E15A3D"/>
    <w:rsid w:val="00E15F25"/>
    <w:rsid w:val="00E16AB6"/>
    <w:rsid w:val="00E17027"/>
    <w:rsid w:val="00E170F1"/>
    <w:rsid w:val="00E1721D"/>
    <w:rsid w:val="00E21A14"/>
    <w:rsid w:val="00E2238D"/>
    <w:rsid w:val="00E227C0"/>
    <w:rsid w:val="00E22C7A"/>
    <w:rsid w:val="00E2359A"/>
    <w:rsid w:val="00E23699"/>
    <w:rsid w:val="00E23AAF"/>
    <w:rsid w:val="00E23B49"/>
    <w:rsid w:val="00E23DC8"/>
    <w:rsid w:val="00E240DF"/>
    <w:rsid w:val="00E25082"/>
    <w:rsid w:val="00E2526F"/>
    <w:rsid w:val="00E25CED"/>
    <w:rsid w:val="00E27653"/>
    <w:rsid w:val="00E2766B"/>
    <w:rsid w:val="00E307D7"/>
    <w:rsid w:val="00E30DAD"/>
    <w:rsid w:val="00E31C43"/>
    <w:rsid w:val="00E31D7C"/>
    <w:rsid w:val="00E3362E"/>
    <w:rsid w:val="00E35E16"/>
    <w:rsid w:val="00E36100"/>
    <w:rsid w:val="00E374E5"/>
    <w:rsid w:val="00E42165"/>
    <w:rsid w:val="00E42DE5"/>
    <w:rsid w:val="00E433A7"/>
    <w:rsid w:val="00E4452F"/>
    <w:rsid w:val="00E4528A"/>
    <w:rsid w:val="00E4697A"/>
    <w:rsid w:val="00E474EE"/>
    <w:rsid w:val="00E50A71"/>
    <w:rsid w:val="00E5137B"/>
    <w:rsid w:val="00E51D0B"/>
    <w:rsid w:val="00E524E5"/>
    <w:rsid w:val="00E52E03"/>
    <w:rsid w:val="00E54292"/>
    <w:rsid w:val="00E54956"/>
    <w:rsid w:val="00E54C82"/>
    <w:rsid w:val="00E552C5"/>
    <w:rsid w:val="00E55D40"/>
    <w:rsid w:val="00E55E6E"/>
    <w:rsid w:val="00E56285"/>
    <w:rsid w:val="00E56D2D"/>
    <w:rsid w:val="00E56F35"/>
    <w:rsid w:val="00E57901"/>
    <w:rsid w:val="00E57F86"/>
    <w:rsid w:val="00E603CC"/>
    <w:rsid w:val="00E60F4D"/>
    <w:rsid w:val="00E62166"/>
    <w:rsid w:val="00E62B6D"/>
    <w:rsid w:val="00E62F46"/>
    <w:rsid w:val="00E635E2"/>
    <w:rsid w:val="00E64032"/>
    <w:rsid w:val="00E65383"/>
    <w:rsid w:val="00E65826"/>
    <w:rsid w:val="00E667B5"/>
    <w:rsid w:val="00E66EDA"/>
    <w:rsid w:val="00E67AA8"/>
    <w:rsid w:val="00E67C84"/>
    <w:rsid w:val="00E727B5"/>
    <w:rsid w:val="00E73156"/>
    <w:rsid w:val="00E74881"/>
    <w:rsid w:val="00E74DA5"/>
    <w:rsid w:val="00E75031"/>
    <w:rsid w:val="00E75A5E"/>
    <w:rsid w:val="00E76120"/>
    <w:rsid w:val="00E770F4"/>
    <w:rsid w:val="00E8493D"/>
    <w:rsid w:val="00E855EE"/>
    <w:rsid w:val="00E85769"/>
    <w:rsid w:val="00E86547"/>
    <w:rsid w:val="00E86C6D"/>
    <w:rsid w:val="00E87D5E"/>
    <w:rsid w:val="00E9037E"/>
    <w:rsid w:val="00E90C19"/>
    <w:rsid w:val="00E91DE1"/>
    <w:rsid w:val="00E91EA9"/>
    <w:rsid w:val="00E92D08"/>
    <w:rsid w:val="00E932E3"/>
    <w:rsid w:val="00E94420"/>
    <w:rsid w:val="00E95357"/>
    <w:rsid w:val="00E95389"/>
    <w:rsid w:val="00E96706"/>
    <w:rsid w:val="00E97286"/>
    <w:rsid w:val="00EA1A72"/>
    <w:rsid w:val="00EA1D3A"/>
    <w:rsid w:val="00EA27E9"/>
    <w:rsid w:val="00EA4D0A"/>
    <w:rsid w:val="00EA4E62"/>
    <w:rsid w:val="00EA5AE9"/>
    <w:rsid w:val="00EA5BE0"/>
    <w:rsid w:val="00EA663F"/>
    <w:rsid w:val="00EA6B48"/>
    <w:rsid w:val="00EA6FC0"/>
    <w:rsid w:val="00EA7589"/>
    <w:rsid w:val="00EA75B0"/>
    <w:rsid w:val="00EA7BE8"/>
    <w:rsid w:val="00EB153C"/>
    <w:rsid w:val="00EB1EAC"/>
    <w:rsid w:val="00EB27DA"/>
    <w:rsid w:val="00EB2F33"/>
    <w:rsid w:val="00EB48F0"/>
    <w:rsid w:val="00EB4EF0"/>
    <w:rsid w:val="00EB57E4"/>
    <w:rsid w:val="00EB5852"/>
    <w:rsid w:val="00EB5905"/>
    <w:rsid w:val="00EB5BEF"/>
    <w:rsid w:val="00EB640F"/>
    <w:rsid w:val="00EB7460"/>
    <w:rsid w:val="00EB7C64"/>
    <w:rsid w:val="00EC0CED"/>
    <w:rsid w:val="00EC24BD"/>
    <w:rsid w:val="00EC25DA"/>
    <w:rsid w:val="00EC430D"/>
    <w:rsid w:val="00EC43AB"/>
    <w:rsid w:val="00EC4681"/>
    <w:rsid w:val="00EC4F41"/>
    <w:rsid w:val="00EC659D"/>
    <w:rsid w:val="00EC68AF"/>
    <w:rsid w:val="00EC6FC6"/>
    <w:rsid w:val="00EC6FF0"/>
    <w:rsid w:val="00EC78DD"/>
    <w:rsid w:val="00ED18BD"/>
    <w:rsid w:val="00ED203B"/>
    <w:rsid w:val="00ED34B0"/>
    <w:rsid w:val="00ED4032"/>
    <w:rsid w:val="00ED4A3B"/>
    <w:rsid w:val="00ED634B"/>
    <w:rsid w:val="00ED6669"/>
    <w:rsid w:val="00ED6DA6"/>
    <w:rsid w:val="00ED7592"/>
    <w:rsid w:val="00ED7C77"/>
    <w:rsid w:val="00ED7C85"/>
    <w:rsid w:val="00EE0AD6"/>
    <w:rsid w:val="00EE38E6"/>
    <w:rsid w:val="00EE46D2"/>
    <w:rsid w:val="00EE4D75"/>
    <w:rsid w:val="00EE511C"/>
    <w:rsid w:val="00EE5C23"/>
    <w:rsid w:val="00EE5FC4"/>
    <w:rsid w:val="00EE61C7"/>
    <w:rsid w:val="00EE6CD2"/>
    <w:rsid w:val="00EE7FD4"/>
    <w:rsid w:val="00EF0137"/>
    <w:rsid w:val="00EF0635"/>
    <w:rsid w:val="00EF0959"/>
    <w:rsid w:val="00EF1825"/>
    <w:rsid w:val="00EF2CC0"/>
    <w:rsid w:val="00EF3547"/>
    <w:rsid w:val="00EF4FAA"/>
    <w:rsid w:val="00EF5D46"/>
    <w:rsid w:val="00EF5F8E"/>
    <w:rsid w:val="00EF65C4"/>
    <w:rsid w:val="00EF6DD9"/>
    <w:rsid w:val="00F02235"/>
    <w:rsid w:val="00F026D4"/>
    <w:rsid w:val="00F05A52"/>
    <w:rsid w:val="00F05EF4"/>
    <w:rsid w:val="00F06B08"/>
    <w:rsid w:val="00F079B2"/>
    <w:rsid w:val="00F10067"/>
    <w:rsid w:val="00F10B77"/>
    <w:rsid w:val="00F11634"/>
    <w:rsid w:val="00F11812"/>
    <w:rsid w:val="00F11D08"/>
    <w:rsid w:val="00F11E1A"/>
    <w:rsid w:val="00F121BD"/>
    <w:rsid w:val="00F123F1"/>
    <w:rsid w:val="00F127DF"/>
    <w:rsid w:val="00F13774"/>
    <w:rsid w:val="00F14F3B"/>
    <w:rsid w:val="00F15DBF"/>
    <w:rsid w:val="00F16B4E"/>
    <w:rsid w:val="00F17F70"/>
    <w:rsid w:val="00F201D7"/>
    <w:rsid w:val="00F20731"/>
    <w:rsid w:val="00F20B22"/>
    <w:rsid w:val="00F210AD"/>
    <w:rsid w:val="00F21431"/>
    <w:rsid w:val="00F21BEA"/>
    <w:rsid w:val="00F21BF2"/>
    <w:rsid w:val="00F22406"/>
    <w:rsid w:val="00F233F0"/>
    <w:rsid w:val="00F24EA2"/>
    <w:rsid w:val="00F2500E"/>
    <w:rsid w:val="00F2529B"/>
    <w:rsid w:val="00F2607D"/>
    <w:rsid w:val="00F261C3"/>
    <w:rsid w:val="00F2746D"/>
    <w:rsid w:val="00F27A08"/>
    <w:rsid w:val="00F32429"/>
    <w:rsid w:val="00F3246F"/>
    <w:rsid w:val="00F336C3"/>
    <w:rsid w:val="00F341C6"/>
    <w:rsid w:val="00F342E2"/>
    <w:rsid w:val="00F34771"/>
    <w:rsid w:val="00F34C12"/>
    <w:rsid w:val="00F363D8"/>
    <w:rsid w:val="00F3650E"/>
    <w:rsid w:val="00F37A06"/>
    <w:rsid w:val="00F407A3"/>
    <w:rsid w:val="00F40CE0"/>
    <w:rsid w:val="00F41673"/>
    <w:rsid w:val="00F41DD3"/>
    <w:rsid w:val="00F4223E"/>
    <w:rsid w:val="00F42EC5"/>
    <w:rsid w:val="00F430C7"/>
    <w:rsid w:val="00F4321F"/>
    <w:rsid w:val="00F43421"/>
    <w:rsid w:val="00F43A8E"/>
    <w:rsid w:val="00F44404"/>
    <w:rsid w:val="00F449BA"/>
    <w:rsid w:val="00F453B0"/>
    <w:rsid w:val="00F45C5C"/>
    <w:rsid w:val="00F46904"/>
    <w:rsid w:val="00F46CF7"/>
    <w:rsid w:val="00F4747C"/>
    <w:rsid w:val="00F47FA8"/>
    <w:rsid w:val="00F51B23"/>
    <w:rsid w:val="00F53BAE"/>
    <w:rsid w:val="00F541C2"/>
    <w:rsid w:val="00F558B2"/>
    <w:rsid w:val="00F55D03"/>
    <w:rsid w:val="00F56975"/>
    <w:rsid w:val="00F606DE"/>
    <w:rsid w:val="00F60E01"/>
    <w:rsid w:val="00F6206D"/>
    <w:rsid w:val="00F620C0"/>
    <w:rsid w:val="00F62CC8"/>
    <w:rsid w:val="00F635D3"/>
    <w:rsid w:val="00F63AEC"/>
    <w:rsid w:val="00F641C0"/>
    <w:rsid w:val="00F6426A"/>
    <w:rsid w:val="00F645C0"/>
    <w:rsid w:val="00F64D96"/>
    <w:rsid w:val="00F66B8E"/>
    <w:rsid w:val="00F67E96"/>
    <w:rsid w:val="00F67F85"/>
    <w:rsid w:val="00F7031A"/>
    <w:rsid w:val="00F70395"/>
    <w:rsid w:val="00F727EB"/>
    <w:rsid w:val="00F72B72"/>
    <w:rsid w:val="00F740B9"/>
    <w:rsid w:val="00F74F2C"/>
    <w:rsid w:val="00F7529E"/>
    <w:rsid w:val="00F76047"/>
    <w:rsid w:val="00F76D5F"/>
    <w:rsid w:val="00F76F15"/>
    <w:rsid w:val="00F7702B"/>
    <w:rsid w:val="00F77373"/>
    <w:rsid w:val="00F77ABD"/>
    <w:rsid w:val="00F77C00"/>
    <w:rsid w:val="00F80C38"/>
    <w:rsid w:val="00F81E90"/>
    <w:rsid w:val="00F8273E"/>
    <w:rsid w:val="00F82960"/>
    <w:rsid w:val="00F82EA6"/>
    <w:rsid w:val="00F833D3"/>
    <w:rsid w:val="00F83BF3"/>
    <w:rsid w:val="00F842D7"/>
    <w:rsid w:val="00F84911"/>
    <w:rsid w:val="00F855D2"/>
    <w:rsid w:val="00F9176E"/>
    <w:rsid w:val="00F9187A"/>
    <w:rsid w:val="00F925C3"/>
    <w:rsid w:val="00F93686"/>
    <w:rsid w:val="00F93C54"/>
    <w:rsid w:val="00F95056"/>
    <w:rsid w:val="00F95527"/>
    <w:rsid w:val="00F96A37"/>
    <w:rsid w:val="00F97794"/>
    <w:rsid w:val="00FA11B8"/>
    <w:rsid w:val="00FA1881"/>
    <w:rsid w:val="00FA2A2A"/>
    <w:rsid w:val="00FA2BB3"/>
    <w:rsid w:val="00FA316A"/>
    <w:rsid w:val="00FA3531"/>
    <w:rsid w:val="00FA3A53"/>
    <w:rsid w:val="00FA4E0F"/>
    <w:rsid w:val="00FA58EF"/>
    <w:rsid w:val="00FA647E"/>
    <w:rsid w:val="00FA7123"/>
    <w:rsid w:val="00FA7142"/>
    <w:rsid w:val="00FA7350"/>
    <w:rsid w:val="00FA798B"/>
    <w:rsid w:val="00FA7E0E"/>
    <w:rsid w:val="00FB09E5"/>
    <w:rsid w:val="00FB0E24"/>
    <w:rsid w:val="00FB519D"/>
    <w:rsid w:val="00FB605E"/>
    <w:rsid w:val="00FB644A"/>
    <w:rsid w:val="00FB7980"/>
    <w:rsid w:val="00FC18A2"/>
    <w:rsid w:val="00FC2EEC"/>
    <w:rsid w:val="00FC3560"/>
    <w:rsid w:val="00FC387C"/>
    <w:rsid w:val="00FC4620"/>
    <w:rsid w:val="00FC5587"/>
    <w:rsid w:val="00FC6155"/>
    <w:rsid w:val="00FC61E6"/>
    <w:rsid w:val="00FC6946"/>
    <w:rsid w:val="00FC7ADE"/>
    <w:rsid w:val="00FC7B69"/>
    <w:rsid w:val="00FD009A"/>
    <w:rsid w:val="00FD14C8"/>
    <w:rsid w:val="00FD2931"/>
    <w:rsid w:val="00FD5C61"/>
    <w:rsid w:val="00FD6850"/>
    <w:rsid w:val="00FD68E4"/>
    <w:rsid w:val="00FD6D21"/>
    <w:rsid w:val="00FE09CC"/>
    <w:rsid w:val="00FE0C24"/>
    <w:rsid w:val="00FE0EC0"/>
    <w:rsid w:val="00FE124E"/>
    <w:rsid w:val="00FE15C4"/>
    <w:rsid w:val="00FE2603"/>
    <w:rsid w:val="00FE2F59"/>
    <w:rsid w:val="00FE3212"/>
    <w:rsid w:val="00FE343A"/>
    <w:rsid w:val="00FE4F45"/>
    <w:rsid w:val="00FE56D2"/>
    <w:rsid w:val="00FE59D6"/>
    <w:rsid w:val="00FE6917"/>
    <w:rsid w:val="00FE6DC9"/>
    <w:rsid w:val="00FE6E01"/>
    <w:rsid w:val="00FF00D0"/>
    <w:rsid w:val="00FF0309"/>
    <w:rsid w:val="00FF0647"/>
    <w:rsid w:val="00FF120E"/>
    <w:rsid w:val="00FF1985"/>
    <w:rsid w:val="00FF1E3C"/>
    <w:rsid w:val="00FF214C"/>
    <w:rsid w:val="00FF3560"/>
    <w:rsid w:val="00FF3633"/>
    <w:rsid w:val="00FF3BD0"/>
    <w:rsid w:val="00FF48AE"/>
    <w:rsid w:val="00FF504A"/>
    <w:rsid w:val="00FF5887"/>
    <w:rsid w:val="00FF672F"/>
    <w:rsid w:val="00FF6E4A"/>
    <w:rsid w:val="00FF6FED"/>
    <w:rsid w:val="029A7B8D"/>
    <w:rsid w:val="02EB4148"/>
    <w:rsid w:val="03F15324"/>
    <w:rsid w:val="04A52B43"/>
    <w:rsid w:val="04D86267"/>
    <w:rsid w:val="05D46B3B"/>
    <w:rsid w:val="05FA3EE6"/>
    <w:rsid w:val="08AB29DE"/>
    <w:rsid w:val="0BDE66C0"/>
    <w:rsid w:val="0BF94A90"/>
    <w:rsid w:val="0DD321F7"/>
    <w:rsid w:val="116312E4"/>
    <w:rsid w:val="124B52AF"/>
    <w:rsid w:val="15296078"/>
    <w:rsid w:val="15D96858"/>
    <w:rsid w:val="163069F6"/>
    <w:rsid w:val="164B35AE"/>
    <w:rsid w:val="17933A9D"/>
    <w:rsid w:val="17E55CB1"/>
    <w:rsid w:val="194A0FB4"/>
    <w:rsid w:val="1A894147"/>
    <w:rsid w:val="1BA81632"/>
    <w:rsid w:val="1C0A0E31"/>
    <w:rsid w:val="1DB67F21"/>
    <w:rsid w:val="1E767CD6"/>
    <w:rsid w:val="20592BE1"/>
    <w:rsid w:val="208538DE"/>
    <w:rsid w:val="22022A1B"/>
    <w:rsid w:val="2204332E"/>
    <w:rsid w:val="240E6379"/>
    <w:rsid w:val="24266D9C"/>
    <w:rsid w:val="25EB217A"/>
    <w:rsid w:val="267E061F"/>
    <w:rsid w:val="27BE5E60"/>
    <w:rsid w:val="282F4739"/>
    <w:rsid w:val="2AC67E32"/>
    <w:rsid w:val="2CC50FC0"/>
    <w:rsid w:val="2D33514E"/>
    <w:rsid w:val="2DD40722"/>
    <w:rsid w:val="2F030788"/>
    <w:rsid w:val="30A154C8"/>
    <w:rsid w:val="30CF4362"/>
    <w:rsid w:val="33490982"/>
    <w:rsid w:val="33B95865"/>
    <w:rsid w:val="33DF6B01"/>
    <w:rsid w:val="34406ECA"/>
    <w:rsid w:val="34F45B3D"/>
    <w:rsid w:val="35535B8C"/>
    <w:rsid w:val="363A3D98"/>
    <w:rsid w:val="36645831"/>
    <w:rsid w:val="369611B2"/>
    <w:rsid w:val="391A3473"/>
    <w:rsid w:val="399D0C7A"/>
    <w:rsid w:val="3AD875AF"/>
    <w:rsid w:val="3BC05969"/>
    <w:rsid w:val="3BD66A3C"/>
    <w:rsid w:val="3C117704"/>
    <w:rsid w:val="3E7A587D"/>
    <w:rsid w:val="3F275F2C"/>
    <w:rsid w:val="400226F9"/>
    <w:rsid w:val="40FB1127"/>
    <w:rsid w:val="417534E0"/>
    <w:rsid w:val="41C73BC2"/>
    <w:rsid w:val="42286857"/>
    <w:rsid w:val="42B617DE"/>
    <w:rsid w:val="42BD3408"/>
    <w:rsid w:val="445059BA"/>
    <w:rsid w:val="47005ADB"/>
    <w:rsid w:val="47503012"/>
    <w:rsid w:val="49143E2E"/>
    <w:rsid w:val="4A2F3DCF"/>
    <w:rsid w:val="4B3122A0"/>
    <w:rsid w:val="4C5C4B91"/>
    <w:rsid w:val="4E106920"/>
    <w:rsid w:val="4E504DC0"/>
    <w:rsid w:val="4E7512AB"/>
    <w:rsid w:val="4ECF0F73"/>
    <w:rsid w:val="52906C89"/>
    <w:rsid w:val="52AC620A"/>
    <w:rsid w:val="543E0010"/>
    <w:rsid w:val="56B21462"/>
    <w:rsid w:val="578979F4"/>
    <w:rsid w:val="5830354B"/>
    <w:rsid w:val="593B5B7B"/>
    <w:rsid w:val="595B77CE"/>
    <w:rsid w:val="5FF535DC"/>
    <w:rsid w:val="605B1FB7"/>
    <w:rsid w:val="60D7141C"/>
    <w:rsid w:val="629338DC"/>
    <w:rsid w:val="66854BCD"/>
    <w:rsid w:val="67BA3886"/>
    <w:rsid w:val="68B73552"/>
    <w:rsid w:val="690C5729"/>
    <w:rsid w:val="6ABC5FA3"/>
    <w:rsid w:val="6AD92A08"/>
    <w:rsid w:val="6C910945"/>
    <w:rsid w:val="6D6871F0"/>
    <w:rsid w:val="6DC935F2"/>
    <w:rsid w:val="6E113780"/>
    <w:rsid w:val="6E360122"/>
    <w:rsid w:val="6F5720DB"/>
    <w:rsid w:val="6FC60597"/>
    <w:rsid w:val="70367C0E"/>
    <w:rsid w:val="735E432E"/>
    <w:rsid w:val="74061450"/>
    <w:rsid w:val="75856BBE"/>
    <w:rsid w:val="75E1159B"/>
    <w:rsid w:val="76DB4E69"/>
    <w:rsid w:val="78CE3658"/>
    <w:rsid w:val="78E15492"/>
    <w:rsid w:val="795D5ACB"/>
    <w:rsid w:val="7ABA2A36"/>
    <w:rsid w:val="7B217224"/>
    <w:rsid w:val="7C110F88"/>
    <w:rsid w:val="7C940EF9"/>
    <w:rsid w:val="7D32764C"/>
    <w:rsid w:val="7EC82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8"/>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9"/>
    <w:autoRedefine/>
    <w:qFormat/>
    <w:uiPriority w:val="0"/>
    <w:pPr>
      <w:keepNext/>
      <w:keepLines/>
      <w:tabs>
        <w:tab w:val="left" w:pos="1740"/>
      </w:tabs>
      <w:spacing w:before="260" w:line="413" w:lineRule="auto"/>
      <w:ind w:left="1740"/>
      <w:outlineLvl w:val="2"/>
    </w:pPr>
    <w:rPr>
      <w:b/>
      <w:bCs/>
      <w:kern w:val="0"/>
      <w:sz w:val="32"/>
      <w:szCs w:val="32"/>
    </w:rPr>
  </w:style>
  <w:style w:type="paragraph" w:styleId="6">
    <w:name w:val="heading 4"/>
    <w:basedOn w:val="1"/>
    <w:next w:val="1"/>
    <w:link w:val="60"/>
    <w:autoRedefine/>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61"/>
    <w:autoRedefine/>
    <w:qFormat/>
    <w:uiPriority w:val="0"/>
    <w:pPr>
      <w:keepNext/>
      <w:keepLines/>
      <w:tabs>
        <w:tab w:val="left" w:pos="2580"/>
      </w:tabs>
      <w:spacing w:before="280" w:line="372" w:lineRule="auto"/>
      <w:outlineLvl w:val="4"/>
    </w:pPr>
    <w:rPr>
      <w:b/>
      <w:bCs/>
      <w:kern w:val="0"/>
      <w:sz w:val="28"/>
      <w:szCs w:val="28"/>
    </w:rPr>
  </w:style>
  <w:style w:type="paragraph" w:styleId="8">
    <w:name w:val="heading 6"/>
    <w:basedOn w:val="1"/>
    <w:next w:val="1"/>
    <w:link w:val="6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9">
    <w:name w:val="heading 7"/>
    <w:basedOn w:val="1"/>
    <w:next w:val="10"/>
    <w:link w:val="6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1">
    <w:name w:val="heading 8"/>
    <w:basedOn w:val="1"/>
    <w:next w:val="1"/>
    <w:link w:val="6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2">
    <w:name w:val="heading 9"/>
    <w:basedOn w:val="1"/>
    <w:next w:val="1"/>
    <w:link w:val="6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unhideWhenUsed/>
    <w:qFormat/>
    <w:uiPriority w:val="1"/>
  </w:style>
  <w:style w:type="table" w:default="1" w:styleId="44">
    <w:name w:val="Normal Table"/>
    <w:autoRedefine/>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paragraph" w:customStyle="1" w:styleId="10">
    <w:name w:val="文档正文"/>
    <w:basedOn w:val="1"/>
    <w:autoRedefine/>
    <w:qFormat/>
    <w:uiPriority w:val="0"/>
    <w:pPr>
      <w:adjustRightInd w:val="0"/>
      <w:spacing w:before="60" w:line="360" w:lineRule="atLeast"/>
      <w:ind w:firstLine="482"/>
      <w:textAlignment w:val="baseline"/>
    </w:pPr>
    <w:rPr>
      <w:sz w:val="24"/>
    </w:rPr>
  </w:style>
  <w:style w:type="paragraph" w:styleId="13">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4">
    <w:name w:val="Normal Indent"/>
    <w:basedOn w:val="1"/>
    <w:link w:val="100"/>
    <w:autoRedefine/>
    <w:qFormat/>
    <w:uiPriority w:val="0"/>
    <w:pPr>
      <w:ind w:firstLine="420"/>
    </w:pPr>
    <w:rPr>
      <w:rFonts w:ascii="Calibri" w:hAnsi="Calibri"/>
      <w:szCs w:val="22"/>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153"/>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7">
    <w:name w:val="annotation text"/>
    <w:basedOn w:val="1"/>
    <w:link w:val="120"/>
    <w:autoRedefine/>
    <w:qFormat/>
    <w:uiPriority w:val="0"/>
    <w:pPr>
      <w:spacing w:afterLines="100" w:line="360" w:lineRule="auto"/>
      <w:ind w:firstLine="200" w:firstLineChars="200"/>
      <w:jc w:val="left"/>
    </w:pPr>
    <w:rPr>
      <w:rFonts w:ascii="Calibri" w:hAnsi="Calibri"/>
      <w:kern w:val="0"/>
      <w:sz w:val="24"/>
    </w:rPr>
  </w:style>
  <w:style w:type="paragraph" w:styleId="18">
    <w:name w:val="Body Text 3"/>
    <w:basedOn w:val="1"/>
    <w:link w:val="150"/>
    <w:autoRedefine/>
    <w:qFormat/>
    <w:uiPriority w:val="0"/>
    <w:pPr>
      <w:snapToGrid w:val="0"/>
      <w:spacing w:before="50" w:after="50"/>
    </w:pPr>
    <w:rPr>
      <w:rFonts w:ascii="Calibri" w:hAnsi="宋体" w:eastAsia="仿宋_GB2312"/>
      <w:b/>
      <w:bCs/>
      <w:kern w:val="0"/>
      <w:sz w:val="24"/>
      <w:szCs w:val="20"/>
    </w:rPr>
  </w:style>
  <w:style w:type="paragraph" w:styleId="19">
    <w:name w:val="Body Text"/>
    <w:basedOn w:val="1"/>
    <w:next w:val="20"/>
    <w:link w:val="95"/>
    <w:autoRedefine/>
    <w:qFormat/>
    <w:uiPriority w:val="99"/>
    <w:pPr>
      <w:spacing w:after="120"/>
    </w:pPr>
    <w:rPr>
      <w:rFonts w:ascii="Calibri" w:hAnsi="Calibri"/>
      <w:kern w:val="0"/>
      <w:sz w:val="28"/>
    </w:rPr>
  </w:style>
  <w:style w:type="paragraph" w:styleId="20">
    <w:name w:val="Body Text First Indent"/>
    <w:basedOn w:val="19"/>
    <w:link w:val="94"/>
    <w:autoRedefine/>
    <w:unhideWhenUsed/>
    <w:qFormat/>
    <w:uiPriority w:val="0"/>
    <w:pPr>
      <w:ind w:firstLine="420" w:firstLineChars="100"/>
    </w:pPr>
  </w:style>
  <w:style w:type="paragraph" w:styleId="21">
    <w:name w:val="Body Text Indent"/>
    <w:basedOn w:val="1"/>
    <w:link w:val="71"/>
    <w:autoRedefine/>
    <w:unhideWhenUsed/>
    <w:qFormat/>
    <w:uiPriority w:val="99"/>
    <w:pPr>
      <w:spacing w:after="120"/>
      <w:ind w:left="420" w:leftChars="200"/>
    </w:pPr>
    <w:rPr>
      <w:kern w:val="0"/>
      <w:sz w:val="20"/>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147"/>
    <w:autoRedefine/>
    <w:qFormat/>
    <w:uiPriority w:val="0"/>
    <w:pPr>
      <w:spacing w:beforeLines="50" w:afterLines="50" w:line="400" w:lineRule="exact"/>
    </w:pPr>
    <w:rPr>
      <w:rFonts w:ascii="宋体" w:hAnsi="Courier New"/>
      <w:kern w:val="0"/>
      <w:sz w:val="24"/>
    </w:rPr>
  </w:style>
  <w:style w:type="paragraph" w:styleId="26">
    <w:name w:val="Date"/>
    <w:basedOn w:val="1"/>
    <w:next w:val="1"/>
    <w:link w:val="131"/>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125"/>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68"/>
    <w:autoRedefine/>
    <w:unhideWhenUsed/>
    <w:qFormat/>
    <w:uiPriority w:val="0"/>
    <w:rPr>
      <w:rFonts w:ascii="Calibri" w:hAnsi="Calibri"/>
      <w:kern w:val="0"/>
      <w:sz w:val="16"/>
      <w:szCs w:val="16"/>
    </w:rPr>
  </w:style>
  <w:style w:type="paragraph" w:styleId="29">
    <w:name w:val="footer"/>
    <w:basedOn w:val="1"/>
    <w:link w:val="56"/>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55"/>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112"/>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7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122"/>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127"/>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135"/>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163"/>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70"/>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7"/>
    <w:next w:val="17"/>
    <w:link w:val="158"/>
    <w:autoRedefine/>
    <w:qFormat/>
    <w:uiPriority w:val="0"/>
    <w:rPr>
      <w:b/>
      <w:bCs/>
    </w:rPr>
  </w:style>
  <w:style w:type="paragraph" w:styleId="43">
    <w:name w:val="Body Text First Indent 2"/>
    <w:basedOn w:val="21"/>
    <w:link w:val="70"/>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paragraph" w:customStyle="1" w:styleId="5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54">
    <w:name w:val="BodyText"/>
    <w:basedOn w:val="1"/>
    <w:autoRedefine/>
    <w:qFormat/>
    <w:uiPriority w:val="99"/>
    <w:pPr>
      <w:spacing w:after="120" w:line="360" w:lineRule="atLeast"/>
      <w:textAlignment w:val="baseline"/>
    </w:pPr>
    <w:rPr>
      <w:rFonts w:ascii="Arial" w:hAnsi="Arial"/>
      <w:szCs w:val="21"/>
    </w:rPr>
  </w:style>
  <w:style w:type="character" w:customStyle="1" w:styleId="55">
    <w:name w:val="页眉 Char"/>
    <w:link w:val="30"/>
    <w:autoRedefine/>
    <w:qFormat/>
    <w:uiPriority w:val="99"/>
    <w:rPr>
      <w:sz w:val="18"/>
      <w:szCs w:val="18"/>
    </w:rPr>
  </w:style>
  <w:style w:type="character" w:customStyle="1" w:styleId="56">
    <w:name w:val="页脚 Char"/>
    <w:link w:val="29"/>
    <w:autoRedefine/>
    <w:qFormat/>
    <w:uiPriority w:val="99"/>
    <w:rPr>
      <w:sz w:val="18"/>
      <w:szCs w:val="18"/>
    </w:rPr>
  </w:style>
  <w:style w:type="character" w:customStyle="1" w:styleId="57">
    <w:name w:val="标题 1 Char"/>
    <w:link w:val="3"/>
    <w:autoRedefine/>
    <w:qFormat/>
    <w:uiPriority w:val="0"/>
    <w:rPr>
      <w:rFonts w:ascii="Times New Roman" w:hAnsi="Times New Roman" w:eastAsia="宋体" w:cs="Times New Roman"/>
      <w:b/>
      <w:bCs/>
      <w:kern w:val="44"/>
      <w:sz w:val="44"/>
      <w:szCs w:val="44"/>
    </w:rPr>
  </w:style>
  <w:style w:type="character" w:customStyle="1" w:styleId="58">
    <w:name w:val="标题 2 Char"/>
    <w:link w:val="4"/>
    <w:autoRedefine/>
    <w:qFormat/>
    <w:uiPriority w:val="0"/>
    <w:rPr>
      <w:rFonts w:ascii="Arial" w:hAnsi="Arial" w:eastAsia="黑体" w:cs="Times New Roman"/>
      <w:b/>
      <w:bCs/>
      <w:sz w:val="32"/>
      <w:szCs w:val="32"/>
    </w:rPr>
  </w:style>
  <w:style w:type="character" w:customStyle="1" w:styleId="59">
    <w:name w:val="标题 3 Char"/>
    <w:link w:val="5"/>
    <w:autoRedefine/>
    <w:qFormat/>
    <w:uiPriority w:val="0"/>
    <w:rPr>
      <w:rFonts w:ascii="Times New Roman" w:hAnsi="Times New Roman" w:eastAsia="宋体" w:cs="Times New Roman"/>
      <w:b/>
      <w:bCs/>
      <w:sz w:val="32"/>
      <w:szCs w:val="32"/>
    </w:rPr>
  </w:style>
  <w:style w:type="character" w:customStyle="1" w:styleId="60">
    <w:name w:val="标题 4 Char"/>
    <w:link w:val="6"/>
    <w:autoRedefine/>
    <w:qFormat/>
    <w:uiPriority w:val="0"/>
    <w:rPr>
      <w:rFonts w:ascii="Cambria" w:hAnsi="Cambria" w:eastAsia="宋体" w:cs="Times New Roman"/>
      <w:b/>
      <w:bCs/>
      <w:sz w:val="28"/>
      <w:szCs w:val="28"/>
    </w:rPr>
  </w:style>
  <w:style w:type="character" w:customStyle="1" w:styleId="61">
    <w:name w:val="标题 5 Char"/>
    <w:link w:val="7"/>
    <w:autoRedefine/>
    <w:qFormat/>
    <w:uiPriority w:val="0"/>
    <w:rPr>
      <w:rFonts w:ascii="Times New Roman" w:hAnsi="Times New Roman" w:eastAsia="宋体" w:cs="Times New Roman"/>
      <w:b/>
      <w:bCs/>
      <w:sz w:val="28"/>
      <w:szCs w:val="28"/>
    </w:rPr>
  </w:style>
  <w:style w:type="character" w:customStyle="1" w:styleId="62">
    <w:name w:val="标题 6 Char"/>
    <w:link w:val="8"/>
    <w:autoRedefine/>
    <w:qFormat/>
    <w:uiPriority w:val="0"/>
    <w:rPr>
      <w:rFonts w:ascii="Arial" w:hAnsi="Arial" w:eastAsia="黑体" w:cs="Times New Roman"/>
      <w:b/>
      <w:bCs/>
      <w:sz w:val="24"/>
      <w:szCs w:val="24"/>
    </w:rPr>
  </w:style>
  <w:style w:type="character" w:customStyle="1" w:styleId="63">
    <w:name w:val="标题 7 Char"/>
    <w:link w:val="9"/>
    <w:autoRedefine/>
    <w:qFormat/>
    <w:uiPriority w:val="0"/>
    <w:rPr>
      <w:rFonts w:ascii="Times New Roman" w:hAnsi="Times New Roman" w:eastAsia="宋体" w:cs="Times New Roman"/>
      <w:b/>
      <w:bCs/>
      <w:sz w:val="24"/>
      <w:szCs w:val="24"/>
    </w:rPr>
  </w:style>
  <w:style w:type="character" w:customStyle="1" w:styleId="64">
    <w:name w:val="标题 8 Char"/>
    <w:link w:val="11"/>
    <w:autoRedefine/>
    <w:qFormat/>
    <w:uiPriority w:val="0"/>
    <w:rPr>
      <w:rFonts w:ascii="Arial" w:hAnsi="Arial" w:eastAsia="黑体" w:cs="Times New Roman"/>
      <w:sz w:val="24"/>
      <w:szCs w:val="24"/>
    </w:rPr>
  </w:style>
  <w:style w:type="character" w:customStyle="1" w:styleId="65">
    <w:name w:val="标题 9 Char"/>
    <w:link w:val="12"/>
    <w:autoRedefine/>
    <w:qFormat/>
    <w:uiPriority w:val="0"/>
    <w:rPr>
      <w:rFonts w:ascii="Arial" w:hAnsi="Arial" w:eastAsia="黑体" w:cs="Times New Roman"/>
      <w:szCs w:val="21"/>
    </w:rPr>
  </w:style>
  <w:style w:type="paragraph" w:customStyle="1" w:styleId="66">
    <w:name w:val="_Style 29"/>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Char Char4"/>
    <w:autoRedefine/>
    <w:qFormat/>
    <w:uiPriority w:val="0"/>
    <w:rPr>
      <w:rFonts w:eastAsia="宋体"/>
      <w:kern w:val="2"/>
      <w:sz w:val="24"/>
      <w:lang w:val="en-US" w:eastAsia="zh-CN" w:bidi="ar-SA"/>
    </w:rPr>
  </w:style>
  <w:style w:type="character" w:customStyle="1" w:styleId="68">
    <w:name w:val="批注框文本 Char"/>
    <w:link w:val="28"/>
    <w:autoRedefine/>
    <w:qFormat/>
    <w:uiPriority w:val="0"/>
    <w:rPr>
      <w:sz w:val="16"/>
      <w:szCs w:val="16"/>
    </w:rPr>
  </w:style>
  <w:style w:type="character" w:customStyle="1" w:styleId="69">
    <w:name w:val="批注框文本 Char1"/>
    <w:autoRedefine/>
    <w:semiHidden/>
    <w:qFormat/>
    <w:uiPriority w:val="99"/>
    <w:rPr>
      <w:rFonts w:ascii="Times New Roman" w:hAnsi="Times New Roman" w:eastAsia="宋体" w:cs="Times New Roman"/>
      <w:sz w:val="18"/>
      <w:szCs w:val="18"/>
    </w:rPr>
  </w:style>
  <w:style w:type="character" w:customStyle="1" w:styleId="70">
    <w:name w:val="正文首行缩进 2 Char"/>
    <w:link w:val="43"/>
    <w:autoRedefine/>
    <w:semiHidden/>
    <w:qFormat/>
    <w:uiPriority w:val="0"/>
    <w:rPr>
      <w:rFonts w:ascii="宋体" w:hAnsi="Courier New"/>
      <w:spacing w:val="-4"/>
      <w:sz w:val="24"/>
      <w:szCs w:val="24"/>
    </w:rPr>
  </w:style>
  <w:style w:type="character" w:customStyle="1" w:styleId="71">
    <w:name w:val="正文文本缩进 Char"/>
    <w:link w:val="21"/>
    <w:autoRedefine/>
    <w:qFormat/>
    <w:uiPriority w:val="99"/>
    <w:rPr>
      <w:rFonts w:ascii="Times New Roman" w:hAnsi="Times New Roman" w:eastAsia="宋体" w:cs="Times New Roman"/>
      <w:szCs w:val="24"/>
    </w:rPr>
  </w:style>
  <w:style w:type="character" w:customStyle="1" w:styleId="72">
    <w:name w:val="正文首行缩进 2 Char1"/>
    <w:autoRedefine/>
    <w:semiHidden/>
    <w:qFormat/>
    <w:uiPriority w:val="99"/>
    <w:rPr>
      <w:rFonts w:ascii="Times New Roman" w:hAnsi="Times New Roman" w:eastAsia="宋体" w:cs="Times New Roman"/>
      <w:szCs w:val="24"/>
    </w:rPr>
  </w:style>
  <w:style w:type="character" w:customStyle="1" w:styleId="73">
    <w:name w:val="投标文件 正文首行缩进 Char"/>
    <w:autoRedefine/>
    <w:qFormat/>
    <w:uiPriority w:val="0"/>
    <w:rPr>
      <w:rFonts w:ascii="Arial" w:hAnsi="Arial" w:eastAsia="宋体"/>
      <w:kern w:val="2"/>
      <w:sz w:val="21"/>
      <w:szCs w:val="24"/>
      <w:lang w:val="en-US" w:eastAsia="zh-CN" w:bidi="ar-SA"/>
    </w:rPr>
  </w:style>
  <w:style w:type="character" w:customStyle="1" w:styleId="74">
    <w:name w:val="_正文段落 Char"/>
    <w:autoRedefine/>
    <w:qFormat/>
    <w:uiPriority w:val="0"/>
    <w:rPr>
      <w:rFonts w:eastAsia="宋体"/>
      <w:kern w:val="2"/>
      <w:sz w:val="21"/>
      <w:szCs w:val="24"/>
      <w:lang w:val="en-US" w:eastAsia="zh-CN" w:bidi="ar-SA"/>
    </w:rPr>
  </w:style>
  <w:style w:type="character" w:customStyle="1" w:styleId="75">
    <w:name w:val="Char Char17"/>
    <w:autoRedefine/>
    <w:qFormat/>
    <w:uiPriority w:val="0"/>
    <w:rPr>
      <w:rFonts w:ascii="Arial" w:hAnsi="Arial" w:eastAsia="黑体"/>
      <w:b/>
      <w:bCs/>
      <w:kern w:val="2"/>
      <w:sz w:val="32"/>
      <w:szCs w:val="32"/>
      <w:lang w:val="en-US" w:eastAsia="zh-CN" w:bidi="ar-SA"/>
    </w:rPr>
  </w:style>
  <w:style w:type="character" w:customStyle="1" w:styleId="76">
    <w:name w:val="Char Char14"/>
    <w:autoRedefine/>
    <w:qFormat/>
    <w:uiPriority w:val="0"/>
    <w:rPr>
      <w:rFonts w:eastAsia="宋体"/>
      <w:b/>
      <w:bCs/>
      <w:kern w:val="2"/>
      <w:sz w:val="28"/>
      <w:szCs w:val="28"/>
      <w:lang w:val="en-US" w:eastAsia="zh-CN" w:bidi="ar-SA"/>
    </w:rPr>
  </w:style>
  <w:style w:type="character" w:customStyle="1" w:styleId="77">
    <w:name w:val="ptt1"/>
    <w:autoRedefine/>
    <w:qFormat/>
    <w:uiPriority w:val="0"/>
    <w:rPr>
      <w:rFonts w:hint="eastAsia" w:ascii="宋体" w:hAnsi="宋体" w:eastAsia="宋体"/>
      <w:sz w:val="18"/>
      <w:szCs w:val="18"/>
    </w:rPr>
  </w:style>
  <w:style w:type="character" w:customStyle="1" w:styleId="78">
    <w:name w:val="脚注文本 Char"/>
    <w:link w:val="34"/>
    <w:autoRedefine/>
    <w:semiHidden/>
    <w:qFormat/>
    <w:uiPriority w:val="0"/>
    <w:rPr>
      <w:sz w:val="18"/>
      <w:szCs w:val="24"/>
    </w:rPr>
  </w:style>
  <w:style w:type="character" w:customStyle="1" w:styleId="79">
    <w:name w:val="脚注文本 Char1"/>
    <w:autoRedefine/>
    <w:semiHidden/>
    <w:qFormat/>
    <w:uiPriority w:val="99"/>
    <w:rPr>
      <w:rFonts w:ascii="Times New Roman" w:hAnsi="Times New Roman" w:eastAsia="宋体" w:cs="Times New Roman"/>
      <w:sz w:val="18"/>
      <w:szCs w:val="18"/>
    </w:rPr>
  </w:style>
  <w:style w:type="character" w:customStyle="1" w:styleId="80">
    <w:name w:val="Char Char18"/>
    <w:autoRedefine/>
    <w:qFormat/>
    <w:uiPriority w:val="0"/>
    <w:rPr>
      <w:rFonts w:eastAsia="宋体"/>
      <w:b/>
      <w:bCs/>
      <w:kern w:val="44"/>
      <w:sz w:val="44"/>
      <w:szCs w:val="44"/>
      <w:lang w:val="en-US" w:eastAsia="zh-CN" w:bidi="ar-SA"/>
    </w:rPr>
  </w:style>
  <w:style w:type="character" w:customStyle="1" w:styleId="81">
    <w:name w:val="font2"/>
    <w:autoRedefine/>
    <w:qFormat/>
    <w:uiPriority w:val="0"/>
  </w:style>
  <w:style w:type="character" w:customStyle="1" w:styleId="82">
    <w:name w:val="缺省文本 Char"/>
    <w:autoRedefine/>
    <w:qFormat/>
    <w:uiPriority w:val="0"/>
    <w:rPr>
      <w:rFonts w:eastAsia="宋体"/>
      <w:sz w:val="24"/>
      <w:lang w:val="en-US" w:eastAsia="zh-CN" w:bidi="ar-SA"/>
    </w:rPr>
  </w:style>
  <w:style w:type="character" w:customStyle="1" w:styleId="83">
    <w:name w:val="HTML 预设格式 Char1"/>
    <w:autoRedefine/>
    <w:semiHidden/>
    <w:qFormat/>
    <w:uiPriority w:val="99"/>
    <w:rPr>
      <w:rFonts w:ascii="Courier New" w:hAnsi="Courier New"/>
      <w:kern w:val="2"/>
    </w:rPr>
  </w:style>
  <w:style w:type="character" w:customStyle="1" w:styleId="84">
    <w:name w:val="Char Char8"/>
    <w:autoRedefine/>
    <w:qFormat/>
    <w:uiPriority w:val="0"/>
    <w:rPr>
      <w:sz w:val="24"/>
    </w:rPr>
  </w:style>
  <w:style w:type="character" w:customStyle="1" w:styleId="85">
    <w:name w:val="Char Char9"/>
    <w:autoRedefine/>
    <w:qFormat/>
    <w:uiPriority w:val="0"/>
    <w:rPr>
      <w:rFonts w:ascii="Arial" w:hAnsi="Arial" w:cs="Arial"/>
      <w:vanish/>
      <w:sz w:val="16"/>
      <w:szCs w:val="16"/>
    </w:rPr>
  </w:style>
  <w:style w:type="character" w:customStyle="1" w:styleId="86">
    <w:name w:val="font31"/>
    <w:autoRedefine/>
    <w:qFormat/>
    <w:uiPriority w:val="0"/>
    <w:rPr>
      <w:rFonts w:hint="default" w:ascii="Times New Roman" w:hAnsi="Times New Roman" w:cs="Times New Roman"/>
      <w:color w:val="FF0000"/>
      <w:sz w:val="24"/>
      <w:szCs w:val="24"/>
      <w:u w:val="none"/>
    </w:rPr>
  </w:style>
  <w:style w:type="character" w:customStyle="1" w:styleId="87">
    <w:name w:val="列出段落 Char"/>
    <w:link w:val="88"/>
    <w:autoRedefine/>
    <w:qFormat/>
    <w:uiPriority w:val="0"/>
    <w:rPr>
      <w:rFonts w:ascii="Calibri" w:hAnsi="Calibri"/>
    </w:rPr>
  </w:style>
  <w:style w:type="paragraph" w:customStyle="1" w:styleId="88">
    <w:name w:val="List Paragraph"/>
    <w:basedOn w:val="1"/>
    <w:link w:val="87"/>
    <w:autoRedefine/>
    <w:qFormat/>
    <w:uiPriority w:val="34"/>
    <w:pPr>
      <w:ind w:left="420" w:firstLine="420" w:firstLineChars="200"/>
    </w:pPr>
    <w:rPr>
      <w:rFonts w:ascii="Calibri" w:hAnsi="Calibri"/>
      <w:kern w:val="0"/>
      <w:sz w:val="20"/>
      <w:szCs w:val="20"/>
    </w:rPr>
  </w:style>
  <w:style w:type="character" w:customStyle="1" w:styleId="89">
    <w:name w:val="_标题3 Char"/>
    <w:autoRedefine/>
    <w:qFormat/>
    <w:uiPriority w:val="0"/>
    <w:rPr>
      <w:rFonts w:ascii="Arial" w:hAnsi="Arial" w:eastAsia="黑体"/>
      <w:bCs/>
      <w:kern w:val="2"/>
      <w:sz w:val="30"/>
      <w:szCs w:val="32"/>
      <w:lang w:val="en-US" w:eastAsia="zh-CN" w:bidi="ar-SA"/>
    </w:rPr>
  </w:style>
  <w:style w:type="character" w:customStyle="1" w:styleId="90">
    <w:name w:val="_正文段落加粗 Char"/>
    <w:autoRedefine/>
    <w:qFormat/>
    <w:uiPriority w:val="0"/>
    <w:rPr>
      <w:rFonts w:eastAsia="宋体"/>
      <w:b/>
      <w:kern w:val="2"/>
      <w:sz w:val="21"/>
      <w:szCs w:val="24"/>
      <w:lang w:val="en-US" w:eastAsia="zh-CN" w:bidi="ar-SA"/>
    </w:rPr>
  </w:style>
  <w:style w:type="character" w:customStyle="1" w:styleId="91">
    <w:name w:val="Char Char"/>
    <w:autoRedefine/>
    <w:qFormat/>
    <w:uiPriority w:val="0"/>
    <w:rPr>
      <w:rFonts w:ascii="宋体" w:hAnsi="Courier New"/>
      <w:kern w:val="2"/>
      <w:sz w:val="21"/>
    </w:rPr>
  </w:style>
  <w:style w:type="character" w:customStyle="1" w:styleId="92">
    <w:name w:val="p2"/>
    <w:autoRedefine/>
    <w:qFormat/>
    <w:uiPriority w:val="0"/>
  </w:style>
  <w:style w:type="character" w:customStyle="1" w:styleId="93">
    <w:name w:val="_题注 Char"/>
    <w:autoRedefine/>
    <w:qFormat/>
    <w:uiPriority w:val="0"/>
    <w:rPr>
      <w:rFonts w:ascii="Arial" w:hAnsi="Arial" w:eastAsia="黑体" w:cs="Arial"/>
      <w:kern w:val="2"/>
      <w:sz w:val="21"/>
      <w:lang w:val="en-US" w:eastAsia="zh-CN" w:bidi="ar-SA"/>
    </w:rPr>
  </w:style>
  <w:style w:type="character" w:customStyle="1" w:styleId="94">
    <w:name w:val="正文首行缩进 Char"/>
    <w:link w:val="20"/>
    <w:autoRedefine/>
    <w:qFormat/>
    <w:uiPriority w:val="0"/>
    <w:rPr>
      <w:sz w:val="28"/>
      <w:szCs w:val="24"/>
    </w:rPr>
  </w:style>
  <w:style w:type="character" w:customStyle="1" w:styleId="95">
    <w:name w:val="正文文本 Char"/>
    <w:link w:val="19"/>
    <w:autoRedefine/>
    <w:qFormat/>
    <w:uiPriority w:val="99"/>
    <w:rPr>
      <w:sz w:val="28"/>
      <w:szCs w:val="24"/>
    </w:rPr>
  </w:style>
  <w:style w:type="character" w:customStyle="1" w:styleId="96">
    <w:name w:val="正文文本 Char1"/>
    <w:autoRedefine/>
    <w:semiHidden/>
    <w:qFormat/>
    <w:uiPriority w:val="99"/>
    <w:rPr>
      <w:rFonts w:ascii="Times New Roman" w:hAnsi="Times New Roman" w:eastAsia="宋体" w:cs="Times New Roman"/>
      <w:szCs w:val="24"/>
    </w:rPr>
  </w:style>
  <w:style w:type="character" w:customStyle="1" w:styleId="97">
    <w:name w:val="正文首行缩进 Char1"/>
    <w:autoRedefine/>
    <w:semiHidden/>
    <w:qFormat/>
    <w:uiPriority w:val="99"/>
    <w:rPr>
      <w:rFonts w:ascii="Times New Roman" w:hAnsi="Times New Roman" w:eastAsia="宋体" w:cs="Times New Roman"/>
      <w:szCs w:val="24"/>
    </w:rPr>
  </w:style>
  <w:style w:type="character" w:customStyle="1" w:styleId="98">
    <w:name w:val="样式1 Char Char"/>
    <w:link w:val="99"/>
    <w:autoRedefine/>
    <w:qFormat/>
    <w:uiPriority w:val="0"/>
    <w:rPr>
      <w:rFonts w:ascii="Arial" w:hAnsi="Arial"/>
      <w:szCs w:val="24"/>
    </w:rPr>
  </w:style>
  <w:style w:type="paragraph" w:customStyle="1" w:styleId="99">
    <w:name w:val="样式1"/>
    <w:basedOn w:val="1"/>
    <w:link w:val="98"/>
    <w:autoRedefine/>
    <w:qFormat/>
    <w:uiPriority w:val="0"/>
    <w:pPr>
      <w:spacing w:line="360" w:lineRule="exact"/>
      <w:ind w:firstLine="200" w:firstLineChars="200"/>
    </w:pPr>
    <w:rPr>
      <w:rFonts w:ascii="Arial" w:hAnsi="Arial"/>
      <w:kern w:val="0"/>
      <w:sz w:val="20"/>
    </w:rPr>
  </w:style>
  <w:style w:type="character" w:customStyle="1" w:styleId="100">
    <w:name w:val="正文缩进 Char"/>
    <w:link w:val="14"/>
    <w:autoRedefine/>
    <w:qFormat/>
    <w:uiPriority w:val="0"/>
  </w:style>
  <w:style w:type="character" w:customStyle="1" w:styleId="101">
    <w:name w:val="z-窗体顶端 Char"/>
    <w:link w:val="102"/>
    <w:autoRedefine/>
    <w:qFormat/>
    <w:uiPriority w:val="0"/>
    <w:rPr>
      <w:rFonts w:ascii="Arial" w:hAnsi="Arial" w:cs="Arial"/>
      <w:vanish/>
      <w:sz w:val="16"/>
      <w:szCs w:val="16"/>
    </w:rPr>
  </w:style>
  <w:style w:type="paragraph" w:customStyle="1" w:styleId="102">
    <w:name w:val="z-窗体顶端1"/>
    <w:basedOn w:val="1"/>
    <w:next w:val="1"/>
    <w:link w:val="101"/>
    <w:autoRedefine/>
    <w:qFormat/>
    <w:uiPriority w:val="0"/>
    <w:pPr>
      <w:widowControl/>
      <w:pBdr>
        <w:bottom w:val="single" w:color="auto" w:sz="6" w:space="1"/>
      </w:pBdr>
      <w:jc w:val="center"/>
    </w:pPr>
    <w:rPr>
      <w:rFonts w:ascii="Arial" w:hAnsi="Arial"/>
      <w:vanish/>
      <w:kern w:val="0"/>
      <w:sz w:val="16"/>
      <w:szCs w:val="16"/>
    </w:rPr>
  </w:style>
  <w:style w:type="character" w:customStyle="1" w:styleId="103">
    <w:name w:val="z-窗体顶端 Char1"/>
    <w:autoRedefine/>
    <w:semiHidden/>
    <w:qFormat/>
    <w:uiPriority w:val="99"/>
    <w:rPr>
      <w:rFonts w:ascii="Arial" w:hAnsi="Arial" w:eastAsia="宋体" w:cs="Arial"/>
      <w:vanish/>
      <w:sz w:val="16"/>
      <w:szCs w:val="16"/>
    </w:rPr>
  </w:style>
  <w:style w:type="character" w:customStyle="1" w:styleId="104">
    <w:name w:val="z-窗体底端 Char"/>
    <w:link w:val="105"/>
    <w:autoRedefine/>
    <w:qFormat/>
    <w:uiPriority w:val="0"/>
    <w:rPr>
      <w:rFonts w:ascii="Arial" w:hAnsi="Arial" w:cs="Arial"/>
      <w:vanish/>
      <w:sz w:val="16"/>
      <w:szCs w:val="16"/>
    </w:rPr>
  </w:style>
  <w:style w:type="paragraph" w:customStyle="1" w:styleId="105">
    <w:name w:val="z-窗体底端1"/>
    <w:basedOn w:val="1"/>
    <w:next w:val="1"/>
    <w:link w:val="104"/>
    <w:autoRedefine/>
    <w:qFormat/>
    <w:uiPriority w:val="0"/>
    <w:pPr>
      <w:widowControl/>
      <w:pBdr>
        <w:top w:val="single" w:color="auto" w:sz="6" w:space="1"/>
      </w:pBdr>
      <w:jc w:val="center"/>
    </w:pPr>
    <w:rPr>
      <w:rFonts w:ascii="Arial" w:hAnsi="Arial"/>
      <w:vanish/>
      <w:kern w:val="0"/>
      <w:sz w:val="16"/>
      <w:szCs w:val="16"/>
    </w:rPr>
  </w:style>
  <w:style w:type="character" w:customStyle="1" w:styleId="106">
    <w:name w:val="z-窗体底端 Char1"/>
    <w:autoRedefine/>
    <w:semiHidden/>
    <w:qFormat/>
    <w:uiPriority w:val="99"/>
    <w:rPr>
      <w:rFonts w:ascii="Arial" w:hAnsi="Arial" w:eastAsia="宋体" w:cs="Arial"/>
      <w:vanish/>
      <w:sz w:val="16"/>
      <w:szCs w:val="16"/>
    </w:rPr>
  </w:style>
  <w:style w:type="character" w:customStyle="1" w:styleId="107">
    <w:name w:val="正文首行缩进两字符 Char"/>
    <w:autoRedefine/>
    <w:qFormat/>
    <w:uiPriority w:val="0"/>
    <w:rPr>
      <w:rFonts w:ascii="Arial" w:hAnsi="Arial"/>
      <w:kern w:val="2"/>
      <w:sz w:val="24"/>
      <w:szCs w:val="24"/>
    </w:rPr>
  </w:style>
  <w:style w:type="character" w:customStyle="1" w:styleId="108">
    <w:name w:val="msonormal"/>
    <w:autoRedefine/>
    <w:qFormat/>
    <w:uiPriority w:val="0"/>
  </w:style>
  <w:style w:type="character" w:customStyle="1" w:styleId="109">
    <w:name w:val="Char Char2"/>
    <w:autoRedefine/>
    <w:qFormat/>
    <w:uiPriority w:val="0"/>
    <w:rPr>
      <w:sz w:val="24"/>
    </w:rPr>
  </w:style>
  <w:style w:type="character" w:customStyle="1" w:styleId="110">
    <w:name w:val="Char Char3"/>
    <w:autoRedefine/>
    <w:qFormat/>
    <w:uiPriority w:val="0"/>
    <w:rPr>
      <w:rFonts w:ascii="宋体" w:hAnsi="宋体" w:cs="宋体"/>
      <w:sz w:val="24"/>
      <w:szCs w:val="24"/>
    </w:rPr>
  </w:style>
  <w:style w:type="character" w:customStyle="1" w:styleId="111">
    <w:name w:val="Char Char5"/>
    <w:autoRedefine/>
    <w:qFormat/>
    <w:uiPriority w:val="0"/>
    <w:rPr>
      <w:rFonts w:ascii="Arial" w:hAnsi="Arial" w:eastAsia="黑体" w:cs="Arial"/>
    </w:rPr>
  </w:style>
  <w:style w:type="character" w:customStyle="1" w:styleId="112">
    <w:name w:val="副标题 Char"/>
    <w:link w:val="32"/>
    <w:autoRedefine/>
    <w:qFormat/>
    <w:uiPriority w:val="11"/>
    <w:rPr>
      <w:rFonts w:ascii="Cambria" w:hAnsi="Cambria"/>
      <w:b/>
      <w:bCs/>
      <w:kern w:val="28"/>
      <w:sz w:val="32"/>
      <w:szCs w:val="32"/>
    </w:rPr>
  </w:style>
  <w:style w:type="character" w:customStyle="1" w:styleId="113">
    <w:name w:val="副标题 Char1"/>
    <w:autoRedefine/>
    <w:qFormat/>
    <w:uiPriority w:val="11"/>
    <w:rPr>
      <w:rFonts w:ascii="Cambria" w:hAnsi="Cambria" w:eastAsia="宋体" w:cs="Times New Roman"/>
      <w:b/>
      <w:bCs/>
      <w:kern w:val="28"/>
      <w:sz w:val="32"/>
      <w:szCs w:val="32"/>
    </w:rPr>
  </w:style>
  <w:style w:type="character" w:customStyle="1" w:styleId="114">
    <w:name w:val="_标题2 Char"/>
    <w:autoRedefine/>
    <w:qFormat/>
    <w:uiPriority w:val="0"/>
    <w:rPr>
      <w:rFonts w:ascii="Tahoma" w:hAnsi="Tahoma" w:eastAsia="黑体"/>
      <w:bCs/>
      <w:kern w:val="2"/>
      <w:sz w:val="32"/>
      <w:szCs w:val="32"/>
      <w:lang w:val="en-US" w:eastAsia="zh-CN" w:bidi="ar-SA"/>
    </w:rPr>
  </w:style>
  <w:style w:type="character" w:customStyle="1" w:styleId="115">
    <w:name w:val="f14b1"/>
    <w:autoRedefine/>
    <w:qFormat/>
    <w:uiPriority w:val="0"/>
    <w:rPr>
      <w:rFonts w:hint="default" w:ascii="??" w:hAnsi="??"/>
      <w:b/>
      <w:bCs/>
      <w:color w:val="333333"/>
      <w:sz w:val="21"/>
      <w:szCs w:val="21"/>
    </w:rPr>
  </w:style>
  <w:style w:type="character" w:customStyle="1" w:styleId="116">
    <w:name w:val="首行缩进2字符 Char"/>
    <w:autoRedefine/>
    <w:qFormat/>
    <w:uiPriority w:val="0"/>
    <w:rPr>
      <w:rFonts w:eastAsia="宋体"/>
      <w:snapToGrid w:val="0"/>
      <w:sz w:val="21"/>
      <w:szCs w:val="21"/>
      <w:lang w:val="en-US" w:eastAsia="zh-CN" w:bidi="ar-SA"/>
    </w:rPr>
  </w:style>
  <w:style w:type="character" w:customStyle="1" w:styleId="117">
    <w:name w:val="Char Char6"/>
    <w:autoRedefine/>
    <w:qFormat/>
    <w:uiPriority w:val="0"/>
    <w:rPr>
      <w:rFonts w:ascii="Arial" w:hAnsi="Arial" w:cs="Arial"/>
      <w:vanish/>
      <w:sz w:val="16"/>
      <w:szCs w:val="16"/>
    </w:rPr>
  </w:style>
  <w:style w:type="character" w:customStyle="1" w:styleId="118">
    <w:name w:val="文档正文 Char"/>
    <w:autoRedefine/>
    <w:qFormat/>
    <w:uiPriority w:val="0"/>
    <w:rPr>
      <w:rFonts w:eastAsia="宋体"/>
      <w:sz w:val="24"/>
      <w:lang w:val="en-US" w:eastAsia="zh-CN" w:bidi="ar-SA"/>
    </w:rPr>
  </w:style>
  <w:style w:type="character" w:customStyle="1" w:styleId="119">
    <w:name w:val="Char Char11"/>
    <w:autoRedefine/>
    <w:qFormat/>
    <w:uiPriority w:val="0"/>
    <w:rPr>
      <w:rFonts w:ascii="Arial" w:hAnsi="Arial" w:eastAsia="黑体"/>
      <w:sz w:val="24"/>
      <w:szCs w:val="24"/>
      <w:lang w:val="en-US" w:eastAsia="zh-CN" w:bidi="ar-SA"/>
    </w:rPr>
  </w:style>
  <w:style w:type="character" w:customStyle="1" w:styleId="120">
    <w:name w:val="批注文字 Char"/>
    <w:link w:val="17"/>
    <w:autoRedefine/>
    <w:qFormat/>
    <w:uiPriority w:val="0"/>
    <w:rPr>
      <w:sz w:val="24"/>
      <w:szCs w:val="24"/>
    </w:rPr>
  </w:style>
  <w:style w:type="character" w:customStyle="1" w:styleId="121">
    <w:name w:val="批注文字 Char1"/>
    <w:autoRedefine/>
    <w:semiHidden/>
    <w:qFormat/>
    <w:uiPriority w:val="99"/>
    <w:rPr>
      <w:rFonts w:ascii="Times New Roman" w:hAnsi="Times New Roman" w:eastAsia="宋体" w:cs="Times New Roman"/>
      <w:szCs w:val="24"/>
    </w:rPr>
  </w:style>
  <w:style w:type="character" w:customStyle="1" w:styleId="122">
    <w:name w:val="正文文本缩进 3 Char"/>
    <w:link w:val="35"/>
    <w:autoRedefine/>
    <w:qFormat/>
    <w:uiPriority w:val="0"/>
    <w:rPr>
      <w:rFonts w:ascii="仿宋_GB2312" w:hAnsi="宋体" w:eastAsia="仿宋_GB2312"/>
      <w:color w:val="000000"/>
      <w:sz w:val="24"/>
      <w:szCs w:val="24"/>
    </w:rPr>
  </w:style>
  <w:style w:type="character" w:customStyle="1" w:styleId="123">
    <w:name w:val="正文文本缩进 3 Char1"/>
    <w:autoRedefine/>
    <w:semiHidden/>
    <w:qFormat/>
    <w:uiPriority w:val="99"/>
    <w:rPr>
      <w:rFonts w:ascii="Times New Roman" w:hAnsi="Times New Roman" w:eastAsia="宋体" w:cs="Times New Roman"/>
      <w:sz w:val="16"/>
      <w:szCs w:val="16"/>
    </w:rPr>
  </w:style>
  <w:style w:type="character" w:customStyle="1" w:styleId="124">
    <w:name w:val="_表格文字 Char"/>
    <w:autoRedefine/>
    <w:qFormat/>
    <w:uiPriority w:val="0"/>
    <w:rPr>
      <w:rFonts w:eastAsia="宋体"/>
      <w:kern w:val="2"/>
      <w:sz w:val="21"/>
      <w:szCs w:val="24"/>
      <w:lang w:val="en-US" w:eastAsia="zh-CN" w:bidi="ar-SA"/>
    </w:rPr>
  </w:style>
  <w:style w:type="character" w:customStyle="1" w:styleId="125">
    <w:name w:val="正文文本缩进 2 Char"/>
    <w:link w:val="27"/>
    <w:autoRedefine/>
    <w:qFormat/>
    <w:uiPriority w:val="0"/>
    <w:rPr>
      <w:rFonts w:ascii="仿宋_GB2312" w:hAnsi="宋体" w:cs="Arial"/>
      <w:b/>
      <w:bCs/>
      <w:color w:val="000000"/>
      <w:sz w:val="24"/>
      <w:szCs w:val="24"/>
    </w:rPr>
  </w:style>
  <w:style w:type="character" w:customStyle="1" w:styleId="126">
    <w:name w:val="正文文本缩进 2 Char1"/>
    <w:autoRedefine/>
    <w:semiHidden/>
    <w:qFormat/>
    <w:uiPriority w:val="99"/>
    <w:rPr>
      <w:rFonts w:ascii="Times New Roman" w:hAnsi="Times New Roman" w:eastAsia="宋体" w:cs="Times New Roman"/>
      <w:szCs w:val="24"/>
    </w:rPr>
  </w:style>
  <w:style w:type="character" w:customStyle="1" w:styleId="127">
    <w:name w:val="正文文本 2 Char"/>
    <w:link w:val="37"/>
    <w:autoRedefine/>
    <w:qFormat/>
    <w:uiPriority w:val="0"/>
    <w:rPr>
      <w:rFonts w:ascii="宋体" w:hAnsi="宋体"/>
      <w:color w:val="000000"/>
      <w:sz w:val="24"/>
      <w:szCs w:val="24"/>
    </w:rPr>
  </w:style>
  <w:style w:type="character" w:customStyle="1" w:styleId="128">
    <w:name w:val="正文文本 2 Char1"/>
    <w:autoRedefine/>
    <w:semiHidden/>
    <w:qFormat/>
    <w:uiPriority w:val="99"/>
    <w:rPr>
      <w:rFonts w:ascii="Times New Roman" w:hAnsi="Times New Roman" w:eastAsia="宋体" w:cs="Times New Roman"/>
      <w:szCs w:val="24"/>
    </w:rPr>
  </w:style>
  <w:style w:type="character" w:customStyle="1" w:styleId="129">
    <w:name w:val="图 Char Char"/>
    <w:autoRedefine/>
    <w:qFormat/>
    <w:uiPriority w:val="0"/>
    <w:rPr>
      <w:rFonts w:eastAsia="黑体"/>
      <w:b/>
      <w:sz w:val="24"/>
    </w:rPr>
  </w:style>
  <w:style w:type="character" w:customStyle="1" w:styleId="130">
    <w:name w:val="普通文字1 Char"/>
    <w:autoRedefine/>
    <w:qFormat/>
    <w:uiPriority w:val="0"/>
    <w:rPr>
      <w:rFonts w:ascii="宋体" w:hAnsi="Courier New" w:eastAsia="宋体" w:cs="Courier New"/>
      <w:kern w:val="2"/>
      <w:sz w:val="21"/>
      <w:szCs w:val="21"/>
      <w:lang w:val="en-US" w:eastAsia="zh-CN" w:bidi="ar-SA"/>
    </w:rPr>
  </w:style>
  <w:style w:type="character" w:customStyle="1" w:styleId="131">
    <w:name w:val="日期 Char"/>
    <w:link w:val="26"/>
    <w:autoRedefine/>
    <w:qFormat/>
    <w:uiPriority w:val="0"/>
    <w:rPr>
      <w:rFonts w:eastAsia="楷体_GB2312"/>
      <w:sz w:val="32"/>
    </w:rPr>
  </w:style>
  <w:style w:type="character" w:customStyle="1" w:styleId="132">
    <w:name w:val="日期 Char1"/>
    <w:autoRedefine/>
    <w:semiHidden/>
    <w:qFormat/>
    <w:uiPriority w:val="99"/>
    <w:rPr>
      <w:rFonts w:ascii="Times New Roman" w:hAnsi="Times New Roman" w:eastAsia="宋体" w:cs="Times New Roman"/>
      <w:szCs w:val="24"/>
    </w:rPr>
  </w:style>
  <w:style w:type="character" w:customStyle="1" w:styleId="133">
    <w:name w:val="mark13"/>
    <w:basedOn w:val="46"/>
    <w:autoRedefine/>
    <w:qFormat/>
    <w:uiPriority w:val="0"/>
  </w:style>
  <w:style w:type="character" w:customStyle="1" w:styleId="134">
    <w:name w:val="st1"/>
    <w:autoRedefine/>
    <w:qFormat/>
    <w:uiPriority w:val="0"/>
    <w:rPr>
      <w:spacing w:val="240"/>
    </w:rPr>
  </w:style>
  <w:style w:type="character" w:customStyle="1" w:styleId="135">
    <w:name w:val="HTML 预设格式 Char"/>
    <w:link w:val="38"/>
    <w:autoRedefine/>
    <w:semiHidden/>
    <w:qFormat/>
    <w:uiPriority w:val="0"/>
    <w:rPr>
      <w:rFonts w:ascii="宋体" w:hAnsi="宋体" w:cs="宋体"/>
      <w:sz w:val="24"/>
      <w:szCs w:val="24"/>
    </w:rPr>
  </w:style>
  <w:style w:type="character" w:customStyle="1" w:styleId="136">
    <w:name w:val="HTML 预设格式 Char2"/>
    <w:autoRedefine/>
    <w:semiHidden/>
    <w:qFormat/>
    <w:uiPriority w:val="99"/>
    <w:rPr>
      <w:rFonts w:ascii="Courier New" w:hAnsi="Courier New" w:eastAsia="宋体" w:cs="Courier New"/>
      <w:sz w:val="20"/>
      <w:szCs w:val="20"/>
    </w:rPr>
  </w:style>
  <w:style w:type="character" w:customStyle="1" w:styleId="137">
    <w:name w:val="Char Char1"/>
    <w:autoRedefine/>
    <w:qFormat/>
    <w:uiPriority w:val="0"/>
    <w:rPr>
      <w:sz w:val="24"/>
    </w:rPr>
  </w:style>
  <w:style w:type="character" w:customStyle="1" w:styleId="138">
    <w:name w:val="图 Char"/>
    <w:autoRedefine/>
    <w:qFormat/>
    <w:uiPriority w:val="0"/>
    <w:rPr>
      <w:rFonts w:eastAsia="黑体"/>
      <w:b/>
      <w:sz w:val="24"/>
      <w:lang w:val="en-US" w:eastAsia="zh-CN" w:bidi="ar-SA"/>
    </w:rPr>
  </w:style>
  <w:style w:type="character" w:customStyle="1" w:styleId="139">
    <w:name w:val="font61"/>
    <w:autoRedefine/>
    <w:qFormat/>
    <w:uiPriority w:val="0"/>
    <w:rPr>
      <w:rFonts w:hint="eastAsia" w:ascii="宋体" w:hAnsi="宋体" w:eastAsia="宋体" w:cs="宋体"/>
      <w:color w:val="000000"/>
      <w:sz w:val="24"/>
      <w:szCs w:val="24"/>
      <w:u w:val="none"/>
    </w:rPr>
  </w:style>
  <w:style w:type="character" w:customStyle="1" w:styleId="140">
    <w:name w:val="a4red1"/>
    <w:autoRedefine/>
    <w:qFormat/>
    <w:uiPriority w:val="0"/>
    <w:rPr>
      <w:rFonts w:hint="default" w:ascii="Tahoma" w:hAnsi="Tahoma" w:cs="Tahoma"/>
      <w:color w:val="FF3300"/>
      <w:sz w:val="18"/>
      <w:szCs w:val="18"/>
      <w:u w:val="single"/>
    </w:rPr>
  </w:style>
  <w:style w:type="character" w:customStyle="1" w:styleId="141">
    <w:name w:val="Char Char12"/>
    <w:autoRedefine/>
    <w:qFormat/>
    <w:uiPriority w:val="0"/>
    <w:rPr>
      <w:rFonts w:eastAsia="宋体"/>
      <w:b/>
      <w:bCs/>
      <w:sz w:val="24"/>
      <w:szCs w:val="24"/>
      <w:lang w:val="en-US" w:eastAsia="zh-CN" w:bidi="ar-SA"/>
    </w:rPr>
  </w:style>
  <w:style w:type="character" w:customStyle="1" w:styleId="142">
    <w:name w:val="orange"/>
    <w:basedOn w:val="46"/>
    <w:autoRedefine/>
    <w:qFormat/>
    <w:uiPriority w:val="0"/>
  </w:style>
  <w:style w:type="character" w:customStyle="1" w:styleId="143">
    <w:name w:val="font01"/>
    <w:autoRedefine/>
    <w:qFormat/>
    <w:uiPriority w:val="0"/>
    <w:rPr>
      <w:rFonts w:hint="eastAsia" w:ascii="宋体" w:hAnsi="宋体" w:eastAsia="宋体" w:cs="宋体"/>
      <w:color w:val="FF0000"/>
      <w:sz w:val="24"/>
      <w:szCs w:val="24"/>
      <w:u w:val="none"/>
    </w:rPr>
  </w:style>
  <w:style w:type="character" w:customStyle="1" w:styleId="144">
    <w:name w:val="jianju1"/>
    <w:autoRedefine/>
    <w:qFormat/>
    <w:uiPriority w:val="0"/>
    <w:rPr>
      <w:color w:val="000000"/>
      <w:sz w:val="21"/>
      <w:szCs w:val="21"/>
      <w:u w:val="none"/>
    </w:rPr>
  </w:style>
  <w:style w:type="character" w:customStyle="1" w:styleId="145">
    <w:name w:val="fontb5"/>
    <w:basedOn w:val="46"/>
    <w:autoRedefine/>
    <w:qFormat/>
    <w:uiPriority w:val="0"/>
  </w:style>
  <w:style w:type="character" w:customStyle="1" w:styleId="146">
    <w:name w:val="_列表 Char"/>
    <w:autoRedefine/>
    <w:qFormat/>
    <w:uiPriority w:val="0"/>
    <w:rPr>
      <w:kern w:val="2"/>
      <w:sz w:val="24"/>
      <w:szCs w:val="24"/>
    </w:rPr>
  </w:style>
  <w:style w:type="character" w:customStyle="1" w:styleId="147">
    <w:name w:val="纯文本 Char"/>
    <w:link w:val="25"/>
    <w:autoRedefine/>
    <w:qFormat/>
    <w:uiPriority w:val="0"/>
    <w:rPr>
      <w:rFonts w:ascii="宋体" w:hAnsi="Courier New"/>
      <w:sz w:val="24"/>
      <w:szCs w:val="24"/>
    </w:rPr>
  </w:style>
  <w:style w:type="character" w:customStyle="1" w:styleId="148">
    <w:name w:val="纯文本 Char1"/>
    <w:autoRedefine/>
    <w:semiHidden/>
    <w:qFormat/>
    <w:uiPriority w:val="99"/>
    <w:rPr>
      <w:rFonts w:ascii="宋体" w:hAnsi="Courier New" w:eastAsia="宋体" w:cs="Courier New"/>
      <w:szCs w:val="21"/>
    </w:rPr>
  </w:style>
  <w:style w:type="character" w:customStyle="1" w:styleId="149">
    <w:name w:val="Char Char15"/>
    <w:autoRedefine/>
    <w:qFormat/>
    <w:uiPriority w:val="0"/>
    <w:rPr>
      <w:rFonts w:ascii="Arial" w:hAnsi="Arial" w:eastAsia="黑体"/>
      <w:b/>
      <w:bCs/>
      <w:kern w:val="2"/>
      <w:sz w:val="28"/>
      <w:szCs w:val="28"/>
      <w:lang w:val="en-US" w:eastAsia="zh-CN" w:bidi="ar-SA"/>
    </w:rPr>
  </w:style>
  <w:style w:type="character" w:customStyle="1" w:styleId="150">
    <w:name w:val="正文文本 3 Char"/>
    <w:link w:val="18"/>
    <w:autoRedefine/>
    <w:qFormat/>
    <w:uiPriority w:val="0"/>
    <w:rPr>
      <w:rFonts w:hAnsi="宋体" w:eastAsia="仿宋_GB2312"/>
      <w:b/>
      <w:bCs/>
      <w:sz w:val="24"/>
    </w:rPr>
  </w:style>
  <w:style w:type="character" w:customStyle="1" w:styleId="151">
    <w:name w:val="正文文本 3 Char1"/>
    <w:autoRedefine/>
    <w:semiHidden/>
    <w:qFormat/>
    <w:uiPriority w:val="99"/>
    <w:rPr>
      <w:rFonts w:ascii="Times New Roman" w:hAnsi="Times New Roman" w:eastAsia="宋体" w:cs="Times New Roman"/>
      <w:sz w:val="16"/>
      <w:szCs w:val="16"/>
    </w:rPr>
  </w:style>
  <w:style w:type="character" w:customStyle="1" w:styleId="152">
    <w:name w:val="font11"/>
    <w:autoRedefine/>
    <w:qFormat/>
    <w:uiPriority w:val="0"/>
    <w:rPr>
      <w:rFonts w:hint="default" w:ascii="Times New Roman" w:hAnsi="Times New Roman" w:cs="Times New Roman"/>
      <w:color w:val="000000"/>
      <w:sz w:val="24"/>
      <w:szCs w:val="24"/>
      <w:u w:val="none"/>
    </w:rPr>
  </w:style>
  <w:style w:type="character" w:customStyle="1" w:styleId="153">
    <w:name w:val="文档结构图 Char"/>
    <w:link w:val="16"/>
    <w:autoRedefine/>
    <w:semiHidden/>
    <w:qFormat/>
    <w:uiPriority w:val="0"/>
    <w:rPr>
      <w:sz w:val="24"/>
      <w:szCs w:val="24"/>
      <w:shd w:val="clear" w:color="auto" w:fill="000080"/>
    </w:rPr>
  </w:style>
  <w:style w:type="character" w:customStyle="1" w:styleId="154">
    <w:name w:val="文档结构图 Char1"/>
    <w:autoRedefine/>
    <w:semiHidden/>
    <w:qFormat/>
    <w:uiPriority w:val="99"/>
    <w:rPr>
      <w:rFonts w:ascii="宋体" w:hAnsi="Times New Roman" w:eastAsia="宋体" w:cs="Times New Roman"/>
      <w:sz w:val="18"/>
      <w:szCs w:val="18"/>
    </w:rPr>
  </w:style>
  <w:style w:type="character" w:customStyle="1" w:styleId="155">
    <w:name w:val="Char Char13"/>
    <w:autoRedefine/>
    <w:qFormat/>
    <w:uiPriority w:val="0"/>
    <w:rPr>
      <w:rFonts w:ascii="Arial" w:hAnsi="Arial" w:eastAsia="黑体"/>
      <w:b/>
      <w:bCs/>
      <w:kern w:val="2"/>
      <w:sz w:val="24"/>
      <w:szCs w:val="24"/>
      <w:lang w:val="en-US" w:eastAsia="zh-CN" w:bidi="ar-SA"/>
    </w:rPr>
  </w:style>
  <w:style w:type="character" w:customStyle="1" w:styleId="156">
    <w:name w:val="_标题4 Char"/>
    <w:autoRedefine/>
    <w:qFormat/>
    <w:uiPriority w:val="0"/>
    <w:rPr>
      <w:rFonts w:ascii="Tahoma" w:hAnsi="Tahoma" w:eastAsia="黑体"/>
      <w:bCs/>
      <w:kern w:val="2"/>
      <w:sz w:val="28"/>
      <w:szCs w:val="28"/>
      <w:lang w:val="en-US" w:eastAsia="zh-CN" w:bidi="ar-SA"/>
    </w:rPr>
  </w:style>
  <w:style w:type="character" w:customStyle="1" w:styleId="157">
    <w:name w:val="_表格标题 Char"/>
    <w:autoRedefine/>
    <w:qFormat/>
    <w:uiPriority w:val="0"/>
    <w:rPr>
      <w:rFonts w:eastAsia="宋体"/>
      <w:b/>
      <w:kern w:val="2"/>
      <w:sz w:val="24"/>
      <w:szCs w:val="24"/>
      <w:lang w:val="en-US" w:eastAsia="zh-CN" w:bidi="ar-SA"/>
    </w:rPr>
  </w:style>
  <w:style w:type="character" w:customStyle="1" w:styleId="158">
    <w:name w:val="批注主题 Char"/>
    <w:link w:val="42"/>
    <w:autoRedefine/>
    <w:qFormat/>
    <w:uiPriority w:val="0"/>
    <w:rPr>
      <w:b/>
      <w:bCs/>
      <w:sz w:val="24"/>
      <w:szCs w:val="24"/>
    </w:rPr>
  </w:style>
  <w:style w:type="character" w:customStyle="1" w:styleId="159">
    <w:name w:val="批注主题 Char1"/>
    <w:autoRedefine/>
    <w:semiHidden/>
    <w:qFormat/>
    <w:uiPriority w:val="99"/>
    <w:rPr>
      <w:rFonts w:ascii="Times New Roman" w:hAnsi="Times New Roman" w:eastAsia="宋体" w:cs="Times New Roman"/>
      <w:b/>
      <w:bCs/>
      <w:szCs w:val="24"/>
    </w:rPr>
  </w:style>
  <w:style w:type="character" w:customStyle="1" w:styleId="160">
    <w:name w:val="普通正文 Char"/>
    <w:autoRedefine/>
    <w:qFormat/>
    <w:uiPriority w:val="0"/>
    <w:rPr>
      <w:rFonts w:ascii="Arial" w:hAnsi="Arial" w:eastAsia="宋体"/>
      <w:sz w:val="24"/>
      <w:lang w:val="en-US" w:eastAsia="zh-CN" w:bidi="ar-SA"/>
    </w:rPr>
  </w:style>
  <w:style w:type="character" w:customStyle="1" w:styleId="161">
    <w:name w:val="Char Char7"/>
    <w:autoRedefine/>
    <w:qFormat/>
    <w:uiPriority w:val="0"/>
    <w:rPr>
      <w:sz w:val="18"/>
    </w:rPr>
  </w:style>
  <w:style w:type="character" w:customStyle="1" w:styleId="162">
    <w:name w:val="tw4winMark"/>
    <w:autoRedefine/>
    <w:qFormat/>
    <w:uiPriority w:val="0"/>
    <w:rPr>
      <w:rFonts w:ascii="Courier New" w:hAnsi="Courier New" w:cs="Courier New"/>
      <w:vanish/>
      <w:color w:val="800080"/>
      <w:vertAlign w:val="subscript"/>
    </w:rPr>
  </w:style>
  <w:style w:type="character" w:customStyle="1" w:styleId="163">
    <w:name w:val="普通(网站) Char"/>
    <w:link w:val="39"/>
    <w:autoRedefine/>
    <w:qFormat/>
    <w:locked/>
    <w:uiPriority w:val="99"/>
    <w:rPr>
      <w:sz w:val="24"/>
      <w:szCs w:val="24"/>
    </w:rPr>
  </w:style>
  <w:style w:type="character" w:customStyle="1" w:styleId="164">
    <w:name w:val="Char Char16"/>
    <w:autoRedefine/>
    <w:qFormat/>
    <w:uiPriority w:val="0"/>
    <w:rPr>
      <w:rFonts w:eastAsia="宋体"/>
      <w:b/>
      <w:bCs/>
      <w:kern w:val="2"/>
      <w:sz w:val="32"/>
      <w:szCs w:val="32"/>
      <w:lang w:val="en-US" w:eastAsia="zh-CN" w:bidi="ar-SA"/>
    </w:rPr>
  </w:style>
  <w:style w:type="paragraph" w:customStyle="1" w:styleId="165">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66">
    <w:name w:val="缺省文本"/>
    <w:basedOn w:val="1"/>
    <w:autoRedefine/>
    <w:qFormat/>
    <w:uiPriority w:val="0"/>
    <w:pPr>
      <w:autoSpaceDE w:val="0"/>
      <w:autoSpaceDN w:val="0"/>
      <w:adjustRightInd w:val="0"/>
      <w:ind w:firstLine="454"/>
    </w:pPr>
    <w:rPr>
      <w:sz w:val="24"/>
    </w:rPr>
  </w:style>
  <w:style w:type="paragraph" w:customStyle="1" w:styleId="167">
    <w:name w:val="默认段落字体 Para Char Char Char Char Char Char Char Char Char1 Char Char Char Char"/>
    <w:basedOn w:val="1"/>
    <w:autoRedefine/>
    <w:qFormat/>
    <w:uiPriority w:val="0"/>
    <w:rPr>
      <w:rFonts w:ascii="Tahoma" w:hAnsi="Tahoma"/>
      <w:sz w:val="24"/>
      <w:szCs w:val="20"/>
    </w:rPr>
  </w:style>
  <w:style w:type="paragraph" w:customStyle="1" w:styleId="168">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16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70">
    <w:name w:val="五级条标题"/>
    <w:basedOn w:val="171"/>
    <w:next w:val="1"/>
    <w:autoRedefine/>
    <w:qFormat/>
    <w:uiPriority w:val="0"/>
    <w:pPr>
      <w:tabs>
        <w:tab w:val="left" w:pos="360"/>
      </w:tabs>
      <w:outlineLvl w:val="6"/>
    </w:pPr>
  </w:style>
  <w:style w:type="paragraph" w:customStyle="1" w:styleId="171">
    <w:name w:val="四级条标题"/>
    <w:basedOn w:val="172"/>
    <w:next w:val="1"/>
    <w:autoRedefine/>
    <w:qFormat/>
    <w:uiPriority w:val="0"/>
    <w:pPr>
      <w:tabs>
        <w:tab w:val="left" w:pos="360"/>
      </w:tabs>
      <w:outlineLvl w:val="5"/>
    </w:pPr>
  </w:style>
  <w:style w:type="paragraph" w:customStyle="1" w:styleId="172">
    <w:name w:val="三级条标题"/>
    <w:basedOn w:val="173"/>
    <w:next w:val="1"/>
    <w:autoRedefine/>
    <w:qFormat/>
    <w:uiPriority w:val="0"/>
    <w:pPr>
      <w:tabs>
        <w:tab w:val="left" w:pos="360"/>
      </w:tabs>
      <w:outlineLvl w:val="4"/>
    </w:pPr>
  </w:style>
  <w:style w:type="paragraph" w:customStyle="1" w:styleId="173">
    <w:name w:val="二级条标题"/>
    <w:basedOn w:val="174"/>
    <w:next w:val="1"/>
    <w:autoRedefine/>
    <w:qFormat/>
    <w:uiPriority w:val="0"/>
    <w:pPr>
      <w:tabs>
        <w:tab w:val="left" w:pos="360"/>
      </w:tabs>
      <w:outlineLvl w:val="3"/>
    </w:pPr>
  </w:style>
  <w:style w:type="paragraph" w:customStyle="1" w:styleId="174">
    <w:name w:val="一级条标题"/>
    <w:basedOn w:val="175"/>
    <w:next w:val="1"/>
    <w:autoRedefine/>
    <w:qFormat/>
    <w:uiPriority w:val="0"/>
    <w:pPr>
      <w:tabs>
        <w:tab w:val="left" w:pos="360"/>
      </w:tabs>
      <w:spacing w:beforeLines="0" w:afterLines="0"/>
      <w:outlineLvl w:val="2"/>
    </w:pPr>
  </w:style>
  <w:style w:type="paragraph" w:customStyle="1" w:styleId="175">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17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77">
    <w:name w:val="Char Char Char"/>
    <w:basedOn w:val="1"/>
    <w:autoRedefine/>
    <w:qFormat/>
    <w:uiPriority w:val="0"/>
  </w:style>
  <w:style w:type="paragraph" w:customStyle="1" w:styleId="178">
    <w:name w:val="Char Char Char Char Char Char Char Char Char Char Char Char1 Char"/>
    <w:basedOn w:val="16"/>
    <w:autoRedefine/>
    <w:qFormat/>
    <w:uiPriority w:val="0"/>
    <w:pPr>
      <w:spacing w:afterLines="0" w:line="240" w:lineRule="auto"/>
      <w:ind w:firstLine="0" w:firstLineChars="0"/>
    </w:pPr>
    <w:rPr>
      <w:rFonts w:ascii="Tahoma" w:hAnsi="Tahoma"/>
    </w:rPr>
  </w:style>
  <w:style w:type="paragraph" w:customStyle="1" w:styleId="179">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0">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181">
    <w:name w:val="_标题6"/>
    <w:basedOn w:val="8"/>
    <w:next w:val="182"/>
    <w:autoRedefine/>
    <w:qFormat/>
    <w:uiPriority w:val="0"/>
    <w:pPr>
      <w:ind w:left="4820" w:hanging="4820" w:firstLineChars="0"/>
    </w:pPr>
    <w:rPr>
      <w:rFonts w:ascii="Tahoma" w:hAnsi="Tahoma"/>
      <w:b w:val="0"/>
    </w:rPr>
  </w:style>
  <w:style w:type="paragraph" w:customStyle="1" w:styleId="182">
    <w:name w:val="_正文段落"/>
    <w:basedOn w:val="1"/>
    <w:autoRedefine/>
    <w:qFormat/>
    <w:uiPriority w:val="0"/>
    <w:pPr>
      <w:spacing w:beforeLines="15" w:afterLines="15" w:line="360" w:lineRule="auto"/>
      <w:ind w:firstLine="200" w:firstLineChars="200"/>
    </w:pPr>
  </w:style>
  <w:style w:type="paragraph" w:customStyle="1" w:styleId="183">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18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5">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186">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187">
    <w:name w:val="CM37"/>
    <w:basedOn w:val="53"/>
    <w:next w:val="53"/>
    <w:autoRedefine/>
    <w:qFormat/>
    <w:uiPriority w:val="0"/>
    <w:pPr>
      <w:spacing w:after="533"/>
    </w:pPr>
    <w:rPr>
      <w:rFonts w:ascii="宋体" w:hAnsi="Times New Roman"/>
      <w:color w:val="auto"/>
    </w:rPr>
  </w:style>
  <w:style w:type="paragraph" w:customStyle="1" w:styleId="188">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89">
    <w:name w:val="_标题3"/>
    <w:basedOn w:val="5"/>
    <w:next w:val="182"/>
    <w:autoRedefine/>
    <w:qFormat/>
    <w:uiPriority w:val="0"/>
    <w:pPr>
      <w:tabs>
        <w:tab w:val="left" w:pos="720"/>
      </w:tabs>
      <w:spacing w:beforeLines="50" w:afterLines="50"/>
      <w:ind w:left="720"/>
    </w:pPr>
    <w:rPr>
      <w:rFonts w:ascii="Arial" w:hAnsi="Arial" w:eastAsia="黑体"/>
      <w:sz w:val="30"/>
    </w:rPr>
  </w:style>
  <w:style w:type="paragraph" w:customStyle="1" w:styleId="190">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191">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192">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193">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94">
    <w:name w:val="Char Char Char Char Char Char"/>
    <w:basedOn w:val="1"/>
    <w:autoRedefine/>
    <w:qFormat/>
    <w:uiPriority w:val="0"/>
    <w:rPr>
      <w:rFonts w:ascii="Tahoma" w:hAnsi="Tahoma"/>
      <w:sz w:val="24"/>
      <w:szCs w:val="20"/>
    </w:rPr>
  </w:style>
  <w:style w:type="paragraph" w:customStyle="1" w:styleId="195">
    <w:name w:val="列出段落1"/>
    <w:basedOn w:val="1"/>
    <w:autoRedefine/>
    <w:qFormat/>
    <w:uiPriority w:val="0"/>
    <w:pPr>
      <w:ind w:firstLine="420" w:firstLineChars="200"/>
    </w:pPr>
    <w:rPr>
      <w:rFonts w:ascii="Calibri" w:hAnsi="Calibri"/>
      <w:szCs w:val="22"/>
    </w:rPr>
  </w:style>
  <w:style w:type="paragraph" w:customStyle="1" w:styleId="19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97">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98">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99">
    <w:name w:val="图名"/>
    <w:basedOn w:val="1"/>
    <w:autoRedefine/>
    <w:qFormat/>
    <w:uiPriority w:val="0"/>
    <w:pPr>
      <w:spacing w:line="360" w:lineRule="auto"/>
      <w:jc w:val="center"/>
    </w:pPr>
    <w:rPr>
      <w:rFonts w:ascii="黑体" w:eastAsia="黑体"/>
      <w:b/>
      <w:sz w:val="32"/>
      <w:szCs w:val="32"/>
    </w:rPr>
  </w:style>
  <w:style w:type="paragraph" w:customStyle="1" w:styleId="200">
    <w:name w:val="_标题5"/>
    <w:basedOn w:val="7"/>
    <w:next w:val="182"/>
    <w:autoRedefine/>
    <w:qFormat/>
    <w:uiPriority w:val="0"/>
    <w:pPr>
      <w:ind w:left="4253" w:hanging="4253"/>
    </w:pPr>
    <w:rPr>
      <w:rFonts w:ascii="Arial" w:hAnsi="Arial" w:eastAsia="黑体"/>
      <w:b w:val="0"/>
      <w:sz w:val="24"/>
    </w:rPr>
  </w:style>
  <w:style w:type="paragraph" w:customStyle="1" w:styleId="201">
    <w:name w:val="标题 21"/>
    <w:basedOn w:val="1"/>
    <w:autoRedefine/>
    <w:qFormat/>
    <w:uiPriority w:val="0"/>
    <w:pPr>
      <w:spacing w:afterLines="100" w:line="360" w:lineRule="auto"/>
    </w:pPr>
    <w:rPr>
      <w:sz w:val="24"/>
    </w:rPr>
  </w:style>
  <w:style w:type="paragraph" w:customStyle="1" w:styleId="202">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203">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5">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06">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20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20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09">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210">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211">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212">
    <w:name w:val="标题 12"/>
    <w:basedOn w:val="1"/>
    <w:autoRedefine/>
    <w:qFormat/>
    <w:uiPriority w:val="0"/>
    <w:pPr>
      <w:spacing w:afterLines="100" w:line="360" w:lineRule="auto"/>
    </w:pPr>
    <w:rPr>
      <w:sz w:val="24"/>
    </w:rPr>
  </w:style>
  <w:style w:type="paragraph" w:customStyle="1" w:styleId="213">
    <w:name w:val="font9"/>
    <w:basedOn w:val="1"/>
    <w:autoRedefine/>
    <w:qFormat/>
    <w:uiPriority w:val="0"/>
    <w:pPr>
      <w:widowControl/>
      <w:spacing w:before="100" w:beforeAutospacing="1" w:afterAutospacing="1"/>
      <w:jc w:val="left"/>
    </w:pPr>
    <w:rPr>
      <w:kern w:val="0"/>
      <w:sz w:val="20"/>
      <w:szCs w:val="20"/>
    </w:rPr>
  </w:style>
  <w:style w:type="paragraph" w:customStyle="1" w:styleId="21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15">
    <w:name w:val="p15"/>
    <w:basedOn w:val="1"/>
    <w:autoRedefine/>
    <w:qFormat/>
    <w:uiPriority w:val="0"/>
    <w:pPr>
      <w:widowControl/>
    </w:pPr>
    <w:rPr>
      <w:kern w:val="0"/>
      <w:sz w:val="24"/>
    </w:rPr>
  </w:style>
  <w:style w:type="paragraph" w:customStyle="1" w:styleId="216">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17">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8">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219">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220">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221">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222">
    <w:name w:val="默认段落字体 Para Char"/>
    <w:basedOn w:val="1"/>
    <w:autoRedefine/>
    <w:qFormat/>
    <w:uiPriority w:val="0"/>
    <w:rPr>
      <w:rFonts w:ascii="Tahoma" w:hAnsi="Tahoma"/>
      <w:sz w:val="24"/>
      <w:szCs w:val="20"/>
    </w:rPr>
  </w:style>
  <w:style w:type="paragraph" w:customStyle="1" w:styleId="223">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2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25">
    <w:name w:val="样式 标题 5口H5PIM 5h5Level 3 - iheading 51.1.1.1.1标题 5标ghfhg..."/>
    <w:basedOn w:val="7"/>
    <w:autoRedefine/>
    <w:qFormat/>
    <w:uiPriority w:val="0"/>
    <w:pPr>
      <w:adjustRightInd w:val="0"/>
      <w:spacing w:line="376" w:lineRule="atLeast"/>
      <w:ind w:left="992" w:hanging="420"/>
      <w:textAlignment w:val="baseline"/>
    </w:pPr>
    <w:rPr>
      <w:color w:val="000000"/>
      <w:sz w:val="24"/>
      <w:szCs w:val="20"/>
    </w:rPr>
  </w:style>
  <w:style w:type="paragraph" w:customStyle="1" w:styleId="226">
    <w:name w:val="列出段落2"/>
    <w:basedOn w:val="1"/>
    <w:autoRedefine/>
    <w:qFormat/>
    <w:uiPriority w:val="0"/>
    <w:pPr>
      <w:ind w:firstLine="420" w:firstLineChars="200"/>
    </w:pPr>
    <w:rPr>
      <w:rFonts w:ascii="Calibri" w:hAnsi="Calibri"/>
      <w:szCs w:val="22"/>
    </w:rPr>
  </w:style>
  <w:style w:type="paragraph" w:customStyle="1" w:styleId="227">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228">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9">
    <w:name w:val="标题 31"/>
    <w:basedOn w:val="1"/>
    <w:autoRedefine/>
    <w:qFormat/>
    <w:uiPriority w:val="0"/>
    <w:pPr>
      <w:spacing w:afterLines="100" w:line="360" w:lineRule="auto"/>
    </w:pPr>
    <w:rPr>
      <w:sz w:val="24"/>
    </w:rPr>
  </w:style>
  <w:style w:type="paragraph" w:customStyle="1" w:styleId="230">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231">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232">
    <w:name w:val="项目"/>
    <w:basedOn w:val="182"/>
    <w:autoRedefine/>
    <w:qFormat/>
    <w:uiPriority w:val="0"/>
    <w:pPr>
      <w:spacing w:beforeLines="0" w:afterLines="0"/>
      <w:ind w:firstLine="0" w:firstLineChars="0"/>
    </w:pPr>
    <w:rPr>
      <w:rFonts w:ascii="宋体" w:hAnsi="宋体"/>
      <w:sz w:val="24"/>
    </w:rPr>
  </w:style>
  <w:style w:type="paragraph" w:customStyle="1" w:styleId="233">
    <w:name w:val="_表格文字"/>
    <w:basedOn w:val="1"/>
    <w:autoRedefine/>
    <w:qFormat/>
    <w:uiPriority w:val="0"/>
    <w:pPr>
      <w:spacing w:beforeLines="10" w:afterLines="10"/>
    </w:pPr>
  </w:style>
  <w:style w:type="paragraph" w:customStyle="1" w:styleId="234">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5">
    <w:name w:val="Char"/>
    <w:basedOn w:val="1"/>
    <w:autoRedefine/>
    <w:qFormat/>
    <w:uiPriority w:val="0"/>
    <w:rPr>
      <w:sz w:val="24"/>
    </w:rPr>
  </w:style>
  <w:style w:type="paragraph" w:customStyle="1" w:styleId="236">
    <w:name w:val="样式 标题 5 + 右侧:  -0.18 字符"/>
    <w:basedOn w:val="1"/>
    <w:autoRedefine/>
    <w:qFormat/>
    <w:uiPriority w:val="0"/>
    <w:pPr>
      <w:tabs>
        <w:tab w:val="left" w:pos="1008"/>
      </w:tabs>
      <w:ind w:left="1008" w:hanging="1008"/>
    </w:pPr>
  </w:style>
  <w:style w:type="paragraph" w:customStyle="1" w:styleId="237">
    <w:name w:val="Char Char1 Char"/>
    <w:basedOn w:val="1"/>
    <w:autoRedefine/>
    <w:qFormat/>
    <w:uiPriority w:val="0"/>
    <w:pPr>
      <w:spacing w:line="360" w:lineRule="auto"/>
    </w:pPr>
    <w:rPr>
      <w:rFonts w:ascii="Tahoma" w:hAnsi="Tahoma"/>
      <w:sz w:val="24"/>
      <w:szCs w:val="20"/>
    </w:rPr>
  </w:style>
  <w:style w:type="paragraph" w:customStyle="1" w:styleId="238">
    <w:name w:val="_正文段落加粗"/>
    <w:basedOn w:val="182"/>
    <w:autoRedefine/>
    <w:qFormat/>
    <w:uiPriority w:val="0"/>
    <w:pPr>
      <w:spacing w:beforeLines="0" w:afterLines="0"/>
      <w:ind w:firstLine="480"/>
    </w:pPr>
    <w:rPr>
      <w:b/>
    </w:rPr>
  </w:style>
  <w:style w:type="paragraph" w:customStyle="1" w:styleId="239">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240">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241">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42">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4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245">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24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48">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24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0">
    <w:name w:val="Char2"/>
    <w:basedOn w:val="1"/>
    <w:autoRedefine/>
    <w:qFormat/>
    <w:uiPriority w:val="0"/>
    <w:rPr>
      <w:rFonts w:ascii="Tahoma" w:hAnsi="Tahoma"/>
      <w:sz w:val="24"/>
      <w:szCs w:val="20"/>
    </w:rPr>
  </w:style>
  <w:style w:type="paragraph" w:customStyle="1" w:styleId="251">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2">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3">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254">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255">
    <w:name w:val="_标题4"/>
    <w:basedOn w:val="6"/>
    <w:next w:val="182"/>
    <w:autoRedefine/>
    <w:qFormat/>
    <w:uiPriority w:val="0"/>
    <w:pPr>
      <w:tabs>
        <w:tab w:val="left" w:pos="2160"/>
      </w:tabs>
      <w:spacing w:after="0" w:line="372" w:lineRule="auto"/>
      <w:ind w:left="3402" w:hanging="3402"/>
    </w:pPr>
    <w:rPr>
      <w:rFonts w:ascii="Tahoma" w:hAnsi="Tahoma" w:eastAsia="黑体"/>
    </w:rPr>
  </w:style>
  <w:style w:type="paragraph" w:customStyle="1" w:styleId="256">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57">
    <w:name w:val="表"/>
    <w:basedOn w:val="1"/>
    <w:next w:val="10"/>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258">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259">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60">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61">
    <w:name w:val="公文行文"/>
    <w:basedOn w:val="1"/>
    <w:autoRedefine/>
    <w:qFormat/>
    <w:uiPriority w:val="0"/>
    <w:pPr>
      <w:spacing w:line="360" w:lineRule="auto"/>
      <w:ind w:firstLine="200" w:firstLineChars="200"/>
    </w:pPr>
    <w:rPr>
      <w:rFonts w:eastAsia="仿宋_GB2312"/>
      <w:sz w:val="28"/>
    </w:rPr>
  </w:style>
  <w:style w:type="paragraph" w:customStyle="1" w:styleId="262">
    <w:name w:val="正文首行缩进两字符"/>
    <w:basedOn w:val="1"/>
    <w:autoRedefine/>
    <w:qFormat/>
    <w:uiPriority w:val="0"/>
    <w:pPr>
      <w:spacing w:line="300" w:lineRule="auto"/>
      <w:ind w:firstLine="200" w:firstLineChars="200"/>
    </w:pPr>
    <w:rPr>
      <w:rFonts w:ascii="Arial" w:hAnsi="Arial"/>
      <w:sz w:val="24"/>
    </w:rPr>
  </w:style>
  <w:style w:type="paragraph" w:customStyle="1" w:styleId="263">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264">
    <w:name w:val="_题注"/>
    <w:basedOn w:val="15"/>
    <w:autoRedefine/>
    <w:qFormat/>
    <w:uiPriority w:val="0"/>
    <w:pPr>
      <w:spacing w:before="0" w:afterLines="100"/>
      <w:jc w:val="center"/>
    </w:pPr>
    <w:rPr>
      <w:sz w:val="21"/>
      <w:szCs w:val="24"/>
    </w:rPr>
  </w:style>
  <w:style w:type="paragraph" w:customStyle="1" w:styleId="265">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266">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267">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68">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269">
    <w:name w:val="_列表"/>
    <w:basedOn w:val="182"/>
    <w:autoRedefine/>
    <w:qFormat/>
    <w:uiPriority w:val="0"/>
    <w:pPr>
      <w:spacing w:beforeLines="0" w:afterLines="0"/>
    </w:pPr>
    <w:rPr>
      <w:sz w:val="24"/>
    </w:rPr>
  </w:style>
  <w:style w:type="paragraph" w:customStyle="1" w:styleId="270">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71">
    <w:name w:val="标题 11"/>
    <w:basedOn w:val="1"/>
    <w:autoRedefine/>
    <w:qFormat/>
    <w:uiPriority w:val="0"/>
    <w:pPr>
      <w:spacing w:afterLines="100" w:line="360" w:lineRule="auto"/>
    </w:pPr>
    <w:rPr>
      <w:sz w:val="24"/>
    </w:rPr>
  </w:style>
  <w:style w:type="paragraph" w:customStyle="1" w:styleId="272">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273">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74">
    <w:name w:val="_标题1"/>
    <w:basedOn w:val="3"/>
    <w:next w:val="182"/>
    <w:autoRedefine/>
    <w:qFormat/>
    <w:uiPriority w:val="0"/>
    <w:pPr>
      <w:tabs>
        <w:tab w:val="left" w:pos="708"/>
        <w:tab w:val="left" w:pos="900"/>
      </w:tabs>
      <w:spacing w:after="0" w:line="576" w:lineRule="auto"/>
      <w:ind w:left="567" w:hanging="567"/>
      <w:jc w:val="center"/>
    </w:pPr>
    <w:rPr>
      <w:rFonts w:ascii="Arial" w:hAnsi="Arial" w:eastAsia="黑体"/>
      <w:b w:val="0"/>
    </w:rPr>
  </w:style>
  <w:style w:type="paragraph" w:customStyle="1" w:styleId="275">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76">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277">
    <w:name w:val="TOC 标题1"/>
    <w:basedOn w:val="3"/>
    <w:next w:val="1"/>
    <w:autoRedefine/>
    <w:qFormat/>
    <w:uiPriority w:val="39"/>
    <w:pPr>
      <w:outlineLvl w:val="9"/>
    </w:pPr>
  </w:style>
  <w:style w:type="paragraph" w:customStyle="1" w:styleId="278">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279">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280">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81">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282">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283">
    <w:name w:val="_标题2"/>
    <w:basedOn w:val="4"/>
    <w:next w:val="182"/>
    <w:autoRedefine/>
    <w:qFormat/>
    <w:uiPriority w:val="0"/>
    <w:pPr>
      <w:tabs>
        <w:tab w:val="left" w:pos="860"/>
      </w:tabs>
      <w:spacing w:beforeLines="50" w:afterLines="50" w:line="413" w:lineRule="auto"/>
      <w:ind w:left="1418" w:hanging="1418"/>
    </w:pPr>
    <w:rPr>
      <w:rFonts w:ascii="Tahoma" w:hAnsi="Tahoma"/>
    </w:rPr>
  </w:style>
  <w:style w:type="paragraph" w:customStyle="1" w:styleId="284">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285">
    <w:name w:val="_图片"/>
    <w:basedOn w:val="1"/>
    <w:next w:val="182"/>
    <w:autoRedefine/>
    <w:qFormat/>
    <w:uiPriority w:val="0"/>
    <w:pPr>
      <w:spacing w:before="46" w:line="360" w:lineRule="auto"/>
      <w:jc w:val="center"/>
    </w:pPr>
    <w:rPr>
      <w:sz w:val="18"/>
    </w:rPr>
  </w:style>
  <w:style w:type="paragraph" w:customStyle="1" w:styleId="286">
    <w:name w:val="投标文件 正文首行缩进"/>
    <w:basedOn w:val="43"/>
    <w:autoRedefine/>
    <w:qFormat/>
    <w:uiPriority w:val="0"/>
    <w:pPr>
      <w:spacing w:after="220"/>
      <w:ind w:left="0" w:leftChars="0" w:firstLine="200"/>
    </w:pPr>
    <w:rPr>
      <w:rFonts w:ascii="Arial" w:hAnsi="Arial"/>
      <w:sz w:val="21"/>
    </w:rPr>
  </w:style>
  <w:style w:type="paragraph" w:customStyle="1" w:styleId="287">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288">
    <w:name w:val="图"/>
    <w:basedOn w:val="1"/>
    <w:next w:val="10"/>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289">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290">
    <w:name w:val="正文段"/>
    <w:basedOn w:val="1"/>
    <w:autoRedefine/>
    <w:qFormat/>
    <w:uiPriority w:val="0"/>
    <w:pPr>
      <w:widowControl/>
      <w:snapToGrid w:val="0"/>
      <w:spacing w:afterLines="50"/>
      <w:ind w:firstLine="200" w:firstLineChars="200"/>
    </w:pPr>
    <w:rPr>
      <w:kern w:val="0"/>
      <w:sz w:val="24"/>
      <w:szCs w:val="20"/>
    </w:rPr>
  </w:style>
  <w:style w:type="paragraph" w:customStyle="1" w:styleId="291">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292">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3">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294">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295">
    <w:name w:val="表格文字"/>
    <w:basedOn w:val="1"/>
    <w:autoRedefine/>
    <w:qFormat/>
    <w:uiPriority w:val="0"/>
    <w:pPr>
      <w:spacing w:beforeLines="25" w:afterLines="25"/>
      <w:jc w:val="left"/>
    </w:pPr>
    <w:rPr>
      <w:spacing w:val="10"/>
      <w:sz w:val="24"/>
    </w:rPr>
  </w:style>
  <w:style w:type="paragraph" w:customStyle="1" w:styleId="296">
    <w:name w:val="标题 22"/>
    <w:basedOn w:val="1"/>
    <w:autoRedefine/>
    <w:qFormat/>
    <w:uiPriority w:val="0"/>
    <w:pPr>
      <w:spacing w:afterLines="100" w:line="360" w:lineRule="auto"/>
    </w:pPr>
    <w:rPr>
      <w:sz w:val="24"/>
    </w:rPr>
  </w:style>
  <w:style w:type="paragraph" w:customStyle="1" w:styleId="297">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98">
    <w:name w:val="_表格标题"/>
    <w:basedOn w:val="233"/>
    <w:autoRedefine/>
    <w:qFormat/>
    <w:uiPriority w:val="0"/>
    <w:pPr>
      <w:spacing w:beforeLines="30" w:afterLines="30"/>
      <w:jc w:val="center"/>
    </w:pPr>
    <w:rPr>
      <w:b/>
      <w:sz w:val="24"/>
    </w:rPr>
  </w:style>
  <w:style w:type="paragraph" w:customStyle="1" w:styleId="299">
    <w:name w:val="Char Char Char Char Char Char Char Char Char Char Char Char Char Char Char Char"/>
    <w:basedOn w:val="1"/>
    <w:autoRedefine/>
    <w:qFormat/>
    <w:uiPriority w:val="0"/>
    <w:rPr>
      <w:sz w:val="24"/>
    </w:rPr>
  </w:style>
  <w:style w:type="paragraph" w:customStyle="1" w:styleId="300">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301">
    <w:name w:val="CM13"/>
    <w:basedOn w:val="53"/>
    <w:next w:val="53"/>
    <w:autoRedefine/>
    <w:qFormat/>
    <w:uiPriority w:val="0"/>
    <w:pPr>
      <w:spacing w:line="468" w:lineRule="atLeast"/>
    </w:pPr>
    <w:rPr>
      <w:rFonts w:ascii="宋体" w:hAnsi="Times New Roman"/>
      <w:color w:val="auto"/>
    </w:rPr>
  </w:style>
  <w:style w:type="paragraph" w:customStyle="1" w:styleId="302">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303">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304">
    <w:name w:val="标题 32"/>
    <w:basedOn w:val="1"/>
    <w:autoRedefine/>
    <w:qFormat/>
    <w:uiPriority w:val="0"/>
    <w:pPr>
      <w:spacing w:afterLines="100" w:line="360" w:lineRule="auto"/>
    </w:pPr>
    <w:rPr>
      <w:sz w:val="24"/>
    </w:rPr>
  </w:style>
  <w:style w:type="paragraph" w:customStyle="1" w:styleId="305">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306">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307">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308">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309">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10">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11">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312">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313">
    <w:name w:val="插图"/>
    <w:basedOn w:val="25"/>
    <w:autoRedefine/>
    <w:qFormat/>
    <w:uiPriority w:val="0"/>
    <w:pPr>
      <w:tabs>
        <w:tab w:val="left" w:pos="425"/>
      </w:tabs>
      <w:spacing w:beforeLines="0" w:afterLines="0" w:line="240" w:lineRule="auto"/>
      <w:jc w:val="center"/>
    </w:pPr>
    <w:rPr>
      <w:sz w:val="21"/>
      <w:szCs w:val="21"/>
    </w:rPr>
  </w:style>
  <w:style w:type="paragraph" w:customStyle="1" w:styleId="314">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315">
    <w:name w:val="p0"/>
    <w:basedOn w:val="1"/>
    <w:autoRedefine/>
    <w:qFormat/>
    <w:uiPriority w:val="0"/>
    <w:pPr>
      <w:widowControl/>
    </w:pPr>
    <w:rPr>
      <w:rFonts w:ascii="華康辦公用具篇" w:hAnsi="華康辦公用具篇" w:cs="宋体"/>
      <w:kern w:val="0"/>
      <w:szCs w:val="21"/>
    </w:rPr>
  </w:style>
  <w:style w:type="paragraph" w:customStyle="1" w:styleId="31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317">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318">
    <w:name w:val="Char Char1 Char Char Char Char"/>
    <w:basedOn w:val="16"/>
    <w:autoRedefine/>
    <w:qFormat/>
    <w:uiPriority w:val="0"/>
    <w:pPr>
      <w:spacing w:afterLines="0"/>
      <w:ind w:firstLine="540" w:firstLineChars="0"/>
    </w:pPr>
    <w:rPr>
      <w:rFonts w:eastAsia="仿宋_GB2312"/>
      <w:b/>
      <w:sz w:val="36"/>
      <w:szCs w:val="36"/>
    </w:rPr>
  </w:style>
  <w:style w:type="paragraph" w:customStyle="1" w:styleId="319">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320">
    <w:name w:val="程序段"/>
    <w:basedOn w:val="1"/>
    <w:autoRedefine/>
    <w:qFormat/>
    <w:uiPriority w:val="0"/>
    <w:pPr>
      <w:ind w:firstLine="420" w:firstLineChars="200"/>
    </w:pPr>
    <w:rPr>
      <w:rFonts w:ascii="Courier" w:hAnsi="Courier"/>
    </w:rPr>
  </w:style>
  <w:style w:type="paragraph" w:customStyle="1" w:styleId="321">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322">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323">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24">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32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26">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327">
    <w:name w:val="列出段落3"/>
    <w:basedOn w:val="1"/>
    <w:autoRedefine/>
    <w:qFormat/>
    <w:uiPriority w:val="0"/>
    <w:pPr>
      <w:ind w:firstLine="420" w:firstLineChars="200"/>
    </w:pPr>
    <w:rPr>
      <w:rFonts w:ascii="Calibri" w:hAnsi="Calibri"/>
      <w:szCs w:val="22"/>
    </w:rPr>
  </w:style>
  <w:style w:type="paragraph" w:customStyle="1" w:styleId="32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32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0">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331">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33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333">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33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35">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33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3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339">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0">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341">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342">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343">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344">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5">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346">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8">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4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350">
    <w:name w:val="xl28"/>
    <w:basedOn w:val="1"/>
    <w:autoRedefine/>
    <w:qFormat/>
    <w:uiPriority w:val="0"/>
    <w:pPr>
      <w:widowControl/>
      <w:spacing w:before="100" w:beforeAutospacing="1" w:afterAutospacing="1"/>
      <w:jc w:val="center"/>
    </w:pPr>
    <w:rPr>
      <w:kern w:val="0"/>
      <w:sz w:val="28"/>
      <w:szCs w:val="28"/>
    </w:rPr>
  </w:style>
  <w:style w:type="paragraph" w:customStyle="1" w:styleId="35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4">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6">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35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35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359">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360">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36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36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363">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364">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365">
    <w:name w:val="table_1stline"/>
    <w:basedOn w:val="1"/>
    <w:autoRedefine/>
    <w:qFormat/>
    <w:uiPriority w:val="0"/>
    <w:pPr>
      <w:widowControl/>
      <w:spacing w:before="120"/>
      <w:jc w:val="left"/>
    </w:pPr>
    <w:rPr>
      <w:rFonts w:eastAsia="MS Mincho"/>
      <w:bCs/>
      <w:kern w:val="0"/>
      <w:sz w:val="20"/>
      <w:szCs w:val="20"/>
      <w:lang w:val="de-DE" w:eastAsia="de-DE"/>
    </w:rPr>
  </w:style>
  <w:style w:type="paragraph" w:customStyle="1" w:styleId="366">
    <w:name w:val="table_lines"/>
    <w:basedOn w:val="1"/>
    <w:autoRedefine/>
    <w:qFormat/>
    <w:uiPriority w:val="0"/>
    <w:pPr>
      <w:widowControl/>
      <w:jc w:val="left"/>
    </w:pPr>
    <w:rPr>
      <w:rFonts w:eastAsia="MS Mincho"/>
      <w:kern w:val="0"/>
      <w:sz w:val="20"/>
      <w:szCs w:val="20"/>
      <w:lang w:val="de-DE" w:eastAsia="de-DE"/>
    </w:rPr>
  </w:style>
  <w:style w:type="character" w:customStyle="1" w:styleId="367">
    <w:name w:val="3zw1"/>
    <w:autoRedefine/>
    <w:qFormat/>
    <w:uiPriority w:val="0"/>
    <w:rPr>
      <w:color w:val="000000"/>
      <w:sz w:val="21"/>
      <w:szCs w:val="21"/>
    </w:rPr>
  </w:style>
  <w:style w:type="character" w:customStyle="1" w:styleId="368">
    <w:name w:val="正文2 Char Char"/>
    <w:link w:val="369"/>
    <w:autoRedefine/>
    <w:qFormat/>
    <w:uiPriority w:val="0"/>
    <w:rPr>
      <w:sz w:val="24"/>
    </w:rPr>
  </w:style>
  <w:style w:type="paragraph" w:customStyle="1" w:styleId="369">
    <w:name w:val="正文2"/>
    <w:basedOn w:val="1"/>
    <w:link w:val="368"/>
    <w:autoRedefine/>
    <w:qFormat/>
    <w:uiPriority w:val="0"/>
    <w:pPr>
      <w:spacing w:before="156" w:line="360" w:lineRule="auto"/>
      <w:ind w:firstLine="510" w:firstLineChars="200"/>
    </w:pPr>
    <w:rPr>
      <w:rFonts w:ascii="Calibri" w:hAnsi="Calibri"/>
      <w:kern w:val="0"/>
      <w:sz w:val="24"/>
      <w:szCs w:val="20"/>
    </w:rPr>
  </w:style>
  <w:style w:type="character" w:customStyle="1" w:styleId="370">
    <w:name w:val="标题 Char"/>
    <w:link w:val="41"/>
    <w:autoRedefine/>
    <w:qFormat/>
    <w:uiPriority w:val="0"/>
    <w:rPr>
      <w:rFonts w:ascii="Arial" w:hAnsi="Arial" w:eastAsia="仿宋_GB2312"/>
      <w:b/>
      <w:bCs/>
      <w:sz w:val="36"/>
      <w:szCs w:val="32"/>
    </w:rPr>
  </w:style>
  <w:style w:type="character" w:customStyle="1" w:styleId="371">
    <w:name w:val="标题 Char1"/>
    <w:autoRedefine/>
    <w:qFormat/>
    <w:uiPriority w:val="10"/>
    <w:rPr>
      <w:rFonts w:ascii="Cambria" w:hAnsi="Cambria" w:eastAsia="宋体" w:cs="Times New Roman"/>
      <w:b/>
      <w:bCs/>
      <w:sz w:val="32"/>
      <w:szCs w:val="32"/>
    </w:rPr>
  </w:style>
  <w:style w:type="character" w:customStyle="1" w:styleId="372">
    <w:name w:val="font101"/>
    <w:autoRedefine/>
    <w:qFormat/>
    <w:uiPriority w:val="0"/>
    <w:rPr>
      <w:rFonts w:hint="default" w:ascii="Times New Roman" w:hAnsi="Times New Roman" w:cs="Times New Roman"/>
      <w:color w:val="000000"/>
      <w:sz w:val="21"/>
      <w:szCs w:val="21"/>
      <w:u w:val="none"/>
    </w:rPr>
  </w:style>
  <w:style w:type="character" w:customStyle="1" w:styleId="373">
    <w:name w:val="页脚 字符"/>
    <w:autoRedefine/>
    <w:qFormat/>
    <w:uiPriority w:val="99"/>
  </w:style>
  <w:style w:type="character" w:customStyle="1" w:styleId="374">
    <w:name w:val="param-name1"/>
    <w:qFormat/>
    <w:uiPriority w:val="0"/>
    <w:rPr>
      <w:rFonts w:cs="Times New Roman"/>
      <w:b/>
    </w:rPr>
  </w:style>
  <w:style w:type="character" w:customStyle="1" w:styleId="375">
    <w:name w:val="font91"/>
    <w:qFormat/>
    <w:uiPriority w:val="0"/>
    <w:rPr>
      <w:rFonts w:hint="eastAsia" w:ascii="宋体" w:hAnsi="宋体" w:eastAsia="宋体" w:cs="宋体"/>
      <w:color w:val="000000"/>
      <w:sz w:val="21"/>
      <w:szCs w:val="21"/>
      <w:u w:val="none"/>
    </w:rPr>
  </w:style>
  <w:style w:type="character" w:customStyle="1" w:styleId="376">
    <w:name w:val="font71"/>
    <w:qFormat/>
    <w:uiPriority w:val="0"/>
    <w:rPr>
      <w:rFonts w:hint="eastAsia" w:ascii="宋体" w:hAnsi="宋体" w:eastAsia="宋体" w:cs="宋体"/>
      <w:color w:val="000000"/>
      <w:sz w:val="21"/>
      <w:szCs w:val="21"/>
      <w:u w:val="none"/>
    </w:rPr>
  </w:style>
  <w:style w:type="character" w:customStyle="1" w:styleId="377">
    <w:name w:val="15"/>
    <w:qFormat/>
    <w:uiPriority w:val="0"/>
    <w:rPr>
      <w:rFonts w:hint="eastAsia" w:ascii="宋体" w:hAnsi="宋体" w:eastAsia="宋体" w:cs="宋体"/>
      <w:color w:val="000000"/>
      <w:sz w:val="22"/>
      <w:szCs w:val="22"/>
    </w:rPr>
  </w:style>
  <w:style w:type="character" w:customStyle="1" w:styleId="378">
    <w:name w:val="font21"/>
    <w:qFormat/>
    <w:uiPriority w:val="0"/>
    <w:rPr>
      <w:rFonts w:ascii="Arial" w:hAnsi="Arial" w:cs="Arial"/>
      <w:color w:val="000000"/>
      <w:sz w:val="21"/>
      <w:szCs w:val="21"/>
      <w:u w:val="none"/>
    </w:rPr>
  </w:style>
  <w:style w:type="character" w:customStyle="1" w:styleId="379">
    <w:name w:val="font161"/>
    <w:qFormat/>
    <w:uiPriority w:val="0"/>
    <w:rPr>
      <w:rFonts w:hint="default" w:ascii="Times New Roman" w:hAnsi="Times New Roman" w:cs="Times New Roman"/>
      <w:color w:val="000000"/>
      <w:sz w:val="18"/>
      <w:szCs w:val="18"/>
      <w:u w:val="none"/>
    </w:rPr>
  </w:style>
  <w:style w:type="character" w:customStyle="1" w:styleId="380">
    <w:name w:val="font41"/>
    <w:qFormat/>
    <w:uiPriority w:val="0"/>
    <w:rPr>
      <w:rFonts w:hint="eastAsia" w:ascii="宋体" w:hAnsi="宋体" w:eastAsia="宋体" w:cs="宋体"/>
      <w:color w:val="FF0000"/>
      <w:sz w:val="28"/>
      <w:szCs w:val="28"/>
      <w:u w:val="none"/>
    </w:rPr>
  </w:style>
  <w:style w:type="character" w:customStyle="1" w:styleId="381">
    <w:name w:val="apple-converted-space"/>
    <w:basedOn w:val="46"/>
    <w:qFormat/>
    <w:uiPriority w:val="0"/>
  </w:style>
  <w:style w:type="character" w:customStyle="1" w:styleId="382">
    <w:name w:val="font151"/>
    <w:qFormat/>
    <w:uiPriority w:val="0"/>
    <w:rPr>
      <w:rFonts w:hint="default" w:ascii="Times New Roman" w:hAnsi="Times New Roman" w:cs="Times New Roman"/>
      <w:color w:val="000000"/>
      <w:sz w:val="21"/>
      <w:szCs w:val="21"/>
      <w:u w:val="none"/>
    </w:rPr>
  </w:style>
  <w:style w:type="paragraph" w:customStyle="1" w:styleId="38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Fließtext"/>
    <w:basedOn w:val="1"/>
    <w:qFormat/>
    <w:uiPriority w:val="0"/>
    <w:pPr>
      <w:overflowPunct w:val="0"/>
      <w:autoSpaceDE w:val="0"/>
      <w:autoSpaceDN w:val="0"/>
      <w:adjustRightInd w:val="0"/>
      <w:textAlignment w:val="baseline"/>
    </w:pPr>
    <w:rPr>
      <w:kern w:val="28"/>
      <w:szCs w:val="20"/>
    </w:rPr>
  </w:style>
  <w:style w:type="paragraph" w:customStyle="1" w:styleId="385">
    <w:name w:val="Body Text First Indent 21"/>
    <w:basedOn w:val="1"/>
    <w:qFormat/>
    <w:uiPriority w:val="0"/>
    <w:pPr>
      <w:ind w:left="420" w:leftChars="200" w:firstLine="420"/>
    </w:pPr>
    <w:rPr>
      <w:szCs w:val="21"/>
    </w:rPr>
  </w:style>
  <w:style w:type="paragraph" w:customStyle="1" w:styleId="386">
    <w:name w:val="项目编号"/>
    <w:basedOn w:val="1"/>
    <w:qFormat/>
    <w:uiPriority w:val="0"/>
    <w:pPr>
      <w:tabs>
        <w:tab w:val="left" w:pos="1440"/>
      </w:tabs>
      <w:spacing w:line="360" w:lineRule="auto"/>
      <w:ind w:left="735" w:firstLine="200" w:firstLineChars="200"/>
    </w:pPr>
    <w:rPr>
      <w:rFonts w:ascii="仿宋_GB2312" w:eastAsia="仿宋_GB2312"/>
      <w:sz w:val="24"/>
    </w:rPr>
  </w:style>
  <w:style w:type="character" w:customStyle="1" w:styleId="387">
    <w:name w:val="fontstyle01"/>
    <w:qFormat/>
    <w:uiPriority w:val="0"/>
    <w:rPr>
      <w:rFonts w:hint="eastAsia" w:ascii="宋体" w:hAnsi="宋体" w:eastAsia="宋体"/>
      <w:color w:val="000000"/>
      <w:sz w:val="22"/>
      <w:szCs w:val="22"/>
    </w:rPr>
  </w:style>
  <w:style w:type="paragraph" w:customStyle="1" w:styleId="38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89">
    <w:name w:val="No Spacing"/>
    <w:link w:val="392"/>
    <w:qFormat/>
    <w:uiPriority w:val="1"/>
    <w:pPr>
      <w:widowControl w:val="0"/>
      <w:spacing w:line="360" w:lineRule="auto"/>
      <w:jc w:val="center"/>
    </w:pPr>
    <w:rPr>
      <w:rFonts w:ascii="宋体" w:hAnsi="宋体" w:eastAsia="宋体" w:cstheme="minorBidi"/>
      <w:kern w:val="2"/>
      <w:sz w:val="21"/>
      <w:szCs w:val="24"/>
      <w:lang w:val="en-US" w:eastAsia="zh-CN" w:bidi="ar-SA"/>
    </w:rPr>
  </w:style>
  <w:style w:type="paragraph" w:customStyle="1" w:styleId="390">
    <w:name w:val="正文1"/>
    <w:basedOn w:val="1"/>
    <w:qFormat/>
    <w:uiPriority w:val="0"/>
    <w:pPr>
      <w:adjustRightInd w:val="0"/>
      <w:spacing w:line="318" w:lineRule="atLeast"/>
      <w:ind w:left="369" w:firstLine="369"/>
      <w:textAlignment w:val="baseline"/>
    </w:pPr>
    <w:rPr>
      <w:rFonts w:ascii="宋体"/>
      <w:szCs w:val="20"/>
    </w:rPr>
  </w:style>
  <w:style w:type="paragraph" w:customStyle="1" w:styleId="391">
    <w:name w:val="D&amp;L"/>
    <w:basedOn w:val="30"/>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character" w:customStyle="1" w:styleId="392">
    <w:name w:val="无间隔 Char"/>
    <w:basedOn w:val="46"/>
    <w:link w:val="389"/>
    <w:qFormat/>
    <w:uiPriority w:val="1"/>
    <w:rPr>
      <w:rFonts w:ascii="宋体" w:hAnsi="宋体" w:cstheme="minorBidi"/>
      <w:kern w:val="2"/>
      <w:sz w:val="21"/>
      <w:szCs w:val="24"/>
    </w:rPr>
  </w:style>
  <w:style w:type="paragraph" w:customStyle="1" w:styleId="39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94">
    <w:name w:val="未处理的提及1"/>
    <w:basedOn w:val="46"/>
    <w:unhideWhenUsed/>
    <w:qFormat/>
    <w:uiPriority w:val="99"/>
    <w:rPr>
      <w:color w:val="605E5C"/>
      <w:shd w:val="clear" w:color="auto" w:fill="E1DFDD"/>
    </w:rPr>
  </w:style>
  <w:style w:type="paragraph" w:customStyle="1" w:styleId="395">
    <w:name w:val="字元 字元 字元 字元 字元 字元 字元 字元 字元 字元 字元"/>
    <w:basedOn w:val="1"/>
    <w:qFormat/>
    <w:uiPriority w:val="0"/>
    <w:pPr>
      <w:tabs>
        <w:tab w:val="left" w:pos="600"/>
      </w:tabs>
      <w:ind w:left="600" w:hanging="360"/>
    </w:pPr>
  </w:style>
  <w:style w:type="character" w:customStyle="1" w:styleId="396">
    <w:name w:val="正文缩进 字符1"/>
    <w:locked/>
    <w:uiPriority w:val="0"/>
    <w:rPr>
      <w:rFonts w:ascii="宋体" w:hAnsi="宋体" w:eastAsia="宋体" w:cs="宋体"/>
      <w:spacing w:val="14"/>
      <w:kern w:val="24"/>
      <w:sz w:val="24"/>
      <w:szCs w:val="24"/>
      <w:lang w:val="en-US" w:eastAsia="zh-CN"/>
    </w:rPr>
  </w:style>
  <w:style w:type="paragraph" w:customStyle="1" w:styleId="397">
    <w:name w:val="标准书脚_奇数页"/>
    <w:qFormat/>
    <w:uiPriority w:val="0"/>
    <w:pPr>
      <w:spacing w:before="120"/>
      <w:jc w:val="right"/>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DCDA-72AC-4DC0-87C7-6AB5A458DBE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4570</Words>
  <Characters>26053</Characters>
  <Lines>217</Lines>
  <Paragraphs>61</Paragraphs>
  <TotalTime>0</TotalTime>
  <ScaleCrop>false</ScaleCrop>
  <LinksUpToDate>false</LinksUpToDate>
  <CharactersWithSpaces>30562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2023-03-11T02:30:00Z</dcterms:created>
  <dc:creator>Administrator</dc:creator>
  <cp:lastModifiedBy>Administrator</cp:lastModifiedBy>
  <cp:lastPrinted>2022-08-30T02:37:00Z</cp:lastPrinted>
  <dcterms:modified xsi:type="dcterms:W3CDTF">2024-04-22T05:48:23Z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905E556A3602466587115DB3AE20393E_13</vt:lpwstr>
  </property>
</Properties>
</file>