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宋体" w:hAnsi="宋体" w:cs="宋体"/>
          <w:b/>
          <w:bCs/>
          <w:color w:val="auto"/>
          <w:sz w:val="72"/>
          <w:szCs w:val="72"/>
        </w:rPr>
      </w:pPr>
      <w:r>
        <w:rPr>
          <w:rFonts w:hint="eastAsia" w:ascii="宋体" w:hAnsi="宋体" w:cs="宋体"/>
          <w:b/>
          <w:bCs/>
          <w:color w:val="auto"/>
          <w:sz w:val="72"/>
          <w:szCs w:val="72"/>
        </w:rPr>
        <w:t>公开招标文件</w:t>
      </w:r>
    </w:p>
    <w:p>
      <w:pPr>
        <w:spacing w:after="240"/>
        <w:jc w:val="center"/>
        <w:rPr>
          <w:rFonts w:ascii="宋体" w:hAnsi="宋体"/>
          <w:color w:val="auto"/>
        </w:rPr>
      </w:pPr>
      <w:r>
        <w:rPr>
          <w:rFonts w:hint="eastAsia" w:ascii="宋体" w:hAnsi="宋体"/>
          <w:color w:val="auto"/>
          <w:sz w:val="32"/>
          <w:szCs w:val="32"/>
        </w:rPr>
        <w:t>（政府采购电子交易项目）</w:t>
      </w:r>
    </w:p>
    <w:p>
      <w:pPr>
        <w:pStyle w:val="272"/>
        <w:ind w:firstLine="480"/>
        <w:rPr>
          <w:rFonts w:ascii="宋体" w:hAnsi="宋体" w:eastAsia="宋体"/>
          <w:color w:val="auto"/>
        </w:rPr>
      </w:pPr>
    </w:p>
    <w:p>
      <w:pPr>
        <w:pStyle w:val="272"/>
        <w:ind w:firstLine="480"/>
        <w:rPr>
          <w:rFonts w:ascii="宋体" w:hAnsi="宋体" w:eastAsia="宋体"/>
          <w:color w:val="auto"/>
        </w:rPr>
      </w:pPr>
    </w:p>
    <w:p>
      <w:pPr>
        <w:pStyle w:val="272"/>
        <w:ind w:firstLine="480"/>
        <w:rPr>
          <w:rFonts w:ascii="宋体" w:hAnsi="宋体" w:eastAsia="宋体"/>
          <w:color w:val="auto"/>
        </w:rPr>
      </w:pPr>
    </w:p>
    <w:p>
      <w:pPr>
        <w:pStyle w:val="272"/>
        <w:ind w:firstLine="480"/>
        <w:rPr>
          <w:rFonts w:ascii="宋体" w:hAnsi="宋体" w:eastAsia="宋体"/>
          <w:color w:val="auto"/>
        </w:rPr>
      </w:pPr>
    </w:p>
    <w:p>
      <w:pPr>
        <w:pStyle w:val="272"/>
        <w:ind w:firstLine="480"/>
        <w:rPr>
          <w:rFonts w:ascii="宋体" w:hAnsi="宋体" w:eastAsia="宋体"/>
          <w:color w:val="auto"/>
        </w:rPr>
      </w:pPr>
    </w:p>
    <w:p>
      <w:pPr>
        <w:pStyle w:val="272"/>
        <w:ind w:firstLine="480"/>
        <w:rPr>
          <w:rFonts w:ascii="宋体" w:hAnsi="宋体" w:eastAsia="宋体"/>
          <w:color w:val="auto"/>
        </w:rPr>
      </w:pPr>
    </w:p>
    <w:p>
      <w:pPr>
        <w:pStyle w:val="272"/>
        <w:ind w:firstLine="480"/>
        <w:rPr>
          <w:rFonts w:ascii="宋体" w:hAnsi="宋体" w:eastAsia="宋体"/>
          <w:color w:val="auto"/>
        </w:rPr>
      </w:pPr>
    </w:p>
    <w:p>
      <w:pPr>
        <w:pStyle w:val="272"/>
        <w:ind w:firstLine="480"/>
        <w:rPr>
          <w:rFonts w:ascii="宋体" w:hAnsi="宋体" w:eastAsia="宋体"/>
          <w:color w:val="auto"/>
        </w:rPr>
      </w:pPr>
    </w:p>
    <w:p>
      <w:pPr>
        <w:tabs>
          <w:tab w:val="left" w:pos="2410"/>
        </w:tabs>
        <w:autoSpaceDE w:val="0"/>
        <w:autoSpaceDN w:val="0"/>
        <w:adjustRightInd w:val="0"/>
        <w:snapToGrid w:val="0"/>
        <w:spacing w:line="360" w:lineRule="auto"/>
        <w:rPr>
          <w:rFonts w:ascii="宋体" w:hAnsi="宋体"/>
          <w:b/>
          <w:color w:val="auto"/>
          <w:spacing w:val="20"/>
          <w:kern w:val="0"/>
          <w:sz w:val="32"/>
          <w:szCs w:val="32"/>
        </w:rPr>
      </w:pPr>
    </w:p>
    <w:p>
      <w:pPr>
        <w:ind w:left="2016" w:leftChars="100" w:hanging="1806" w:hangingChars="500"/>
        <w:rPr>
          <w:rFonts w:ascii="宋体" w:hAnsi="宋体"/>
          <w:b/>
          <w:color w:val="auto"/>
          <w:spacing w:val="20"/>
          <w:kern w:val="0"/>
          <w:sz w:val="32"/>
          <w:szCs w:val="32"/>
        </w:rPr>
      </w:pPr>
    </w:p>
    <w:p>
      <w:pPr>
        <w:ind w:left="2016" w:leftChars="100" w:hanging="1806" w:hangingChars="500"/>
        <w:rPr>
          <w:rFonts w:ascii="宋体" w:hAnsi="宋体"/>
          <w:b/>
          <w:color w:val="auto"/>
          <w:spacing w:val="20"/>
          <w:kern w:val="0"/>
          <w:sz w:val="32"/>
          <w:szCs w:val="32"/>
        </w:rPr>
      </w:pPr>
    </w:p>
    <w:p>
      <w:pPr>
        <w:ind w:left="2016" w:leftChars="100" w:hanging="1806" w:hangingChars="500"/>
        <w:rPr>
          <w:rFonts w:ascii="宋体" w:hAnsi="宋体"/>
          <w:b/>
          <w:color w:val="auto"/>
          <w:spacing w:val="20"/>
          <w:kern w:val="0"/>
          <w:sz w:val="32"/>
          <w:szCs w:val="32"/>
        </w:rPr>
      </w:pPr>
    </w:p>
    <w:p>
      <w:pPr>
        <w:pStyle w:val="18"/>
        <w:ind w:left="1260" w:hanging="1050"/>
        <w:rPr>
          <w:rFonts w:ascii="宋体" w:hAnsi="宋体"/>
          <w:color w:val="auto"/>
        </w:rPr>
      </w:pPr>
    </w:p>
    <w:p>
      <w:pPr>
        <w:spacing w:before="240" w:beforeLines="100" w:after="240" w:afterLines="100" w:line="360" w:lineRule="auto"/>
        <w:ind w:left="2016" w:leftChars="100" w:right="65" w:rightChars="31" w:hanging="1806" w:hangingChars="500"/>
        <w:rPr>
          <w:rFonts w:ascii="宋体" w:hAnsi="宋体"/>
          <w:b/>
          <w:color w:val="auto"/>
          <w:kern w:val="0"/>
          <w:sz w:val="32"/>
          <w:szCs w:val="32"/>
          <w:u w:val="single"/>
        </w:rPr>
      </w:pPr>
      <w:r>
        <w:rPr>
          <w:rFonts w:hint="eastAsia" w:ascii="宋体" w:hAnsi="宋体"/>
          <w:b/>
          <w:color w:val="auto"/>
          <w:spacing w:val="20"/>
          <w:kern w:val="0"/>
          <w:sz w:val="32"/>
          <w:szCs w:val="32"/>
        </w:rPr>
        <w:t>项目名称：</w:t>
      </w:r>
      <w:r>
        <w:rPr>
          <w:rFonts w:hint="eastAsia" w:ascii="宋体" w:hAnsi="宋体"/>
          <w:b/>
          <w:color w:val="auto"/>
          <w:kern w:val="0"/>
          <w:sz w:val="32"/>
          <w:szCs w:val="32"/>
          <w:u w:val="single"/>
        </w:rPr>
        <w:t>全国会计专业技术资格无纸化考试宁波考区考务服务项目</w:t>
      </w:r>
    </w:p>
    <w:p>
      <w:pPr>
        <w:spacing w:before="240" w:beforeLines="100" w:after="240" w:afterLines="100" w:line="360" w:lineRule="auto"/>
        <w:ind w:left="2016" w:leftChars="100" w:hanging="1806" w:hangingChars="500"/>
        <w:rPr>
          <w:rFonts w:ascii="宋体" w:hAnsi="宋体"/>
          <w:b/>
          <w:color w:val="auto"/>
          <w:spacing w:val="20"/>
          <w:kern w:val="0"/>
          <w:sz w:val="32"/>
          <w:szCs w:val="32"/>
        </w:rPr>
      </w:pPr>
      <w:r>
        <w:rPr>
          <w:rFonts w:hint="eastAsia" w:ascii="宋体" w:hAnsi="宋体"/>
          <w:b/>
          <w:color w:val="auto"/>
          <w:spacing w:val="20"/>
          <w:kern w:val="0"/>
          <w:sz w:val="32"/>
          <w:szCs w:val="32"/>
        </w:rPr>
        <w:t>项目编号：</w:t>
      </w:r>
      <w:r>
        <w:rPr>
          <w:rFonts w:hint="eastAsia" w:ascii="宋体" w:hAnsi="宋体"/>
          <w:b/>
          <w:color w:val="auto"/>
          <w:spacing w:val="20"/>
          <w:kern w:val="0"/>
          <w:sz w:val="32"/>
          <w:szCs w:val="32"/>
          <w:u w:val="single"/>
        </w:rPr>
        <w:t>NBMC-20242037G</w:t>
      </w:r>
    </w:p>
    <w:p>
      <w:pPr>
        <w:spacing w:before="240" w:beforeLines="100" w:after="240" w:afterLines="100" w:line="360" w:lineRule="auto"/>
        <w:ind w:left="2016" w:leftChars="100" w:hanging="1806" w:hangingChars="500"/>
        <w:rPr>
          <w:rFonts w:ascii="宋体" w:hAnsi="宋体"/>
          <w:b/>
          <w:color w:val="auto"/>
          <w:kern w:val="0"/>
          <w:sz w:val="32"/>
          <w:szCs w:val="32"/>
          <w:u w:val="single"/>
        </w:rPr>
      </w:pPr>
      <w:r>
        <w:rPr>
          <w:rFonts w:hint="eastAsia" w:ascii="宋体" w:hAnsi="宋体"/>
          <w:b/>
          <w:color w:val="auto"/>
          <w:spacing w:val="20"/>
          <w:kern w:val="0"/>
          <w:sz w:val="32"/>
          <w:szCs w:val="32"/>
        </w:rPr>
        <w:t>采 购 人：</w:t>
      </w:r>
      <w:r>
        <w:rPr>
          <w:rFonts w:hint="eastAsia" w:ascii="宋体" w:hAnsi="宋体"/>
          <w:b/>
          <w:color w:val="auto"/>
          <w:kern w:val="0"/>
          <w:sz w:val="32"/>
          <w:szCs w:val="32"/>
          <w:u w:val="single"/>
        </w:rPr>
        <w:t>宁波市财政局</w:t>
      </w:r>
    </w:p>
    <w:p>
      <w:pPr>
        <w:spacing w:before="240" w:beforeLines="100" w:after="240" w:afterLines="100" w:line="360" w:lineRule="auto"/>
        <w:ind w:left="2016" w:leftChars="100" w:hanging="1806" w:hangingChars="500"/>
        <w:rPr>
          <w:rFonts w:ascii="宋体" w:hAnsi="宋体"/>
          <w:b/>
          <w:color w:val="auto"/>
          <w:spacing w:val="20"/>
          <w:kern w:val="0"/>
          <w:sz w:val="32"/>
          <w:szCs w:val="32"/>
        </w:rPr>
      </w:pPr>
      <w:r>
        <w:rPr>
          <w:rFonts w:hint="eastAsia" w:ascii="宋体" w:hAnsi="宋体"/>
          <w:b/>
          <w:color w:val="auto"/>
          <w:spacing w:val="20"/>
          <w:kern w:val="0"/>
          <w:sz w:val="32"/>
          <w:szCs w:val="32"/>
        </w:rPr>
        <w:t>采购代理机构：</w:t>
      </w:r>
      <w:r>
        <w:rPr>
          <w:rFonts w:hint="eastAsia" w:ascii="宋体" w:hAnsi="宋体"/>
          <w:b/>
          <w:color w:val="auto"/>
          <w:spacing w:val="20"/>
          <w:kern w:val="0"/>
          <w:sz w:val="32"/>
          <w:szCs w:val="32"/>
          <w:u w:val="single"/>
        </w:rPr>
        <w:t>宁波名诚招标代理有限公司</w:t>
      </w:r>
    </w:p>
    <w:p>
      <w:pPr>
        <w:pStyle w:val="272"/>
        <w:ind w:firstLine="480"/>
        <w:rPr>
          <w:rFonts w:ascii="宋体" w:hAnsi="宋体" w:eastAsia="宋体"/>
          <w:color w:val="auto"/>
        </w:rPr>
      </w:pPr>
    </w:p>
    <w:p>
      <w:pPr>
        <w:pStyle w:val="25"/>
        <w:spacing w:beforeLines="0" w:afterLines="0" w:line="360" w:lineRule="auto"/>
        <w:rPr>
          <w:rFonts w:hAnsi="宋体"/>
          <w:color w:val="auto"/>
        </w:rPr>
      </w:pPr>
    </w:p>
    <w:p>
      <w:pPr>
        <w:pStyle w:val="25"/>
        <w:spacing w:beforeLines="0" w:afterLines="0" w:line="360" w:lineRule="auto"/>
        <w:jc w:val="center"/>
        <w:rPr>
          <w:rFonts w:hAnsi="宋体"/>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610" w:header="851" w:footer="851" w:gutter="0"/>
          <w:cols w:space="720" w:num="1"/>
          <w:titlePg/>
          <w:docGrid w:linePitch="312" w:charSpace="0"/>
        </w:sectPr>
      </w:pPr>
    </w:p>
    <w:p>
      <w:pPr>
        <w:pStyle w:val="170"/>
        <w:spacing w:before="0" w:after="0"/>
        <w:rPr>
          <w:rFonts w:ascii="宋体" w:hAnsi="宋体"/>
          <w:color w:val="auto"/>
        </w:rPr>
      </w:pPr>
      <w:r>
        <w:rPr>
          <w:rFonts w:ascii="宋体" w:hAnsi="宋体"/>
          <w:color w:val="auto"/>
          <w:lang w:val="zh-CN"/>
        </w:rPr>
        <w:t>目录</w:t>
      </w:r>
    </w:p>
    <w:p>
      <w:pPr>
        <w:pStyle w:val="31"/>
        <w:tabs>
          <w:tab w:val="right" w:leader="dot" w:pos="8846"/>
        </w:tabs>
        <w:spacing w:line="360" w:lineRule="auto"/>
        <w:rPr>
          <w:rFonts w:ascii="宋体" w:hAnsi="宋体" w:cs="黑体"/>
          <w:color w:val="auto"/>
          <w:szCs w:val="22"/>
        </w:rPr>
      </w:pPr>
      <w:r>
        <w:rPr>
          <w:rFonts w:ascii="宋体" w:hAnsi="宋体"/>
          <w:color w:val="auto"/>
          <w:sz w:val="24"/>
        </w:rPr>
        <w:fldChar w:fldCharType="begin"/>
      </w:r>
      <w:r>
        <w:rPr>
          <w:rFonts w:ascii="宋体" w:hAnsi="宋体"/>
          <w:color w:val="auto"/>
          <w:sz w:val="24"/>
        </w:rPr>
        <w:instrText xml:space="preserve"> TOC \o "1-3" \h \z \u </w:instrText>
      </w:r>
      <w:r>
        <w:rPr>
          <w:rFonts w:ascii="宋体" w:hAnsi="宋体"/>
          <w:color w:val="auto"/>
          <w:sz w:val="24"/>
        </w:rPr>
        <w:fldChar w:fldCharType="separate"/>
      </w:r>
      <w:r>
        <w:rPr>
          <w:color w:val="auto"/>
        </w:rPr>
        <w:fldChar w:fldCharType="begin"/>
      </w:r>
      <w:r>
        <w:rPr>
          <w:color w:val="auto"/>
        </w:rPr>
        <w:instrText xml:space="preserve"> HYPERLINK \l "_Toc118452524" </w:instrText>
      </w:r>
      <w:r>
        <w:rPr>
          <w:color w:val="auto"/>
        </w:rPr>
        <w:fldChar w:fldCharType="separate"/>
      </w:r>
      <w:r>
        <w:rPr>
          <w:rStyle w:val="51"/>
          <w:rFonts w:ascii="宋体" w:hAnsi="宋体"/>
          <w:color w:val="auto"/>
        </w:rPr>
        <w:t>第一章  投标邀请</w:t>
      </w:r>
      <w:r>
        <w:rPr>
          <w:rFonts w:ascii="宋体" w:hAnsi="宋体"/>
          <w:color w:val="auto"/>
        </w:rPr>
        <w:tab/>
      </w:r>
      <w:r>
        <w:rPr>
          <w:rFonts w:ascii="宋体" w:hAnsi="宋体"/>
          <w:color w:val="auto"/>
        </w:rPr>
        <w:fldChar w:fldCharType="begin"/>
      </w:r>
      <w:r>
        <w:rPr>
          <w:rFonts w:ascii="宋体" w:hAnsi="宋体"/>
          <w:color w:val="auto"/>
        </w:rPr>
        <w:instrText xml:space="preserve"> PAGEREF _Toc118452524 \h </w:instrText>
      </w:r>
      <w:r>
        <w:rPr>
          <w:rFonts w:ascii="宋体" w:hAnsi="宋体"/>
          <w:color w:val="auto"/>
        </w:rPr>
        <w:fldChar w:fldCharType="separate"/>
      </w:r>
      <w:r>
        <w:rPr>
          <w:rFonts w:ascii="宋体" w:hAnsi="宋体"/>
          <w:color w:val="auto"/>
        </w:rPr>
        <w:t>2</w:t>
      </w:r>
      <w:r>
        <w:rPr>
          <w:rFonts w:ascii="宋体" w:hAnsi="宋体"/>
          <w:color w:val="auto"/>
        </w:rPr>
        <w:fldChar w:fldCharType="end"/>
      </w:r>
      <w:r>
        <w:rPr>
          <w:rFonts w:ascii="宋体" w:hAnsi="宋体"/>
          <w:color w:val="auto"/>
        </w:rPr>
        <w:fldChar w:fldCharType="end"/>
      </w:r>
    </w:p>
    <w:p>
      <w:pPr>
        <w:pStyle w:val="31"/>
        <w:tabs>
          <w:tab w:val="right" w:leader="dot" w:pos="8846"/>
        </w:tabs>
        <w:spacing w:line="360" w:lineRule="auto"/>
        <w:rPr>
          <w:rFonts w:ascii="宋体" w:hAnsi="宋体" w:cs="黑体"/>
          <w:color w:val="auto"/>
          <w:szCs w:val="22"/>
        </w:rPr>
      </w:pPr>
      <w:r>
        <w:rPr>
          <w:color w:val="auto"/>
        </w:rPr>
        <w:fldChar w:fldCharType="begin"/>
      </w:r>
      <w:r>
        <w:rPr>
          <w:color w:val="auto"/>
        </w:rPr>
        <w:instrText xml:space="preserve"> HYPERLINK \l "_Toc118452525" </w:instrText>
      </w:r>
      <w:r>
        <w:rPr>
          <w:color w:val="auto"/>
        </w:rPr>
        <w:fldChar w:fldCharType="separate"/>
      </w:r>
      <w:r>
        <w:rPr>
          <w:rStyle w:val="51"/>
          <w:rFonts w:ascii="宋体" w:hAnsi="宋体"/>
          <w:color w:val="auto"/>
        </w:rPr>
        <w:t>第二章  采购需求</w:t>
      </w:r>
      <w:r>
        <w:rPr>
          <w:rFonts w:ascii="宋体" w:hAnsi="宋体"/>
          <w:color w:val="auto"/>
        </w:rPr>
        <w:tab/>
      </w:r>
      <w:r>
        <w:rPr>
          <w:rFonts w:ascii="宋体" w:hAnsi="宋体"/>
          <w:color w:val="auto"/>
        </w:rPr>
        <w:fldChar w:fldCharType="begin"/>
      </w:r>
      <w:r>
        <w:rPr>
          <w:rFonts w:ascii="宋体" w:hAnsi="宋体"/>
          <w:color w:val="auto"/>
        </w:rPr>
        <w:instrText xml:space="preserve"> PAGEREF _Toc118452525 \h </w:instrText>
      </w:r>
      <w:r>
        <w:rPr>
          <w:rFonts w:ascii="宋体" w:hAnsi="宋体"/>
          <w:color w:val="auto"/>
        </w:rPr>
        <w:fldChar w:fldCharType="separate"/>
      </w:r>
      <w:r>
        <w:rPr>
          <w:rFonts w:ascii="宋体" w:hAnsi="宋体"/>
          <w:color w:val="auto"/>
        </w:rPr>
        <w:t>5</w:t>
      </w:r>
      <w:r>
        <w:rPr>
          <w:rFonts w:ascii="宋体" w:hAnsi="宋体"/>
          <w:color w:val="auto"/>
        </w:rPr>
        <w:fldChar w:fldCharType="end"/>
      </w:r>
      <w:r>
        <w:rPr>
          <w:rFonts w:ascii="宋体" w:hAnsi="宋体"/>
          <w:color w:val="auto"/>
        </w:rPr>
        <w:fldChar w:fldCharType="end"/>
      </w:r>
    </w:p>
    <w:p>
      <w:pPr>
        <w:pStyle w:val="31"/>
        <w:tabs>
          <w:tab w:val="right" w:leader="dot" w:pos="8846"/>
        </w:tabs>
        <w:spacing w:line="360" w:lineRule="auto"/>
        <w:rPr>
          <w:rFonts w:ascii="宋体" w:hAnsi="宋体" w:cs="黑体"/>
          <w:color w:val="auto"/>
          <w:szCs w:val="22"/>
        </w:rPr>
      </w:pPr>
      <w:r>
        <w:rPr>
          <w:color w:val="auto"/>
        </w:rPr>
        <w:fldChar w:fldCharType="begin"/>
      </w:r>
      <w:r>
        <w:rPr>
          <w:color w:val="auto"/>
        </w:rPr>
        <w:instrText xml:space="preserve"> HYPERLINK \l "_Toc118452526" </w:instrText>
      </w:r>
      <w:r>
        <w:rPr>
          <w:color w:val="auto"/>
        </w:rPr>
        <w:fldChar w:fldCharType="separate"/>
      </w:r>
      <w:r>
        <w:rPr>
          <w:rStyle w:val="51"/>
          <w:rFonts w:ascii="宋体" w:hAnsi="宋体"/>
          <w:color w:val="auto"/>
        </w:rPr>
        <w:t>第三章  投标人须知</w:t>
      </w:r>
      <w:r>
        <w:rPr>
          <w:rFonts w:ascii="宋体" w:hAnsi="宋体"/>
          <w:color w:val="auto"/>
        </w:rPr>
        <w:tab/>
      </w:r>
      <w:r>
        <w:rPr>
          <w:rFonts w:ascii="宋体" w:hAnsi="宋体"/>
          <w:color w:val="auto"/>
        </w:rPr>
        <w:fldChar w:fldCharType="begin"/>
      </w:r>
      <w:r>
        <w:rPr>
          <w:rFonts w:ascii="宋体" w:hAnsi="宋体"/>
          <w:color w:val="auto"/>
        </w:rPr>
        <w:instrText xml:space="preserve"> PAGEREF _Toc118452526 \h </w:instrText>
      </w:r>
      <w:r>
        <w:rPr>
          <w:rFonts w:ascii="宋体" w:hAnsi="宋体"/>
          <w:color w:val="auto"/>
        </w:rPr>
        <w:fldChar w:fldCharType="separate"/>
      </w:r>
      <w:r>
        <w:rPr>
          <w:rFonts w:ascii="宋体" w:hAnsi="宋体"/>
          <w:color w:val="auto"/>
        </w:rPr>
        <w:t>7</w:t>
      </w:r>
      <w:r>
        <w:rPr>
          <w:rFonts w:ascii="宋体" w:hAnsi="宋体"/>
          <w:color w:val="auto"/>
        </w:rPr>
        <w:fldChar w:fldCharType="end"/>
      </w:r>
      <w:r>
        <w:rPr>
          <w:rFonts w:ascii="宋体" w:hAnsi="宋体"/>
          <w:color w:val="auto"/>
        </w:rPr>
        <w:fldChar w:fldCharType="end"/>
      </w:r>
    </w:p>
    <w:p>
      <w:pPr>
        <w:pStyle w:val="36"/>
        <w:tabs>
          <w:tab w:val="right" w:leader="dot" w:pos="8846"/>
        </w:tabs>
        <w:spacing w:line="360" w:lineRule="auto"/>
        <w:rPr>
          <w:rFonts w:ascii="宋体" w:hAnsi="宋体" w:cs="黑体"/>
          <w:color w:val="auto"/>
          <w:szCs w:val="22"/>
        </w:rPr>
      </w:pPr>
      <w:r>
        <w:rPr>
          <w:color w:val="auto"/>
        </w:rPr>
        <w:fldChar w:fldCharType="begin"/>
      </w:r>
      <w:r>
        <w:rPr>
          <w:color w:val="auto"/>
        </w:rPr>
        <w:instrText xml:space="preserve"> HYPERLINK \l "_Toc118452527" </w:instrText>
      </w:r>
      <w:r>
        <w:rPr>
          <w:color w:val="auto"/>
        </w:rPr>
        <w:fldChar w:fldCharType="separate"/>
      </w:r>
      <w:r>
        <w:rPr>
          <w:rStyle w:val="51"/>
          <w:rFonts w:ascii="宋体" w:hAnsi="宋体"/>
          <w:color w:val="auto"/>
        </w:rPr>
        <w:t>一、总则</w:t>
      </w:r>
      <w:r>
        <w:rPr>
          <w:rFonts w:ascii="宋体" w:hAnsi="宋体"/>
          <w:color w:val="auto"/>
        </w:rPr>
        <w:tab/>
      </w:r>
      <w:r>
        <w:rPr>
          <w:rFonts w:ascii="宋体" w:hAnsi="宋体"/>
          <w:color w:val="auto"/>
        </w:rPr>
        <w:fldChar w:fldCharType="begin"/>
      </w:r>
      <w:r>
        <w:rPr>
          <w:rFonts w:ascii="宋体" w:hAnsi="宋体"/>
          <w:color w:val="auto"/>
        </w:rPr>
        <w:instrText xml:space="preserve"> PAGEREF _Toc118452527 \h </w:instrText>
      </w:r>
      <w:r>
        <w:rPr>
          <w:rFonts w:ascii="宋体" w:hAnsi="宋体"/>
          <w:color w:val="auto"/>
        </w:rPr>
        <w:fldChar w:fldCharType="separate"/>
      </w:r>
      <w:r>
        <w:rPr>
          <w:rFonts w:ascii="宋体" w:hAnsi="宋体"/>
          <w:color w:val="auto"/>
        </w:rPr>
        <w:t>8</w:t>
      </w:r>
      <w:r>
        <w:rPr>
          <w:rFonts w:ascii="宋体" w:hAnsi="宋体"/>
          <w:color w:val="auto"/>
        </w:rPr>
        <w:fldChar w:fldCharType="end"/>
      </w:r>
      <w:r>
        <w:rPr>
          <w:rFonts w:ascii="宋体" w:hAnsi="宋体"/>
          <w:color w:val="auto"/>
        </w:rPr>
        <w:fldChar w:fldCharType="end"/>
      </w:r>
    </w:p>
    <w:p>
      <w:pPr>
        <w:pStyle w:val="36"/>
        <w:tabs>
          <w:tab w:val="right" w:leader="dot" w:pos="8846"/>
        </w:tabs>
        <w:spacing w:line="360" w:lineRule="auto"/>
        <w:rPr>
          <w:rFonts w:ascii="宋体" w:hAnsi="宋体" w:cs="黑体"/>
          <w:color w:val="auto"/>
          <w:szCs w:val="22"/>
        </w:rPr>
      </w:pPr>
      <w:r>
        <w:rPr>
          <w:color w:val="auto"/>
        </w:rPr>
        <w:fldChar w:fldCharType="begin"/>
      </w:r>
      <w:r>
        <w:rPr>
          <w:color w:val="auto"/>
        </w:rPr>
        <w:instrText xml:space="preserve"> HYPERLINK \l "_Toc118452528" </w:instrText>
      </w:r>
      <w:r>
        <w:rPr>
          <w:color w:val="auto"/>
        </w:rPr>
        <w:fldChar w:fldCharType="separate"/>
      </w:r>
      <w:r>
        <w:rPr>
          <w:rStyle w:val="51"/>
          <w:rFonts w:ascii="宋体" w:hAnsi="宋体"/>
          <w:color w:val="auto"/>
        </w:rPr>
        <w:t>二、招标文件</w:t>
      </w:r>
      <w:r>
        <w:rPr>
          <w:rFonts w:ascii="宋体" w:hAnsi="宋体"/>
          <w:color w:val="auto"/>
        </w:rPr>
        <w:tab/>
      </w:r>
      <w:r>
        <w:rPr>
          <w:rFonts w:ascii="宋体" w:hAnsi="宋体"/>
          <w:color w:val="auto"/>
        </w:rPr>
        <w:fldChar w:fldCharType="begin"/>
      </w:r>
      <w:r>
        <w:rPr>
          <w:rFonts w:ascii="宋体" w:hAnsi="宋体"/>
          <w:color w:val="auto"/>
        </w:rPr>
        <w:instrText xml:space="preserve"> PAGEREF _Toc118452528 \h </w:instrText>
      </w:r>
      <w:r>
        <w:rPr>
          <w:rFonts w:ascii="宋体" w:hAnsi="宋体"/>
          <w:color w:val="auto"/>
        </w:rPr>
        <w:fldChar w:fldCharType="separate"/>
      </w:r>
      <w:r>
        <w:rPr>
          <w:rFonts w:ascii="宋体" w:hAnsi="宋体"/>
          <w:color w:val="auto"/>
        </w:rPr>
        <w:t>10</w:t>
      </w:r>
      <w:r>
        <w:rPr>
          <w:rFonts w:ascii="宋体" w:hAnsi="宋体"/>
          <w:color w:val="auto"/>
        </w:rPr>
        <w:fldChar w:fldCharType="end"/>
      </w:r>
      <w:r>
        <w:rPr>
          <w:rFonts w:ascii="宋体" w:hAnsi="宋体"/>
          <w:color w:val="auto"/>
        </w:rPr>
        <w:fldChar w:fldCharType="end"/>
      </w:r>
    </w:p>
    <w:p>
      <w:pPr>
        <w:pStyle w:val="36"/>
        <w:tabs>
          <w:tab w:val="right" w:leader="dot" w:pos="8846"/>
        </w:tabs>
        <w:spacing w:line="360" w:lineRule="auto"/>
        <w:rPr>
          <w:rFonts w:ascii="宋体" w:hAnsi="宋体" w:cs="黑体"/>
          <w:color w:val="auto"/>
          <w:szCs w:val="22"/>
        </w:rPr>
      </w:pPr>
      <w:r>
        <w:rPr>
          <w:color w:val="auto"/>
        </w:rPr>
        <w:fldChar w:fldCharType="begin"/>
      </w:r>
      <w:r>
        <w:rPr>
          <w:color w:val="auto"/>
        </w:rPr>
        <w:instrText xml:space="preserve"> HYPERLINK \l "_Toc118452529" </w:instrText>
      </w:r>
      <w:r>
        <w:rPr>
          <w:color w:val="auto"/>
        </w:rPr>
        <w:fldChar w:fldCharType="separate"/>
      </w:r>
      <w:r>
        <w:rPr>
          <w:rStyle w:val="51"/>
          <w:rFonts w:ascii="宋体" w:hAnsi="宋体"/>
          <w:color w:val="auto"/>
        </w:rPr>
        <w:t>三、投标文件的编制</w:t>
      </w:r>
      <w:r>
        <w:rPr>
          <w:rFonts w:ascii="宋体" w:hAnsi="宋体"/>
          <w:color w:val="auto"/>
        </w:rPr>
        <w:tab/>
      </w:r>
      <w:r>
        <w:rPr>
          <w:rFonts w:ascii="宋体" w:hAnsi="宋体"/>
          <w:color w:val="auto"/>
        </w:rPr>
        <w:fldChar w:fldCharType="begin"/>
      </w:r>
      <w:r>
        <w:rPr>
          <w:rFonts w:ascii="宋体" w:hAnsi="宋体"/>
          <w:color w:val="auto"/>
        </w:rPr>
        <w:instrText xml:space="preserve"> PAGEREF _Toc118452529 \h </w:instrText>
      </w:r>
      <w:r>
        <w:rPr>
          <w:rFonts w:ascii="宋体" w:hAnsi="宋体"/>
          <w:color w:val="auto"/>
        </w:rPr>
        <w:fldChar w:fldCharType="separate"/>
      </w:r>
      <w:r>
        <w:rPr>
          <w:rFonts w:ascii="宋体" w:hAnsi="宋体"/>
          <w:color w:val="auto"/>
        </w:rPr>
        <w:t>11</w:t>
      </w:r>
      <w:r>
        <w:rPr>
          <w:rFonts w:ascii="宋体" w:hAnsi="宋体"/>
          <w:color w:val="auto"/>
        </w:rPr>
        <w:fldChar w:fldCharType="end"/>
      </w:r>
      <w:r>
        <w:rPr>
          <w:rFonts w:ascii="宋体" w:hAnsi="宋体"/>
          <w:color w:val="auto"/>
        </w:rPr>
        <w:fldChar w:fldCharType="end"/>
      </w:r>
    </w:p>
    <w:p>
      <w:pPr>
        <w:pStyle w:val="36"/>
        <w:tabs>
          <w:tab w:val="right" w:leader="dot" w:pos="8846"/>
        </w:tabs>
        <w:spacing w:line="360" w:lineRule="auto"/>
        <w:rPr>
          <w:rFonts w:ascii="宋体" w:hAnsi="宋体" w:cs="黑体"/>
          <w:color w:val="auto"/>
          <w:szCs w:val="22"/>
        </w:rPr>
      </w:pPr>
      <w:r>
        <w:rPr>
          <w:color w:val="auto"/>
        </w:rPr>
        <w:fldChar w:fldCharType="begin"/>
      </w:r>
      <w:r>
        <w:rPr>
          <w:color w:val="auto"/>
        </w:rPr>
        <w:instrText xml:space="preserve"> HYPERLINK \l "_Toc118452530" </w:instrText>
      </w:r>
      <w:r>
        <w:rPr>
          <w:color w:val="auto"/>
        </w:rPr>
        <w:fldChar w:fldCharType="separate"/>
      </w:r>
      <w:r>
        <w:rPr>
          <w:rStyle w:val="51"/>
          <w:rFonts w:ascii="宋体" w:hAnsi="宋体"/>
          <w:color w:val="auto"/>
        </w:rPr>
        <w:t>四、投标文件的提交</w:t>
      </w:r>
      <w:r>
        <w:rPr>
          <w:rFonts w:ascii="宋体" w:hAnsi="宋体"/>
          <w:color w:val="auto"/>
        </w:rPr>
        <w:tab/>
      </w:r>
      <w:r>
        <w:rPr>
          <w:rFonts w:ascii="宋体" w:hAnsi="宋体"/>
          <w:color w:val="auto"/>
        </w:rPr>
        <w:fldChar w:fldCharType="begin"/>
      </w:r>
      <w:r>
        <w:rPr>
          <w:rFonts w:ascii="宋体" w:hAnsi="宋体"/>
          <w:color w:val="auto"/>
        </w:rPr>
        <w:instrText xml:space="preserve"> PAGEREF _Toc118452530 \h </w:instrText>
      </w:r>
      <w:r>
        <w:rPr>
          <w:rFonts w:ascii="宋体" w:hAnsi="宋体"/>
          <w:color w:val="auto"/>
        </w:rPr>
        <w:fldChar w:fldCharType="separate"/>
      </w:r>
      <w:r>
        <w:rPr>
          <w:rFonts w:ascii="宋体" w:hAnsi="宋体"/>
          <w:color w:val="auto"/>
        </w:rPr>
        <w:t>13</w:t>
      </w:r>
      <w:r>
        <w:rPr>
          <w:rFonts w:ascii="宋体" w:hAnsi="宋体"/>
          <w:color w:val="auto"/>
        </w:rPr>
        <w:fldChar w:fldCharType="end"/>
      </w:r>
      <w:r>
        <w:rPr>
          <w:rFonts w:ascii="宋体" w:hAnsi="宋体"/>
          <w:color w:val="auto"/>
        </w:rPr>
        <w:fldChar w:fldCharType="end"/>
      </w:r>
    </w:p>
    <w:p>
      <w:pPr>
        <w:pStyle w:val="36"/>
        <w:tabs>
          <w:tab w:val="right" w:leader="dot" w:pos="8846"/>
        </w:tabs>
        <w:spacing w:line="360" w:lineRule="auto"/>
        <w:rPr>
          <w:rFonts w:ascii="宋体" w:hAnsi="宋体" w:cs="黑体"/>
          <w:color w:val="auto"/>
          <w:szCs w:val="22"/>
        </w:rPr>
      </w:pPr>
      <w:r>
        <w:rPr>
          <w:color w:val="auto"/>
        </w:rPr>
        <w:fldChar w:fldCharType="begin"/>
      </w:r>
      <w:r>
        <w:rPr>
          <w:color w:val="auto"/>
        </w:rPr>
        <w:instrText xml:space="preserve"> HYPERLINK \l "_Toc118452531" </w:instrText>
      </w:r>
      <w:r>
        <w:rPr>
          <w:color w:val="auto"/>
        </w:rPr>
        <w:fldChar w:fldCharType="separate"/>
      </w:r>
      <w:r>
        <w:rPr>
          <w:rStyle w:val="51"/>
          <w:rFonts w:ascii="宋体" w:hAnsi="宋体"/>
          <w:color w:val="auto"/>
        </w:rPr>
        <w:t>五、开标与评标</w:t>
      </w:r>
      <w:r>
        <w:rPr>
          <w:rFonts w:ascii="宋体" w:hAnsi="宋体"/>
          <w:color w:val="auto"/>
        </w:rPr>
        <w:tab/>
      </w:r>
      <w:r>
        <w:rPr>
          <w:rFonts w:ascii="宋体" w:hAnsi="宋体"/>
          <w:color w:val="auto"/>
        </w:rPr>
        <w:fldChar w:fldCharType="begin"/>
      </w:r>
      <w:r>
        <w:rPr>
          <w:rFonts w:ascii="宋体" w:hAnsi="宋体"/>
          <w:color w:val="auto"/>
        </w:rPr>
        <w:instrText xml:space="preserve"> PAGEREF _Toc118452531 \h </w:instrText>
      </w:r>
      <w:r>
        <w:rPr>
          <w:rFonts w:ascii="宋体" w:hAnsi="宋体"/>
          <w:color w:val="auto"/>
        </w:rPr>
        <w:fldChar w:fldCharType="separate"/>
      </w:r>
      <w:r>
        <w:rPr>
          <w:rFonts w:ascii="宋体" w:hAnsi="宋体"/>
          <w:color w:val="auto"/>
        </w:rPr>
        <w:t>14</w:t>
      </w:r>
      <w:r>
        <w:rPr>
          <w:rFonts w:ascii="宋体" w:hAnsi="宋体"/>
          <w:color w:val="auto"/>
        </w:rPr>
        <w:fldChar w:fldCharType="end"/>
      </w:r>
      <w:r>
        <w:rPr>
          <w:rFonts w:ascii="宋体" w:hAnsi="宋体"/>
          <w:color w:val="auto"/>
        </w:rPr>
        <w:fldChar w:fldCharType="end"/>
      </w:r>
    </w:p>
    <w:p>
      <w:pPr>
        <w:pStyle w:val="36"/>
        <w:tabs>
          <w:tab w:val="right" w:leader="dot" w:pos="8846"/>
        </w:tabs>
        <w:spacing w:line="360" w:lineRule="auto"/>
        <w:rPr>
          <w:rFonts w:ascii="宋体" w:hAnsi="宋体" w:cs="黑体"/>
          <w:color w:val="auto"/>
          <w:szCs w:val="22"/>
        </w:rPr>
      </w:pPr>
      <w:r>
        <w:rPr>
          <w:color w:val="auto"/>
        </w:rPr>
        <w:fldChar w:fldCharType="begin"/>
      </w:r>
      <w:r>
        <w:rPr>
          <w:color w:val="auto"/>
        </w:rPr>
        <w:instrText xml:space="preserve"> HYPERLINK \l "_Toc118452532" </w:instrText>
      </w:r>
      <w:r>
        <w:rPr>
          <w:color w:val="auto"/>
        </w:rPr>
        <w:fldChar w:fldCharType="separate"/>
      </w:r>
      <w:r>
        <w:rPr>
          <w:rStyle w:val="51"/>
          <w:rFonts w:ascii="宋体" w:hAnsi="宋体"/>
          <w:color w:val="auto"/>
        </w:rPr>
        <w:t>六、授予合同</w:t>
      </w:r>
      <w:r>
        <w:rPr>
          <w:rFonts w:ascii="宋体" w:hAnsi="宋体"/>
          <w:color w:val="auto"/>
        </w:rPr>
        <w:tab/>
      </w:r>
      <w:r>
        <w:rPr>
          <w:rFonts w:ascii="宋体" w:hAnsi="宋体"/>
          <w:color w:val="auto"/>
        </w:rPr>
        <w:fldChar w:fldCharType="begin"/>
      </w:r>
      <w:r>
        <w:rPr>
          <w:rFonts w:ascii="宋体" w:hAnsi="宋体"/>
          <w:color w:val="auto"/>
        </w:rPr>
        <w:instrText xml:space="preserve"> PAGEREF _Toc118452532 \h </w:instrText>
      </w:r>
      <w:r>
        <w:rPr>
          <w:rFonts w:ascii="宋体" w:hAnsi="宋体"/>
          <w:color w:val="auto"/>
        </w:rPr>
        <w:fldChar w:fldCharType="separate"/>
      </w:r>
      <w:r>
        <w:rPr>
          <w:rFonts w:ascii="宋体" w:hAnsi="宋体"/>
          <w:color w:val="auto"/>
        </w:rPr>
        <w:t>16</w:t>
      </w:r>
      <w:r>
        <w:rPr>
          <w:rFonts w:ascii="宋体" w:hAnsi="宋体"/>
          <w:color w:val="auto"/>
        </w:rPr>
        <w:fldChar w:fldCharType="end"/>
      </w:r>
      <w:r>
        <w:rPr>
          <w:rFonts w:ascii="宋体" w:hAnsi="宋体"/>
          <w:color w:val="auto"/>
        </w:rPr>
        <w:fldChar w:fldCharType="end"/>
      </w:r>
    </w:p>
    <w:p>
      <w:pPr>
        <w:pStyle w:val="31"/>
        <w:tabs>
          <w:tab w:val="right" w:leader="dot" w:pos="8846"/>
        </w:tabs>
        <w:spacing w:line="360" w:lineRule="auto"/>
        <w:rPr>
          <w:rFonts w:ascii="宋体" w:hAnsi="宋体" w:cs="黑体"/>
          <w:color w:val="auto"/>
          <w:szCs w:val="22"/>
        </w:rPr>
      </w:pPr>
      <w:r>
        <w:rPr>
          <w:color w:val="auto"/>
        </w:rPr>
        <w:fldChar w:fldCharType="begin"/>
      </w:r>
      <w:r>
        <w:rPr>
          <w:color w:val="auto"/>
        </w:rPr>
        <w:instrText xml:space="preserve"> HYPERLINK \l "_Toc118452533" </w:instrText>
      </w:r>
      <w:r>
        <w:rPr>
          <w:color w:val="auto"/>
        </w:rPr>
        <w:fldChar w:fldCharType="separate"/>
      </w:r>
      <w:r>
        <w:rPr>
          <w:rStyle w:val="51"/>
          <w:rFonts w:ascii="宋体" w:hAnsi="宋体"/>
          <w:color w:val="auto"/>
        </w:rPr>
        <w:t>第四章  评标方法和标准</w:t>
      </w:r>
      <w:r>
        <w:rPr>
          <w:rFonts w:ascii="宋体" w:hAnsi="宋体"/>
          <w:color w:val="auto"/>
        </w:rPr>
        <w:tab/>
      </w:r>
      <w:r>
        <w:rPr>
          <w:rFonts w:ascii="宋体" w:hAnsi="宋体"/>
          <w:color w:val="auto"/>
        </w:rPr>
        <w:fldChar w:fldCharType="begin"/>
      </w:r>
      <w:r>
        <w:rPr>
          <w:rFonts w:ascii="宋体" w:hAnsi="宋体"/>
          <w:color w:val="auto"/>
        </w:rPr>
        <w:instrText xml:space="preserve"> PAGEREF _Toc118452533 \h </w:instrText>
      </w:r>
      <w:r>
        <w:rPr>
          <w:rFonts w:ascii="宋体" w:hAnsi="宋体"/>
          <w:color w:val="auto"/>
        </w:rPr>
        <w:fldChar w:fldCharType="separate"/>
      </w:r>
      <w:r>
        <w:rPr>
          <w:rFonts w:ascii="宋体" w:hAnsi="宋体"/>
          <w:color w:val="auto"/>
        </w:rPr>
        <w:t>18</w:t>
      </w:r>
      <w:r>
        <w:rPr>
          <w:rFonts w:ascii="宋体" w:hAnsi="宋体"/>
          <w:color w:val="auto"/>
        </w:rPr>
        <w:fldChar w:fldCharType="end"/>
      </w:r>
      <w:r>
        <w:rPr>
          <w:rFonts w:ascii="宋体" w:hAnsi="宋体"/>
          <w:color w:val="auto"/>
        </w:rPr>
        <w:fldChar w:fldCharType="end"/>
      </w:r>
    </w:p>
    <w:p>
      <w:pPr>
        <w:pStyle w:val="36"/>
        <w:tabs>
          <w:tab w:val="right" w:leader="dot" w:pos="8846"/>
        </w:tabs>
        <w:spacing w:line="360" w:lineRule="auto"/>
        <w:rPr>
          <w:rFonts w:ascii="宋体" w:hAnsi="宋体" w:cs="黑体"/>
          <w:color w:val="auto"/>
          <w:szCs w:val="22"/>
        </w:rPr>
      </w:pPr>
      <w:r>
        <w:rPr>
          <w:color w:val="auto"/>
        </w:rPr>
        <w:fldChar w:fldCharType="begin"/>
      </w:r>
      <w:r>
        <w:rPr>
          <w:color w:val="auto"/>
        </w:rPr>
        <w:instrText xml:space="preserve"> HYPERLINK \l "_Toc118452534" </w:instrText>
      </w:r>
      <w:r>
        <w:rPr>
          <w:color w:val="auto"/>
        </w:rPr>
        <w:fldChar w:fldCharType="separate"/>
      </w:r>
      <w:r>
        <w:rPr>
          <w:rStyle w:val="51"/>
          <w:rFonts w:ascii="宋体" w:hAnsi="宋体"/>
          <w:color w:val="auto"/>
        </w:rPr>
        <w:t>一、总则</w:t>
      </w:r>
      <w:r>
        <w:rPr>
          <w:rFonts w:ascii="宋体" w:hAnsi="宋体"/>
          <w:color w:val="auto"/>
        </w:rPr>
        <w:tab/>
      </w:r>
      <w:r>
        <w:rPr>
          <w:rFonts w:ascii="宋体" w:hAnsi="宋体"/>
          <w:color w:val="auto"/>
        </w:rPr>
        <w:fldChar w:fldCharType="begin"/>
      </w:r>
      <w:r>
        <w:rPr>
          <w:rFonts w:ascii="宋体" w:hAnsi="宋体"/>
          <w:color w:val="auto"/>
        </w:rPr>
        <w:instrText xml:space="preserve"> PAGEREF _Toc118452534 \h </w:instrText>
      </w:r>
      <w:r>
        <w:rPr>
          <w:rFonts w:ascii="宋体" w:hAnsi="宋体"/>
          <w:color w:val="auto"/>
        </w:rPr>
        <w:fldChar w:fldCharType="separate"/>
      </w:r>
      <w:r>
        <w:rPr>
          <w:rFonts w:ascii="宋体" w:hAnsi="宋体"/>
          <w:color w:val="auto"/>
        </w:rPr>
        <w:t>18</w:t>
      </w:r>
      <w:r>
        <w:rPr>
          <w:rFonts w:ascii="宋体" w:hAnsi="宋体"/>
          <w:color w:val="auto"/>
        </w:rPr>
        <w:fldChar w:fldCharType="end"/>
      </w:r>
      <w:r>
        <w:rPr>
          <w:rFonts w:ascii="宋体" w:hAnsi="宋体"/>
          <w:color w:val="auto"/>
        </w:rPr>
        <w:fldChar w:fldCharType="end"/>
      </w:r>
    </w:p>
    <w:p>
      <w:pPr>
        <w:pStyle w:val="36"/>
        <w:tabs>
          <w:tab w:val="right" w:leader="dot" w:pos="8846"/>
        </w:tabs>
        <w:spacing w:line="360" w:lineRule="auto"/>
        <w:rPr>
          <w:rFonts w:ascii="宋体" w:hAnsi="宋体" w:cs="黑体"/>
          <w:color w:val="auto"/>
          <w:szCs w:val="22"/>
        </w:rPr>
      </w:pPr>
      <w:r>
        <w:rPr>
          <w:color w:val="auto"/>
        </w:rPr>
        <w:fldChar w:fldCharType="begin"/>
      </w:r>
      <w:r>
        <w:rPr>
          <w:color w:val="auto"/>
        </w:rPr>
        <w:instrText xml:space="preserve"> HYPERLINK \l "_Toc118452535" </w:instrText>
      </w:r>
      <w:r>
        <w:rPr>
          <w:color w:val="auto"/>
        </w:rPr>
        <w:fldChar w:fldCharType="separate"/>
      </w:r>
      <w:r>
        <w:rPr>
          <w:rStyle w:val="51"/>
          <w:rFonts w:ascii="宋体" w:hAnsi="宋体"/>
          <w:color w:val="auto"/>
        </w:rPr>
        <w:t>二、评标方法</w:t>
      </w:r>
      <w:r>
        <w:rPr>
          <w:rFonts w:ascii="宋体" w:hAnsi="宋体"/>
          <w:color w:val="auto"/>
        </w:rPr>
        <w:tab/>
      </w:r>
      <w:r>
        <w:rPr>
          <w:rFonts w:ascii="宋体" w:hAnsi="宋体"/>
          <w:color w:val="auto"/>
        </w:rPr>
        <w:fldChar w:fldCharType="begin"/>
      </w:r>
      <w:r>
        <w:rPr>
          <w:rFonts w:ascii="宋体" w:hAnsi="宋体"/>
          <w:color w:val="auto"/>
        </w:rPr>
        <w:instrText xml:space="preserve"> PAGEREF _Toc118452535 \h </w:instrText>
      </w:r>
      <w:r>
        <w:rPr>
          <w:rFonts w:ascii="宋体" w:hAnsi="宋体"/>
          <w:color w:val="auto"/>
        </w:rPr>
        <w:fldChar w:fldCharType="separate"/>
      </w:r>
      <w:r>
        <w:rPr>
          <w:rFonts w:ascii="宋体" w:hAnsi="宋体"/>
          <w:color w:val="auto"/>
        </w:rPr>
        <w:t>18</w:t>
      </w:r>
      <w:r>
        <w:rPr>
          <w:rFonts w:ascii="宋体" w:hAnsi="宋体"/>
          <w:color w:val="auto"/>
        </w:rPr>
        <w:fldChar w:fldCharType="end"/>
      </w:r>
      <w:r>
        <w:rPr>
          <w:rFonts w:ascii="宋体" w:hAnsi="宋体"/>
          <w:color w:val="auto"/>
        </w:rPr>
        <w:fldChar w:fldCharType="end"/>
      </w:r>
    </w:p>
    <w:p>
      <w:pPr>
        <w:pStyle w:val="36"/>
        <w:tabs>
          <w:tab w:val="right" w:leader="dot" w:pos="8846"/>
        </w:tabs>
        <w:spacing w:line="360" w:lineRule="auto"/>
        <w:rPr>
          <w:rFonts w:ascii="宋体" w:hAnsi="宋体" w:cs="黑体"/>
          <w:color w:val="auto"/>
          <w:szCs w:val="22"/>
        </w:rPr>
      </w:pPr>
      <w:r>
        <w:rPr>
          <w:color w:val="auto"/>
        </w:rPr>
        <w:fldChar w:fldCharType="begin"/>
      </w:r>
      <w:r>
        <w:rPr>
          <w:color w:val="auto"/>
        </w:rPr>
        <w:instrText xml:space="preserve"> HYPERLINK \l "_Toc118452536" </w:instrText>
      </w:r>
      <w:r>
        <w:rPr>
          <w:color w:val="auto"/>
        </w:rPr>
        <w:fldChar w:fldCharType="separate"/>
      </w:r>
      <w:r>
        <w:rPr>
          <w:rStyle w:val="51"/>
          <w:rFonts w:ascii="宋体" w:hAnsi="宋体"/>
          <w:color w:val="auto"/>
        </w:rPr>
        <w:t>三、评审程序</w:t>
      </w:r>
      <w:r>
        <w:rPr>
          <w:rFonts w:ascii="宋体" w:hAnsi="宋体"/>
          <w:color w:val="auto"/>
        </w:rPr>
        <w:tab/>
      </w:r>
      <w:r>
        <w:rPr>
          <w:rFonts w:ascii="宋体" w:hAnsi="宋体"/>
          <w:color w:val="auto"/>
        </w:rPr>
        <w:fldChar w:fldCharType="begin"/>
      </w:r>
      <w:r>
        <w:rPr>
          <w:rFonts w:ascii="宋体" w:hAnsi="宋体"/>
          <w:color w:val="auto"/>
        </w:rPr>
        <w:instrText xml:space="preserve"> PAGEREF _Toc118452536 \h </w:instrText>
      </w:r>
      <w:r>
        <w:rPr>
          <w:rFonts w:ascii="宋体" w:hAnsi="宋体"/>
          <w:color w:val="auto"/>
        </w:rPr>
        <w:fldChar w:fldCharType="separate"/>
      </w:r>
      <w:r>
        <w:rPr>
          <w:rFonts w:ascii="宋体" w:hAnsi="宋体"/>
          <w:color w:val="auto"/>
        </w:rPr>
        <w:t>18</w:t>
      </w:r>
      <w:r>
        <w:rPr>
          <w:rFonts w:ascii="宋体" w:hAnsi="宋体"/>
          <w:color w:val="auto"/>
        </w:rPr>
        <w:fldChar w:fldCharType="end"/>
      </w:r>
      <w:r>
        <w:rPr>
          <w:rFonts w:ascii="宋体" w:hAnsi="宋体"/>
          <w:color w:val="auto"/>
        </w:rPr>
        <w:fldChar w:fldCharType="end"/>
      </w:r>
    </w:p>
    <w:p>
      <w:pPr>
        <w:pStyle w:val="31"/>
        <w:tabs>
          <w:tab w:val="right" w:leader="dot" w:pos="8846"/>
        </w:tabs>
        <w:spacing w:line="360" w:lineRule="auto"/>
        <w:rPr>
          <w:rFonts w:ascii="宋体" w:hAnsi="宋体" w:cs="黑体"/>
          <w:color w:val="auto"/>
          <w:szCs w:val="22"/>
        </w:rPr>
      </w:pPr>
      <w:r>
        <w:rPr>
          <w:color w:val="auto"/>
        </w:rPr>
        <w:fldChar w:fldCharType="begin"/>
      </w:r>
      <w:r>
        <w:rPr>
          <w:color w:val="auto"/>
        </w:rPr>
        <w:instrText xml:space="preserve"> HYPERLINK \l "_Toc118452537" </w:instrText>
      </w:r>
      <w:r>
        <w:rPr>
          <w:color w:val="auto"/>
        </w:rPr>
        <w:fldChar w:fldCharType="separate"/>
      </w:r>
      <w:r>
        <w:rPr>
          <w:rStyle w:val="51"/>
          <w:rFonts w:ascii="宋体" w:hAnsi="宋体"/>
          <w:color w:val="auto"/>
        </w:rPr>
        <w:t>第五章  合同文本</w:t>
      </w:r>
      <w:r>
        <w:rPr>
          <w:rFonts w:ascii="宋体" w:hAnsi="宋体"/>
          <w:color w:val="auto"/>
        </w:rPr>
        <w:tab/>
      </w:r>
      <w:r>
        <w:rPr>
          <w:rFonts w:ascii="宋体" w:hAnsi="宋体"/>
          <w:color w:val="auto"/>
        </w:rPr>
        <w:fldChar w:fldCharType="begin"/>
      </w:r>
      <w:r>
        <w:rPr>
          <w:rFonts w:ascii="宋体" w:hAnsi="宋体"/>
          <w:color w:val="auto"/>
        </w:rPr>
        <w:instrText xml:space="preserve"> PAGEREF _Toc118452537 \h </w:instrText>
      </w:r>
      <w:r>
        <w:rPr>
          <w:rFonts w:ascii="宋体" w:hAnsi="宋体"/>
          <w:color w:val="auto"/>
        </w:rPr>
        <w:fldChar w:fldCharType="separate"/>
      </w:r>
      <w:r>
        <w:rPr>
          <w:rFonts w:ascii="宋体" w:hAnsi="宋体"/>
          <w:color w:val="auto"/>
        </w:rPr>
        <w:t>24</w:t>
      </w:r>
      <w:r>
        <w:rPr>
          <w:rFonts w:ascii="宋体" w:hAnsi="宋体"/>
          <w:color w:val="auto"/>
        </w:rPr>
        <w:fldChar w:fldCharType="end"/>
      </w:r>
      <w:r>
        <w:rPr>
          <w:rFonts w:ascii="宋体" w:hAnsi="宋体"/>
          <w:color w:val="auto"/>
        </w:rPr>
        <w:fldChar w:fldCharType="end"/>
      </w:r>
    </w:p>
    <w:p>
      <w:pPr>
        <w:pStyle w:val="31"/>
        <w:tabs>
          <w:tab w:val="right" w:leader="dot" w:pos="8846"/>
        </w:tabs>
        <w:spacing w:line="360" w:lineRule="auto"/>
        <w:rPr>
          <w:rFonts w:ascii="宋体" w:hAnsi="宋体" w:cs="黑体"/>
          <w:color w:val="auto"/>
          <w:szCs w:val="22"/>
        </w:rPr>
      </w:pPr>
      <w:r>
        <w:rPr>
          <w:color w:val="auto"/>
        </w:rPr>
        <w:fldChar w:fldCharType="begin"/>
      </w:r>
      <w:r>
        <w:rPr>
          <w:color w:val="auto"/>
        </w:rPr>
        <w:instrText xml:space="preserve"> HYPERLINK \l "_Toc118452538" </w:instrText>
      </w:r>
      <w:r>
        <w:rPr>
          <w:color w:val="auto"/>
        </w:rPr>
        <w:fldChar w:fldCharType="separate"/>
      </w:r>
      <w:r>
        <w:rPr>
          <w:rStyle w:val="51"/>
          <w:rFonts w:ascii="宋体" w:hAnsi="宋体"/>
          <w:color w:val="auto"/>
        </w:rPr>
        <w:t>第六章  投标文件格式</w:t>
      </w:r>
      <w:r>
        <w:rPr>
          <w:rFonts w:ascii="宋体" w:hAnsi="宋体"/>
          <w:color w:val="auto"/>
        </w:rPr>
        <w:tab/>
      </w:r>
      <w:r>
        <w:rPr>
          <w:rFonts w:ascii="宋体" w:hAnsi="宋体"/>
          <w:color w:val="auto"/>
        </w:rPr>
        <w:fldChar w:fldCharType="begin"/>
      </w:r>
      <w:r>
        <w:rPr>
          <w:rFonts w:ascii="宋体" w:hAnsi="宋体"/>
          <w:color w:val="auto"/>
        </w:rPr>
        <w:instrText xml:space="preserve"> PAGEREF _Toc118452538 \h </w:instrText>
      </w:r>
      <w:r>
        <w:rPr>
          <w:rFonts w:ascii="宋体" w:hAnsi="宋体"/>
          <w:color w:val="auto"/>
        </w:rPr>
        <w:fldChar w:fldCharType="separate"/>
      </w:r>
      <w:r>
        <w:rPr>
          <w:rFonts w:ascii="宋体" w:hAnsi="宋体"/>
          <w:color w:val="auto"/>
        </w:rPr>
        <w:t>32</w:t>
      </w:r>
      <w:r>
        <w:rPr>
          <w:rFonts w:ascii="宋体" w:hAnsi="宋体"/>
          <w:color w:val="auto"/>
        </w:rPr>
        <w:fldChar w:fldCharType="end"/>
      </w:r>
      <w:r>
        <w:rPr>
          <w:rFonts w:ascii="宋体" w:hAnsi="宋体"/>
          <w:color w:val="auto"/>
        </w:rPr>
        <w:fldChar w:fldCharType="end"/>
      </w:r>
    </w:p>
    <w:p>
      <w:pPr>
        <w:pStyle w:val="31"/>
        <w:tabs>
          <w:tab w:val="right" w:leader="dot" w:pos="8846"/>
        </w:tabs>
        <w:spacing w:line="360" w:lineRule="auto"/>
        <w:rPr>
          <w:rFonts w:ascii="宋体" w:hAnsi="宋体" w:cs="黑体"/>
          <w:color w:val="auto"/>
          <w:szCs w:val="22"/>
        </w:rPr>
      </w:pPr>
      <w:r>
        <w:rPr>
          <w:color w:val="auto"/>
        </w:rPr>
        <w:fldChar w:fldCharType="begin"/>
      </w:r>
      <w:r>
        <w:rPr>
          <w:color w:val="auto"/>
        </w:rPr>
        <w:instrText xml:space="preserve"> HYPERLINK \l "_Toc118452539" </w:instrText>
      </w:r>
      <w:r>
        <w:rPr>
          <w:color w:val="auto"/>
        </w:rPr>
        <w:fldChar w:fldCharType="separate"/>
      </w:r>
      <w:r>
        <w:rPr>
          <w:rStyle w:val="51"/>
          <w:rFonts w:ascii="宋体" w:hAnsi="宋体"/>
          <w:color w:val="auto"/>
        </w:rPr>
        <w:t>第七章  政府采购供应商质疑函及投诉书范本</w:t>
      </w:r>
      <w:r>
        <w:rPr>
          <w:rFonts w:ascii="宋体" w:hAnsi="宋体"/>
          <w:color w:val="auto"/>
        </w:rPr>
        <w:tab/>
      </w:r>
      <w:r>
        <w:rPr>
          <w:rFonts w:ascii="宋体" w:hAnsi="宋体"/>
          <w:color w:val="auto"/>
        </w:rPr>
        <w:fldChar w:fldCharType="begin"/>
      </w:r>
      <w:r>
        <w:rPr>
          <w:rFonts w:ascii="宋体" w:hAnsi="宋体"/>
          <w:color w:val="auto"/>
        </w:rPr>
        <w:instrText xml:space="preserve"> PAGEREF _Toc118452539 \h </w:instrText>
      </w:r>
      <w:r>
        <w:rPr>
          <w:rFonts w:ascii="宋体" w:hAnsi="宋体"/>
          <w:color w:val="auto"/>
        </w:rPr>
        <w:fldChar w:fldCharType="separate"/>
      </w:r>
      <w:r>
        <w:rPr>
          <w:rFonts w:ascii="宋体" w:hAnsi="宋体"/>
          <w:color w:val="auto"/>
        </w:rPr>
        <w:t>43</w:t>
      </w:r>
      <w:r>
        <w:rPr>
          <w:rFonts w:ascii="宋体" w:hAnsi="宋体"/>
          <w:color w:val="auto"/>
        </w:rPr>
        <w:fldChar w:fldCharType="end"/>
      </w:r>
      <w:r>
        <w:rPr>
          <w:rFonts w:ascii="宋体" w:hAnsi="宋体"/>
          <w:color w:val="auto"/>
        </w:rPr>
        <w:fldChar w:fldCharType="end"/>
      </w:r>
    </w:p>
    <w:p>
      <w:pPr>
        <w:spacing w:line="360" w:lineRule="auto"/>
        <w:rPr>
          <w:rFonts w:ascii="宋体" w:hAnsi="宋体"/>
          <w:color w:val="auto"/>
        </w:rPr>
      </w:pPr>
      <w:r>
        <w:rPr>
          <w:rFonts w:ascii="宋体" w:hAnsi="宋体"/>
          <w:b/>
          <w:bCs/>
          <w:color w:val="auto"/>
          <w:sz w:val="24"/>
          <w:lang w:val="zh-CN"/>
        </w:rPr>
        <w:fldChar w:fldCharType="end"/>
      </w:r>
    </w:p>
    <w:p>
      <w:pPr>
        <w:spacing w:line="360" w:lineRule="auto"/>
        <w:rPr>
          <w:rFonts w:ascii="宋体" w:hAnsi="宋体"/>
          <w:color w:val="auto"/>
          <w:sz w:val="28"/>
          <w:szCs w:val="28"/>
        </w:rPr>
      </w:pPr>
    </w:p>
    <w:p>
      <w:pPr>
        <w:spacing w:line="360" w:lineRule="auto"/>
        <w:rPr>
          <w:rFonts w:ascii="宋体" w:hAnsi="宋体"/>
          <w:color w:val="auto"/>
          <w:kern w:val="0"/>
          <w:sz w:val="28"/>
          <w:szCs w:val="28"/>
        </w:rPr>
      </w:pPr>
      <w:r>
        <w:rPr>
          <w:rFonts w:ascii="宋体" w:hAnsi="宋体"/>
          <w:color w:val="auto"/>
          <w:sz w:val="28"/>
          <w:szCs w:val="28"/>
        </w:rPr>
        <w:br w:type="page"/>
      </w:r>
    </w:p>
    <w:p>
      <w:pPr>
        <w:pStyle w:val="25"/>
        <w:snapToGrid w:val="0"/>
        <w:spacing w:beforeLines="0" w:afterLines="0" w:line="360" w:lineRule="auto"/>
        <w:jc w:val="center"/>
        <w:outlineLvl w:val="0"/>
        <w:rPr>
          <w:rFonts w:hAnsi="宋体"/>
          <w:color w:val="auto"/>
          <w:sz w:val="28"/>
          <w:szCs w:val="28"/>
        </w:rPr>
        <w:sectPr>
          <w:footerReference r:id="rId10" w:type="first"/>
          <w:footerReference r:id="rId9" w:type="default"/>
          <w:pgSz w:w="11906" w:h="16838"/>
          <w:pgMar w:top="1440" w:right="1440" w:bottom="1440" w:left="1610" w:header="851" w:footer="851" w:gutter="0"/>
          <w:pgNumType w:start="1"/>
          <w:cols w:space="720" w:num="1"/>
          <w:docGrid w:linePitch="312" w:charSpace="0"/>
        </w:sectPr>
      </w:pPr>
    </w:p>
    <w:p>
      <w:pPr>
        <w:pStyle w:val="3"/>
        <w:rPr>
          <w:rFonts w:ascii="宋体" w:hAnsi="宋体"/>
          <w:color w:val="auto"/>
        </w:rPr>
      </w:pPr>
      <w:bookmarkStart w:id="0" w:name="_Toc118452524"/>
      <w:bookmarkStart w:id="1" w:name="_Toc34844741"/>
      <w:r>
        <w:rPr>
          <w:rFonts w:hint="eastAsia" w:ascii="宋体" w:hAnsi="宋体"/>
          <w:color w:val="auto"/>
        </w:rPr>
        <w:t>第一章  投标邀请</w:t>
      </w:r>
      <w:bookmarkEnd w:id="0"/>
    </w:p>
    <w:p>
      <w:pPr>
        <w:pBdr>
          <w:top w:val="single" w:color="auto" w:sz="4" w:space="1"/>
          <w:left w:val="single" w:color="auto" w:sz="4" w:space="4"/>
          <w:bottom w:val="single" w:color="auto" w:sz="4" w:space="1"/>
          <w:right w:val="single" w:color="auto" w:sz="4" w:space="0"/>
        </w:pBdr>
        <w:spacing w:before="120" w:beforeLines="50" w:line="360" w:lineRule="auto"/>
        <w:ind w:firstLine="420" w:firstLineChars="200"/>
        <w:rPr>
          <w:rFonts w:ascii="宋体" w:hAnsi="宋体"/>
          <w:color w:val="auto"/>
          <w:szCs w:val="21"/>
        </w:rPr>
      </w:pPr>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0"/>
        </w:pBdr>
        <w:spacing w:line="360" w:lineRule="auto"/>
        <w:ind w:firstLine="525" w:firstLineChars="250"/>
        <w:jc w:val="left"/>
        <w:rPr>
          <w:rFonts w:ascii="宋体" w:hAnsi="宋体"/>
          <w:color w:val="auto"/>
          <w:szCs w:val="21"/>
        </w:rPr>
      </w:pPr>
      <w:bookmarkStart w:id="2" w:name="_Toc35393621"/>
      <w:bookmarkStart w:id="3" w:name="_Toc28359002"/>
      <w:bookmarkStart w:id="4" w:name="_Toc28359079"/>
      <w:bookmarkStart w:id="5" w:name="_Toc35393790"/>
      <w:bookmarkStart w:id="6" w:name="_Hlk24379207"/>
      <w:r>
        <w:rPr>
          <w:rFonts w:hint="eastAsia" w:ascii="宋体" w:hAnsi="宋体"/>
          <w:color w:val="auto"/>
          <w:szCs w:val="21"/>
          <w:u w:val="single"/>
        </w:rPr>
        <w:t>全国会计专业技术资格无纸化考试宁波考区考务服务项目</w:t>
      </w:r>
      <w:r>
        <w:rPr>
          <w:rFonts w:hint="eastAsia" w:ascii="宋体" w:hAnsi="宋体"/>
          <w:color w:val="auto"/>
          <w:szCs w:val="21"/>
        </w:rPr>
        <w:t>招标项目的潜在投标人应在</w:t>
      </w:r>
      <w:r>
        <w:rPr>
          <w:rFonts w:hint="eastAsia" w:ascii="宋体" w:hAnsi="宋体"/>
          <w:color w:val="auto"/>
          <w:szCs w:val="21"/>
          <w:u w:val="single"/>
        </w:rPr>
        <w:t>政采云平台（https：//www.zcygov.cn）</w:t>
      </w:r>
      <w:r>
        <w:rPr>
          <w:rFonts w:hint="eastAsia" w:ascii="宋体" w:hAnsi="宋体"/>
          <w:bCs/>
          <w:color w:val="auto"/>
          <w:szCs w:val="21"/>
          <w:u w:val="single"/>
        </w:rPr>
        <w:t>获取（下载）招标文件，并于2024年</w:t>
      </w:r>
      <w:r>
        <w:rPr>
          <w:rFonts w:hint="eastAsia" w:ascii="宋体" w:hAnsi="宋体"/>
          <w:bCs/>
          <w:color w:val="auto"/>
          <w:szCs w:val="21"/>
          <w:u w:val="single"/>
          <w:lang w:val="en-US" w:eastAsia="zh-CN"/>
        </w:rPr>
        <w:t>3</w:t>
      </w:r>
      <w:r>
        <w:rPr>
          <w:rFonts w:hint="eastAsia" w:ascii="宋体" w:hAnsi="宋体"/>
          <w:bCs/>
          <w:color w:val="auto"/>
          <w:szCs w:val="21"/>
          <w:u w:val="single"/>
        </w:rPr>
        <w:t>月</w:t>
      </w:r>
      <w:r>
        <w:rPr>
          <w:rFonts w:hint="eastAsia" w:ascii="宋体" w:hAnsi="宋体"/>
          <w:bCs/>
          <w:color w:val="auto"/>
          <w:szCs w:val="21"/>
          <w:u w:val="single"/>
          <w:lang w:val="en-US" w:eastAsia="zh-CN"/>
        </w:rPr>
        <w:t>27</w:t>
      </w:r>
      <w:r>
        <w:rPr>
          <w:rFonts w:hint="eastAsia" w:ascii="宋体" w:hAnsi="宋体"/>
          <w:bCs/>
          <w:color w:val="auto"/>
          <w:szCs w:val="21"/>
          <w:u w:val="single"/>
        </w:rPr>
        <w:t>日</w:t>
      </w:r>
      <w:r>
        <w:rPr>
          <w:rFonts w:hint="eastAsia" w:ascii="宋体" w:hAnsi="宋体"/>
          <w:bCs/>
          <w:color w:val="auto"/>
          <w:szCs w:val="21"/>
          <w:u w:val="single"/>
          <w:lang w:val="en-US" w:eastAsia="zh-CN"/>
        </w:rPr>
        <w:t>09</w:t>
      </w:r>
      <w:r>
        <w:rPr>
          <w:rFonts w:hint="eastAsia" w:ascii="宋体" w:hAnsi="宋体"/>
          <w:bCs/>
          <w:color w:val="auto"/>
          <w:szCs w:val="21"/>
          <w:u w:val="single"/>
        </w:rPr>
        <w:t>点</w:t>
      </w:r>
      <w:r>
        <w:rPr>
          <w:rFonts w:hint="eastAsia" w:ascii="宋体" w:hAnsi="宋体"/>
          <w:bCs/>
          <w:color w:val="auto"/>
          <w:szCs w:val="21"/>
          <w:u w:val="single"/>
          <w:lang w:val="en-US" w:eastAsia="zh-CN"/>
        </w:rPr>
        <w:t>30</w:t>
      </w:r>
      <w:r>
        <w:rPr>
          <w:rFonts w:hint="eastAsia" w:ascii="宋体" w:hAnsi="宋体"/>
          <w:bCs/>
          <w:color w:val="auto"/>
          <w:szCs w:val="21"/>
          <w:u w:val="single"/>
        </w:rPr>
        <w:t>分</w:t>
      </w:r>
      <w:r>
        <w:rPr>
          <w:rFonts w:hint="eastAsia" w:ascii="宋体" w:hAnsi="宋体"/>
          <w:bCs/>
          <w:color w:val="auto"/>
          <w:szCs w:val="21"/>
        </w:rPr>
        <w:t>（北京时间）前递交（上传）投标</w:t>
      </w:r>
      <w:r>
        <w:rPr>
          <w:rFonts w:ascii="宋体" w:hAnsi="宋体"/>
          <w:bCs/>
          <w:color w:val="auto"/>
          <w:szCs w:val="21"/>
        </w:rPr>
        <w:t>文件</w:t>
      </w:r>
      <w:r>
        <w:rPr>
          <w:rFonts w:hint="eastAsia" w:ascii="宋体" w:hAnsi="宋体"/>
          <w:color w:val="auto"/>
          <w:szCs w:val="21"/>
        </w:rPr>
        <w:t>。</w:t>
      </w:r>
    </w:p>
    <w:p>
      <w:pPr>
        <w:snapToGrid w:val="0"/>
        <w:spacing w:line="360" w:lineRule="auto"/>
        <w:rPr>
          <w:rFonts w:ascii="宋体" w:hAnsi="宋体" w:cs="Arial"/>
          <w:b/>
          <w:color w:val="auto"/>
          <w:szCs w:val="21"/>
        </w:rPr>
      </w:pPr>
      <w:r>
        <w:rPr>
          <w:rFonts w:hint="eastAsia" w:ascii="宋体" w:hAnsi="宋体" w:cs="Arial"/>
          <w:b/>
          <w:color w:val="auto"/>
          <w:szCs w:val="21"/>
        </w:rPr>
        <w:t>一、项目基本情况</w:t>
      </w:r>
      <w:bookmarkEnd w:id="2"/>
      <w:bookmarkEnd w:id="3"/>
      <w:bookmarkEnd w:id="4"/>
      <w:bookmarkEnd w:id="5"/>
      <w:bookmarkStart w:id="76" w:name="_GoBack"/>
      <w:bookmarkEnd w:id="76"/>
    </w:p>
    <w:p>
      <w:pPr>
        <w:spacing w:line="360" w:lineRule="auto"/>
        <w:ind w:firstLine="420" w:firstLineChars="200"/>
        <w:rPr>
          <w:rFonts w:ascii="宋体" w:hAnsi="宋体"/>
          <w:color w:val="auto"/>
          <w:szCs w:val="21"/>
        </w:rPr>
      </w:pPr>
      <w:r>
        <w:rPr>
          <w:rFonts w:hint="eastAsia" w:ascii="宋体" w:hAnsi="宋体"/>
          <w:color w:val="auto"/>
          <w:szCs w:val="21"/>
        </w:rPr>
        <w:t>项目编号：NBMC-20242037G</w:t>
      </w:r>
    </w:p>
    <w:p>
      <w:pPr>
        <w:spacing w:line="360" w:lineRule="auto"/>
        <w:ind w:firstLine="420" w:firstLineChars="200"/>
        <w:rPr>
          <w:rFonts w:ascii="宋体" w:hAnsi="宋体"/>
          <w:color w:val="auto"/>
          <w:szCs w:val="21"/>
        </w:rPr>
      </w:pPr>
      <w:r>
        <w:rPr>
          <w:rFonts w:hint="eastAsia" w:ascii="宋体" w:hAnsi="宋体"/>
          <w:color w:val="auto"/>
          <w:szCs w:val="21"/>
        </w:rPr>
        <w:t>项目名称：全国会计专业技术资格无纸化考试宁波考区考务服务项目</w:t>
      </w:r>
    </w:p>
    <w:bookmarkEnd w:id="6"/>
    <w:p>
      <w:pPr>
        <w:spacing w:line="360" w:lineRule="auto"/>
        <w:ind w:firstLine="420" w:firstLineChars="200"/>
        <w:rPr>
          <w:rFonts w:ascii="宋体" w:hAnsi="宋体"/>
          <w:color w:val="auto"/>
          <w:szCs w:val="21"/>
        </w:rPr>
      </w:pPr>
      <w:r>
        <w:rPr>
          <w:rFonts w:hint="eastAsia" w:ascii="宋体" w:hAnsi="宋体"/>
          <w:color w:val="auto"/>
          <w:szCs w:val="21"/>
        </w:rPr>
        <w:t>预算金额（元）：3</w:t>
      </w:r>
      <w:r>
        <w:rPr>
          <w:rFonts w:ascii="宋体" w:hAnsi="宋体"/>
          <w:color w:val="auto"/>
          <w:szCs w:val="21"/>
        </w:rPr>
        <w:t>400000</w:t>
      </w:r>
    </w:p>
    <w:p>
      <w:pPr>
        <w:spacing w:line="360" w:lineRule="auto"/>
        <w:ind w:firstLine="420" w:firstLineChars="200"/>
        <w:rPr>
          <w:rFonts w:ascii="宋体" w:hAnsi="宋体"/>
          <w:color w:val="auto"/>
          <w:szCs w:val="21"/>
        </w:rPr>
      </w:pPr>
      <w:r>
        <w:rPr>
          <w:rFonts w:hint="eastAsia" w:ascii="宋体" w:hAnsi="宋体"/>
          <w:color w:val="auto"/>
          <w:szCs w:val="21"/>
        </w:rPr>
        <w:t>最高限价（元）：</w:t>
      </w:r>
      <w:r>
        <w:rPr>
          <w:rFonts w:ascii="宋体" w:hAnsi="宋体"/>
          <w:color w:val="auto"/>
          <w:szCs w:val="21"/>
        </w:rPr>
        <w:t>/</w:t>
      </w:r>
    </w:p>
    <w:p>
      <w:pPr>
        <w:pStyle w:val="19"/>
        <w:ind w:firstLine="280"/>
        <w:rPr>
          <w:color w:val="auto"/>
        </w:rPr>
      </w:pPr>
    </w:p>
    <w:p>
      <w:pPr>
        <w:spacing w:line="360" w:lineRule="auto"/>
        <w:ind w:firstLine="420" w:firstLineChars="200"/>
        <w:rPr>
          <w:rFonts w:ascii="宋体" w:hAnsi="宋体"/>
          <w:color w:val="auto"/>
          <w:szCs w:val="21"/>
        </w:rPr>
      </w:pPr>
      <w:r>
        <w:rPr>
          <w:rFonts w:hint="eastAsia" w:ascii="宋体" w:hAnsi="宋体"/>
          <w:color w:val="auto"/>
          <w:szCs w:val="21"/>
        </w:rPr>
        <w:t>采购需求：</w:t>
      </w:r>
    </w:p>
    <w:p>
      <w:pPr>
        <w:spacing w:line="360" w:lineRule="auto"/>
        <w:ind w:firstLine="420" w:firstLineChars="200"/>
        <w:rPr>
          <w:rFonts w:ascii="宋体" w:hAnsi="宋体"/>
          <w:color w:val="auto"/>
          <w:szCs w:val="21"/>
        </w:rPr>
      </w:pPr>
      <w:r>
        <w:rPr>
          <w:rFonts w:ascii="宋体" w:hAnsi="宋体"/>
          <w:color w:val="auto"/>
          <w:szCs w:val="21"/>
        </w:rPr>
        <w:t>标项名称</w:t>
      </w:r>
      <w:r>
        <w:rPr>
          <w:rFonts w:hint="eastAsia" w:ascii="宋体" w:hAnsi="宋体"/>
          <w:color w:val="auto"/>
          <w:szCs w:val="21"/>
        </w:rPr>
        <w:t>：全国会计专业技术资格无纸化考试宁波考区考务服务项目</w:t>
      </w:r>
    </w:p>
    <w:p>
      <w:pPr>
        <w:spacing w:line="360" w:lineRule="auto"/>
        <w:ind w:firstLine="420" w:firstLineChars="200"/>
        <w:rPr>
          <w:rFonts w:ascii="宋体" w:hAnsi="宋体"/>
          <w:color w:val="auto"/>
          <w:szCs w:val="21"/>
        </w:rPr>
      </w:pPr>
      <w:r>
        <w:rPr>
          <w:rFonts w:ascii="宋体" w:hAnsi="宋体"/>
          <w:color w:val="auto"/>
          <w:szCs w:val="21"/>
        </w:rPr>
        <w:t>数量</w:t>
      </w:r>
      <w:r>
        <w:rPr>
          <w:rFonts w:hint="eastAsia" w:ascii="宋体" w:hAnsi="宋体"/>
          <w:color w:val="auto"/>
          <w:szCs w:val="21"/>
        </w:rPr>
        <w:t>：1</w:t>
      </w:r>
    </w:p>
    <w:p>
      <w:pPr>
        <w:spacing w:line="360" w:lineRule="auto"/>
        <w:ind w:firstLine="420" w:firstLineChars="200"/>
        <w:rPr>
          <w:rFonts w:ascii="宋体" w:hAnsi="宋体"/>
          <w:color w:val="auto"/>
          <w:szCs w:val="21"/>
        </w:rPr>
      </w:pPr>
      <w:r>
        <w:rPr>
          <w:rFonts w:ascii="宋体" w:hAnsi="宋体"/>
          <w:color w:val="auto"/>
          <w:szCs w:val="21"/>
        </w:rPr>
        <w:t>预算金额（元）</w:t>
      </w:r>
      <w:r>
        <w:rPr>
          <w:rFonts w:hint="eastAsia" w:ascii="宋体" w:hAnsi="宋体"/>
          <w:color w:val="auto"/>
          <w:szCs w:val="21"/>
        </w:rPr>
        <w:t>：3</w:t>
      </w:r>
      <w:r>
        <w:rPr>
          <w:rFonts w:ascii="宋体" w:hAnsi="宋体"/>
          <w:color w:val="auto"/>
          <w:szCs w:val="21"/>
        </w:rPr>
        <w:t>400000</w:t>
      </w:r>
    </w:p>
    <w:p>
      <w:pPr>
        <w:spacing w:line="360" w:lineRule="auto"/>
        <w:ind w:firstLine="420" w:firstLineChars="200"/>
        <w:rPr>
          <w:rFonts w:ascii="宋体" w:hAnsi="宋体"/>
          <w:color w:val="auto"/>
          <w:szCs w:val="21"/>
        </w:rPr>
      </w:pPr>
      <w:r>
        <w:rPr>
          <w:rFonts w:ascii="宋体" w:hAnsi="宋体"/>
          <w:color w:val="auto"/>
          <w:szCs w:val="21"/>
        </w:rPr>
        <w:t>简要规格描述或项目基本概况介绍、用途：</w:t>
      </w:r>
      <w:r>
        <w:rPr>
          <w:rFonts w:hint="eastAsia" w:ascii="宋体" w:hAnsi="宋体"/>
          <w:color w:val="auto"/>
          <w:szCs w:val="21"/>
        </w:rPr>
        <w:t>为2024-2026年全国会计专业技术资格无纸化考试宁波考区提供考试考务服务。</w:t>
      </w:r>
    </w:p>
    <w:p>
      <w:pPr>
        <w:spacing w:line="360" w:lineRule="auto"/>
        <w:ind w:firstLine="420" w:firstLineChars="200"/>
        <w:rPr>
          <w:rFonts w:ascii="宋体" w:hAnsi="宋体"/>
          <w:color w:val="auto"/>
          <w:szCs w:val="21"/>
        </w:rPr>
      </w:pPr>
      <w:r>
        <w:rPr>
          <w:rFonts w:ascii="宋体" w:hAnsi="宋体"/>
          <w:color w:val="auto"/>
          <w:szCs w:val="21"/>
        </w:rPr>
        <w:t>备注：</w:t>
      </w:r>
      <w:r>
        <w:rPr>
          <w:rFonts w:hint="eastAsia" w:ascii="宋体" w:hAnsi="宋体"/>
          <w:color w:val="auto"/>
          <w:szCs w:val="21"/>
        </w:rPr>
        <w:t>预算金额为1年。本项目为单价报价方式，单价最高限价：会计专业技术初级资格考试37.9元/科次，会计专业技术中级、高级资格考试39.8元/科次。</w:t>
      </w:r>
    </w:p>
    <w:p>
      <w:pPr>
        <w:spacing w:line="360" w:lineRule="auto"/>
        <w:ind w:firstLine="420" w:firstLineChars="200"/>
        <w:rPr>
          <w:rFonts w:ascii="宋体" w:hAnsi="宋体"/>
          <w:color w:val="auto"/>
          <w:szCs w:val="21"/>
        </w:rPr>
      </w:pPr>
      <w:r>
        <w:rPr>
          <w:rFonts w:ascii="宋体" w:hAnsi="宋体"/>
          <w:color w:val="auto"/>
          <w:szCs w:val="21"/>
        </w:rPr>
        <w:t>合同履约期限：标项1，</w:t>
      </w:r>
      <w:r>
        <w:rPr>
          <w:rFonts w:hint="eastAsia" w:ascii="宋体" w:hAnsi="宋体"/>
          <w:color w:val="auto"/>
          <w:szCs w:val="21"/>
        </w:rPr>
        <w:t>2024-2026年。合同一年一签，采购人根据中标人在上一阶段合同履约、考核等情况决定是否续签。</w:t>
      </w:r>
    </w:p>
    <w:p>
      <w:pPr>
        <w:spacing w:line="360" w:lineRule="auto"/>
        <w:ind w:firstLine="420" w:firstLineChars="200"/>
        <w:rPr>
          <w:rFonts w:ascii="宋体" w:hAnsi="宋体"/>
          <w:color w:val="auto"/>
          <w:szCs w:val="21"/>
        </w:rPr>
      </w:pPr>
      <w:r>
        <w:rPr>
          <w:rFonts w:ascii="宋体" w:hAnsi="宋体"/>
          <w:color w:val="auto"/>
          <w:szCs w:val="21"/>
        </w:rPr>
        <w:t>本项目（</w:t>
      </w:r>
      <w:r>
        <w:rPr>
          <w:rFonts w:hint="eastAsia" w:ascii="宋体" w:hAnsi="宋体"/>
          <w:color w:val="auto"/>
          <w:szCs w:val="21"/>
        </w:rPr>
        <w:t>否</w:t>
      </w:r>
      <w:r>
        <w:rPr>
          <w:rFonts w:ascii="宋体" w:hAnsi="宋体"/>
          <w:color w:val="auto"/>
          <w:szCs w:val="21"/>
        </w:rPr>
        <w:t>）接受联合体投标。</w:t>
      </w:r>
    </w:p>
    <w:p>
      <w:pPr>
        <w:snapToGrid w:val="0"/>
        <w:spacing w:line="360" w:lineRule="auto"/>
        <w:rPr>
          <w:rFonts w:ascii="宋体" w:hAnsi="宋体" w:cs="Arial"/>
          <w:b/>
          <w:color w:val="auto"/>
          <w:szCs w:val="21"/>
        </w:rPr>
      </w:pPr>
      <w:bookmarkStart w:id="7" w:name="_Toc28359003"/>
      <w:bookmarkStart w:id="8" w:name="_Toc28359080"/>
      <w:bookmarkStart w:id="9" w:name="_Toc35393622"/>
      <w:bookmarkStart w:id="10" w:name="_Toc35393791"/>
      <w:r>
        <w:rPr>
          <w:rFonts w:hint="eastAsia" w:ascii="宋体" w:hAnsi="宋体" w:cs="Arial"/>
          <w:b/>
          <w:color w:val="auto"/>
          <w:szCs w:val="21"/>
        </w:rPr>
        <w:t>二、申请人的资格要求：</w:t>
      </w:r>
      <w:bookmarkEnd w:id="7"/>
      <w:bookmarkEnd w:id="8"/>
      <w:bookmarkEnd w:id="9"/>
      <w:bookmarkEnd w:id="10"/>
    </w:p>
    <w:p>
      <w:pPr>
        <w:spacing w:line="360" w:lineRule="auto"/>
        <w:ind w:firstLine="420" w:firstLineChars="200"/>
        <w:rPr>
          <w:rFonts w:ascii="宋体" w:hAnsi="宋体"/>
          <w:color w:val="auto"/>
          <w:szCs w:val="21"/>
        </w:rPr>
      </w:pPr>
      <w:r>
        <w:rPr>
          <w:rFonts w:hint="eastAsia" w:ascii="宋体" w:hAnsi="宋体"/>
          <w:color w:val="auto"/>
          <w:szCs w:val="21"/>
        </w:rPr>
        <w:t>1.满足《中华人民共和国政府采购法》第二十二条第一款的规定；未被“信用中国”（www.creditchina.gov.cn)、中国政府采购网（www.ccgp.gov.cn）列入失信被执行人、重大税收违法失信主体、政府采购严重违法失信行为记录名单；</w:t>
      </w:r>
    </w:p>
    <w:p>
      <w:pPr>
        <w:spacing w:line="360" w:lineRule="auto"/>
        <w:ind w:firstLine="420" w:firstLineChars="200"/>
        <w:rPr>
          <w:rFonts w:ascii="宋体" w:hAnsi="宋体"/>
          <w:color w:val="auto"/>
          <w:szCs w:val="21"/>
        </w:rPr>
      </w:pPr>
      <w:bookmarkStart w:id="11" w:name="_Toc28359081"/>
      <w:bookmarkStart w:id="12" w:name="_Toc28359004"/>
      <w:r>
        <w:rPr>
          <w:rFonts w:hint="eastAsia" w:ascii="宋体" w:hAnsi="宋体"/>
          <w:color w:val="auto"/>
          <w:szCs w:val="21"/>
        </w:rPr>
        <w:t>2.落实政府采购政策需满足的资格要求：本项目专门面向中小企业采购。</w:t>
      </w:r>
    </w:p>
    <w:p>
      <w:pPr>
        <w:spacing w:line="360" w:lineRule="auto"/>
        <w:ind w:firstLine="420" w:firstLineChars="200"/>
        <w:rPr>
          <w:rFonts w:ascii="宋体" w:hAnsi="宋体"/>
          <w:color w:val="auto"/>
          <w:szCs w:val="21"/>
        </w:rPr>
      </w:pPr>
      <w:r>
        <w:rPr>
          <w:rFonts w:hint="eastAsia" w:ascii="宋体" w:hAnsi="宋体"/>
          <w:color w:val="auto"/>
          <w:szCs w:val="21"/>
        </w:rPr>
        <w:t>3.本项目的特定资格要求：</w:t>
      </w:r>
      <w:r>
        <w:rPr>
          <w:rFonts w:hint="eastAsia" w:ascii="宋体" w:hAnsi="宋体"/>
          <w:color w:val="auto"/>
          <w:szCs w:val="21"/>
          <w:u w:val="single"/>
        </w:rPr>
        <w:t xml:space="preserve">   无    </w:t>
      </w:r>
      <w:r>
        <w:rPr>
          <w:rFonts w:hint="eastAsia" w:ascii="宋体" w:hAnsi="宋体"/>
          <w:color w:val="auto"/>
          <w:szCs w:val="21"/>
        </w:rPr>
        <w:t>。</w:t>
      </w:r>
    </w:p>
    <w:p>
      <w:pPr>
        <w:snapToGrid w:val="0"/>
        <w:spacing w:line="360" w:lineRule="auto"/>
        <w:rPr>
          <w:rFonts w:ascii="宋体" w:hAnsi="宋体" w:cs="Arial"/>
          <w:b/>
          <w:color w:val="auto"/>
          <w:szCs w:val="21"/>
        </w:rPr>
      </w:pPr>
      <w:bookmarkStart w:id="13" w:name="_Toc35393623"/>
      <w:bookmarkStart w:id="14" w:name="_Toc35393792"/>
      <w:r>
        <w:rPr>
          <w:rFonts w:hint="eastAsia" w:ascii="宋体" w:hAnsi="宋体" w:cs="Arial"/>
          <w:b/>
          <w:color w:val="auto"/>
          <w:szCs w:val="21"/>
        </w:rPr>
        <w:t>三、获取招标文件</w:t>
      </w:r>
      <w:bookmarkEnd w:id="11"/>
      <w:bookmarkEnd w:id="12"/>
      <w:bookmarkEnd w:id="13"/>
      <w:bookmarkEnd w:id="14"/>
    </w:p>
    <w:p>
      <w:pPr>
        <w:snapToGrid w:val="0"/>
        <w:spacing w:line="360" w:lineRule="auto"/>
        <w:ind w:firstLine="411" w:firstLineChars="196"/>
        <w:rPr>
          <w:rFonts w:ascii="宋体" w:hAnsi="宋体" w:cs="宋体"/>
          <w:b/>
          <w:color w:val="auto"/>
          <w:szCs w:val="21"/>
        </w:rPr>
      </w:pPr>
      <w:bookmarkStart w:id="15" w:name="_Toc28359005"/>
      <w:bookmarkStart w:id="16" w:name="_Toc28359082"/>
      <w:bookmarkStart w:id="17" w:name="_Toc35393793"/>
      <w:bookmarkStart w:id="18" w:name="_Toc35393624"/>
      <w:r>
        <w:rPr>
          <w:rFonts w:hint="eastAsia" w:ascii="宋体" w:hAnsi="宋体" w:cs="宋体"/>
          <w:color w:val="auto"/>
          <w:szCs w:val="21"/>
        </w:rPr>
        <w:t>时间：</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3</w:t>
      </w:r>
      <w:r>
        <w:rPr>
          <w:rFonts w:hint="eastAsia" w:ascii="宋体" w:hAnsi="宋体" w:cs="宋体"/>
          <w:color w:val="auto"/>
          <w:szCs w:val="21"/>
          <w:u w:val="single"/>
        </w:rPr>
        <w:t>月</w:t>
      </w:r>
      <w:r>
        <w:rPr>
          <w:rFonts w:hint="eastAsia" w:ascii="宋体" w:hAnsi="宋体" w:cs="宋体"/>
          <w:color w:val="auto"/>
          <w:szCs w:val="21"/>
          <w:u w:val="single"/>
          <w:lang w:val="en-US" w:eastAsia="zh-CN"/>
        </w:rPr>
        <w:t>6</w:t>
      </w:r>
      <w:r>
        <w:rPr>
          <w:rFonts w:hint="eastAsia" w:ascii="宋体" w:hAnsi="宋体" w:cs="宋体"/>
          <w:color w:val="auto"/>
          <w:szCs w:val="21"/>
          <w:u w:val="single"/>
        </w:rPr>
        <w:t>日至2024年</w:t>
      </w:r>
      <w:r>
        <w:rPr>
          <w:rFonts w:hint="eastAsia" w:ascii="宋体" w:hAnsi="宋体" w:cs="宋体"/>
          <w:color w:val="auto"/>
          <w:szCs w:val="21"/>
          <w:u w:val="single"/>
          <w:lang w:val="en-US" w:eastAsia="zh-CN"/>
        </w:rPr>
        <w:t>3</w:t>
      </w:r>
      <w:r>
        <w:rPr>
          <w:rFonts w:hint="eastAsia" w:ascii="宋体" w:hAnsi="宋体" w:cs="宋体"/>
          <w:color w:val="auto"/>
          <w:szCs w:val="21"/>
          <w:u w:val="single"/>
        </w:rPr>
        <w:t>月</w:t>
      </w:r>
      <w:r>
        <w:rPr>
          <w:rFonts w:hint="eastAsia" w:ascii="宋体" w:hAnsi="宋体" w:cs="宋体"/>
          <w:color w:val="auto"/>
          <w:szCs w:val="21"/>
          <w:u w:val="single"/>
          <w:lang w:val="en-US" w:eastAsia="zh-CN"/>
        </w:rPr>
        <w:t>13</w:t>
      </w:r>
      <w:r>
        <w:rPr>
          <w:rFonts w:hint="eastAsia" w:ascii="宋体" w:hAnsi="宋体" w:cs="宋体"/>
          <w:color w:val="auto"/>
          <w:szCs w:val="21"/>
          <w:u w:val="single"/>
        </w:rPr>
        <w:t>日</w:t>
      </w:r>
      <w:r>
        <w:rPr>
          <w:rFonts w:hint="eastAsia" w:ascii="宋体" w:hAnsi="宋体" w:cs="宋体"/>
          <w:color w:val="auto"/>
          <w:szCs w:val="21"/>
        </w:rPr>
        <w:t>，每天上午</w:t>
      </w:r>
      <w:r>
        <w:rPr>
          <w:rFonts w:ascii="宋体" w:hAnsi="宋体" w:cs="宋体"/>
          <w:color w:val="auto"/>
          <w:szCs w:val="21"/>
          <w:u w:val="single"/>
        </w:rPr>
        <w:t>00：00</w:t>
      </w:r>
      <w:r>
        <w:rPr>
          <w:rFonts w:hint="eastAsia" w:ascii="宋体" w:hAnsi="宋体" w:cs="宋体"/>
          <w:color w:val="auto"/>
          <w:szCs w:val="21"/>
        </w:rPr>
        <w:t>至</w:t>
      </w:r>
      <w:r>
        <w:rPr>
          <w:rFonts w:ascii="宋体" w:hAnsi="宋体" w:cs="宋体"/>
          <w:color w:val="auto"/>
          <w:szCs w:val="21"/>
          <w:u w:val="single"/>
        </w:rPr>
        <w:t>12：00</w:t>
      </w:r>
      <w:r>
        <w:rPr>
          <w:rFonts w:hint="eastAsia" w:ascii="宋体" w:hAnsi="宋体" w:cs="宋体"/>
          <w:color w:val="auto"/>
          <w:szCs w:val="21"/>
        </w:rPr>
        <w:t>，下午</w:t>
      </w:r>
      <w:r>
        <w:rPr>
          <w:rFonts w:ascii="宋体" w:hAnsi="宋体" w:cs="宋体"/>
          <w:color w:val="auto"/>
          <w:szCs w:val="21"/>
          <w:u w:val="single"/>
        </w:rPr>
        <w:t>12：00</w:t>
      </w:r>
      <w:r>
        <w:rPr>
          <w:rFonts w:hint="eastAsia" w:ascii="宋体" w:hAnsi="宋体" w:cs="宋体"/>
          <w:color w:val="auto"/>
          <w:szCs w:val="21"/>
        </w:rPr>
        <w:t>至</w:t>
      </w:r>
      <w:r>
        <w:rPr>
          <w:rFonts w:ascii="宋体" w:hAnsi="宋体" w:cs="宋体"/>
          <w:color w:val="auto"/>
          <w:szCs w:val="21"/>
          <w:u w:val="single"/>
        </w:rPr>
        <w:t>23：59</w:t>
      </w:r>
      <w:r>
        <w:rPr>
          <w:rFonts w:hint="eastAsia" w:ascii="宋体" w:hAnsi="宋体" w:cs="宋体"/>
          <w:color w:val="auto"/>
          <w:szCs w:val="21"/>
        </w:rPr>
        <w:t>（北京时间，线上获取法定节假日均可，线下获取文件法定节假日除外）</w:t>
      </w:r>
    </w:p>
    <w:p>
      <w:pPr>
        <w:snapToGrid w:val="0"/>
        <w:spacing w:line="360" w:lineRule="auto"/>
        <w:ind w:firstLine="411" w:firstLineChars="196"/>
        <w:rPr>
          <w:rFonts w:ascii="宋体" w:hAnsi="宋体" w:cs="宋体"/>
          <w:color w:val="auto"/>
          <w:szCs w:val="21"/>
          <w:u w:val="single"/>
        </w:rPr>
      </w:pPr>
      <w:r>
        <w:rPr>
          <w:rFonts w:hint="eastAsia" w:ascii="宋体" w:hAnsi="宋体" w:cs="宋体"/>
          <w:color w:val="auto"/>
          <w:szCs w:val="21"/>
        </w:rPr>
        <w:t>地点（网址）：</w:t>
      </w:r>
      <w:r>
        <w:rPr>
          <w:rFonts w:hint="eastAsia" w:ascii="宋体" w:hAnsi="宋体"/>
          <w:color w:val="auto"/>
          <w:szCs w:val="21"/>
          <w:u w:val="single"/>
        </w:rPr>
        <w:t>政采云平台（</w:t>
      </w:r>
      <w:r>
        <w:rPr>
          <w:rFonts w:ascii="宋体" w:hAnsi="宋体"/>
          <w:color w:val="auto"/>
          <w:szCs w:val="21"/>
          <w:u w:val="single"/>
        </w:rPr>
        <w:t>https：//www.zcygov.cn）</w:t>
      </w:r>
    </w:p>
    <w:p>
      <w:pPr>
        <w:snapToGrid w:val="0"/>
        <w:spacing w:line="360" w:lineRule="auto"/>
        <w:ind w:firstLine="411" w:firstLineChars="196"/>
        <w:rPr>
          <w:rFonts w:ascii="宋体" w:hAnsi="宋体" w:cs="Arial"/>
          <w:color w:val="auto"/>
          <w:szCs w:val="21"/>
        </w:rPr>
      </w:pPr>
      <w:r>
        <w:rPr>
          <w:rFonts w:hint="eastAsia" w:ascii="宋体" w:hAnsi="宋体" w:cs="Arial"/>
          <w:color w:val="auto"/>
          <w:szCs w:val="21"/>
        </w:rPr>
        <w:t>方式：供应商登录政采云平台（</w:t>
      </w:r>
      <w:r>
        <w:rPr>
          <w:rFonts w:ascii="宋体" w:hAnsi="宋体" w:cs="Arial"/>
          <w:color w:val="auto"/>
          <w:szCs w:val="21"/>
        </w:rPr>
        <w:t>https://www.zcygov.cn/）在线申请获取采购文件（进入“项目采购”应用，在获取采购文件菜单中选择项目，申请获取采购文件）</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售价（元）：</w:t>
      </w:r>
      <w:r>
        <w:rPr>
          <w:rFonts w:ascii="宋体" w:hAnsi="宋体" w:cs="宋体"/>
          <w:color w:val="auto"/>
          <w:szCs w:val="21"/>
        </w:rPr>
        <w:t>0</w:t>
      </w:r>
    </w:p>
    <w:p>
      <w:pPr>
        <w:snapToGrid w:val="0"/>
        <w:spacing w:line="360" w:lineRule="auto"/>
        <w:rPr>
          <w:rFonts w:ascii="宋体" w:hAnsi="宋体" w:cs="Arial"/>
          <w:b/>
          <w:color w:val="auto"/>
          <w:szCs w:val="21"/>
        </w:rPr>
      </w:pPr>
      <w:r>
        <w:rPr>
          <w:rFonts w:hint="eastAsia" w:ascii="宋体" w:hAnsi="宋体" w:cs="Arial"/>
          <w:b/>
          <w:color w:val="auto"/>
          <w:szCs w:val="21"/>
        </w:rPr>
        <w:t>四、提交投标文件</w:t>
      </w:r>
      <w:bookmarkEnd w:id="15"/>
      <w:bookmarkEnd w:id="16"/>
      <w:r>
        <w:rPr>
          <w:rFonts w:hint="eastAsia" w:ascii="宋体" w:hAnsi="宋体" w:cs="Arial"/>
          <w:b/>
          <w:color w:val="auto"/>
          <w:szCs w:val="21"/>
        </w:rPr>
        <w:t>截止时间、开标时间和地点</w:t>
      </w:r>
      <w:bookmarkEnd w:id="17"/>
      <w:bookmarkEnd w:id="18"/>
    </w:p>
    <w:p>
      <w:pPr>
        <w:spacing w:line="360" w:lineRule="auto"/>
        <w:ind w:firstLine="420" w:firstLineChars="200"/>
        <w:rPr>
          <w:rFonts w:ascii="宋体" w:hAnsi="宋体"/>
          <w:bCs/>
          <w:color w:val="auto"/>
          <w:szCs w:val="21"/>
        </w:rPr>
      </w:pPr>
      <w:bookmarkStart w:id="19" w:name="_Toc35393625"/>
      <w:bookmarkStart w:id="20" w:name="_Toc28359007"/>
      <w:bookmarkStart w:id="21" w:name="_Toc28359084"/>
      <w:bookmarkStart w:id="22" w:name="_Toc35393794"/>
      <w:r>
        <w:rPr>
          <w:rFonts w:hint="eastAsia" w:ascii="宋体" w:hAnsi="宋体" w:cs="Arial"/>
          <w:color w:val="auto"/>
          <w:szCs w:val="21"/>
        </w:rPr>
        <w:t>提交投标文件截止时间：</w:t>
      </w:r>
      <w:r>
        <w:rPr>
          <w:rFonts w:ascii="宋体" w:hAnsi="宋体" w:cs="宋体"/>
          <w:color w:val="auto"/>
          <w:szCs w:val="21"/>
        </w:rPr>
        <w:t>2024年</w:t>
      </w:r>
      <w:r>
        <w:rPr>
          <w:rFonts w:hint="eastAsia" w:ascii="宋体" w:hAnsi="宋体"/>
          <w:bCs/>
          <w:color w:val="auto"/>
          <w:szCs w:val="21"/>
          <w:lang w:val="en-US" w:eastAsia="zh-CN"/>
        </w:rPr>
        <w:t>3</w:t>
      </w:r>
      <w:r>
        <w:rPr>
          <w:rFonts w:hint="eastAsia" w:ascii="宋体" w:hAnsi="宋体"/>
          <w:bCs/>
          <w:color w:val="auto"/>
          <w:szCs w:val="21"/>
        </w:rPr>
        <w:t>月</w:t>
      </w:r>
      <w:r>
        <w:rPr>
          <w:rFonts w:hint="eastAsia" w:ascii="宋体" w:hAnsi="宋体"/>
          <w:bCs/>
          <w:color w:val="auto"/>
          <w:szCs w:val="21"/>
          <w:lang w:val="en-US" w:eastAsia="zh-CN"/>
        </w:rPr>
        <w:t>27</w:t>
      </w:r>
      <w:r>
        <w:rPr>
          <w:rFonts w:hint="eastAsia" w:ascii="宋体" w:hAnsi="宋体"/>
          <w:bCs/>
          <w:color w:val="auto"/>
          <w:szCs w:val="21"/>
        </w:rPr>
        <w:t>日</w:t>
      </w:r>
      <w:r>
        <w:rPr>
          <w:rFonts w:hint="eastAsia" w:ascii="宋体" w:hAnsi="宋体"/>
          <w:bCs/>
          <w:color w:val="auto"/>
          <w:szCs w:val="21"/>
          <w:lang w:val="en-US" w:eastAsia="zh-CN"/>
        </w:rPr>
        <w:t>09</w:t>
      </w:r>
      <w:r>
        <w:rPr>
          <w:rFonts w:ascii="宋体" w:hAnsi="宋体"/>
          <w:bCs/>
          <w:color w:val="auto"/>
          <w:szCs w:val="21"/>
        </w:rPr>
        <w:t>:</w:t>
      </w:r>
      <w:r>
        <w:rPr>
          <w:rFonts w:hint="eastAsia" w:ascii="宋体" w:hAnsi="宋体"/>
          <w:bCs/>
          <w:color w:val="auto"/>
          <w:szCs w:val="21"/>
          <w:lang w:val="en-US" w:eastAsia="zh-CN"/>
        </w:rPr>
        <w:t>30</w:t>
      </w:r>
      <w:r>
        <w:rPr>
          <w:rFonts w:hint="eastAsia" w:ascii="宋体" w:hAnsi="宋体"/>
          <w:bCs/>
          <w:color w:val="auto"/>
          <w:szCs w:val="21"/>
        </w:rPr>
        <w:t>（北京时间）</w:t>
      </w:r>
    </w:p>
    <w:p>
      <w:pPr>
        <w:spacing w:line="360" w:lineRule="auto"/>
        <w:ind w:firstLine="420" w:firstLineChars="200"/>
        <w:rPr>
          <w:rFonts w:ascii="宋体" w:hAnsi="宋体"/>
          <w:bCs/>
          <w:color w:val="auto"/>
          <w:szCs w:val="21"/>
        </w:rPr>
      </w:pPr>
      <w:r>
        <w:rPr>
          <w:rFonts w:hint="eastAsia" w:ascii="宋体" w:hAnsi="宋体" w:cs="Arial"/>
          <w:color w:val="auto"/>
          <w:szCs w:val="21"/>
        </w:rPr>
        <w:t>投标地点（网址）</w:t>
      </w:r>
      <w:r>
        <w:rPr>
          <w:rFonts w:hint="eastAsia" w:ascii="宋体" w:hAnsi="宋体"/>
          <w:bCs/>
          <w:color w:val="auto"/>
          <w:szCs w:val="21"/>
        </w:rPr>
        <w:t>：</w:t>
      </w:r>
      <w:r>
        <w:rPr>
          <w:rFonts w:hint="eastAsia" w:ascii="宋体" w:hAnsi="宋体"/>
          <w:color w:val="auto"/>
          <w:szCs w:val="21"/>
          <w:u w:val="single"/>
        </w:rPr>
        <w:t>政采云平台（</w:t>
      </w:r>
      <w:r>
        <w:rPr>
          <w:rFonts w:ascii="宋体" w:hAnsi="宋体"/>
          <w:color w:val="auto"/>
          <w:szCs w:val="21"/>
          <w:u w:val="single"/>
        </w:rPr>
        <w:t>https://www.zcygov.cn）</w:t>
      </w:r>
    </w:p>
    <w:p>
      <w:pPr>
        <w:spacing w:line="360" w:lineRule="auto"/>
        <w:ind w:firstLine="420" w:firstLineChars="200"/>
        <w:rPr>
          <w:rFonts w:ascii="宋体" w:hAnsi="宋体"/>
          <w:bCs/>
          <w:color w:val="auto"/>
          <w:szCs w:val="21"/>
        </w:rPr>
      </w:pPr>
      <w:r>
        <w:rPr>
          <w:rFonts w:hint="eastAsia" w:ascii="宋体" w:hAnsi="宋体"/>
          <w:bCs/>
          <w:color w:val="auto"/>
          <w:szCs w:val="21"/>
        </w:rPr>
        <w:t>开标时间：</w:t>
      </w:r>
      <w:r>
        <w:rPr>
          <w:rFonts w:ascii="宋体" w:hAnsi="宋体" w:cs="宋体"/>
          <w:color w:val="auto"/>
          <w:szCs w:val="21"/>
        </w:rPr>
        <w:t>2024年</w:t>
      </w:r>
      <w:r>
        <w:rPr>
          <w:rFonts w:hint="eastAsia" w:ascii="宋体" w:hAnsi="宋体"/>
          <w:bCs/>
          <w:color w:val="auto"/>
          <w:szCs w:val="21"/>
          <w:lang w:val="en-US" w:eastAsia="zh-CN"/>
        </w:rPr>
        <w:t>3</w:t>
      </w:r>
      <w:r>
        <w:rPr>
          <w:rFonts w:hint="eastAsia" w:ascii="宋体" w:hAnsi="宋体"/>
          <w:bCs/>
          <w:color w:val="auto"/>
          <w:szCs w:val="21"/>
        </w:rPr>
        <w:t>月</w:t>
      </w:r>
      <w:r>
        <w:rPr>
          <w:rFonts w:hint="eastAsia" w:ascii="宋体" w:hAnsi="宋体"/>
          <w:bCs/>
          <w:color w:val="auto"/>
          <w:szCs w:val="21"/>
          <w:lang w:val="en-US" w:eastAsia="zh-CN"/>
        </w:rPr>
        <w:t>27</w:t>
      </w:r>
      <w:r>
        <w:rPr>
          <w:rFonts w:hint="eastAsia" w:ascii="宋体" w:hAnsi="宋体"/>
          <w:bCs/>
          <w:color w:val="auto"/>
          <w:szCs w:val="21"/>
        </w:rPr>
        <w:t>日</w:t>
      </w:r>
      <w:r>
        <w:rPr>
          <w:rFonts w:hint="eastAsia" w:ascii="宋体" w:hAnsi="宋体"/>
          <w:bCs/>
          <w:color w:val="auto"/>
          <w:szCs w:val="21"/>
          <w:lang w:val="en-US" w:eastAsia="zh-CN"/>
        </w:rPr>
        <w:t>09</w:t>
      </w:r>
      <w:r>
        <w:rPr>
          <w:rFonts w:ascii="宋体" w:hAnsi="宋体"/>
          <w:bCs/>
          <w:color w:val="auto"/>
          <w:szCs w:val="21"/>
        </w:rPr>
        <w:t>:</w:t>
      </w:r>
      <w:r>
        <w:rPr>
          <w:rFonts w:hint="eastAsia" w:ascii="宋体" w:hAnsi="宋体"/>
          <w:bCs/>
          <w:color w:val="auto"/>
          <w:szCs w:val="21"/>
          <w:lang w:val="en-US" w:eastAsia="zh-CN"/>
        </w:rPr>
        <w:t>30</w:t>
      </w:r>
      <w:r>
        <w:rPr>
          <w:rFonts w:hint="eastAsia" w:ascii="宋体" w:hAnsi="宋体"/>
          <w:bCs/>
          <w:color w:val="auto"/>
          <w:szCs w:val="21"/>
        </w:rPr>
        <w:t>（北京时间）</w:t>
      </w:r>
    </w:p>
    <w:p>
      <w:pPr>
        <w:spacing w:line="360" w:lineRule="auto"/>
        <w:ind w:firstLine="420" w:firstLineChars="200"/>
        <w:rPr>
          <w:rFonts w:ascii="宋体" w:hAnsi="宋体"/>
          <w:bCs/>
          <w:color w:val="auto"/>
          <w:szCs w:val="21"/>
        </w:rPr>
      </w:pPr>
      <w:r>
        <w:rPr>
          <w:rFonts w:hint="eastAsia" w:ascii="宋体" w:hAnsi="宋体"/>
          <w:bCs/>
          <w:color w:val="auto"/>
          <w:szCs w:val="21"/>
        </w:rPr>
        <w:t>开标地点（网址）：</w:t>
      </w:r>
      <w:r>
        <w:rPr>
          <w:rFonts w:hint="eastAsia" w:ascii="宋体" w:hAnsi="宋体"/>
          <w:bCs/>
          <w:color w:val="auto"/>
          <w:szCs w:val="21"/>
          <w:u w:val="single"/>
        </w:rPr>
        <w:t>政采云平台（</w:t>
      </w:r>
      <w:r>
        <w:rPr>
          <w:rFonts w:ascii="宋体" w:hAnsi="宋体"/>
          <w:bCs/>
          <w:color w:val="auto"/>
          <w:szCs w:val="21"/>
          <w:u w:val="single"/>
        </w:rPr>
        <w:t>https://www.zcygov.cn）</w:t>
      </w:r>
      <w:r>
        <w:rPr>
          <w:rFonts w:hint="eastAsia" w:ascii="宋体" w:hAnsi="宋体"/>
          <w:bCs/>
          <w:color w:val="auto"/>
          <w:szCs w:val="21"/>
          <w:u w:val="single"/>
        </w:rPr>
        <w:t xml:space="preserve"> </w:t>
      </w:r>
    </w:p>
    <w:p>
      <w:pPr>
        <w:snapToGrid w:val="0"/>
        <w:spacing w:line="360" w:lineRule="auto"/>
        <w:rPr>
          <w:rFonts w:ascii="宋体" w:hAnsi="宋体" w:cs="Arial"/>
          <w:b/>
          <w:color w:val="auto"/>
          <w:szCs w:val="21"/>
        </w:rPr>
      </w:pPr>
      <w:r>
        <w:rPr>
          <w:rFonts w:hint="eastAsia" w:ascii="宋体" w:hAnsi="宋体" w:cs="Arial"/>
          <w:b/>
          <w:color w:val="auto"/>
          <w:szCs w:val="21"/>
        </w:rPr>
        <w:t>五、公告期限</w:t>
      </w:r>
      <w:bookmarkEnd w:id="19"/>
      <w:bookmarkEnd w:id="20"/>
      <w:bookmarkEnd w:id="21"/>
      <w:bookmarkEnd w:id="22"/>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bookmarkEnd w:id="1"/>
    <w:p>
      <w:pPr>
        <w:snapToGrid w:val="0"/>
        <w:spacing w:line="360" w:lineRule="auto"/>
        <w:rPr>
          <w:rFonts w:ascii="宋体" w:hAnsi="宋体" w:cs="Arial"/>
          <w:b/>
          <w:color w:val="auto"/>
          <w:szCs w:val="21"/>
        </w:rPr>
      </w:pPr>
      <w:bookmarkStart w:id="23" w:name="_Toc35393626"/>
      <w:bookmarkStart w:id="24" w:name="_Toc35393795"/>
      <w:r>
        <w:rPr>
          <w:rFonts w:hint="eastAsia" w:ascii="宋体" w:hAnsi="宋体" w:cs="Arial"/>
          <w:b/>
          <w:color w:val="auto"/>
          <w:szCs w:val="21"/>
        </w:rPr>
        <w:t>六、其他补充事宜</w:t>
      </w:r>
      <w:bookmarkEnd w:id="23"/>
      <w:bookmarkEnd w:id="24"/>
    </w:p>
    <w:p>
      <w:pPr>
        <w:snapToGrid w:val="0"/>
        <w:spacing w:line="360" w:lineRule="auto"/>
        <w:ind w:firstLine="411" w:firstLineChars="196"/>
        <w:rPr>
          <w:rFonts w:ascii="宋体" w:hAnsi="宋体" w:cs="Arial"/>
          <w:color w:val="auto"/>
          <w:szCs w:val="21"/>
        </w:rPr>
      </w:pPr>
      <w:r>
        <w:rPr>
          <w:rFonts w:hint="eastAsia" w:ascii="宋体" w:hAnsi="宋体" w:cs="Arial"/>
          <w:color w:val="auto"/>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ind w:firstLine="411" w:firstLineChars="196"/>
        <w:rPr>
          <w:rFonts w:ascii="宋体" w:hAnsi="宋体" w:cs="Arial"/>
          <w:color w:val="auto"/>
          <w:szCs w:val="21"/>
        </w:rPr>
      </w:pPr>
      <w:r>
        <w:rPr>
          <w:rFonts w:ascii="宋体" w:hAnsi="宋体" w:cs="Arial"/>
          <w:color w:val="auto"/>
          <w:szCs w:val="21"/>
        </w:rPr>
        <w:t>2.其他事项：</w:t>
      </w:r>
    </w:p>
    <w:p>
      <w:pPr>
        <w:snapToGrid w:val="0"/>
        <w:spacing w:line="360" w:lineRule="auto"/>
        <w:ind w:firstLine="411" w:firstLineChars="196"/>
        <w:rPr>
          <w:rFonts w:ascii="宋体" w:hAnsi="宋体" w:cs="Arial"/>
          <w:color w:val="auto"/>
          <w:szCs w:val="21"/>
        </w:rPr>
      </w:pPr>
      <w:r>
        <w:rPr>
          <w:rFonts w:hint="eastAsia" w:ascii="宋体" w:hAnsi="宋体" w:cs="Arial"/>
          <w:color w:val="auto"/>
          <w:szCs w:val="21"/>
        </w:rPr>
        <w:t>（1）为依法获取本项目招标文件及投标响应，潜在投标人应当按照《浙江省政府采购供应商注册及诚信管理暂行办法》的规定在“浙江政府采购网(</w:t>
      </w:r>
      <w:r>
        <w:rPr>
          <w:rFonts w:ascii="宋体" w:hAnsi="宋体" w:cs="Arial"/>
          <w:color w:val="auto"/>
          <w:szCs w:val="21"/>
        </w:rPr>
        <w:t>http：//zfcg.czt.zj.gov.cn/</w:t>
      </w:r>
      <w:r>
        <w:rPr>
          <w:rFonts w:hint="eastAsia" w:ascii="宋体" w:hAnsi="宋体" w:cs="Arial"/>
          <w:color w:val="auto"/>
          <w:szCs w:val="21"/>
        </w:rPr>
        <w:t>)”政采云平台注册登记。中标人必须在采购人支付合同款项前成为注册供应商。</w:t>
      </w:r>
    </w:p>
    <w:p>
      <w:pPr>
        <w:snapToGrid w:val="0"/>
        <w:spacing w:line="360" w:lineRule="auto"/>
        <w:ind w:firstLine="411" w:firstLineChars="196"/>
        <w:rPr>
          <w:rFonts w:ascii="宋体" w:hAnsi="宋体" w:cs="Arial"/>
          <w:color w:val="auto"/>
          <w:szCs w:val="21"/>
        </w:rPr>
      </w:pPr>
      <w:r>
        <w:rPr>
          <w:rFonts w:hint="eastAsia" w:ascii="宋体" w:hAnsi="宋体" w:cs="Arial"/>
          <w:color w:val="auto"/>
          <w:szCs w:val="21"/>
        </w:rPr>
        <w:t>（2）本项目依据《浙江省政府采购项目电子交易管理暂行办法》采用电子交易方式实施采购，电子交易平台为政采云平台(</w:t>
      </w:r>
      <w:r>
        <w:rPr>
          <w:rFonts w:hint="eastAsia" w:ascii="宋体" w:hAnsi="宋体"/>
          <w:color w:val="auto"/>
          <w:szCs w:val="21"/>
          <w:u w:val="single"/>
        </w:rPr>
        <w:t>https：//www.zcygov.cn</w:t>
      </w:r>
      <w:r>
        <w:rPr>
          <w:rFonts w:hint="eastAsia" w:ascii="宋体" w:hAnsi="宋体" w:cs="Arial"/>
          <w:color w:val="auto"/>
          <w:szCs w:val="21"/>
        </w:rPr>
        <w:t>）。潜在投标人在参与本项目投标前应当完成政采云平台的账号注册、身份认证（CA数字证书申领）、“政采云电子交易客户端”下载安装。</w:t>
      </w:r>
    </w:p>
    <w:p>
      <w:pPr>
        <w:snapToGrid w:val="0"/>
        <w:spacing w:line="360" w:lineRule="auto"/>
        <w:ind w:firstLine="411" w:firstLineChars="196"/>
        <w:rPr>
          <w:rFonts w:ascii="宋体" w:hAnsi="宋体" w:cs="Arial"/>
          <w:color w:val="auto"/>
          <w:szCs w:val="21"/>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）投标人</w:t>
      </w:r>
      <w:r>
        <w:rPr>
          <w:rFonts w:ascii="宋体" w:hAnsi="宋体" w:cs="宋体"/>
          <w:color w:val="auto"/>
          <w:szCs w:val="21"/>
        </w:rPr>
        <w:t>如提供备份投标文件的，应于提交投标文件截止时间前，将以U盘存储的电子备份投标文件</w:t>
      </w:r>
      <w:r>
        <w:rPr>
          <w:rFonts w:hint="eastAsia" w:ascii="宋体" w:hAnsi="宋体" w:cs="宋体"/>
          <w:color w:val="auto"/>
          <w:szCs w:val="21"/>
        </w:rPr>
        <w:t>按照招标文件的规定密封、标注并盖章后</w:t>
      </w:r>
      <w:r>
        <w:rPr>
          <w:rFonts w:ascii="宋体" w:hAnsi="宋体" w:cs="宋体"/>
          <w:color w:val="auto"/>
          <w:szCs w:val="21"/>
        </w:rPr>
        <w:t>，递交至</w:t>
      </w:r>
      <w:r>
        <w:rPr>
          <w:rFonts w:hint="eastAsia" w:ascii="宋体" w:hAnsi="宋体" w:cs="Arial"/>
          <w:b/>
          <w:color w:val="auto"/>
          <w:szCs w:val="21"/>
        </w:rPr>
        <w:t>宁波市海曙区江汇城496号姚江时代14幢3楼</w:t>
      </w:r>
      <w:r>
        <w:rPr>
          <w:rFonts w:ascii="宋体" w:hAnsi="宋体" w:cs="宋体"/>
          <w:color w:val="auto"/>
          <w:szCs w:val="21"/>
        </w:rPr>
        <w:t>，逾期送达或未</w:t>
      </w:r>
      <w:r>
        <w:rPr>
          <w:rFonts w:hint="eastAsia" w:ascii="宋体" w:hAnsi="宋体" w:cs="宋体"/>
          <w:color w:val="auto"/>
          <w:szCs w:val="21"/>
        </w:rPr>
        <w:t>按照规定</w:t>
      </w:r>
      <w:r>
        <w:rPr>
          <w:rFonts w:ascii="宋体" w:hAnsi="宋体" w:cs="宋体"/>
          <w:color w:val="auto"/>
          <w:szCs w:val="21"/>
        </w:rPr>
        <w:t>密封</w:t>
      </w:r>
      <w:r>
        <w:rPr>
          <w:rFonts w:hint="eastAsia" w:ascii="宋体" w:hAnsi="宋体" w:cs="宋体"/>
          <w:color w:val="auto"/>
          <w:szCs w:val="21"/>
        </w:rPr>
        <w:t>包装的招标代理机构有权拒绝接收</w:t>
      </w:r>
      <w:r>
        <w:rPr>
          <w:rFonts w:ascii="宋体" w:hAnsi="宋体" w:cs="宋体"/>
          <w:color w:val="auto"/>
          <w:szCs w:val="21"/>
        </w:rPr>
        <w:t>。</w:t>
      </w:r>
    </w:p>
    <w:p>
      <w:pPr>
        <w:snapToGrid w:val="0"/>
        <w:spacing w:line="360" w:lineRule="auto"/>
        <w:ind w:firstLine="411" w:firstLineChars="196"/>
        <w:rPr>
          <w:rFonts w:ascii="宋体" w:hAnsi="宋体" w:cs="Arial"/>
          <w:color w:val="auto"/>
          <w:szCs w:val="21"/>
        </w:rPr>
      </w:pPr>
      <w:r>
        <w:rPr>
          <w:rFonts w:hint="eastAsia" w:ascii="宋体" w:hAnsi="宋体" w:cs="Arial"/>
          <w:color w:val="auto"/>
          <w:szCs w:val="21"/>
        </w:rPr>
        <w:t>（4）落实政府采购政策：本项目专门面向中小企业采购。</w:t>
      </w:r>
    </w:p>
    <w:p>
      <w:pPr>
        <w:snapToGrid w:val="0"/>
        <w:spacing w:line="360" w:lineRule="auto"/>
        <w:rPr>
          <w:rFonts w:ascii="宋体" w:hAnsi="宋体" w:cs="Arial"/>
          <w:b/>
          <w:color w:val="auto"/>
          <w:szCs w:val="21"/>
        </w:rPr>
      </w:pPr>
      <w:bookmarkStart w:id="25" w:name="_Toc35393627"/>
      <w:bookmarkStart w:id="26" w:name="_Toc35393796"/>
      <w:bookmarkStart w:id="27" w:name="_Toc28359008"/>
      <w:bookmarkStart w:id="28" w:name="_Toc28359085"/>
      <w:r>
        <w:rPr>
          <w:rFonts w:hint="eastAsia" w:ascii="宋体" w:hAnsi="宋体" w:cs="Arial"/>
          <w:b/>
          <w:color w:val="auto"/>
          <w:szCs w:val="21"/>
        </w:rPr>
        <w:t>七、对本次招标提出询问，请按</w:t>
      </w:r>
      <w:r>
        <w:rPr>
          <w:rFonts w:ascii="宋体" w:hAnsi="宋体" w:cs="Arial"/>
          <w:b/>
          <w:color w:val="auto"/>
          <w:szCs w:val="21"/>
        </w:rPr>
        <w:t>以下方式</w:t>
      </w:r>
      <w:r>
        <w:rPr>
          <w:rFonts w:hint="eastAsia" w:ascii="宋体" w:hAnsi="宋体" w:cs="Arial"/>
          <w:b/>
          <w:color w:val="auto"/>
          <w:szCs w:val="21"/>
        </w:rPr>
        <w:t>联系。</w:t>
      </w:r>
      <w:bookmarkEnd w:id="25"/>
      <w:bookmarkEnd w:id="26"/>
      <w:bookmarkEnd w:id="27"/>
      <w:bookmarkEnd w:id="28"/>
    </w:p>
    <w:p>
      <w:pPr>
        <w:snapToGrid w:val="0"/>
        <w:spacing w:line="360" w:lineRule="auto"/>
        <w:ind w:firstLine="411" w:firstLineChars="196"/>
        <w:rPr>
          <w:rFonts w:ascii="宋体" w:hAnsi="宋体"/>
          <w:color w:val="auto"/>
          <w:szCs w:val="21"/>
        </w:rPr>
      </w:pPr>
      <w:r>
        <w:rPr>
          <w:rFonts w:hint="eastAsia" w:ascii="宋体" w:hAnsi="宋体" w:cs="宋体"/>
          <w:color w:val="auto"/>
          <w:szCs w:val="21"/>
        </w:rPr>
        <w:t>1.采购人信息</w:t>
      </w:r>
    </w:p>
    <w:p>
      <w:pPr>
        <w:snapToGrid w:val="0"/>
        <w:spacing w:line="360" w:lineRule="auto"/>
        <w:ind w:firstLine="411" w:firstLineChars="196"/>
        <w:rPr>
          <w:rFonts w:ascii="宋体" w:hAnsi="宋体"/>
          <w:color w:val="auto"/>
          <w:szCs w:val="21"/>
        </w:rPr>
      </w:pPr>
      <w:r>
        <w:rPr>
          <w:rFonts w:hint="eastAsia" w:ascii="宋体" w:hAnsi="宋体"/>
          <w:color w:val="auto"/>
          <w:szCs w:val="21"/>
        </w:rPr>
        <w:t>名称：宁波市财政局</w:t>
      </w:r>
    </w:p>
    <w:p>
      <w:pPr>
        <w:snapToGrid w:val="0"/>
        <w:spacing w:line="360" w:lineRule="auto"/>
        <w:ind w:firstLine="411" w:firstLineChars="196"/>
        <w:rPr>
          <w:rFonts w:ascii="宋体" w:hAnsi="宋体"/>
          <w:color w:val="auto"/>
          <w:szCs w:val="21"/>
        </w:rPr>
      </w:pPr>
      <w:r>
        <w:rPr>
          <w:rFonts w:hint="eastAsia" w:ascii="宋体" w:hAnsi="宋体"/>
          <w:color w:val="auto"/>
          <w:szCs w:val="21"/>
        </w:rPr>
        <w:t>地址：</w:t>
      </w:r>
      <w:r>
        <w:rPr>
          <w:rFonts w:ascii="宋体" w:hAnsi="宋体"/>
          <w:color w:val="auto"/>
          <w:szCs w:val="21"/>
        </w:rPr>
        <w:t>宁波市海曙区中山西路19号</w:t>
      </w:r>
    </w:p>
    <w:p>
      <w:pPr>
        <w:tabs>
          <w:tab w:val="left" w:pos="2940"/>
        </w:tabs>
        <w:snapToGrid w:val="0"/>
        <w:spacing w:line="360" w:lineRule="auto"/>
        <w:ind w:firstLine="411" w:firstLineChars="196"/>
        <w:rPr>
          <w:rFonts w:ascii="宋体" w:hAnsi="宋体"/>
          <w:color w:val="auto"/>
          <w:szCs w:val="21"/>
        </w:rPr>
      </w:pPr>
      <w:r>
        <w:rPr>
          <w:rFonts w:hint="eastAsia" w:ascii="宋体" w:hAnsi="宋体"/>
          <w:color w:val="auto"/>
          <w:szCs w:val="21"/>
        </w:rPr>
        <w:t>传真：/</w:t>
      </w:r>
    </w:p>
    <w:p>
      <w:pPr>
        <w:snapToGrid w:val="0"/>
        <w:spacing w:line="360" w:lineRule="auto"/>
        <w:ind w:firstLine="411" w:firstLineChars="196"/>
        <w:rPr>
          <w:rFonts w:ascii="宋体" w:hAnsi="宋体"/>
          <w:color w:val="auto"/>
          <w:szCs w:val="21"/>
        </w:rPr>
      </w:pPr>
      <w:bookmarkStart w:id="29" w:name="_Toc28359009"/>
      <w:bookmarkStart w:id="30" w:name="_Toc28359086"/>
      <w:r>
        <w:rPr>
          <w:rFonts w:hint="eastAsia" w:ascii="宋体" w:hAnsi="宋体"/>
          <w:color w:val="auto"/>
          <w:szCs w:val="21"/>
        </w:rPr>
        <w:t>项目联系人（询问）：周老师</w:t>
      </w:r>
    </w:p>
    <w:p>
      <w:pPr>
        <w:snapToGrid w:val="0"/>
        <w:spacing w:line="360" w:lineRule="auto"/>
        <w:ind w:firstLine="411" w:firstLineChars="196"/>
        <w:rPr>
          <w:rFonts w:ascii="宋体" w:hAnsi="宋体"/>
          <w:color w:val="auto"/>
          <w:szCs w:val="21"/>
        </w:rPr>
      </w:pPr>
      <w:r>
        <w:rPr>
          <w:rFonts w:hint="eastAsia" w:ascii="宋体" w:hAnsi="宋体"/>
          <w:color w:val="auto"/>
          <w:szCs w:val="21"/>
        </w:rPr>
        <w:t>项目联系方式（询问）：0</w:t>
      </w:r>
      <w:r>
        <w:rPr>
          <w:rFonts w:ascii="宋体" w:hAnsi="宋体"/>
          <w:color w:val="auto"/>
          <w:szCs w:val="21"/>
        </w:rPr>
        <w:t>574-</w:t>
      </w:r>
      <w:r>
        <w:rPr>
          <w:rFonts w:hint="eastAsia" w:ascii="宋体" w:hAnsi="宋体"/>
          <w:color w:val="auto"/>
          <w:szCs w:val="21"/>
        </w:rPr>
        <w:t>8</w:t>
      </w:r>
      <w:r>
        <w:rPr>
          <w:rFonts w:ascii="宋体" w:hAnsi="宋体"/>
          <w:color w:val="auto"/>
          <w:szCs w:val="21"/>
        </w:rPr>
        <w:t>9388411</w:t>
      </w:r>
    </w:p>
    <w:p>
      <w:pPr>
        <w:snapToGrid w:val="0"/>
        <w:spacing w:line="360" w:lineRule="auto"/>
        <w:ind w:firstLine="411" w:firstLineChars="196"/>
        <w:rPr>
          <w:rFonts w:ascii="宋体" w:hAnsi="宋体"/>
          <w:color w:val="auto"/>
          <w:szCs w:val="21"/>
        </w:rPr>
      </w:pPr>
      <w:r>
        <w:rPr>
          <w:rFonts w:hint="eastAsia" w:ascii="宋体" w:hAnsi="宋体"/>
          <w:color w:val="auto"/>
          <w:szCs w:val="21"/>
        </w:rPr>
        <w:t>质疑联系人：李老师</w:t>
      </w:r>
    </w:p>
    <w:p>
      <w:pPr>
        <w:snapToGrid w:val="0"/>
        <w:spacing w:line="360" w:lineRule="auto"/>
        <w:ind w:firstLine="411" w:firstLineChars="196"/>
        <w:rPr>
          <w:rFonts w:ascii="宋体" w:hAnsi="宋体"/>
          <w:color w:val="auto"/>
          <w:szCs w:val="21"/>
        </w:rPr>
      </w:pPr>
      <w:r>
        <w:rPr>
          <w:rFonts w:hint="eastAsia" w:ascii="宋体" w:hAnsi="宋体"/>
          <w:color w:val="auto"/>
          <w:szCs w:val="21"/>
        </w:rPr>
        <w:t>质疑联系方式：0</w:t>
      </w:r>
      <w:r>
        <w:rPr>
          <w:rFonts w:ascii="宋体" w:hAnsi="宋体"/>
          <w:color w:val="auto"/>
          <w:szCs w:val="21"/>
        </w:rPr>
        <w:t>574-89388235</w:t>
      </w:r>
    </w:p>
    <w:p>
      <w:pPr>
        <w:snapToGrid w:val="0"/>
        <w:spacing w:line="360" w:lineRule="auto"/>
        <w:ind w:firstLine="411" w:firstLineChars="196"/>
        <w:rPr>
          <w:rFonts w:ascii="宋体" w:hAnsi="宋体"/>
          <w:color w:val="auto"/>
          <w:szCs w:val="21"/>
        </w:rPr>
      </w:pPr>
      <w:r>
        <w:rPr>
          <w:rFonts w:hint="eastAsia" w:ascii="宋体" w:hAnsi="宋体" w:cs="宋体"/>
          <w:color w:val="auto"/>
          <w:szCs w:val="21"/>
        </w:rPr>
        <w:t>2.采购代理机构信息</w:t>
      </w:r>
      <w:bookmarkEnd w:id="29"/>
      <w:bookmarkEnd w:id="30"/>
    </w:p>
    <w:p>
      <w:pPr>
        <w:snapToGrid w:val="0"/>
        <w:spacing w:line="360" w:lineRule="auto"/>
        <w:ind w:firstLine="411" w:firstLineChars="196"/>
        <w:rPr>
          <w:rFonts w:ascii="宋体" w:hAnsi="宋体"/>
          <w:color w:val="auto"/>
          <w:szCs w:val="21"/>
        </w:rPr>
      </w:pPr>
      <w:bookmarkStart w:id="31" w:name="_Toc28359010"/>
      <w:bookmarkStart w:id="32" w:name="_Toc28359087"/>
      <w:r>
        <w:rPr>
          <w:rFonts w:hint="eastAsia" w:ascii="宋体" w:hAnsi="宋体"/>
          <w:color w:val="auto"/>
          <w:szCs w:val="21"/>
        </w:rPr>
        <w:t>名称：宁波名诚招标代理有限公司</w:t>
      </w:r>
    </w:p>
    <w:p>
      <w:pPr>
        <w:snapToGrid w:val="0"/>
        <w:spacing w:line="360" w:lineRule="auto"/>
        <w:ind w:firstLine="411" w:firstLineChars="196"/>
        <w:rPr>
          <w:rFonts w:ascii="宋体" w:hAnsi="宋体"/>
          <w:color w:val="auto"/>
          <w:szCs w:val="21"/>
        </w:rPr>
      </w:pPr>
      <w:r>
        <w:rPr>
          <w:rFonts w:hint="eastAsia" w:ascii="宋体" w:hAnsi="宋体"/>
          <w:color w:val="auto"/>
          <w:szCs w:val="21"/>
        </w:rPr>
        <w:t>地址：宁波市海曙区江汇城496号姚江时代14幢3楼</w:t>
      </w:r>
    </w:p>
    <w:p>
      <w:pPr>
        <w:snapToGrid w:val="0"/>
        <w:spacing w:line="360" w:lineRule="auto"/>
        <w:ind w:firstLine="411" w:firstLineChars="196"/>
        <w:rPr>
          <w:rFonts w:ascii="宋体" w:hAnsi="宋体"/>
          <w:color w:val="auto"/>
          <w:szCs w:val="21"/>
        </w:rPr>
      </w:pPr>
      <w:r>
        <w:rPr>
          <w:rFonts w:hint="eastAsia" w:ascii="宋体" w:hAnsi="宋体"/>
          <w:color w:val="auto"/>
          <w:szCs w:val="21"/>
        </w:rPr>
        <w:t>传真：0574-87103586</w:t>
      </w:r>
    </w:p>
    <w:p>
      <w:pPr>
        <w:snapToGrid w:val="0"/>
        <w:spacing w:line="360" w:lineRule="auto"/>
        <w:ind w:firstLine="411" w:firstLineChars="196"/>
        <w:rPr>
          <w:rFonts w:ascii="宋体" w:hAnsi="宋体"/>
          <w:color w:val="auto"/>
          <w:szCs w:val="21"/>
        </w:rPr>
      </w:pPr>
      <w:r>
        <w:rPr>
          <w:rFonts w:hint="eastAsia" w:ascii="宋体" w:hAnsi="宋体"/>
          <w:color w:val="auto"/>
          <w:szCs w:val="21"/>
        </w:rPr>
        <w:t>项目联系人（询问）：</w:t>
      </w:r>
      <w:r>
        <w:rPr>
          <w:rFonts w:ascii="宋体" w:hAnsi="宋体"/>
          <w:color w:val="auto"/>
          <w:szCs w:val="21"/>
        </w:rPr>
        <w:t>王立挺、</w:t>
      </w:r>
      <w:r>
        <w:rPr>
          <w:rFonts w:hint="eastAsia" w:ascii="宋体" w:hAnsi="宋体"/>
          <w:color w:val="auto"/>
          <w:szCs w:val="21"/>
        </w:rPr>
        <w:t>何晟昊、</w:t>
      </w:r>
      <w:r>
        <w:rPr>
          <w:rFonts w:ascii="宋体" w:hAnsi="宋体"/>
          <w:color w:val="auto"/>
          <w:szCs w:val="21"/>
        </w:rPr>
        <w:t>江森杰、金生华、王裕挺</w:t>
      </w:r>
    </w:p>
    <w:p>
      <w:pPr>
        <w:snapToGrid w:val="0"/>
        <w:spacing w:line="360" w:lineRule="auto"/>
        <w:ind w:firstLine="411" w:firstLineChars="196"/>
        <w:rPr>
          <w:rFonts w:ascii="宋体" w:hAnsi="宋体"/>
          <w:color w:val="auto"/>
          <w:szCs w:val="21"/>
        </w:rPr>
      </w:pPr>
      <w:r>
        <w:rPr>
          <w:rFonts w:hint="eastAsia" w:ascii="宋体" w:hAnsi="宋体"/>
          <w:color w:val="auto"/>
          <w:szCs w:val="21"/>
        </w:rPr>
        <w:t>项目联系方式（询问）：</w:t>
      </w:r>
      <w:r>
        <w:rPr>
          <w:rFonts w:ascii="宋体" w:hAnsi="宋体"/>
          <w:color w:val="auto"/>
          <w:szCs w:val="21"/>
        </w:rPr>
        <w:t>057</w:t>
      </w:r>
      <w:r>
        <w:rPr>
          <w:rFonts w:hint="eastAsia" w:ascii="宋体" w:hAnsi="宋体"/>
          <w:color w:val="auto"/>
          <w:szCs w:val="21"/>
        </w:rPr>
        <w:t>4</w:t>
      </w:r>
      <w:r>
        <w:rPr>
          <w:rFonts w:ascii="宋体" w:hAnsi="宋体"/>
          <w:color w:val="auto"/>
          <w:szCs w:val="21"/>
        </w:rPr>
        <w:t>-</w:t>
      </w:r>
      <w:r>
        <w:rPr>
          <w:rFonts w:hint="eastAsia" w:ascii="宋体" w:hAnsi="宋体"/>
          <w:color w:val="auto"/>
          <w:szCs w:val="21"/>
        </w:rPr>
        <w:t>87101259</w:t>
      </w:r>
    </w:p>
    <w:p>
      <w:pPr>
        <w:snapToGrid w:val="0"/>
        <w:spacing w:line="360" w:lineRule="auto"/>
        <w:ind w:firstLine="411" w:firstLineChars="196"/>
        <w:rPr>
          <w:rFonts w:ascii="宋体" w:hAnsi="宋体"/>
          <w:color w:val="auto"/>
          <w:szCs w:val="21"/>
        </w:rPr>
      </w:pPr>
      <w:r>
        <w:rPr>
          <w:rFonts w:hint="eastAsia" w:ascii="宋体" w:hAnsi="宋体"/>
          <w:color w:val="auto"/>
          <w:szCs w:val="21"/>
        </w:rPr>
        <w:t>质疑联系人：方芳</w:t>
      </w:r>
    </w:p>
    <w:p>
      <w:pPr>
        <w:snapToGrid w:val="0"/>
        <w:spacing w:line="360" w:lineRule="auto"/>
        <w:ind w:firstLine="411" w:firstLineChars="196"/>
        <w:rPr>
          <w:rFonts w:ascii="宋体" w:hAnsi="宋体"/>
          <w:color w:val="auto"/>
          <w:szCs w:val="21"/>
        </w:rPr>
      </w:pPr>
      <w:r>
        <w:rPr>
          <w:rFonts w:hint="eastAsia" w:ascii="宋体" w:hAnsi="宋体"/>
          <w:color w:val="auto"/>
          <w:szCs w:val="21"/>
        </w:rPr>
        <w:t>质疑联系方式：0574-87101271</w:t>
      </w:r>
    </w:p>
    <w:bookmarkEnd w:id="31"/>
    <w:bookmarkEnd w:id="32"/>
    <w:p>
      <w:pPr>
        <w:snapToGrid w:val="0"/>
        <w:spacing w:line="360" w:lineRule="auto"/>
        <w:ind w:firstLine="411" w:firstLineChars="196"/>
        <w:rPr>
          <w:rFonts w:ascii="宋体" w:hAnsi="宋体"/>
          <w:color w:val="auto"/>
          <w:szCs w:val="21"/>
        </w:rPr>
      </w:pPr>
      <w:r>
        <w:rPr>
          <w:rFonts w:ascii="宋体" w:hAnsi="宋体"/>
          <w:color w:val="auto"/>
          <w:szCs w:val="21"/>
        </w:rPr>
        <w:t>3.同级政府采购监督管理部门</w:t>
      </w:r>
    </w:p>
    <w:p>
      <w:pPr>
        <w:snapToGrid w:val="0"/>
        <w:spacing w:line="360" w:lineRule="auto"/>
        <w:ind w:firstLine="411" w:firstLineChars="196"/>
        <w:rPr>
          <w:rFonts w:ascii="宋体" w:hAnsi="宋体"/>
          <w:color w:val="auto"/>
          <w:szCs w:val="21"/>
        </w:rPr>
      </w:pPr>
      <w:r>
        <w:rPr>
          <w:rFonts w:ascii="宋体" w:hAnsi="宋体"/>
          <w:color w:val="auto"/>
          <w:szCs w:val="21"/>
        </w:rPr>
        <w:t>名称：宁波市财政局政府采购办公室</w:t>
      </w:r>
    </w:p>
    <w:p>
      <w:pPr>
        <w:snapToGrid w:val="0"/>
        <w:spacing w:line="360" w:lineRule="auto"/>
        <w:ind w:firstLine="411" w:firstLineChars="196"/>
        <w:rPr>
          <w:rFonts w:ascii="宋体" w:hAnsi="宋体"/>
          <w:color w:val="auto"/>
          <w:szCs w:val="21"/>
        </w:rPr>
      </w:pPr>
      <w:r>
        <w:rPr>
          <w:rFonts w:ascii="宋体" w:hAnsi="宋体"/>
          <w:color w:val="auto"/>
          <w:szCs w:val="21"/>
        </w:rPr>
        <w:t>地址：宁波市海曙区中山西路19号</w:t>
      </w:r>
    </w:p>
    <w:p>
      <w:pPr>
        <w:snapToGrid w:val="0"/>
        <w:spacing w:line="360" w:lineRule="auto"/>
        <w:ind w:firstLine="411" w:firstLineChars="196"/>
        <w:rPr>
          <w:rFonts w:ascii="宋体" w:hAnsi="宋体"/>
          <w:color w:val="auto"/>
          <w:szCs w:val="21"/>
        </w:rPr>
      </w:pPr>
      <w:r>
        <w:rPr>
          <w:rFonts w:ascii="宋体" w:hAnsi="宋体"/>
          <w:color w:val="auto"/>
          <w:szCs w:val="21"/>
        </w:rPr>
        <w:t>传真：/</w:t>
      </w:r>
    </w:p>
    <w:p>
      <w:pPr>
        <w:snapToGrid w:val="0"/>
        <w:spacing w:line="360" w:lineRule="auto"/>
        <w:ind w:firstLine="411" w:firstLineChars="196"/>
        <w:rPr>
          <w:rFonts w:ascii="宋体" w:hAnsi="宋体"/>
          <w:color w:val="auto"/>
          <w:szCs w:val="21"/>
        </w:rPr>
      </w:pPr>
      <w:r>
        <w:rPr>
          <w:rFonts w:ascii="宋体" w:hAnsi="宋体"/>
          <w:color w:val="auto"/>
          <w:szCs w:val="21"/>
        </w:rPr>
        <w:t>联系人：</w:t>
      </w:r>
      <w:r>
        <w:rPr>
          <w:rFonts w:hint="eastAsia" w:ascii="宋体" w:hAnsi="宋体"/>
          <w:color w:val="auto"/>
          <w:szCs w:val="21"/>
        </w:rPr>
        <w:t>李</w:t>
      </w:r>
      <w:r>
        <w:rPr>
          <w:rFonts w:ascii="宋体" w:hAnsi="宋体"/>
          <w:color w:val="auto"/>
          <w:szCs w:val="21"/>
        </w:rPr>
        <w:t>老师</w:t>
      </w:r>
    </w:p>
    <w:p>
      <w:pPr>
        <w:snapToGrid w:val="0"/>
        <w:spacing w:line="360" w:lineRule="auto"/>
        <w:ind w:firstLine="411" w:firstLineChars="196"/>
        <w:rPr>
          <w:rFonts w:ascii="宋体" w:hAnsi="宋体"/>
          <w:color w:val="auto"/>
          <w:szCs w:val="21"/>
        </w:rPr>
      </w:pPr>
      <w:r>
        <w:rPr>
          <w:rFonts w:ascii="宋体" w:hAnsi="宋体"/>
          <w:color w:val="auto"/>
          <w:szCs w:val="21"/>
        </w:rPr>
        <w:t>监督投诉电话：0574-89388042</w:t>
      </w:r>
    </w:p>
    <w:p>
      <w:pPr>
        <w:pStyle w:val="18"/>
        <w:spacing w:after="0" w:line="360" w:lineRule="auto"/>
        <w:rPr>
          <w:rFonts w:ascii="宋体" w:hAnsi="宋体"/>
          <w:color w:val="auto"/>
        </w:rPr>
      </w:pPr>
    </w:p>
    <w:p>
      <w:pPr>
        <w:snapToGrid w:val="0"/>
        <w:spacing w:line="360" w:lineRule="auto"/>
        <w:ind w:firstLine="411" w:firstLineChars="196"/>
        <w:rPr>
          <w:rFonts w:ascii="宋体" w:hAnsi="宋体"/>
          <w:color w:val="auto"/>
          <w:szCs w:val="21"/>
        </w:rPr>
      </w:pPr>
      <w:r>
        <w:rPr>
          <w:rFonts w:hint="eastAsia" w:ascii="宋体" w:hAnsi="宋体"/>
          <w:color w:val="auto"/>
          <w:szCs w:val="21"/>
        </w:rPr>
        <w:t>若对项目采购电子交易系统操作有疑问，可登录政采云（https://www.zcygov.cn/），点击右侧咨询小采，获取采小蜜智能服务管家帮助，或拨打政采云服务热线</w:t>
      </w:r>
      <w:r>
        <w:rPr>
          <w:rFonts w:ascii="宋体" w:hAnsi="宋体"/>
          <w:color w:val="auto"/>
          <w:szCs w:val="21"/>
        </w:rPr>
        <w:t>95763</w:t>
      </w:r>
      <w:r>
        <w:rPr>
          <w:rFonts w:hint="eastAsia" w:ascii="宋体" w:hAnsi="宋体"/>
          <w:color w:val="auto"/>
          <w:szCs w:val="21"/>
        </w:rPr>
        <w:t>获取热线服务帮助。</w:t>
      </w:r>
    </w:p>
    <w:p>
      <w:pPr>
        <w:snapToGrid w:val="0"/>
        <w:spacing w:line="360" w:lineRule="auto"/>
        <w:ind w:firstLine="411" w:firstLineChars="196"/>
        <w:rPr>
          <w:rFonts w:ascii="宋体" w:hAnsi="宋体"/>
          <w:color w:val="auto"/>
          <w:szCs w:val="21"/>
        </w:rPr>
      </w:pPr>
      <w:r>
        <w:rPr>
          <w:rFonts w:hint="eastAsia" w:ascii="宋体" w:hAnsi="宋体"/>
          <w:color w:val="auto"/>
          <w:szCs w:val="21"/>
        </w:rPr>
        <w:t>CA问题联系电话（人工）：汇信CA 400-888-4636；天谷CA 400-087-8198。</w:t>
      </w:r>
    </w:p>
    <w:p>
      <w:pPr>
        <w:pStyle w:val="18"/>
        <w:spacing w:after="0" w:line="360" w:lineRule="auto"/>
        <w:rPr>
          <w:rFonts w:ascii="宋体" w:hAnsi="宋体"/>
          <w:color w:val="auto"/>
        </w:rPr>
      </w:pPr>
    </w:p>
    <w:p>
      <w:pPr>
        <w:pStyle w:val="19"/>
        <w:ind w:firstLine="280"/>
        <w:rPr>
          <w:rFonts w:ascii="宋体" w:hAnsi="宋体"/>
          <w:color w:val="auto"/>
        </w:rPr>
      </w:pPr>
    </w:p>
    <w:p>
      <w:pPr>
        <w:widowControl/>
        <w:jc w:val="left"/>
        <w:rPr>
          <w:rFonts w:ascii="宋体" w:hAnsi="宋体"/>
          <w:color w:val="auto"/>
          <w:szCs w:val="21"/>
        </w:rPr>
      </w:pPr>
      <w:r>
        <w:rPr>
          <w:rFonts w:ascii="宋体" w:hAnsi="宋体"/>
          <w:color w:val="auto"/>
          <w:szCs w:val="21"/>
        </w:rPr>
        <w:br w:type="page"/>
      </w:r>
    </w:p>
    <w:p>
      <w:pPr>
        <w:pStyle w:val="3"/>
        <w:spacing w:before="0" w:after="0"/>
        <w:rPr>
          <w:rFonts w:ascii="宋体" w:hAnsi="宋体"/>
          <w:color w:val="auto"/>
        </w:rPr>
      </w:pPr>
      <w:bookmarkStart w:id="33" w:name="_Toc118452525"/>
      <w:r>
        <w:rPr>
          <w:rFonts w:hint="eastAsia" w:ascii="宋体" w:hAnsi="宋体"/>
          <w:color w:val="auto"/>
        </w:rPr>
        <w:t>第二章  采购需求</w:t>
      </w:r>
      <w:bookmarkEnd w:id="33"/>
    </w:p>
    <w:p>
      <w:pPr>
        <w:spacing w:line="360" w:lineRule="auto"/>
        <w:ind w:firstLine="435"/>
        <w:rPr>
          <w:rFonts w:ascii="宋体" w:hAnsi="宋体"/>
          <w:b/>
          <w:color w:val="auto"/>
          <w:szCs w:val="21"/>
        </w:rPr>
      </w:pPr>
      <w:r>
        <w:rPr>
          <w:rFonts w:hint="eastAsia" w:ascii="宋体" w:hAnsi="宋体"/>
          <w:b/>
          <w:color w:val="auto"/>
          <w:szCs w:val="21"/>
        </w:rPr>
        <w:t>前注</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本项目技术和服务的详细要求，投标人必须对其有明确的响应，并如实描述偏离情况。明确要求提供证明材料的，如在投标响应时仅复制粘贴或仅具有文字描述而未在投标文件中提供要求的佐证材料，其产生的影响直至被认定为未实质性响应的后果将由投标人自行承担。</w:t>
      </w:r>
    </w:p>
    <w:p>
      <w:pPr>
        <w:spacing w:line="360" w:lineRule="auto"/>
        <w:ind w:firstLine="435"/>
        <w:rPr>
          <w:rFonts w:ascii="宋体" w:hAnsi="宋体"/>
          <w:b/>
          <w:color w:val="auto"/>
          <w:szCs w:val="21"/>
        </w:rPr>
      </w:pPr>
      <w:r>
        <w:rPr>
          <w:rFonts w:ascii="宋体" w:hAnsi="宋体" w:cs="Arial"/>
          <w:color w:val="auto"/>
          <w:szCs w:val="21"/>
        </w:rPr>
        <w:t>▲</w:t>
      </w:r>
      <w:r>
        <w:rPr>
          <w:rFonts w:hint="eastAsia" w:ascii="宋体" w:hAnsi="宋体"/>
          <w:b/>
          <w:color w:val="auto"/>
          <w:szCs w:val="21"/>
        </w:rPr>
        <w:t>一、商务要求</w:t>
      </w:r>
    </w:p>
    <w:tbl>
      <w:tblPr>
        <w:tblStyle w:val="44"/>
        <w:tblW w:w="8789" w:type="dxa"/>
        <w:tblInd w:w="108" w:type="dxa"/>
        <w:tblLayout w:type="fixed"/>
        <w:tblCellMar>
          <w:top w:w="0" w:type="dxa"/>
          <w:left w:w="108" w:type="dxa"/>
          <w:bottom w:w="0" w:type="dxa"/>
          <w:right w:w="108" w:type="dxa"/>
        </w:tblCellMar>
      </w:tblPr>
      <w:tblGrid>
        <w:gridCol w:w="709"/>
        <w:gridCol w:w="1559"/>
        <w:gridCol w:w="6521"/>
      </w:tblGrid>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rPr>
            </w:pPr>
            <w:r>
              <w:rPr>
                <w:rFonts w:hint="eastAsia" w:ascii="宋体" w:hAnsi="宋体"/>
                <w:b/>
                <w:color w:val="auto"/>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rPr>
            </w:pPr>
            <w:r>
              <w:rPr>
                <w:rFonts w:ascii="宋体" w:hAnsi="宋体"/>
                <w:b/>
                <w:color w:val="auto"/>
              </w:rPr>
              <w:t>项目</w:t>
            </w:r>
          </w:p>
        </w:tc>
        <w:tc>
          <w:tcPr>
            <w:tcW w:w="65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rPr>
            </w:pPr>
            <w:r>
              <w:rPr>
                <w:rFonts w:ascii="宋体" w:hAnsi="宋体"/>
                <w:b/>
                <w:color w:val="auto"/>
              </w:rPr>
              <w:t>要求</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宋体" w:hAnsi="宋体"/>
                <w:color w:val="auto"/>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rPr>
            </w:pPr>
            <w:r>
              <w:rPr>
                <w:rFonts w:hint="eastAsia" w:ascii="宋体" w:hAnsi="宋体"/>
                <w:color w:val="auto"/>
                <w:kern w:val="1"/>
                <w:szCs w:val="21"/>
              </w:rPr>
              <w:t>服务期限</w:t>
            </w:r>
          </w:p>
        </w:tc>
        <w:tc>
          <w:tcPr>
            <w:tcW w:w="652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kern w:val="1"/>
                <w:szCs w:val="28"/>
              </w:rPr>
            </w:pPr>
            <w:r>
              <w:rPr>
                <w:rFonts w:hint="eastAsia" w:ascii="宋体" w:hAnsi="宋体"/>
                <w:color w:val="auto"/>
                <w:kern w:val="1"/>
                <w:szCs w:val="28"/>
              </w:rPr>
              <w:t>2024-2026年。合同一年一签，采购人根据中标人在上一阶段合同履约、考核等情况决定是否续签。</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hint="eastAsia" w:ascii="宋体" w:hAnsi="宋体"/>
                <w:color w:val="auto"/>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rPr>
            </w:pPr>
            <w:r>
              <w:rPr>
                <w:rFonts w:hint="eastAsia" w:ascii="宋体" w:hAnsi="宋体"/>
                <w:color w:val="auto"/>
                <w:kern w:val="1"/>
                <w:szCs w:val="21"/>
              </w:rPr>
              <w:t>服务</w:t>
            </w:r>
            <w:r>
              <w:rPr>
                <w:rFonts w:hint="eastAsia" w:ascii="宋体" w:hAnsi="宋体"/>
                <w:color w:val="auto"/>
              </w:rPr>
              <w:t>地点</w:t>
            </w:r>
          </w:p>
        </w:tc>
        <w:tc>
          <w:tcPr>
            <w:tcW w:w="652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rPr>
            </w:pPr>
            <w:r>
              <w:rPr>
                <w:rFonts w:hint="eastAsia" w:ascii="宋体" w:hAnsi="宋体"/>
                <w:color w:val="auto"/>
              </w:rPr>
              <w:t>宁波市</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ascii="宋体" w:hAnsi="宋体"/>
                <w:color w:val="auto"/>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rPr>
            </w:pPr>
            <w:r>
              <w:rPr>
                <w:rFonts w:hint="eastAsia" w:ascii="宋体" w:hAnsi="宋体"/>
                <w:color w:val="auto"/>
              </w:rPr>
              <w:t>质量标准</w:t>
            </w:r>
          </w:p>
        </w:tc>
        <w:tc>
          <w:tcPr>
            <w:tcW w:w="652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rPr>
            </w:pPr>
            <w:r>
              <w:rPr>
                <w:rFonts w:hint="eastAsia" w:ascii="宋体" w:hAnsi="宋体"/>
                <w:color w:val="auto"/>
                <w:kern w:val="1"/>
                <w:szCs w:val="28"/>
              </w:rPr>
              <w:t>服务质量必须执行国家相关标准、行业标准、地方标准或者其它标准、规范（从严）：具有国家标准及规范的，按最新的标准及规范执行；具有行业标准及规范的，按最新的标准及规范执行；</w:t>
            </w:r>
            <w:r>
              <w:rPr>
                <w:rFonts w:hint="eastAsia" w:ascii="宋体" w:hAnsi="宋体" w:cs="宋体"/>
                <w:color w:val="auto"/>
                <w:kern w:val="1"/>
                <w:szCs w:val="28"/>
              </w:rPr>
              <w:t>具有</w:t>
            </w:r>
            <w:r>
              <w:rPr>
                <w:rFonts w:hint="eastAsia" w:ascii="宋体" w:hAnsi="宋体"/>
                <w:color w:val="auto"/>
                <w:kern w:val="1"/>
                <w:szCs w:val="28"/>
              </w:rPr>
              <w:t>其他标准及规范的，按照最新的标准及规范执行；无相关标准及规范的，按照满足采购需求的规定执行。</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ascii="宋体" w:hAnsi="宋体"/>
                <w:color w:val="auto"/>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rPr>
            </w:pPr>
            <w:r>
              <w:rPr>
                <w:rFonts w:hint="eastAsia" w:ascii="宋体" w:hAnsi="宋体"/>
                <w:color w:val="auto"/>
              </w:rPr>
              <w:t>考核验收</w:t>
            </w:r>
          </w:p>
        </w:tc>
        <w:tc>
          <w:tcPr>
            <w:tcW w:w="652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rPr>
            </w:pPr>
            <w:r>
              <w:rPr>
                <w:rFonts w:hint="eastAsia" w:ascii="宋体" w:hAnsi="宋体"/>
                <w:color w:val="auto"/>
              </w:rPr>
              <w:t>服务质量应当符合采购文件的规定以及中标人的投标承诺，每次考试结束，在财政部公布当次考试成绩结果</w:t>
            </w:r>
            <w:r>
              <w:rPr>
                <w:rFonts w:hint="eastAsia" w:ascii="宋体" w:hAnsi="宋体"/>
                <w:color w:val="auto"/>
                <w:szCs w:val="21"/>
              </w:rPr>
              <w:t>后进行考核验收。</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ascii="宋体" w:hAnsi="宋体"/>
                <w:color w:val="auto"/>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rPr>
            </w:pPr>
            <w:r>
              <w:rPr>
                <w:rFonts w:hint="eastAsia" w:ascii="宋体" w:hAnsi="宋体"/>
                <w:color w:val="auto"/>
              </w:rPr>
              <w:t>签订合同时间</w:t>
            </w:r>
          </w:p>
        </w:tc>
        <w:tc>
          <w:tcPr>
            <w:tcW w:w="652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rPr>
            </w:pPr>
            <w:r>
              <w:rPr>
                <w:rFonts w:hint="eastAsia" w:ascii="宋体" w:hAnsi="宋体"/>
                <w:color w:val="auto"/>
              </w:rPr>
              <w:t>采购人在中标通知书发出之日起30日内与中标人签订书面合同，具体签约时间以采购人通知时间为准。</w:t>
            </w:r>
          </w:p>
        </w:tc>
      </w:tr>
      <w:tr>
        <w:tblPrEx>
          <w:tblCellMar>
            <w:top w:w="0" w:type="dxa"/>
            <w:left w:w="108" w:type="dxa"/>
            <w:bottom w:w="0" w:type="dxa"/>
            <w:right w:w="108" w:type="dxa"/>
          </w:tblCellMar>
        </w:tblPrEx>
        <w:trPr>
          <w:trHeight w:val="12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ascii="宋体" w:hAnsi="宋体"/>
                <w:color w:val="auto"/>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rPr>
            </w:pPr>
            <w:r>
              <w:rPr>
                <w:rFonts w:hint="eastAsia" w:ascii="宋体" w:hAnsi="宋体"/>
                <w:color w:val="auto"/>
              </w:rPr>
              <w:t>合同款项支付条件及方式</w:t>
            </w:r>
          </w:p>
        </w:tc>
        <w:tc>
          <w:tcPr>
            <w:tcW w:w="652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rPr>
            </w:pPr>
            <w:r>
              <w:rPr>
                <w:rFonts w:hint="eastAsia" w:ascii="宋体" w:hAnsi="宋体"/>
                <w:color w:val="auto"/>
              </w:rPr>
              <w:t>（1）合同签订生效并具备实施条件后7个工作日内支付合同金额的</w:t>
            </w:r>
            <w:r>
              <w:rPr>
                <w:rFonts w:ascii="宋体" w:hAnsi="宋体"/>
                <w:color w:val="auto"/>
              </w:rPr>
              <w:t>70</w:t>
            </w:r>
            <w:r>
              <w:rPr>
                <w:rFonts w:hint="eastAsia" w:ascii="宋体" w:hAnsi="宋体"/>
                <w:color w:val="auto"/>
              </w:rPr>
              <w:t>%作为预付款；</w:t>
            </w:r>
          </w:p>
          <w:p>
            <w:pPr>
              <w:rPr>
                <w:rFonts w:ascii="宋体" w:hAnsi="宋体"/>
                <w:color w:val="auto"/>
              </w:rPr>
            </w:pPr>
            <w:r>
              <w:rPr>
                <w:rFonts w:hint="eastAsia" w:ascii="宋体" w:hAnsi="宋体"/>
                <w:color w:val="auto"/>
              </w:rPr>
              <w:t>（2）每次考试结束且通过采购人的考核验收后7个工作日内，按中标单价、实际承担报名科次数结合考核验收结果计算应付考试服务费。</w:t>
            </w:r>
          </w:p>
          <w:p>
            <w:pPr>
              <w:rPr>
                <w:rFonts w:ascii="宋体" w:hAnsi="宋体"/>
                <w:color w:val="auto"/>
              </w:rPr>
            </w:pPr>
            <w:r>
              <w:rPr>
                <w:rFonts w:hint="eastAsia" w:ascii="宋体" w:hAnsi="宋体"/>
                <w:color w:val="auto"/>
              </w:rPr>
              <w:t>考核结果得分≥95分的，应付考试服务费=中标单价×实际承担报名科次数；</w:t>
            </w:r>
          </w:p>
          <w:p>
            <w:pPr>
              <w:rPr>
                <w:rFonts w:ascii="宋体" w:hAnsi="宋体"/>
                <w:color w:val="auto"/>
              </w:rPr>
            </w:pPr>
            <w:r>
              <w:rPr>
                <w:rFonts w:hint="eastAsia" w:ascii="宋体" w:hAnsi="宋体"/>
                <w:color w:val="auto"/>
              </w:rPr>
              <w:t>考核结果得分﹤95分的，应付考试服务费=中标单价×实际承担报名科次数×（考核验收评价得分÷100）；</w:t>
            </w:r>
          </w:p>
          <w:p>
            <w:pPr>
              <w:rPr>
                <w:rFonts w:ascii="宋体" w:hAnsi="宋体"/>
                <w:color w:val="auto"/>
                <w:szCs w:val="21"/>
              </w:rPr>
            </w:pPr>
            <w:r>
              <w:rPr>
                <w:rFonts w:hint="eastAsia" w:ascii="宋体" w:hAnsi="宋体"/>
                <w:color w:val="auto"/>
              </w:rPr>
              <w:t>在财政部公布当次考试成绩结果存在雷同卷等违纪问题的，合同支付金额扣除当次考试应付考试服务费的1%；</w:t>
            </w:r>
          </w:p>
          <w:p>
            <w:pPr>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）经计算，应支付的服务费未超过预付款时不进行后续合同款的支付。</w:t>
            </w:r>
          </w:p>
          <w:p>
            <w:pPr>
              <w:rPr>
                <w:rFonts w:ascii="宋体" w:hAnsi="宋体"/>
                <w:color w:val="auto"/>
              </w:rPr>
            </w:pPr>
            <w:r>
              <w:rPr>
                <w:rFonts w:hint="eastAsia" w:ascii="宋体" w:hAnsi="宋体"/>
                <w:color w:val="auto"/>
              </w:rPr>
              <w:t>注：合同签订时，中标人明确表示无需预付款或者主动降低预付款比例的，采购人将根据情况调整预付款及后续合同款的支付。</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ascii="宋体" w:hAnsi="宋体"/>
                <w:color w:val="auto"/>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rPr>
            </w:pPr>
            <w:r>
              <w:rPr>
                <w:rFonts w:hint="eastAsia" w:ascii="宋体" w:hAnsi="宋体"/>
                <w:color w:val="auto"/>
              </w:rPr>
              <w:t>发票要求</w:t>
            </w:r>
          </w:p>
        </w:tc>
        <w:tc>
          <w:tcPr>
            <w:tcW w:w="652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rPr>
            </w:pPr>
            <w:r>
              <w:rPr>
                <w:rFonts w:hint="eastAsia" w:ascii="宋体" w:hAnsi="宋体"/>
                <w:color w:val="auto"/>
              </w:rPr>
              <w:t>（1）中标人应在采购人支付费用前，依据相应的金额，向采购人提供足额且符合税法规定的发票。采购人在收到中标人提供的发票后在合同约定的时间内支付相应款项。</w:t>
            </w:r>
          </w:p>
          <w:p>
            <w:pPr>
              <w:rPr>
                <w:rFonts w:ascii="宋体" w:hAnsi="宋体"/>
                <w:color w:val="auto"/>
              </w:rPr>
            </w:pPr>
            <w:r>
              <w:rPr>
                <w:rFonts w:hint="eastAsia" w:ascii="宋体" w:hAnsi="宋体"/>
                <w:color w:val="auto"/>
              </w:rPr>
              <w:t>（2）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ascii="宋体" w:hAnsi="宋体"/>
                <w:color w:val="auto"/>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8"/>
              </w:rPr>
            </w:pPr>
            <w:r>
              <w:rPr>
                <w:rFonts w:hint="eastAsia" w:ascii="宋体" w:hAnsi="宋体"/>
                <w:color w:val="auto"/>
                <w:szCs w:val="28"/>
              </w:rPr>
              <w:t>其他</w:t>
            </w:r>
          </w:p>
        </w:tc>
        <w:tc>
          <w:tcPr>
            <w:tcW w:w="652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8"/>
              </w:rPr>
            </w:pPr>
            <w:r>
              <w:rPr>
                <w:rFonts w:hint="eastAsia" w:ascii="宋体" w:hAnsi="宋体"/>
                <w:color w:val="auto"/>
                <w:szCs w:val="28"/>
              </w:rPr>
              <w:t>在合同执行过程中，中标人应承担由于其行为所造成的采购人或第三人的人身伤害、财产损失或损坏的责任，无论何种原因所造成，与采购人无涉，由此导致的损失由中标人承担，无论何种原因采购人先行支付的，采购人有权向中标人进行追偿。</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ascii="宋体" w:hAnsi="宋体"/>
                <w:color w:val="auto"/>
              </w:rPr>
              <w:t>9</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8"/>
              </w:rPr>
            </w:pPr>
            <w:r>
              <w:rPr>
                <w:rFonts w:hint="eastAsia" w:ascii="宋体" w:hAnsi="宋体"/>
                <w:color w:val="auto"/>
                <w:szCs w:val="28"/>
              </w:rPr>
              <w:t>知识产权要求</w:t>
            </w:r>
          </w:p>
        </w:tc>
        <w:tc>
          <w:tcPr>
            <w:tcW w:w="652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8"/>
              </w:rPr>
            </w:pPr>
            <w:r>
              <w:rPr>
                <w:rFonts w:ascii="宋体" w:hAnsi="宋体"/>
                <w:color w:val="auto"/>
                <w:szCs w:val="28"/>
              </w:rPr>
              <w:t>在项目实施过程中，</w:t>
            </w:r>
            <w:r>
              <w:rPr>
                <w:rFonts w:hint="eastAsia" w:ascii="宋体" w:hAnsi="宋体"/>
                <w:color w:val="auto"/>
                <w:szCs w:val="28"/>
              </w:rPr>
              <w:t>中标人</w:t>
            </w:r>
            <w:r>
              <w:rPr>
                <w:rFonts w:ascii="宋体" w:hAnsi="宋体"/>
                <w:color w:val="auto"/>
                <w:szCs w:val="28"/>
              </w:rPr>
              <w:t>不</w:t>
            </w:r>
            <w:r>
              <w:rPr>
                <w:rFonts w:hint="eastAsia" w:ascii="宋体" w:hAnsi="宋体"/>
                <w:color w:val="auto"/>
                <w:szCs w:val="28"/>
              </w:rPr>
              <w:t>得</w:t>
            </w:r>
            <w:r>
              <w:rPr>
                <w:rFonts w:ascii="宋体" w:hAnsi="宋体"/>
                <w:color w:val="auto"/>
                <w:szCs w:val="28"/>
              </w:rPr>
              <w:t>侵犯第三方的知识产权(包括但不限于著作权、专利权、商标权)，同时，在交付本</w:t>
            </w:r>
            <w:r>
              <w:rPr>
                <w:rFonts w:hint="eastAsia" w:ascii="宋体" w:hAnsi="宋体"/>
                <w:color w:val="auto"/>
                <w:szCs w:val="28"/>
              </w:rPr>
              <w:t>项目</w:t>
            </w:r>
            <w:r>
              <w:rPr>
                <w:rFonts w:ascii="宋体" w:hAnsi="宋体"/>
                <w:color w:val="auto"/>
                <w:szCs w:val="28"/>
              </w:rPr>
              <w:t>合同成果中也不涉及或非法使用第三方的知识产权(包括但不限于著作权、专利权、商标权)。</w:t>
            </w:r>
          </w:p>
        </w:tc>
      </w:tr>
    </w:tbl>
    <w:p>
      <w:pPr>
        <w:spacing w:line="360" w:lineRule="auto"/>
        <w:ind w:firstLine="435"/>
        <w:rPr>
          <w:rFonts w:ascii="宋体" w:hAnsi="宋体"/>
          <w:b/>
          <w:color w:val="auto"/>
          <w:szCs w:val="21"/>
        </w:rPr>
      </w:pPr>
      <w:bookmarkStart w:id="34" w:name="_Toc370140169"/>
      <w:bookmarkStart w:id="35" w:name="_Toc434225744"/>
      <w:bookmarkStart w:id="36" w:name="_Toc434225836"/>
      <w:r>
        <w:rPr>
          <w:rFonts w:hint="eastAsia" w:ascii="宋体" w:hAnsi="宋体"/>
          <w:b/>
          <w:color w:val="auto"/>
          <w:szCs w:val="21"/>
        </w:rPr>
        <w:t>二、</w:t>
      </w:r>
      <w:r>
        <w:rPr>
          <w:rFonts w:ascii="宋体" w:hAnsi="宋体"/>
          <w:b/>
          <w:color w:val="auto"/>
          <w:szCs w:val="21"/>
        </w:rPr>
        <w:t>标的</w:t>
      </w:r>
    </w:p>
    <w:p>
      <w:pPr>
        <w:spacing w:line="360" w:lineRule="auto"/>
        <w:ind w:firstLine="435"/>
        <w:rPr>
          <w:rFonts w:ascii="宋体" w:hAnsi="宋体"/>
          <w:iCs/>
          <w:color w:val="auto"/>
          <w:szCs w:val="21"/>
        </w:rPr>
      </w:pPr>
      <w:bookmarkStart w:id="37" w:name="_Toc21717"/>
      <w:bookmarkStart w:id="38" w:name="_Toc23856"/>
      <w:bookmarkStart w:id="39" w:name="_Toc14567"/>
      <w:bookmarkStart w:id="40" w:name="_Toc111813371"/>
      <w:r>
        <w:rPr>
          <w:rFonts w:hint="eastAsia" w:ascii="宋体" w:hAnsi="宋体"/>
          <w:iCs/>
          <w:color w:val="auto"/>
          <w:szCs w:val="21"/>
        </w:rPr>
        <w:t>全国会计专业技术资格无纸化考试宁波考区考务服务。</w:t>
      </w:r>
    </w:p>
    <w:bookmarkEnd w:id="37"/>
    <w:bookmarkEnd w:id="38"/>
    <w:bookmarkEnd w:id="39"/>
    <w:bookmarkEnd w:id="40"/>
    <w:p>
      <w:pPr>
        <w:spacing w:line="360" w:lineRule="auto"/>
        <w:ind w:firstLine="422" w:firstLineChars="200"/>
        <w:rPr>
          <w:rFonts w:ascii="宋体" w:hAnsi="宋体"/>
          <w:b/>
          <w:bCs/>
          <w:color w:val="auto"/>
          <w:szCs w:val="21"/>
        </w:rPr>
      </w:pPr>
      <w:r>
        <w:rPr>
          <w:rFonts w:hint="eastAsia" w:ascii="宋体" w:hAnsi="宋体"/>
          <w:b/>
          <w:bCs/>
          <w:color w:val="auto"/>
          <w:szCs w:val="21"/>
        </w:rPr>
        <w:t>三、服务内容</w:t>
      </w:r>
    </w:p>
    <w:p>
      <w:pPr>
        <w:spacing w:line="360" w:lineRule="auto"/>
        <w:ind w:firstLine="435"/>
        <w:rPr>
          <w:rFonts w:ascii="宋体" w:hAnsi="宋体"/>
          <w:iCs/>
          <w:color w:val="auto"/>
          <w:szCs w:val="21"/>
        </w:rPr>
      </w:pPr>
      <w:r>
        <w:rPr>
          <w:rFonts w:hint="eastAsia" w:ascii="宋体" w:hAnsi="宋体"/>
          <w:iCs/>
          <w:color w:val="auto"/>
          <w:szCs w:val="21"/>
        </w:rPr>
        <w:t>本项目为全国会计专业技术资格无纸化考试宁波考区提供会计专业技术资格（初、中、高级）无纸化考试考务服务。成交供应商按照上级财政部门考务工作的要求，负责做好考试期间的考场考位保障、考试系统软件安装维护等技术服务、安全保障、疫情防控、监考（巡考）等考务服务工作，并接受采购人的管理和考核验收评价。采购人按约定支付相应的考务服务报酬。具体考务服务内容包括：</w:t>
      </w:r>
    </w:p>
    <w:p>
      <w:pPr>
        <w:spacing w:line="360" w:lineRule="auto"/>
        <w:ind w:firstLine="435"/>
        <w:rPr>
          <w:rFonts w:ascii="宋体" w:hAnsi="宋体"/>
          <w:iCs/>
          <w:color w:val="auto"/>
          <w:szCs w:val="21"/>
        </w:rPr>
      </w:pPr>
      <w:r>
        <w:rPr>
          <w:rFonts w:hint="eastAsia" w:ascii="宋体" w:hAnsi="宋体"/>
          <w:iCs/>
          <w:color w:val="auto"/>
          <w:szCs w:val="21"/>
        </w:rPr>
        <w:t>1.投标人指派的项目负责人需具有全国统一的无纸化考试考务服务项目管理经历。</w:t>
      </w:r>
    </w:p>
    <w:p>
      <w:pPr>
        <w:spacing w:line="360" w:lineRule="auto"/>
        <w:ind w:firstLine="435"/>
        <w:rPr>
          <w:rFonts w:ascii="宋体" w:hAnsi="宋体"/>
          <w:iCs/>
          <w:color w:val="auto"/>
          <w:szCs w:val="21"/>
        </w:rPr>
      </w:pPr>
      <w:r>
        <w:rPr>
          <w:rFonts w:hint="eastAsia" w:ascii="宋体" w:hAnsi="宋体"/>
          <w:iCs/>
          <w:color w:val="auto"/>
          <w:szCs w:val="21"/>
        </w:rPr>
        <w:t>2.考试前30日，投标人按要求与考点签订服务合同和保密协议，考点原则上为宁波市区各院校。考点确定须经采购人认可，并向采购人报备相关材料。与考点签订的服务合同内容必须包含考试项目、考试时间、服务单价、合同总价、符合要求的机位总数、双方职责（含违约责任）等相关必要因素。</w:t>
      </w:r>
    </w:p>
    <w:p>
      <w:pPr>
        <w:spacing w:line="360" w:lineRule="auto"/>
        <w:ind w:firstLine="435"/>
        <w:rPr>
          <w:rFonts w:ascii="宋体" w:hAnsi="宋体"/>
          <w:iCs/>
          <w:color w:val="auto"/>
          <w:szCs w:val="21"/>
        </w:rPr>
      </w:pPr>
      <w:r>
        <w:rPr>
          <w:rFonts w:hint="eastAsia" w:ascii="宋体" w:hAnsi="宋体"/>
          <w:iCs/>
          <w:color w:val="auto"/>
          <w:szCs w:val="21"/>
        </w:rPr>
        <w:t>3.提供与考试相关的设备设施；考前联系落实公安、电力、无线电等相关单位，取得其工作配合和支持。</w:t>
      </w:r>
    </w:p>
    <w:p>
      <w:pPr>
        <w:spacing w:line="360" w:lineRule="auto"/>
        <w:ind w:firstLine="435"/>
        <w:rPr>
          <w:rFonts w:ascii="宋体" w:hAnsi="宋体"/>
          <w:iCs/>
          <w:color w:val="auto"/>
          <w:szCs w:val="21"/>
        </w:rPr>
      </w:pPr>
      <w:r>
        <w:rPr>
          <w:rFonts w:hint="eastAsia" w:ascii="宋体" w:hAnsi="宋体"/>
          <w:iCs/>
          <w:color w:val="auto"/>
          <w:szCs w:val="21"/>
        </w:rPr>
        <w:t>4.配备主考、副主考、监考（巡考）、技术人员和机房管理员等考务工作人员；及时完成对上述人员的培训，并向采购人报备培训方案、培训人员签到表、培训情况等相关材料。</w:t>
      </w:r>
    </w:p>
    <w:p>
      <w:pPr>
        <w:spacing w:line="360" w:lineRule="auto"/>
        <w:ind w:firstLine="435"/>
        <w:rPr>
          <w:rFonts w:ascii="宋体" w:hAnsi="宋体"/>
          <w:iCs/>
          <w:color w:val="auto"/>
          <w:szCs w:val="21"/>
        </w:rPr>
      </w:pPr>
      <w:r>
        <w:rPr>
          <w:rFonts w:hint="eastAsia" w:ascii="宋体" w:hAnsi="宋体"/>
          <w:iCs/>
          <w:color w:val="auto"/>
          <w:szCs w:val="21"/>
        </w:rPr>
        <w:t>5.配合考试技术服务供应商做好会计专业技术资格考试（初、中、高级）涉及的考前系统安装和调试、考试期间技术维护等服务工作，重点关注服务器、考试机、网络环境等，确保系统运行正常。</w:t>
      </w:r>
    </w:p>
    <w:p>
      <w:pPr>
        <w:spacing w:line="360" w:lineRule="auto"/>
        <w:ind w:firstLine="435"/>
        <w:rPr>
          <w:rFonts w:ascii="宋体" w:hAnsi="宋体"/>
          <w:iCs/>
          <w:color w:val="auto"/>
          <w:szCs w:val="21"/>
        </w:rPr>
      </w:pPr>
      <w:r>
        <w:rPr>
          <w:rFonts w:hint="eastAsia" w:ascii="宋体" w:hAnsi="宋体"/>
          <w:iCs/>
          <w:color w:val="auto"/>
          <w:szCs w:val="21"/>
        </w:rPr>
        <w:t>6.加强对考务工作人员的管理，确保及时到位、各尽其责，严格执行保密纪律；严格履行监考职责，维护考场秩序，根据考试工作方案完成试卷接收、上传工作，保证考试正常有序进行。</w:t>
      </w:r>
    </w:p>
    <w:p>
      <w:pPr>
        <w:spacing w:line="360" w:lineRule="auto"/>
        <w:ind w:firstLine="435"/>
        <w:rPr>
          <w:rFonts w:ascii="宋体" w:hAnsi="宋体"/>
          <w:iCs/>
          <w:color w:val="auto"/>
          <w:szCs w:val="21"/>
        </w:rPr>
      </w:pPr>
      <w:r>
        <w:rPr>
          <w:rFonts w:hint="eastAsia" w:ascii="宋体" w:hAnsi="宋体"/>
          <w:iCs/>
          <w:color w:val="auto"/>
          <w:szCs w:val="21"/>
        </w:rPr>
        <w:t>7.完成考前各项检查和封场工作。做好考试期间各考点的各项保障工作，重点针对断网、断电、病毒攻击、人身安全（含防疫）等情况的应急处理，建立健全应急预案，确保考试安全、考生及工作人员安全。</w:t>
      </w:r>
    </w:p>
    <w:p>
      <w:pPr>
        <w:spacing w:line="360" w:lineRule="auto"/>
        <w:ind w:firstLine="435"/>
        <w:rPr>
          <w:rFonts w:ascii="宋体" w:hAnsi="宋体"/>
          <w:iCs/>
          <w:color w:val="auto"/>
          <w:szCs w:val="21"/>
        </w:rPr>
      </w:pPr>
      <w:r>
        <w:rPr>
          <w:rFonts w:hint="eastAsia" w:ascii="宋体" w:hAnsi="宋体"/>
          <w:iCs/>
          <w:color w:val="auto"/>
          <w:szCs w:val="21"/>
        </w:rPr>
        <w:t>8.投标人承诺提供的特色服务内容以投标人出具投标文件的相关内容为准，如遇特殊情况发生变化，须经采购人同意。</w:t>
      </w:r>
    </w:p>
    <w:p>
      <w:pPr>
        <w:spacing w:line="360" w:lineRule="auto"/>
        <w:ind w:firstLine="435"/>
        <w:rPr>
          <w:rFonts w:ascii="宋体" w:hAnsi="宋体"/>
          <w:iCs/>
          <w:color w:val="auto"/>
          <w:szCs w:val="21"/>
        </w:rPr>
      </w:pPr>
      <w:r>
        <w:rPr>
          <w:rFonts w:hint="eastAsia" w:ascii="宋体" w:hAnsi="宋体"/>
          <w:iCs/>
          <w:color w:val="auto"/>
          <w:szCs w:val="21"/>
        </w:rPr>
        <w:t>9.完成采购人要求的或与项目实施有关的其他考试管理与服务工作。</w:t>
      </w:r>
    </w:p>
    <w:bookmarkEnd w:id="34"/>
    <w:bookmarkEnd w:id="35"/>
    <w:bookmarkEnd w:id="36"/>
    <w:p>
      <w:pPr>
        <w:spacing w:line="360" w:lineRule="auto"/>
        <w:ind w:firstLine="420" w:firstLineChars="200"/>
        <w:rPr>
          <w:rFonts w:ascii="宋体" w:hAnsi="宋体"/>
          <w:b/>
          <w:color w:val="auto"/>
          <w:sz w:val="24"/>
          <w:szCs w:val="18"/>
        </w:rPr>
      </w:pPr>
      <w:r>
        <w:rPr>
          <w:rFonts w:ascii="宋体" w:hAnsi="宋体"/>
          <w:bCs/>
          <w:color w:val="auto"/>
          <w:szCs w:val="21"/>
        </w:rPr>
        <w:br w:type="page"/>
      </w:r>
    </w:p>
    <w:p>
      <w:pPr>
        <w:pStyle w:val="3"/>
        <w:rPr>
          <w:rFonts w:ascii="宋体" w:hAnsi="宋体"/>
          <w:color w:val="auto"/>
          <w:sz w:val="32"/>
        </w:rPr>
      </w:pPr>
      <w:bookmarkStart w:id="41" w:name="_Toc34844743"/>
      <w:bookmarkStart w:id="42" w:name="_Toc118452526"/>
      <w:r>
        <w:rPr>
          <w:rFonts w:hint="eastAsia" w:ascii="宋体" w:hAnsi="宋体"/>
          <w:color w:val="auto"/>
        </w:rPr>
        <w:t>第三章  投标人须知</w:t>
      </w:r>
      <w:bookmarkEnd w:id="41"/>
      <w:bookmarkEnd w:id="42"/>
    </w:p>
    <w:p>
      <w:pPr>
        <w:spacing w:line="360" w:lineRule="auto"/>
        <w:jc w:val="center"/>
        <w:rPr>
          <w:rFonts w:ascii="宋体" w:hAnsi="宋体"/>
          <w:b/>
          <w:color w:val="auto"/>
          <w:szCs w:val="21"/>
        </w:rPr>
      </w:pPr>
      <w:r>
        <w:rPr>
          <w:rFonts w:hint="eastAsia" w:ascii="宋体" w:hAnsi="宋体"/>
          <w:b/>
          <w:color w:val="auto"/>
          <w:szCs w:val="21"/>
        </w:rPr>
        <w:t>投标人须知前附表</w:t>
      </w:r>
    </w:p>
    <w:p>
      <w:pPr>
        <w:spacing w:line="360" w:lineRule="auto"/>
        <w:jc w:val="left"/>
        <w:rPr>
          <w:rStyle w:val="381"/>
          <w:rFonts w:hint="default"/>
          <w:color w:val="auto"/>
          <w:sz w:val="21"/>
        </w:rPr>
      </w:pPr>
      <w:r>
        <w:rPr>
          <w:rStyle w:val="381"/>
          <w:rFonts w:hint="default"/>
          <w:color w:val="auto"/>
          <w:sz w:val="21"/>
        </w:rPr>
        <w:t>注：本表是本项目的具体要求，是对投标人须知的具体补充和修改，如有不一致，以本表为准。</w:t>
      </w:r>
    </w:p>
    <w:tbl>
      <w:tblPr>
        <w:tblStyle w:val="44"/>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817"/>
        <w:gridCol w:w="54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条款号</w:t>
            </w: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条款名称</w:t>
            </w:r>
          </w:p>
        </w:tc>
        <w:tc>
          <w:tcPr>
            <w:tcW w:w="5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3.1</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采购人</w:t>
            </w:r>
          </w:p>
        </w:tc>
        <w:tc>
          <w:tcPr>
            <w:tcW w:w="548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szCs w:val="21"/>
              </w:rPr>
              <w:t>宁波市财政局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3.2</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采购代理机构</w:t>
            </w:r>
          </w:p>
        </w:tc>
        <w:tc>
          <w:tcPr>
            <w:tcW w:w="548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szCs w:val="21"/>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3.3</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政府采购监督管理部门</w:t>
            </w:r>
          </w:p>
        </w:tc>
        <w:tc>
          <w:tcPr>
            <w:tcW w:w="5486" w:type="dxa"/>
            <w:tcBorders>
              <w:top w:val="single" w:color="auto" w:sz="4" w:space="0"/>
              <w:left w:val="single" w:color="auto" w:sz="4" w:space="0"/>
              <w:bottom w:val="single" w:color="auto" w:sz="4" w:space="0"/>
              <w:right w:val="single" w:color="auto" w:sz="4" w:space="0"/>
            </w:tcBorders>
            <w:vAlign w:val="center"/>
          </w:tcPr>
          <w:p>
            <w:pPr>
              <w:pStyle w:val="217"/>
              <w:widowControl w:val="0"/>
              <w:spacing w:before="0" w:beforeAutospacing="0" w:afterAutospacing="0"/>
              <w:jc w:val="both"/>
              <w:rPr>
                <w:bCs/>
                <w:color w:val="auto"/>
                <w:sz w:val="21"/>
                <w:szCs w:val="21"/>
              </w:rPr>
            </w:pPr>
            <w:r>
              <w:rPr>
                <w:rFonts w:hint="eastAsia"/>
                <w:bCs/>
                <w:color w:val="auto"/>
                <w:sz w:val="21"/>
                <w:szCs w:val="21"/>
              </w:rPr>
              <w:t>宁波市财政局政府采购办公室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ascii="宋体" w:hAnsi="宋体"/>
                <w:color w:val="auto"/>
                <w:szCs w:val="21"/>
              </w:rPr>
              <w:t>3.4</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是否为专门面向中小企业采购</w:t>
            </w:r>
          </w:p>
        </w:tc>
        <w:tc>
          <w:tcPr>
            <w:tcW w:w="5486" w:type="dxa"/>
            <w:tcBorders>
              <w:top w:val="single" w:color="auto" w:sz="4" w:space="0"/>
              <w:left w:val="single" w:color="auto" w:sz="4" w:space="0"/>
              <w:bottom w:val="single" w:color="auto" w:sz="4" w:space="0"/>
              <w:right w:val="single" w:color="auto" w:sz="4" w:space="0"/>
            </w:tcBorders>
            <w:vAlign w:val="center"/>
          </w:tcPr>
          <w:p>
            <w:pPr>
              <w:pStyle w:val="217"/>
              <w:widowControl w:val="0"/>
              <w:spacing w:before="0" w:beforeAutospacing="0" w:afterAutospacing="0"/>
              <w:jc w:val="both"/>
              <w:rPr>
                <w:bCs/>
                <w:color w:val="auto"/>
                <w:sz w:val="21"/>
                <w:szCs w:val="21"/>
              </w:rPr>
            </w:pPr>
            <w:r>
              <w:rPr>
                <w:rFonts w:hint="eastAsia"/>
                <w:color w:val="auto"/>
                <w:sz w:val="21"/>
                <w:szCs w:val="21"/>
              </w:rPr>
              <w:sym w:font="Wingdings" w:char="F0FE"/>
            </w:r>
            <w:r>
              <w:rPr>
                <w:rFonts w:hint="eastAsia"/>
                <w:color w:val="auto"/>
                <w:sz w:val="21"/>
                <w:szCs w:val="21"/>
              </w:rPr>
              <w:t xml:space="preserve">是  </w:t>
            </w:r>
            <w:r>
              <w:rPr>
                <w:rFonts w:hint="eastAsia" w:ascii="MS Mincho" w:hAnsi="MS Mincho" w:eastAsia="MS Mincho" w:cs="MS Mincho"/>
                <w:color w:val="auto"/>
                <w:sz w:val="22"/>
              </w:rPr>
              <w:t>☐</w:t>
            </w:r>
            <w:r>
              <w:rPr>
                <w:rFonts w:hint="eastAsia"/>
                <w:color w:val="auto"/>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10.3</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质疑函递交方式、接收部门、联系电话和通讯地址</w:t>
            </w:r>
          </w:p>
        </w:tc>
        <w:tc>
          <w:tcPr>
            <w:tcW w:w="5486" w:type="dxa"/>
            <w:tcBorders>
              <w:top w:val="single" w:color="auto" w:sz="4" w:space="0"/>
              <w:left w:val="single" w:color="auto" w:sz="4" w:space="0"/>
              <w:bottom w:val="single" w:color="auto" w:sz="4" w:space="0"/>
              <w:right w:val="single" w:color="auto" w:sz="4" w:space="0"/>
            </w:tcBorders>
            <w:vAlign w:val="center"/>
          </w:tcPr>
          <w:p>
            <w:pPr>
              <w:pStyle w:val="217"/>
              <w:widowControl w:val="0"/>
              <w:spacing w:before="0" w:beforeAutospacing="0" w:afterAutospacing="0"/>
              <w:jc w:val="both"/>
              <w:rPr>
                <w:b/>
                <w:color w:val="auto"/>
                <w:sz w:val="21"/>
                <w:szCs w:val="21"/>
              </w:rPr>
            </w:pPr>
            <w:r>
              <w:rPr>
                <w:rFonts w:hint="eastAsia"/>
                <w:color w:val="auto"/>
                <w:sz w:val="21"/>
                <w:szCs w:val="21"/>
              </w:rPr>
              <w:t>递交方式：</w:t>
            </w:r>
            <w:r>
              <w:rPr>
                <w:rFonts w:hint="eastAsia"/>
                <w:color w:val="auto"/>
                <w:sz w:val="21"/>
                <w:szCs w:val="21"/>
                <w:u w:val="single"/>
              </w:rPr>
              <w:t>书面形式</w:t>
            </w:r>
          </w:p>
          <w:p>
            <w:pPr>
              <w:pStyle w:val="217"/>
              <w:widowControl w:val="0"/>
              <w:spacing w:before="0" w:beforeAutospacing="0" w:afterAutospacing="0"/>
              <w:jc w:val="both"/>
              <w:rPr>
                <w:b/>
                <w:bCs/>
                <w:color w:val="auto"/>
                <w:sz w:val="21"/>
                <w:szCs w:val="21"/>
                <w:u w:val="single"/>
              </w:rPr>
            </w:pPr>
            <w:r>
              <w:rPr>
                <w:rFonts w:hint="eastAsia"/>
                <w:color w:val="auto"/>
                <w:sz w:val="21"/>
                <w:szCs w:val="21"/>
              </w:rPr>
              <w:t>接收部门：</w:t>
            </w:r>
            <w:r>
              <w:rPr>
                <w:rFonts w:hint="eastAsia"/>
                <w:color w:val="auto"/>
                <w:sz w:val="21"/>
                <w:szCs w:val="21"/>
                <w:u w:val="single"/>
              </w:rPr>
              <w:t>综合办</w:t>
            </w:r>
          </w:p>
          <w:p>
            <w:pPr>
              <w:pStyle w:val="217"/>
              <w:widowControl w:val="0"/>
              <w:spacing w:before="0" w:beforeAutospacing="0" w:afterAutospacing="0"/>
              <w:jc w:val="both"/>
              <w:rPr>
                <w:b/>
                <w:bCs/>
                <w:color w:val="auto"/>
                <w:sz w:val="21"/>
                <w:szCs w:val="21"/>
                <w:u w:val="single"/>
              </w:rPr>
            </w:pPr>
            <w:r>
              <w:rPr>
                <w:color w:val="auto"/>
                <w:sz w:val="21"/>
                <w:szCs w:val="21"/>
              </w:rPr>
              <w:t>联系电话：</w:t>
            </w:r>
            <w:r>
              <w:rPr>
                <w:rFonts w:hint="eastAsia"/>
                <w:bCs/>
                <w:color w:val="auto"/>
                <w:sz w:val="21"/>
                <w:szCs w:val="21"/>
                <w:u w:val="single"/>
              </w:rPr>
              <w:t>0574-87101271</w:t>
            </w:r>
          </w:p>
          <w:p>
            <w:pPr>
              <w:pStyle w:val="217"/>
              <w:widowControl w:val="0"/>
              <w:spacing w:before="0" w:beforeAutospacing="0" w:afterAutospacing="0"/>
              <w:jc w:val="both"/>
              <w:rPr>
                <w:bCs/>
                <w:color w:val="auto"/>
                <w:sz w:val="21"/>
                <w:szCs w:val="21"/>
              </w:rPr>
            </w:pPr>
            <w:r>
              <w:rPr>
                <w:rFonts w:hint="eastAsia"/>
                <w:color w:val="auto"/>
                <w:sz w:val="21"/>
                <w:szCs w:val="21"/>
              </w:rPr>
              <w:t>通讯地址：</w:t>
            </w:r>
            <w:r>
              <w:rPr>
                <w:rFonts w:hint="eastAsia"/>
                <w:bCs/>
                <w:color w:val="auto"/>
                <w:spacing w:val="-6"/>
                <w:sz w:val="21"/>
                <w:szCs w:val="21"/>
                <w:u w:val="single"/>
              </w:rPr>
              <w:t>宁波市海曙区江汇城496号姚江时代14幢3楼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13.1</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采购</w:t>
            </w:r>
            <w:r>
              <w:rPr>
                <w:rFonts w:ascii="宋体" w:hAnsi="宋体"/>
                <w:color w:val="auto"/>
                <w:szCs w:val="21"/>
              </w:rPr>
              <w:t>代理</w:t>
            </w:r>
            <w:r>
              <w:rPr>
                <w:rFonts w:hint="eastAsia" w:ascii="宋体" w:hAnsi="宋体"/>
                <w:color w:val="auto"/>
                <w:szCs w:val="21"/>
              </w:rPr>
              <w:t>服务</w:t>
            </w:r>
            <w:r>
              <w:rPr>
                <w:rFonts w:ascii="宋体" w:hAnsi="宋体"/>
                <w:color w:val="auto"/>
                <w:szCs w:val="21"/>
              </w:rPr>
              <w:t>费用的收取标准</w:t>
            </w:r>
          </w:p>
        </w:tc>
        <w:tc>
          <w:tcPr>
            <w:tcW w:w="5486"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color w:val="auto"/>
              </w:rPr>
            </w:pPr>
            <w:r>
              <w:rPr>
                <w:rFonts w:hint="eastAsia" w:ascii="宋体" w:hAnsi="宋体"/>
                <w:bCs/>
                <w:color w:val="auto"/>
              </w:rPr>
              <w:t>1.参照国家发改委发改办价格[2003]857号通知和原国家计委计价格[2002]1980号文件规定的收费费率为取费标准。</w:t>
            </w:r>
          </w:p>
          <w:p>
            <w:pPr>
              <w:ind w:firstLine="29" w:firstLineChars="14"/>
              <w:jc w:val="left"/>
              <w:rPr>
                <w:rFonts w:ascii="宋体" w:hAnsi="宋体"/>
                <w:bCs/>
                <w:color w:val="auto"/>
              </w:rPr>
            </w:pPr>
            <w:r>
              <w:rPr>
                <w:rFonts w:hint="eastAsia" w:ascii="宋体" w:hAnsi="宋体"/>
                <w:bCs/>
                <w:color w:val="auto"/>
              </w:rPr>
              <w:t>2.以中标通知书确定的中标总金额为计算基数，结合上述费率标准计算本项目的</w:t>
            </w:r>
            <w:r>
              <w:rPr>
                <w:rFonts w:ascii="宋体" w:hAnsi="宋体"/>
                <w:bCs/>
                <w:color w:val="auto"/>
              </w:rPr>
              <w:t>代理</w:t>
            </w:r>
            <w:r>
              <w:rPr>
                <w:rFonts w:hint="eastAsia" w:ascii="宋体" w:hAnsi="宋体"/>
                <w:bCs/>
                <w:color w:val="auto"/>
              </w:rPr>
              <w:t>服务</w:t>
            </w:r>
            <w:r>
              <w:rPr>
                <w:rFonts w:ascii="宋体" w:hAnsi="宋体"/>
                <w:bCs/>
                <w:color w:val="auto"/>
              </w:rPr>
              <w:t>费用</w:t>
            </w:r>
            <w:r>
              <w:rPr>
                <w:rFonts w:hint="eastAsia" w:ascii="宋体" w:hAnsi="宋体"/>
                <w:bCs/>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13.2</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采购代理服务费的支付</w:t>
            </w:r>
          </w:p>
        </w:tc>
        <w:tc>
          <w:tcPr>
            <w:tcW w:w="5486"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color w:val="auto"/>
              </w:rPr>
            </w:pPr>
            <w:r>
              <w:rPr>
                <w:rFonts w:hint="eastAsia" w:ascii="宋体" w:hAnsi="宋体"/>
                <w:bCs/>
                <w:color w:val="auto"/>
              </w:rPr>
              <w:t>本项目代理服务费由中标人支付，中标人必须在领取中标通知书时一次性全额支付，代理服务费金额为固定金额，不随合同金额的增减而浮动。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8</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14.4</w:t>
            </w:r>
          </w:p>
        </w:tc>
        <w:tc>
          <w:tcPr>
            <w:tcW w:w="1817" w:type="dxa"/>
            <w:tcBorders>
              <w:top w:val="single" w:color="auto" w:sz="4" w:space="0"/>
              <w:left w:val="single" w:color="auto" w:sz="4" w:space="0"/>
              <w:bottom w:val="single" w:color="auto" w:sz="4" w:space="0"/>
              <w:right w:val="single" w:color="auto" w:sz="4" w:space="0"/>
            </w:tcBorders>
            <w:vAlign w:val="center"/>
          </w:tcPr>
          <w:p>
            <w:pPr>
              <w:pStyle w:val="217"/>
              <w:widowControl w:val="0"/>
              <w:spacing w:before="0" w:beforeAutospacing="0" w:afterAutospacing="0"/>
              <w:jc w:val="left"/>
              <w:rPr>
                <w:color w:val="auto"/>
                <w:szCs w:val="21"/>
              </w:rPr>
            </w:pPr>
            <w:r>
              <w:rPr>
                <w:rFonts w:hint="eastAsia"/>
                <w:color w:val="auto"/>
                <w:sz w:val="21"/>
                <w:szCs w:val="21"/>
              </w:rPr>
              <w:t>样品提供</w:t>
            </w:r>
          </w:p>
        </w:tc>
        <w:tc>
          <w:tcPr>
            <w:tcW w:w="548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rPr>
            </w:pPr>
            <w:r>
              <w:rPr>
                <w:rFonts w:hint="eastAsia" w:ascii="宋体" w:hAnsi="宋体" w:cs="宋体"/>
                <w:color w:val="auto"/>
                <w:kern w:val="0"/>
              </w:rPr>
              <w:sym w:font="Wingdings" w:char="F0FE"/>
            </w:r>
            <w:r>
              <w:rPr>
                <w:rFonts w:hint="eastAsia" w:ascii="宋体" w:hAnsi="宋体" w:cs="宋体"/>
                <w:color w:val="auto"/>
              </w:rPr>
              <w:t>不要求提供</w:t>
            </w:r>
          </w:p>
          <w:p>
            <w:pPr>
              <w:rPr>
                <w:rFonts w:ascii="宋体" w:hAnsi="宋体" w:cs="宋体"/>
                <w:color w:val="auto"/>
                <w:kern w:val="0"/>
              </w:rPr>
            </w:pPr>
            <w:r>
              <w:rPr>
                <w:rFonts w:hint="eastAsia" w:ascii="MS Mincho" w:hAnsi="MS Mincho" w:eastAsia="MS Mincho" w:cs="MS Mincho"/>
                <w:color w:val="auto"/>
                <w:kern w:val="0"/>
              </w:rPr>
              <w:t>☐</w:t>
            </w:r>
            <w:r>
              <w:rPr>
                <w:rFonts w:hint="eastAsia" w:ascii="宋体" w:hAnsi="宋体" w:cs="宋体"/>
                <w:color w:val="auto"/>
                <w:kern w:val="0"/>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9</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17.1</w:t>
            </w:r>
          </w:p>
        </w:tc>
        <w:tc>
          <w:tcPr>
            <w:tcW w:w="1817" w:type="dxa"/>
            <w:tcBorders>
              <w:top w:val="single" w:color="auto" w:sz="4" w:space="0"/>
              <w:left w:val="single" w:color="auto" w:sz="4" w:space="0"/>
              <w:bottom w:val="single" w:color="auto" w:sz="4" w:space="0"/>
              <w:right w:val="single" w:color="auto" w:sz="4" w:space="0"/>
            </w:tcBorders>
            <w:vAlign w:val="center"/>
          </w:tcPr>
          <w:p>
            <w:pPr>
              <w:pStyle w:val="217"/>
              <w:widowControl w:val="0"/>
              <w:spacing w:before="0" w:beforeAutospacing="0" w:afterAutospacing="0"/>
              <w:jc w:val="left"/>
              <w:rPr>
                <w:b/>
                <w:color w:val="auto"/>
                <w:sz w:val="21"/>
                <w:szCs w:val="21"/>
              </w:rPr>
            </w:pPr>
            <w:r>
              <w:rPr>
                <w:rFonts w:hint="eastAsia"/>
                <w:color w:val="auto"/>
                <w:sz w:val="21"/>
                <w:szCs w:val="21"/>
              </w:rPr>
              <w:t>现场考察</w:t>
            </w:r>
          </w:p>
        </w:tc>
        <w:tc>
          <w:tcPr>
            <w:tcW w:w="5486"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auto"/>
                <w:szCs w:val="21"/>
              </w:rPr>
            </w:pPr>
            <w:r>
              <w:rPr>
                <w:rFonts w:hint="eastAsia" w:ascii="宋体" w:hAnsi="宋体"/>
                <w:color w:val="auto"/>
                <w:szCs w:val="21"/>
              </w:rPr>
              <w:sym w:font="Wingdings" w:char="F0FE"/>
            </w:r>
            <w:r>
              <w:rPr>
                <w:rFonts w:hint="eastAsia" w:ascii="宋体" w:hAnsi="宋体"/>
                <w:color w:val="auto"/>
                <w:szCs w:val="21"/>
              </w:rPr>
              <w:t>不</w:t>
            </w:r>
            <w:r>
              <w:rPr>
                <w:rFonts w:hint="eastAsia" w:ascii="宋体" w:hAnsi="宋体"/>
                <w:bCs/>
                <w:color w:val="auto"/>
                <w:szCs w:val="21"/>
              </w:rPr>
              <w:t>统一</w:t>
            </w:r>
            <w:r>
              <w:rPr>
                <w:rFonts w:hint="eastAsia" w:ascii="宋体" w:hAnsi="宋体"/>
                <w:color w:val="auto"/>
                <w:szCs w:val="21"/>
              </w:rPr>
              <w:t>组织</w:t>
            </w:r>
          </w:p>
          <w:p>
            <w:pPr>
              <w:rPr>
                <w:rFonts w:ascii="宋体" w:hAnsi="宋体"/>
                <w:bCs/>
                <w:color w:val="auto"/>
                <w:szCs w:val="21"/>
              </w:rPr>
            </w:pPr>
            <w:r>
              <w:rPr>
                <w:rFonts w:hint="eastAsia" w:ascii="宋体" w:hAnsi="宋体"/>
                <w:color w:val="auto"/>
                <w:szCs w:val="21"/>
              </w:rPr>
              <w:t>□</w:t>
            </w:r>
            <w:r>
              <w:rPr>
                <w:rFonts w:hint="eastAsia" w:ascii="宋体" w:hAnsi="宋体"/>
                <w:bCs/>
                <w:color w:val="auto"/>
                <w:szCs w:val="21"/>
              </w:rPr>
              <w:t>统一组织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10</w:t>
            </w:r>
          </w:p>
        </w:tc>
        <w:tc>
          <w:tcPr>
            <w:tcW w:w="892"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21.1</w:t>
            </w:r>
          </w:p>
        </w:tc>
        <w:tc>
          <w:tcPr>
            <w:tcW w:w="1817" w:type="dxa"/>
            <w:tcBorders>
              <w:top w:val="single" w:color="auto" w:sz="4" w:space="0"/>
              <w:left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资格要求响应文件的组成</w:t>
            </w:r>
          </w:p>
        </w:tc>
        <w:tc>
          <w:tcPr>
            <w:tcW w:w="5486" w:type="dxa"/>
            <w:tcBorders>
              <w:top w:val="single" w:color="auto" w:sz="4" w:space="0"/>
              <w:left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1.投标人资格声明函；</w:t>
            </w:r>
          </w:p>
          <w:p>
            <w:pPr>
              <w:rPr>
                <w:rFonts w:ascii="宋体" w:hAnsi="宋体"/>
                <w:color w:val="auto"/>
                <w:szCs w:val="21"/>
              </w:rPr>
            </w:pPr>
            <w:r>
              <w:rPr>
                <w:rFonts w:hint="eastAsia" w:ascii="宋体" w:hAnsi="宋体"/>
                <w:color w:val="auto"/>
                <w:szCs w:val="21"/>
              </w:rPr>
              <w:t>2.法人或者其他组织的营业执照等登记证明文件复印件；3</w:t>
            </w:r>
            <w:r>
              <w:rPr>
                <w:rFonts w:ascii="宋体" w:hAnsi="宋体"/>
                <w:color w:val="auto"/>
                <w:szCs w:val="21"/>
              </w:rPr>
              <w:t>.</w:t>
            </w:r>
            <w:r>
              <w:rPr>
                <w:rFonts w:hint="eastAsia" w:ascii="宋体" w:hAnsi="宋体"/>
                <w:color w:val="auto"/>
                <w:szCs w:val="21"/>
              </w:rPr>
              <w:t>中小企业声明函或残疾人福利性单位声明函或监狱企业证明文件。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11</w:t>
            </w:r>
          </w:p>
        </w:tc>
        <w:tc>
          <w:tcPr>
            <w:tcW w:w="892"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1817" w:type="dxa"/>
            <w:tcBorders>
              <w:top w:val="single" w:color="auto" w:sz="4" w:space="0"/>
              <w:left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商务技术文件的组成</w:t>
            </w:r>
          </w:p>
        </w:tc>
        <w:tc>
          <w:tcPr>
            <w:tcW w:w="5486" w:type="dxa"/>
            <w:tcBorders>
              <w:top w:val="single" w:color="auto" w:sz="4" w:space="0"/>
              <w:left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1.投标函；</w:t>
            </w:r>
          </w:p>
          <w:p>
            <w:pPr>
              <w:rPr>
                <w:rFonts w:ascii="宋体" w:hAnsi="宋体"/>
                <w:color w:val="auto"/>
                <w:szCs w:val="21"/>
              </w:rPr>
            </w:pPr>
            <w:r>
              <w:rPr>
                <w:rFonts w:hint="eastAsia" w:ascii="宋体" w:hAnsi="宋体"/>
                <w:color w:val="auto"/>
                <w:szCs w:val="21"/>
              </w:rPr>
              <w:t>2.投标人法定代表人身份证复印件（双面）或授权委托书及其附件；</w:t>
            </w:r>
          </w:p>
          <w:p>
            <w:pPr>
              <w:rPr>
                <w:rFonts w:ascii="宋体" w:hAnsi="宋体"/>
                <w:color w:val="auto"/>
                <w:szCs w:val="21"/>
              </w:rPr>
            </w:pPr>
            <w:r>
              <w:rPr>
                <w:rFonts w:hint="eastAsia" w:ascii="宋体" w:hAnsi="宋体"/>
                <w:color w:val="auto"/>
                <w:szCs w:val="21"/>
              </w:rPr>
              <w:t>3.采购需求响应表；</w:t>
            </w:r>
          </w:p>
          <w:p>
            <w:pPr>
              <w:rPr>
                <w:rFonts w:ascii="宋体" w:hAnsi="宋体"/>
                <w:color w:val="auto"/>
                <w:szCs w:val="21"/>
              </w:rPr>
            </w:pPr>
            <w:r>
              <w:rPr>
                <w:rFonts w:hint="eastAsia" w:ascii="宋体" w:hAnsi="宋体"/>
                <w:color w:val="auto"/>
                <w:szCs w:val="21"/>
              </w:rPr>
              <w:t>4.项目实施人员情况表；</w:t>
            </w:r>
          </w:p>
          <w:p>
            <w:pPr>
              <w:rPr>
                <w:rFonts w:ascii="宋体" w:hAnsi="宋体"/>
                <w:color w:val="auto"/>
                <w:szCs w:val="21"/>
              </w:rPr>
            </w:pPr>
            <w:r>
              <w:rPr>
                <w:rFonts w:hint="eastAsia" w:ascii="宋体" w:hAnsi="宋体"/>
                <w:color w:val="auto"/>
                <w:szCs w:val="21"/>
              </w:rPr>
              <w:t>5.类似项目业绩一览表；</w:t>
            </w:r>
          </w:p>
          <w:p>
            <w:pPr>
              <w:rPr>
                <w:rFonts w:ascii="宋体" w:hAnsi="宋体"/>
                <w:color w:val="auto"/>
                <w:szCs w:val="21"/>
              </w:rPr>
            </w:pPr>
            <w:r>
              <w:rPr>
                <w:rFonts w:hint="eastAsia" w:ascii="宋体" w:hAnsi="宋体"/>
                <w:color w:val="auto"/>
                <w:szCs w:val="21"/>
              </w:rPr>
              <w:t>6.服务方案等与项目评审及履行合同有关的其他资料。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12</w:t>
            </w:r>
          </w:p>
        </w:tc>
        <w:tc>
          <w:tcPr>
            <w:tcW w:w="892"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1817" w:type="dxa"/>
            <w:tcBorders>
              <w:top w:val="single" w:color="auto" w:sz="4" w:space="0"/>
              <w:left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报价要求响应文件的组成</w:t>
            </w:r>
          </w:p>
        </w:tc>
        <w:tc>
          <w:tcPr>
            <w:tcW w:w="5486" w:type="dxa"/>
            <w:tcBorders>
              <w:top w:val="single" w:color="auto" w:sz="4" w:space="0"/>
              <w:left w:val="single" w:color="auto" w:sz="4" w:space="0"/>
              <w:right w:val="single" w:color="auto" w:sz="4" w:space="0"/>
            </w:tcBorders>
            <w:vAlign w:val="center"/>
          </w:tcPr>
          <w:p>
            <w:pPr>
              <w:tabs>
                <w:tab w:val="left" w:pos="3870"/>
                <w:tab w:val="left" w:pos="4085"/>
              </w:tabs>
              <w:rPr>
                <w:rFonts w:ascii="宋体" w:hAnsi="宋体"/>
                <w:color w:val="auto"/>
                <w:szCs w:val="21"/>
              </w:rPr>
            </w:pPr>
            <w:r>
              <w:rPr>
                <w:rFonts w:hint="eastAsia" w:ascii="宋体" w:hAnsi="宋体"/>
                <w:color w:val="auto"/>
                <w:szCs w:val="21"/>
              </w:rPr>
              <w:t>1.开标一览表；</w:t>
            </w:r>
          </w:p>
          <w:p>
            <w:pPr>
              <w:pStyle w:val="26"/>
              <w:ind w:left="0" w:leftChars="0"/>
              <w:rPr>
                <w:rFonts w:ascii="宋体" w:hAnsi="宋体" w:eastAsia="宋体"/>
                <w:color w:val="auto"/>
                <w:kern w:val="2"/>
                <w:sz w:val="21"/>
                <w:szCs w:val="21"/>
              </w:rPr>
            </w:pPr>
            <w:r>
              <w:rPr>
                <w:rFonts w:hint="eastAsia" w:ascii="宋体" w:hAnsi="宋体" w:eastAsia="宋体"/>
                <w:color w:val="auto"/>
                <w:kern w:val="2"/>
                <w:sz w:val="21"/>
                <w:szCs w:val="21"/>
              </w:rPr>
              <w:t>2.投标</w:t>
            </w:r>
            <w:r>
              <w:rPr>
                <w:rFonts w:ascii="宋体" w:hAnsi="宋体" w:eastAsia="宋体"/>
                <w:color w:val="auto"/>
                <w:kern w:val="2"/>
                <w:sz w:val="21"/>
                <w:szCs w:val="21"/>
              </w:rPr>
              <w:t>报价组成明细表</w:t>
            </w:r>
            <w:r>
              <w:rPr>
                <w:rFonts w:hint="eastAsia" w:ascii="宋体" w:hAnsi="宋体" w:eastAsia="宋体"/>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26.1</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投标</w:t>
            </w:r>
            <w:r>
              <w:rPr>
                <w:rFonts w:ascii="宋体" w:hAnsi="宋体"/>
                <w:color w:val="auto"/>
                <w:szCs w:val="21"/>
              </w:rPr>
              <w:t>有效期</w:t>
            </w:r>
          </w:p>
        </w:tc>
        <w:tc>
          <w:tcPr>
            <w:tcW w:w="548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s="Arial"/>
                <w:color w:val="auto"/>
                <w:szCs w:val="21"/>
              </w:rPr>
              <w:t>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29.1</w:t>
            </w:r>
          </w:p>
        </w:tc>
        <w:tc>
          <w:tcPr>
            <w:tcW w:w="1817" w:type="dxa"/>
            <w:tcBorders>
              <w:top w:val="single" w:color="auto" w:sz="4" w:space="0"/>
              <w:left w:val="single" w:color="auto" w:sz="4" w:space="0"/>
              <w:bottom w:val="single" w:color="auto" w:sz="4" w:space="0"/>
              <w:right w:val="single" w:color="auto" w:sz="4" w:space="0"/>
            </w:tcBorders>
            <w:vAlign w:val="center"/>
          </w:tcPr>
          <w:p>
            <w:pPr>
              <w:pStyle w:val="217"/>
              <w:widowControl w:val="0"/>
              <w:spacing w:before="0" w:beforeAutospacing="0" w:afterAutospacing="0"/>
              <w:jc w:val="both"/>
              <w:rPr>
                <w:b/>
                <w:color w:val="auto"/>
                <w:sz w:val="21"/>
                <w:szCs w:val="21"/>
              </w:rPr>
            </w:pPr>
            <w:r>
              <w:rPr>
                <w:rFonts w:hint="eastAsia"/>
                <w:color w:val="auto"/>
                <w:sz w:val="21"/>
                <w:szCs w:val="21"/>
              </w:rPr>
              <w:t>投标截止时间及地点</w:t>
            </w:r>
          </w:p>
        </w:tc>
        <w:tc>
          <w:tcPr>
            <w:tcW w:w="5486" w:type="dxa"/>
            <w:tcBorders>
              <w:top w:val="single" w:color="auto" w:sz="4" w:space="0"/>
              <w:left w:val="single" w:color="auto" w:sz="4" w:space="0"/>
              <w:bottom w:val="single" w:color="auto" w:sz="4" w:space="0"/>
              <w:right w:val="single" w:color="auto" w:sz="4" w:space="0"/>
            </w:tcBorders>
            <w:vAlign w:val="center"/>
          </w:tcPr>
          <w:p>
            <w:pPr>
              <w:pStyle w:val="217"/>
              <w:widowControl w:val="0"/>
              <w:spacing w:before="0" w:beforeAutospacing="0" w:afterAutospacing="0"/>
              <w:jc w:val="both"/>
              <w:rPr>
                <w:b/>
                <w:color w:val="auto"/>
                <w:sz w:val="21"/>
                <w:szCs w:val="21"/>
              </w:rPr>
            </w:pPr>
            <w:r>
              <w:rPr>
                <w:rFonts w:hint="eastAsia"/>
                <w:color w:val="auto"/>
                <w:sz w:val="21"/>
                <w:szCs w:val="21"/>
              </w:rPr>
              <w:t>见</w:t>
            </w:r>
            <w:r>
              <w:rPr>
                <w:rFonts w:hint="eastAsia"/>
                <w:bCs/>
                <w:color w:val="auto"/>
                <w:sz w:val="21"/>
                <w:szCs w:val="21"/>
                <w:u w:val="single"/>
              </w:rPr>
              <w:t>招标公告（投标邀请）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31.2</w:t>
            </w:r>
          </w:p>
        </w:tc>
        <w:tc>
          <w:tcPr>
            <w:tcW w:w="1817" w:type="dxa"/>
            <w:tcBorders>
              <w:top w:val="single" w:color="auto" w:sz="4" w:space="0"/>
              <w:left w:val="single" w:color="auto" w:sz="4" w:space="0"/>
              <w:bottom w:val="single" w:color="auto" w:sz="4" w:space="0"/>
              <w:right w:val="single" w:color="auto" w:sz="4" w:space="0"/>
            </w:tcBorders>
            <w:vAlign w:val="center"/>
          </w:tcPr>
          <w:p>
            <w:pPr>
              <w:pStyle w:val="217"/>
              <w:widowControl w:val="0"/>
              <w:spacing w:before="0" w:beforeAutospacing="0" w:afterAutospacing="0"/>
              <w:jc w:val="both"/>
              <w:rPr>
                <w:b/>
                <w:color w:val="auto"/>
                <w:sz w:val="21"/>
                <w:szCs w:val="21"/>
              </w:rPr>
            </w:pPr>
            <w:r>
              <w:rPr>
                <w:rFonts w:hint="eastAsia"/>
                <w:color w:val="auto"/>
                <w:sz w:val="21"/>
                <w:szCs w:val="21"/>
              </w:rPr>
              <w:t>投标文件解密时间</w:t>
            </w:r>
          </w:p>
        </w:tc>
        <w:tc>
          <w:tcPr>
            <w:tcW w:w="5486" w:type="dxa"/>
            <w:tcBorders>
              <w:top w:val="single" w:color="auto" w:sz="4" w:space="0"/>
              <w:left w:val="single" w:color="auto" w:sz="4" w:space="0"/>
              <w:bottom w:val="single" w:color="auto" w:sz="4" w:space="0"/>
              <w:right w:val="single" w:color="auto" w:sz="4" w:space="0"/>
            </w:tcBorders>
            <w:vAlign w:val="center"/>
          </w:tcPr>
          <w:p>
            <w:pPr>
              <w:pStyle w:val="217"/>
              <w:widowControl w:val="0"/>
              <w:spacing w:before="0" w:beforeAutospacing="0" w:afterAutospacing="0"/>
              <w:jc w:val="both"/>
              <w:rPr>
                <w:b/>
                <w:color w:val="auto"/>
                <w:sz w:val="21"/>
                <w:szCs w:val="21"/>
              </w:rPr>
            </w:pPr>
            <w:r>
              <w:rPr>
                <w:rFonts w:hint="eastAsia"/>
                <w:color w:val="auto"/>
                <w:sz w:val="21"/>
                <w:szCs w:val="21"/>
              </w:rPr>
              <w:t>开标后3</w:t>
            </w:r>
            <w:r>
              <w:rPr>
                <w:color w:val="auto"/>
                <w:sz w:val="21"/>
                <w:szCs w:val="21"/>
              </w:rPr>
              <w:t>0</w:t>
            </w:r>
            <w:r>
              <w:rPr>
                <w:rFonts w:hint="eastAsia"/>
                <w:color w:val="auto"/>
                <w:sz w:val="21"/>
                <w:szCs w:val="21"/>
              </w:rPr>
              <w:t>分钟内（以电子交易系统解密倒计时为准）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35.2</w:t>
            </w:r>
          </w:p>
        </w:tc>
        <w:tc>
          <w:tcPr>
            <w:tcW w:w="1817" w:type="dxa"/>
            <w:tcBorders>
              <w:top w:val="single" w:color="auto" w:sz="4" w:space="0"/>
              <w:left w:val="single" w:color="auto" w:sz="4" w:space="0"/>
              <w:bottom w:val="single" w:color="auto" w:sz="4" w:space="0"/>
              <w:right w:val="single" w:color="auto" w:sz="4" w:space="0"/>
            </w:tcBorders>
            <w:vAlign w:val="center"/>
          </w:tcPr>
          <w:p>
            <w:pPr>
              <w:pStyle w:val="217"/>
              <w:widowControl w:val="0"/>
              <w:spacing w:before="0" w:beforeAutospacing="0" w:afterAutospacing="0"/>
              <w:jc w:val="both"/>
              <w:rPr>
                <w:b/>
                <w:color w:val="auto"/>
                <w:sz w:val="21"/>
                <w:szCs w:val="21"/>
              </w:rPr>
            </w:pPr>
            <w:r>
              <w:rPr>
                <w:rFonts w:hint="eastAsia"/>
                <w:color w:val="auto"/>
                <w:sz w:val="21"/>
                <w:szCs w:val="21"/>
              </w:rPr>
              <w:t>评标方法</w:t>
            </w:r>
          </w:p>
        </w:tc>
        <w:tc>
          <w:tcPr>
            <w:tcW w:w="5486" w:type="dxa"/>
            <w:tcBorders>
              <w:top w:val="single" w:color="auto" w:sz="4" w:space="0"/>
              <w:left w:val="single" w:color="auto" w:sz="4" w:space="0"/>
              <w:bottom w:val="single" w:color="auto" w:sz="4" w:space="0"/>
              <w:right w:val="single" w:color="auto" w:sz="4" w:space="0"/>
            </w:tcBorders>
            <w:vAlign w:val="center"/>
          </w:tcPr>
          <w:p>
            <w:pPr>
              <w:pStyle w:val="217"/>
              <w:widowControl w:val="0"/>
              <w:spacing w:before="0" w:beforeAutospacing="0" w:afterAutospacing="0"/>
              <w:jc w:val="both"/>
              <w:rPr>
                <w:b/>
                <w:color w:val="auto"/>
                <w:sz w:val="21"/>
                <w:szCs w:val="21"/>
              </w:rPr>
            </w:pPr>
            <w:r>
              <w:rPr>
                <w:rFonts w:hint="eastAsia"/>
                <w:color w:val="auto"/>
                <w:sz w:val="21"/>
                <w:szCs w:val="21"/>
              </w:rPr>
              <w:t>综合评分法</w:t>
            </w:r>
          </w:p>
        </w:tc>
      </w:tr>
    </w:tbl>
    <w:p>
      <w:pPr>
        <w:pStyle w:val="176"/>
        <w:spacing w:before="120" w:after="120"/>
        <w:jc w:val="center"/>
        <w:rPr>
          <w:rFonts w:ascii="宋体" w:hAnsi="宋体" w:eastAsia="宋体"/>
          <w:color w:val="auto"/>
        </w:rPr>
      </w:pPr>
      <w:r>
        <w:rPr>
          <w:rFonts w:ascii="宋体" w:hAnsi="宋体" w:eastAsia="宋体"/>
          <w:color w:val="auto"/>
        </w:rPr>
        <w:br w:type="page"/>
      </w:r>
      <w:bookmarkStart w:id="43" w:name="_Toc118452527"/>
      <w:r>
        <w:rPr>
          <w:rFonts w:hint="eastAsia" w:ascii="宋体" w:hAnsi="宋体" w:eastAsia="宋体"/>
          <w:color w:val="auto"/>
          <w:sz w:val="21"/>
          <w:szCs w:val="21"/>
        </w:rPr>
        <w:t>一、总则</w:t>
      </w:r>
      <w:bookmarkEnd w:id="43"/>
    </w:p>
    <w:p>
      <w:pPr>
        <w:spacing w:line="360" w:lineRule="auto"/>
        <w:ind w:firstLine="422" w:firstLineChars="200"/>
        <w:jc w:val="left"/>
        <w:rPr>
          <w:rFonts w:ascii="宋体" w:hAnsi="宋体"/>
          <w:b/>
          <w:color w:val="auto"/>
          <w:szCs w:val="21"/>
        </w:rPr>
      </w:pPr>
      <w:r>
        <w:rPr>
          <w:rFonts w:hint="eastAsia" w:ascii="宋体" w:hAnsi="宋体"/>
          <w:b/>
          <w:color w:val="auto"/>
          <w:szCs w:val="21"/>
        </w:rPr>
        <w:t>1.</w:t>
      </w:r>
      <w:r>
        <w:rPr>
          <w:rFonts w:ascii="宋体" w:hAnsi="宋体"/>
          <w:b/>
          <w:color w:val="auto"/>
          <w:szCs w:val="21"/>
        </w:rPr>
        <w:t>适用范围</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本招标文件适用于本次公开招标所述的服务采购。</w:t>
      </w:r>
    </w:p>
    <w:p>
      <w:pPr>
        <w:spacing w:line="360" w:lineRule="auto"/>
        <w:ind w:firstLine="422" w:firstLineChars="200"/>
        <w:jc w:val="left"/>
        <w:rPr>
          <w:rFonts w:ascii="宋体" w:hAnsi="宋体"/>
          <w:b/>
          <w:color w:val="auto"/>
          <w:szCs w:val="21"/>
        </w:rPr>
      </w:pPr>
      <w:r>
        <w:rPr>
          <w:rFonts w:hint="eastAsia" w:ascii="宋体" w:hAnsi="宋体"/>
          <w:b/>
          <w:color w:val="auto"/>
          <w:szCs w:val="21"/>
        </w:rPr>
        <w:t>2.定义</w:t>
      </w:r>
    </w:p>
    <w:p>
      <w:pPr>
        <w:snapToGrid w:val="0"/>
        <w:spacing w:line="360" w:lineRule="auto"/>
        <w:ind w:firstLine="420" w:firstLineChars="200"/>
        <w:jc w:val="left"/>
        <w:rPr>
          <w:rFonts w:ascii="宋体" w:hAnsi="宋体" w:cs="Arial"/>
          <w:color w:val="auto"/>
          <w:szCs w:val="21"/>
        </w:rPr>
      </w:pPr>
      <w:r>
        <w:rPr>
          <w:rFonts w:hint="eastAsia" w:ascii="宋体" w:hAnsi="宋体" w:cs="Arial"/>
          <w:color w:val="auto"/>
          <w:szCs w:val="21"/>
        </w:rPr>
        <w:t>2.1</w:t>
      </w:r>
      <w:r>
        <w:rPr>
          <w:rFonts w:ascii="宋体" w:hAnsi="宋体" w:cs="Arial"/>
          <w:color w:val="auto"/>
          <w:szCs w:val="21"/>
        </w:rPr>
        <w:t>书面形式</w:t>
      </w:r>
      <w:r>
        <w:rPr>
          <w:rFonts w:hint="eastAsia" w:ascii="宋体" w:hAnsi="宋体" w:cs="Arial"/>
          <w:color w:val="auto"/>
          <w:szCs w:val="21"/>
        </w:rPr>
        <w:t>：</w:t>
      </w:r>
      <w:r>
        <w:rPr>
          <w:rFonts w:ascii="宋体" w:hAnsi="宋体" w:cs="Arial"/>
          <w:color w:val="auto"/>
          <w:szCs w:val="21"/>
        </w:rPr>
        <w:t>包括</w:t>
      </w:r>
      <w:r>
        <w:rPr>
          <w:rFonts w:hint="eastAsia" w:ascii="宋体" w:hAnsi="宋体" w:cs="Arial"/>
          <w:color w:val="auto"/>
          <w:szCs w:val="21"/>
        </w:rPr>
        <w:t>信件、</w:t>
      </w:r>
      <w:r>
        <w:rPr>
          <w:rFonts w:ascii="宋体" w:hAnsi="宋体" w:cs="Arial"/>
          <w:color w:val="auto"/>
          <w:szCs w:val="21"/>
        </w:rPr>
        <w:t>电报、电传、传真</w:t>
      </w:r>
      <w:r>
        <w:rPr>
          <w:rFonts w:hint="eastAsia" w:ascii="宋体" w:hAnsi="宋体" w:cs="Arial"/>
          <w:color w:val="auto"/>
          <w:szCs w:val="21"/>
        </w:rPr>
        <w:t>、网上公告</w:t>
      </w:r>
      <w:r>
        <w:rPr>
          <w:rFonts w:ascii="宋体" w:hAnsi="宋体" w:cs="Arial"/>
          <w:color w:val="auto"/>
          <w:szCs w:val="21"/>
        </w:rPr>
        <w:t>等可以有形地表现所载内容的形式</w:t>
      </w:r>
      <w:r>
        <w:rPr>
          <w:rFonts w:hint="eastAsia" w:ascii="宋体" w:hAnsi="宋体" w:cs="Arial"/>
          <w:color w:val="auto"/>
          <w:szCs w:val="21"/>
        </w:rPr>
        <w:t>。以电子数据交换、电子邮件等方式能够有形地表现所载内容，并可以随时调取查用的数据电文，视为书面形式。</w:t>
      </w:r>
    </w:p>
    <w:p>
      <w:pPr>
        <w:spacing w:line="360" w:lineRule="auto"/>
        <w:ind w:firstLine="420" w:firstLineChars="200"/>
        <w:rPr>
          <w:rFonts w:ascii="宋体" w:hAnsi="宋体" w:cs="宋体"/>
          <w:color w:val="auto"/>
          <w:szCs w:val="21"/>
        </w:rPr>
      </w:pPr>
      <w:r>
        <w:rPr>
          <w:rFonts w:hint="eastAsia" w:ascii="宋体" w:hAnsi="宋体" w:cs="Arial"/>
          <w:color w:val="auto"/>
          <w:szCs w:val="21"/>
        </w:rPr>
        <w:t>2.2标注</w:t>
      </w:r>
      <w:r>
        <w:rPr>
          <w:rFonts w:ascii="宋体" w:hAnsi="宋体" w:cs="Arial"/>
          <w:color w:val="auto"/>
          <w:szCs w:val="21"/>
        </w:rPr>
        <w:t>“▲”</w:t>
      </w:r>
      <w:r>
        <w:rPr>
          <w:rFonts w:hint="eastAsia" w:ascii="宋体" w:hAnsi="宋体" w:cs="Arial"/>
          <w:color w:val="auto"/>
          <w:szCs w:val="21"/>
        </w:rPr>
        <w:t>的属于招标文件的</w:t>
      </w:r>
      <w:r>
        <w:rPr>
          <w:rFonts w:ascii="宋体" w:hAnsi="宋体" w:cs="Arial"/>
          <w:color w:val="auto"/>
          <w:szCs w:val="21"/>
        </w:rPr>
        <w:t>实质性要求条款</w:t>
      </w:r>
      <w:r>
        <w:rPr>
          <w:rFonts w:hint="eastAsia" w:ascii="宋体" w:hAnsi="宋体" w:cs="宋体"/>
          <w:color w:val="auto"/>
          <w:szCs w:val="21"/>
        </w:rPr>
        <w:t>，“</w:t>
      </w:r>
      <w:r>
        <w:rPr>
          <w:rFonts w:hint="eastAsia" w:ascii="宋体" w:hAnsi="宋体" w:cs="宋体"/>
          <w:color w:val="auto"/>
          <w:kern w:val="0"/>
        </w:rPr>
        <w:sym w:font="Wingdings" w:char="F0FE"/>
      </w:r>
      <w:r>
        <w:rPr>
          <w:rFonts w:hint="eastAsia" w:ascii="宋体" w:hAnsi="宋体" w:cs="宋体"/>
          <w:color w:val="auto"/>
          <w:szCs w:val="21"/>
        </w:rPr>
        <w:t>”系指适用本项目的要求，“</w:t>
      </w:r>
      <w:r>
        <w:rPr>
          <w:rFonts w:hint="eastAsia" w:ascii="MS Mincho" w:hAnsi="MS Mincho" w:eastAsia="MS Mincho" w:cs="MS Mincho"/>
          <w:color w:val="auto"/>
          <w:kern w:val="0"/>
          <w:szCs w:val="21"/>
        </w:rPr>
        <w:t>☐</w:t>
      </w:r>
      <w:r>
        <w:rPr>
          <w:rFonts w:hint="eastAsia" w:ascii="宋体" w:hAnsi="宋体" w:cs="宋体"/>
          <w:color w:val="auto"/>
          <w:szCs w:val="21"/>
        </w:rPr>
        <w:t>”系指不适用本项目的要求。</w:t>
      </w:r>
    </w:p>
    <w:p>
      <w:pPr>
        <w:snapToGrid w:val="0"/>
        <w:spacing w:line="360" w:lineRule="auto"/>
        <w:ind w:firstLine="420" w:firstLineChars="200"/>
        <w:jc w:val="left"/>
        <w:rPr>
          <w:rFonts w:ascii="宋体" w:hAnsi="宋体" w:cs="Arial"/>
          <w:color w:val="auto"/>
          <w:szCs w:val="21"/>
        </w:rPr>
      </w:pPr>
      <w:r>
        <w:rPr>
          <w:rFonts w:hint="eastAsia" w:ascii="宋体" w:hAnsi="宋体" w:cs="Arial"/>
          <w:color w:val="auto"/>
          <w:szCs w:val="21"/>
        </w:rPr>
        <w:t>2.3公章：</w:t>
      </w:r>
      <w:r>
        <w:rPr>
          <w:rFonts w:ascii="宋体" w:hAnsi="宋体" w:cs="Arial"/>
          <w:color w:val="auto"/>
          <w:szCs w:val="21"/>
        </w:rPr>
        <w:t>投标人在投标文件及通知等事项的书面文件中的单位盖章、公章等处，均仅指与投标当事人名称全称相一致的标准公章</w:t>
      </w:r>
      <w:r>
        <w:rPr>
          <w:rFonts w:hint="eastAsia" w:ascii="宋体" w:hAnsi="宋体" w:cs="Arial"/>
          <w:color w:val="auto"/>
          <w:szCs w:val="21"/>
        </w:rPr>
        <w:t>（行政章）</w:t>
      </w:r>
      <w:r>
        <w:rPr>
          <w:rFonts w:ascii="宋体" w:hAnsi="宋体" w:cs="Arial"/>
          <w:color w:val="auto"/>
          <w:szCs w:val="21"/>
        </w:rPr>
        <w:t>，不得使用其它形式，如带有“专用章”</w:t>
      </w:r>
      <w:r>
        <w:rPr>
          <w:rFonts w:hint="eastAsia" w:ascii="宋体" w:hAnsi="宋体" w:cs="Arial"/>
          <w:color w:val="auto"/>
          <w:szCs w:val="21"/>
        </w:rPr>
        <w:t>“业务章”</w:t>
      </w:r>
      <w:r>
        <w:rPr>
          <w:rFonts w:ascii="宋体" w:hAnsi="宋体" w:cs="Arial"/>
          <w:color w:val="auto"/>
          <w:szCs w:val="21"/>
        </w:rPr>
        <w:t>等字样的印章。</w:t>
      </w:r>
    </w:p>
    <w:p>
      <w:pPr>
        <w:wordWrap w:val="0"/>
        <w:snapToGrid w:val="0"/>
        <w:spacing w:line="360" w:lineRule="auto"/>
        <w:ind w:firstLine="420" w:firstLineChars="200"/>
        <w:jc w:val="left"/>
        <w:rPr>
          <w:rFonts w:ascii="宋体" w:hAnsi="宋体" w:cs="Arial"/>
          <w:color w:val="auto"/>
          <w:szCs w:val="21"/>
        </w:rPr>
      </w:pPr>
      <w:r>
        <w:rPr>
          <w:rFonts w:hint="eastAsia" w:ascii="宋体" w:hAnsi="宋体" w:cs="Arial"/>
          <w:color w:val="auto"/>
          <w:szCs w:val="21"/>
        </w:rPr>
        <w:t>2.4“电子交易平台”是指本项目政府采购活动所依托的政府采购云平台（https://www.zcygov.cn/）。</w:t>
      </w:r>
    </w:p>
    <w:p>
      <w:pPr>
        <w:snapToGrid w:val="0"/>
        <w:spacing w:line="360" w:lineRule="auto"/>
        <w:ind w:firstLine="420" w:firstLineChars="200"/>
        <w:jc w:val="left"/>
        <w:rPr>
          <w:rFonts w:ascii="宋体" w:hAnsi="宋体" w:cs="Arial"/>
          <w:color w:val="auto"/>
          <w:szCs w:val="21"/>
        </w:rPr>
      </w:pPr>
      <w:r>
        <w:rPr>
          <w:rFonts w:hint="eastAsia" w:ascii="宋体" w:hAnsi="宋体" w:cs="Arial"/>
          <w:color w:val="auto"/>
          <w:szCs w:val="21"/>
        </w:rPr>
        <w:t>2.5电子签章：为投标人单位法定名称电子公章。</w:t>
      </w:r>
    </w:p>
    <w:p>
      <w:pPr>
        <w:snapToGrid w:val="0"/>
        <w:spacing w:line="360" w:lineRule="auto"/>
        <w:ind w:firstLine="420" w:firstLineChars="200"/>
        <w:jc w:val="left"/>
        <w:rPr>
          <w:rFonts w:ascii="宋体" w:hAnsi="宋体" w:cs="Arial"/>
          <w:color w:val="auto"/>
          <w:szCs w:val="21"/>
        </w:rPr>
      </w:pPr>
      <w:r>
        <w:rPr>
          <w:rFonts w:hint="eastAsia" w:ascii="宋体" w:hAnsi="宋体" w:cs="Arial"/>
          <w:color w:val="auto"/>
          <w:szCs w:val="21"/>
        </w:rPr>
        <w:t>2.6依法获取招标文件：供应商按照</w:t>
      </w:r>
      <w:r>
        <w:rPr>
          <w:rFonts w:hint="eastAsia" w:ascii="宋体" w:hAnsi="宋体"/>
          <w:bCs/>
          <w:color w:val="auto"/>
          <w:szCs w:val="21"/>
          <w:u w:val="single"/>
        </w:rPr>
        <w:t>招标公告（投标邀请）</w:t>
      </w:r>
      <w:r>
        <w:rPr>
          <w:rFonts w:hint="eastAsia" w:ascii="宋体" w:hAnsi="宋体"/>
          <w:bCs/>
          <w:color w:val="auto"/>
          <w:szCs w:val="21"/>
        </w:rPr>
        <w:t>第三条的约定实施，并最终在</w:t>
      </w:r>
      <w:r>
        <w:rPr>
          <w:rFonts w:hint="eastAsia" w:ascii="宋体" w:hAnsi="宋体"/>
          <w:color w:val="auto"/>
        </w:rPr>
        <w:t>政采云平台系统后台显示通过。</w:t>
      </w:r>
    </w:p>
    <w:p>
      <w:pPr>
        <w:spacing w:line="360" w:lineRule="auto"/>
        <w:ind w:firstLine="422" w:firstLineChars="200"/>
        <w:jc w:val="left"/>
        <w:rPr>
          <w:rFonts w:ascii="宋体" w:hAnsi="宋体"/>
          <w:b/>
          <w:color w:val="auto"/>
          <w:szCs w:val="21"/>
        </w:rPr>
      </w:pPr>
      <w:r>
        <w:rPr>
          <w:rFonts w:hint="eastAsia" w:ascii="宋体" w:hAnsi="宋体"/>
          <w:b/>
          <w:color w:val="auto"/>
          <w:szCs w:val="21"/>
        </w:rPr>
        <w:t>3</w:t>
      </w:r>
      <w:r>
        <w:rPr>
          <w:rFonts w:ascii="宋体" w:hAnsi="宋体"/>
          <w:b/>
          <w:color w:val="auto"/>
          <w:szCs w:val="21"/>
        </w:rPr>
        <w:t>.</w:t>
      </w:r>
      <w:r>
        <w:rPr>
          <w:rFonts w:hint="eastAsia" w:ascii="宋体" w:hAnsi="宋体"/>
          <w:b/>
          <w:color w:val="auto"/>
          <w:szCs w:val="21"/>
        </w:rPr>
        <w:t>采购人、采购代理机构及投标人</w:t>
      </w:r>
    </w:p>
    <w:p>
      <w:pPr>
        <w:spacing w:line="360" w:lineRule="auto"/>
        <w:ind w:firstLine="435"/>
        <w:rPr>
          <w:rFonts w:ascii="宋体" w:hAnsi="宋体"/>
          <w:color w:val="auto"/>
          <w:szCs w:val="21"/>
        </w:rPr>
      </w:pPr>
      <w:r>
        <w:rPr>
          <w:rFonts w:hint="eastAsia" w:ascii="宋体" w:hAnsi="宋体"/>
          <w:color w:val="auto"/>
          <w:szCs w:val="21"/>
        </w:rPr>
        <w:t>3</w:t>
      </w:r>
      <w:r>
        <w:rPr>
          <w:rFonts w:ascii="宋体" w:hAnsi="宋体"/>
          <w:color w:val="auto"/>
          <w:szCs w:val="21"/>
        </w:rPr>
        <w:t>.1采购人：是指依法开展政府采购活动的国家机关、事业单位、团体组织。</w:t>
      </w:r>
      <w:r>
        <w:rPr>
          <w:rFonts w:hint="eastAsia" w:ascii="宋体" w:hAnsi="宋体"/>
          <w:color w:val="auto"/>
          <w:szCs w:val="21"/>
        </w:rPr>
        <w:t>本项目的采购人见</w:t>
      </w:r>
      <w:r>
        <w:rPr>
          <w:rFonts w:hint="eastAsia" w:ascii="宋体" w:hAnsi="宋体"/>
          <w:color w:val="auto"/>
          <w:szCs w:val="21"/>
          <w:u w:val="single"/>
        </w:rPr>
        <w:t>投标人须知前附表</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3</w:t>
      </w:r>
      <w:r>
        <w:rPr>
          <w:rFonts w:ascii="宋体" w:hAnsi="宋体"/>
          <w:color w:val="auto"/>
          <w:szCs w:val="21"/>
        </w:rPr>
        <w:t>.2采购代理机构：是指从事采购代理业务的社会中介机构。本项目的采购代理机构见</w:t>
      </w:r>
      <w:r>
        <w:rPr>
          <w:rFonts w:hint="eastAsia" w:ascii="宋体" w:hAnsi="宋体"/>
          <w:color w:val="auto"/>
          <w:szCs w:val="21"/>
          <w:u w:val="single"/>
        </w:rPr>
        <w:t>投标人须知前附表</w:t>
      </w:r>
      <w:r>
        <w:rPr>
          <w:rFonts w:ascii="宋体" w:hAnsi="宋体"/>
          <w:color w:val="auto"/>
          <w:szCs w:val="21"/>
        </w:rPr>
        <w:t>。</w:t>
      </w:r>
    </w:p>
    <w:p>
      <w:pPr>
        <w:spacing w:line="360" w:lineRule="auto"/>
        <w:ind w:firstLine="435"/>
        <w:rPr>
          <w:rFonts w:ascii="宋体" w:hAnsi="宋体"/>
          <w:color w:val="auto"/>
          <w:szCs w:val="21"/>
        </w:rPr>
      </w:pPr>
      <w:r>
        <w:rPr>
          <w:rFonts w:ascii="宋体" w:hAnsi="宋体"/>
          <w:color w:val="auto"/>
          <w:szCs w:val="21"/>
        </w:rPr>
        <w:t>3.3政府采购监督管理部门：</w:t>
      </w:r>
      <w:r>
        <w:rPr>
          <w:rFonts w:hint="eastAsia" w:ascii="宋体" w:hAnsi="宋体"/>
          <w:color w:val="auto"/>
          <w:szCs w:val="21"/>
        </w:rPr>
        <w:t>各级人民政府指定的有关部门依法履行与政府采购活动有关的监督管理职责。本项目的政府采购监督管理部门见</w:t>
      </w:r>
      <w:r>
        <w:rPr>
          <w:rFonts w:hint="eastAsia" w:ascii="宋体" w:hAnsi="宋体"/>
          <w:color w:val="auto"/>
          <w:szCs w:val="21"/>
          <w:u w:val="single"/>
        </w:rPr>
        <w:t>投标人须知前附表</w:t>
      </w:r>
      <w:r>
        <w:rPr>
          <w:rFonts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3</w:t>
      </w:r>
      <w:r>
        <w:rPr>
          <w:rFonts w:ascii="宋体" w:hAnsi="宋体"/>
          <w:color w:val="auto"/>
          <w:szCs w:val="21"/>
        </w:rPr>
        <w:t>.4投标人</w:t>
      </w:r>
      <w:r>
        <w:rPr>
          <w:rFonts w:hint="eastAsia" w:ascii="宋体" w:hAnsi="宋体"/>
          <w:color w:val="auto"/>
          <w:szCs w:val="21"/>
        </w:rPr>
        <w:t>（供应商）</w:t>
      </w:r>
      <w:r>
        <w:rPr>
          <w:rFonts w:ascii="宋体" w:hAnsi="宋体"/>
          <w:color w:val="auto"/>
          <w:szCs w:val="21"/>
        </w:rPr>
        <w:t>：</w:t>
      </w:r>
      <w:r>
        <w:rPr>
          <w:rFonts w:hint="eastAsia" w:ascii="宋体" w:hAnsi="宋体"/>
          <w:color w:val="auto"/>
          <w:szCs w:val="21"/>
        </w:rPr>
        <w:t>是指向采购人提供货物、工程或者服务的法人、其他组织或者自然人</w:t>
      </w:r>
      <w:r>
        <w:rPr>
          <w:rFonts w:hint="eastAsia" w:ascii="宋体" w:hAnsi="宋体"/>
          <w:b/>
          <w:color w:val="auto"/>
          <w:szCs w:val="21"/>
        </w:rPr>
        <w:t>。</w:t>
      </w:r>
      <w:r>
        <w:rPr>
          <w:rFonts w:ascii="宋体" w:hAnsi="宋体"/>
          <w:color w:val="auto"/>
          <w:szCs w:val="21"/>
        </w:rPr>
        <w:t>本项目的投标人须满足</w:t>
      </w:r>
      <w:r>
        <w:rPr>
          <w:rFonts w:hint="eastAsia" w:ascii="宋体" w:hAnsi="宋体"/>
          <w:color w:val="auto"/>
          <w:szCs w:val="21"/>
          <w:u w:val="single"/>
        </w:rPr>
        <w:t>招标公告（投标邀请）</w:t>
      </w:r>
      <w:r>
        <w:rPr>
          <w:rFonts w:hint="eastAsia" w:ascii="宋体" w:hAnsi="宋体"/>
          <w:color w:val="auto"/>
          <w:szCs w:val="21"/>
        </w:rPr>
        <w:t>中</w:t>
      </w:r>
      <w:r>
        <w:rPr>
          <w:rFonts w:ascii="宋体" w:hAnsi="宋体"/>
          <w:color w:val="auto"/>
          <w:szCs w:val="21"/>
        </w:rPr>
        <w:t>关于</w:t>
      </w:r>
      <w:r>
        <w:rPr>
          <w:rFonts w:hint="eastAsia" w:ascii="宋体" w:hAnsi="宋体"/>
          <w:color w:val="auto"/>
          <w:szCs w:val="21"/>
        </w:rPr>
        <w:t>申请人的资格要求</w:t>
      </w:r>
      <w:r>
        <w:rPr>
          <w:rFonts w:ascii="宋体" w:hAnsi="宋体"/>
          <w:color w:val="auto"/>
          <w:szCs w:val="21"/>
        </w:rPr>
        <w:t>的规定。</w:t>
      </w:r>
    </w:p>
    <w:p>
      <w:pPr>
        <w:spacing w:line="360" w:lineRule="auto"/>
        <w:ind w:firstLine="435"/>
        <w:rPr>
          <w:rFonts w:ascii="宋体" w:hAnsi="宋体"/>
          <w:bCs/>
          <w:color w:val="auto"/>
          <w:kern w:val="0"/>
          <w:szCs w:val="21"/>
        </w:rPr>
      </w:pPr>
      <w:bookmarkStart w:id="44" w:name="_Hlk60580861"/>
      <w:r>
        <w:rPr>
          <w:rFonts w:hint="eastAsia" w:ascii="宋体" w:hAnsi="宋体"/>
          <w:bCs/>
          <w:color w:val="auto"/>
          <w:kern w:val="0"/>
          <w:szCs w:val="21"/>
        </w:rPr>
        <w:t>3</w:t>
      </w:r>
      <w:r>
        <w:rPr>
          <w:rFonts w:ascii="宋体" w:hAnsi="宋体"/>
          <w:bCs/>
          <w:color w:val="auto"/>
          <w:kern w:val="0"/>
          <w:szCs w:val="21"/>
        </w:rPr>
        <w:t>.5</w:t>
      </w:r>
      <w:r>
        <w:rPr>
          <w:rFonts w:hint="eastAsia" w:ascii="宋体" w:hAnsi="宋体"/>
          <w:bCs/>
          <w:color w:val="auto"/>
          <w:kern w:val="0"/>
          <w:szCs w:val="21"/>
        </w:rPr>
        <w:t>本项目不接受</w:t>
      </w:r>
      <w:r>
        <w:rPr>
          <w:rFonts w:ascii="宋体" w:hAnsi="宋体"/>
          <w:bCs/>
          <w:color w:val="auto"/>
          <w:kern w:val="0"/>
          <w:szCs w:val="21"/>
        </w:rPr>
        <w:t>联合体投标</w:t>
      </w:r>
      <w:r>
        <w:rPr>
          <w:rFonts w:hint="eastAsia" w:ascii="宋体" w:hAnsi="宋体"/>
          <w:bCs/>
          <w:color w:val="auto"/>
          <w:kern w:val="0"/>
          <w:szCs w:val="21"/>
        </w:rPr>
        <w:t>。</w:t>
      </w:r>
    </w:p>
    <w:bookmarkEnd w:id="44"/>
    <w:p>
      <w:pPr>
        <w:spacing w:line="360" w:lineRule="auto"/>
        <w:ind w:firstLine="435"/>
        <w:rPr>
          <w:rFonts w:ascii="宋体" w:hAnsi="宋体"/>
          <w:color w:val="auto"/>
          <w:szCs w:val="21"/>
        </w:rPr>
      </w:pPr>
      <w:r>
        <w:rPr>
          <w:rFonts w:hint="eastAsia" w:ascii="宋体" w:hAnsi="宋体"/>
          <w:color w:val="auto"/>
          <w:szCs w:val="21"/>
        </w:rPr>
        <w:t>3</w:t>
      </w:r>
      <w:r>
        <w:rPr>
          <w:rFonts w:ascii="宋体" w:hAnsi="宋体"/>
          <w:color w:val="auto"/>
          <w:szCs w:val="21"/>
        </w:rPr>
        <w:t>.6单位负责人为同一人或者存在直接控股、管理关系的不同供应商，</w:t>
      </w:r>
      <w:r>
        <w:rPr>
          <w:rFonts w:hint="eastAsia" w:ascii="宋体" w:hAnsi="宋体"/>
          <w:color w:val="auto"/>
          <w:szCs w:val="21"/>
        </w:rPr>
        <w:t>不得参加同一合同项下的政府采购活动，否则其投标将被认定为</w:t>
      </w:r>
      <w:r>
        <w:rPr>
          <w:rFonts w:hint="eastAsia" w:ascii="宋体" w:hAnsi="宋体"/>
          <w:b/>
          <w:bCs/>
          <w:color w:val="auto"/>
          <w:szCs w:val="21"/>
        </w:rPr>
        <w:t>投标无效</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3</w:t>
      </w:r>
      <w:r>
        <w:rPr>
          <w:rFonts w:ascii="宋体" w:hAnsi="宋体"/>
          <w:color w:val="auto"/>
          <w:szCs w:val="21"/>
        </w:rPr>
        <w:t>.7为本项目提供过整体设计、规范编制或者项目管理、监理、检测等服务的供应商，不得再参加本项目的采购活动</w:t>
      </w:r>
      <w:bookmarkStart w:id="45" w:name="_Hlk13431092"/>
      <w:r>
        <w:rPr>
          <w:rFonts w:hint="eastAsia" w:ascii="宋体" w:hAnsi="宋体"/>
          <w:color w:val="auto"/>
          <w:szCs w:val="21"/>
        </w:rPr>
        <w:t>，</w:t>
      </w:r>
      <w:r>
        <w:rPr>
          <w:rFonts w:ascii="宋体" w:hAnsi="宋体"/>
          <w:color w:val="auto"/>
          <w:szCs w:val="21"/>
        </w:rPr>
        <w:t>否则其投标将被认定为</w:t>
      </w:r>
      <w:r>
        <w:rPr>
          <w:rFonts w:ascii="宋体" w:hAnsi="宋体"/>
          <w:b/>
          <w:color w:val="auto"/>
          <w:szCs w:val="21"/>
        </w:rPr>
        <w:t>投标无效</w:t>
      </w:r>
      <w:r>
        <w:rPr>
          <w:rFonts w:ascii="宋体" w:hAnsi="宋体"/>
          <w:color w:val="auto"/>
          <w:szCs w:val="21"/>
        </w:rPr>
        <w:t>。</w:t>
      </w:r>
      <w:bookmarkEnd w:id="45"/>
    </w:p>
    <w:p>
      <w:pPr>
        <w:spacing w:line="360" w:lineRule="auto"/>
        <w:ind w:firstLine="435"/>
        <w:rPr>
          <w:rFonts w:ascii="宋体" w:hAnsi="宋体"/>
          <w:b/>
          <w:color w:val="auto"/>
          <w:szCs w:val="21"/>
        </w:rPr>
      </w:pPr>
      <w:r>
        <w:rPr>
          <w:rFonts w:hint="eastAsia" w:ascii="宋体" w:hAnsi="宋体"/>
          <w:b/>
          <w:color w:val="auto"/>
          <w:szCs w:val="21"/>
        </w:rPr>
        <w:t>4</w:t>
      </w:r>
      <w:r>
        <w:rPr>
          <w:rFonts w:ascii="宋体" w:hAnsi="宋体"/>
          <w:b/>
          <w:color w:val="auto"/>
          <w:szCs w:val="21"/>
        </w:rPr>
        <w:t>.</w:t>
      </w:r>
      <w:r>
        <w:rPr>
          <w:rFonts w:hint="eastAsia" w:ascii="宋体" w:hAnsi="宋体"/>
          <w:b/>
          <w:color w:val="auto"/>
          <w:szCs w:val="21"/>
        </w:rPr>
        <w:t>资金来源</w:t>
      </w:r>
    </w:p>
    <w:p>
      <w:pPr>
        <w:spacing w:line="360" w:lineRule="auto"/>
        <w:ind w:firstLine="435"/>
        <w:rPr>
          <w:rFonts w:ascii="宋体" w:hAnsi="宋体"/>
          <w:color w:val="auto"/>
          <w:szCs w:val="21"/>
        </w:rPr>
      </w:pPr>
      <w:r>
        <w:rPr>
          <w:rFonts w:hint="eastAsia" w:ascii="宋体" w:hAnsi="宋体"/>
          <w:color w:val="auto"/>
          <w:szCs w:val="21"/>
        </w:rPr>
        <w:t>4</w:t>
      </w:r>
      <w:r>
        <w:rPr>
          <w:rFonts w:ascii="宋体" w:hAnsi="宋体"/>
          <w:color w:val="auto"/>
          <w:szCs w:val="21"/>
        </w:rPr>
        <w:t>.1</w:t>
      </w:r>
      <w:r>
        <w:rPr>
          <w:rFonts w:hint="eastAsia" w:ascii="宋体" w:hAnsi="宋体"/>
          <w:color w:val="auto"/>
          <w:szCs w:val="21"/>
        </w:rPr>
        <w:t>本项目的采购人已获得足以支付本次招标后所签订的合同项下的资金。</w:t>
      </w:r>
    </w:p>
    <w:p>
      <w:pPr>
        <w:spacing w:line="360" w:lineRule="auto"/>
        <w:ind w:firstLine="435"/>
        <w:rPr>
          <w:rFonts w:ascii="宋体" w:hAnsi="宋体"/>
          <w:color w:val="auto"/>
          <w:szCs w:val="21"/>
        </w:rPr>
      </w:pPr>
      <w:bookmarkStart w:id="46" w:name="_Hlk11702998"/>
      <w:r>
        <w:rPr>
          <w:rFonts w:hint="eastAsia" w:ascii="宋体" w:hAnsi="宋体"/>
          <w:color w:val="auto"/>
          <w:szCs w:val="21"/>
        </w:rPr>
        <w:t>4.2项目预算金额和最高限价见</w:t>
      </w:r>
      <w:r>
        <w:rPr>
          <w:rFonts w:hint="eastAsia" w:ascii="宋体" w:hAnsi="宋体"/>
          <w:bCs/>
          <w:color w:val="auto"/>
          <w:kern w:val="0"/>
          <w:szCs w:val="21"/>
          <w:u w:val="single"/>
        </w:rPr>
        <w:t>招标公告（投标邀请）</w:t>
      </w:r>
      <w:r>
        <w:rPr>
          <w:rFonts w:hint="eastAsia" w:ascii="宋体" w:hAnsi="宋体"/>
          <w:color w:val="auto"/>
          <w:szCs w:val="21"/>
        </w:rPr>
        <w:t>。</w:t>
      </w:r>
    </w:p>
    <w:bookmarkEnd w:id="46"/>
    <w:p>
      <w:pPr>
        <w:spacing w:line="360" w:lineRule="auto"/>
        <w:ind w:firstLine="422" w:firstLineChars="200"/>
        <w:jc w:val="left"/>
        <w:rPr>
          <w:rFonts w:ascii="宋体" w:hAnsi="宋体"/>
          <w:b/>
          <w:color w:val="auto"/>
          <w:szCs w:val="21"/>
        </w:rPr>
      </w:pPr>
      <w:r>
        <w:rPr>
          <w:rFonts w:hint="eastAsia" w:ascii="宋体" w:hAnsi="宋体"/>
          <w:b/>
          <w:color w:val="auto"/>
          <w:szCs w:val="21"/>
        </w:rPr>
        <w:t>5.投标委托</w:t>
      </w:r>
    </w:p>
    <w:p>
      <w:pPr>
        <w:pStyle w:val="183"/>
        <w:widowControl w:val="0"/>
        <w:spacing w:afterLines="0" w:line="360" w:lineRule="auto"/>
        <w:ind w:firstLine="420"/>
        <w:rPr>
          <w:rFonts w:ascii="宋体" w:hAnsi="宋体"/>
          <w:color w:val="auto"/>
          <w:sz w:val="21"/>
          <w:szCs w:val="21"/>
        </w:rPr>
      </w:pPr>
      <w:r>
        <w:rPr>
          <w:rFonts w:hint="eastAsia" w:ascii="宋体" w:hAnsi="宋体"/>
          <w:color w:val="auto"/>
          <w:sz w:val="21"/>
          <w:szCs w:val="21"/>
        </w:rPr>
        <w:t>投标文件的签署人应当为投标人的法定代表人，并在投标文件中提供法定代表人身份证正反面复印件。如投标人委托他人签署投标文件办理投标事务的，投标文件中提供投标人</w:t>
      </w:r>
      <w:r>
        <w:rPr>
          <w:rFonts w:ascii="宋体" w:hAnsi="宋体"/>
          <w:color w:val="auto"/>
          <w:sz w:val="21"/>
          <w:szCs w:val="21"/>
        </w:rPr>
        <w:t>出具的授权委托书</w:t>
      </w:r>
      <w:r>
        <w:rPr>
          <w:rFonts w:hint="eastAsia" w:ascii="宋体" w:hAnsi="宋体"/>
          <w:color w:val="auto"/>
          <w:sz w:val="21"/>
          <w:szCs w:val="21"/>
        </w:rPr>
        <w:t>及</w:t>
      </w:r>
      <w:r>
        <w:rPr>
          <w:rFonts w:ascii="宋体" w:hAnsi="宋体"/>
          <w:color w:val="auto"/>
          <w:sz w:val="21"/>
          <w:szCs w:val="21"/>
        </w:rPr>
        <w:t>法定代表人</w:t>
      </w:r>
      <w:r>
        <w:rPr>
          <w:rFonts w:hint="eastAsia" w:ascii="宋体" w:hAnsi="宋体"/>
          <w:color w:val="auto"/>
          <w:sz w:val="21"/>
          <w:szCs w:val="21"/>
        </w:rPr>
        <w:t>和授权代表的身份证正反面复印件</w:t>
      </w:r>
      <w:r>
        <w:rPr>
          <w:rFonts w:ascii="宋体" w:hAnsi="宋体"/>
          <w:color w:val="auto"/>
          <w:sz w:val="21"/>
          <w:szCs w:val="21"/>
        </w:rPr>
        <w:t>。</w:t>
      </w:r>
    </w:p>
    <w:p>
      <w:pPr>
        <w:spacing w:line="360" w:lineRule="auto"/>
        <w:ind w:firstLine="422" w:firstLineChars="200"/>
        <w:jc w:val="left"/>
        <w:rPr>
          <w:rFonts w:ascii="宋体" w:hAnsi="宋体"/>
          <w:b/>
          <w:color w:val="auto"/>
          <w:szCs w:val="21"/>
        </w:rPr>
      </w:pPr>
      <w:r>
        <w:rPr>
          <w:rFonts w:hint="eastAsia" w:ascii="宋体" w:hAnsi="宋体"/>
          <w:b/>
          <w:color w:val="auto"/>
          <w:szCs w:val="21"/>
        </w:rPr>
        <w:t>6.投标费用</w:t>
      </w:r>
    </w:p>
    <w:p>
      <w:pPr>
        <w:pStyle w:val="183"/>
        <w:widowControl w:val="0"/>
        <w:spacing w:afterLines="0" w:line="360" w:lineRule="auto"/>
        <w:ind w:firstLine="420"/>
        <w:rPr>
          <w:rFonts w:ascii="宋体" w:hAnsi="宋体"/>
          <w:color w:val="auto"/>
          <w:sz w:val="21"/>
          <w:szCs w:val="21"/>
        </w:rPr>
      </w:pPr>
      <w:r>
        <w:rPr>
          <w:rFonts w:hint="eastAsia" w:ascii="宋体" w:hAnsi="宋体"/>
          <w:color w:val="auto"/>
          <w:sz w:val="21"/>
          <w:szCs w:val="21"/>
        </w:rPr>
        <w:t>不论投标的结果如何，投标人自行承担所有与准备和参加投标有关的费用。</w:t>
      </w:r>
    </w:p>
    <w:p>
      <w:pPr>
        <w:spacing w:line="360" w:lineRule="auto"/>
        <w:ind w:firstLine="422" w:firstLineChars="200"/>
        <w:jc w:val="left"/>
        <w:rPr>
          <w:rFonts w:ascii="宋体" w:hAnsi="宋体"/>
          <w:b/>
          <w:color w:val="auto"/>
          <w:szCs w:val="21"/>
        </w:rPr>
      </w:pPr>
      <w:r>
        <w:rPr>
          <w:rFonts w:hint="eastAsia" w:ascii="宋体" w:hAnsi="宋体"/>
          <w:b/>
          <w:color w:val="auto"/>
          <w:szCs w:val="21"/>
        </w:rPr>
        <w:t>7</w:t>
      </w:r>
      <w:r>
        <w:rPr>
          <w:rFonts w:ascii="宋体" w:hAnsi="宋体"/>
          <w:b/>
          <w:color w:val="auto"/>
          <w:szCs w:val="21"/>
        </w:rPr>
        <w:t>.</w:t>
      </w:r>
      <w:r>
        <w:rPr>
          <w:rFonts w:hint="eastAsia" w:ascii="宋体" w:hAnsi="宋体"/>
          <w:b/>
          <w:color w:val="auto"/>
          <w:szCs w:val="21"/>
        </w:rPr>
        <w:t>适用法律</w:t>
      </w:r>
    </w:p>
    <w:p>
      <w:pPr>
        <w:pStyle w:val="183"/>
        <w:widowControl w:val="0"/>
        <w:spacing w:afterLines="0" w:line="360" w:lineRule="auto"/>
        <w:ind w:firstLine="420"/>
        <w:rPr>
          <w:rFonts w:ascii="宋体" w:hAnsi="宋体"/>
          <w:color w:val="auto"/>
          <w:sz w:val="21"/>
          <w:szCs w:val="21"/>
        </w:rPr>
      </w:pPr>
      <w:r>
        <w:rPr>
          <w:rFonts w:hint="eastAsia" w:ascii="宋体" w:hAnsi="宋体"/>
          <w:color w:val="auto"/>
          <w:sz w:val="21"/>
          <w:szCs w:val="21"/>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pPr>
        <w:spacing w:line="360" w:lineRule="auto"/>
        <w:ind w:firstLine="422" w:firstLineChars="200"/>
        <w:rPr>
          <w:rFonts w:ascii="宋体" w:hAnsi="宋体"/>
          <w:b/>
          <w:color w:val="auto"/>
          <w:szCs w:val="21"/>
        </w:rPr>
      </w:pPr>
      <w:r>
        <w:rPr>
          <w:rFonts w:hint="eastAsia" w:ascii="宋体" w:hAnsi="宋体"/>
          <w:b/>
          <w:color w:val="auto"/>
          <w:szCs w:val="21"/>
        </w:rPr>
        <w:t>8.知识产权</w:t>
      </w:r>
    </w:p>
    <w:p>
      <w:pPr>
        <w:pStyle w:val="25"/>
        <w:snapToGrid w:val="0"/>
        <w:spacing w:beforeLines="0" w:afterLines="0" w:line="360" w:lineRule="auto"/>
        <w:ind w:firstLine="420" w:firstLineChars="200"/>
        <w:rPr>
          <w:rFonts w:hAnsi="宋体"/>
          <w:color w:val="auto"/>
          <w:sz w:val="21"/>
          <w:szCs w:val="21"/>
        </w:rPr>
      </w:pPr>
      <w:r>
        <w:rPr>
          <w:rFonts w:hAnsi="宋体"/>
          <w:color w:val="auto"/>
          <w:sz w:val="21"/>
          <w:szCs w:val="21"/>
        </w:rPr>
        <w:t>投标人应保证在本项目使用的任何产品（包括部分使用），不会产生因第三方提出侵犯其</w:t>
      </w:r>
      <w:r>
        <w:rPr>
          <w:rFonts w:hint="eastAsia" w:hAnsi="宋体"/>
          <w:color w:val="auto"/>
          <w:sz w:val="21"/>
          <w:szCs w:val="21"/>
        </w:rPr>
        <w:t>著作权、</w:t>
      </w:r>
      <w:r>
        <w:rPr>
          <w:rFonts w:hAnsi="宋体"/>
          <w:color w:val="auto"/>
          <w:sz w:val="21"/>
          <w:szCs w:val="21"/>
        </w:rPr>
        <w:t>专利权、商标权</w:t>
      </w:r>
      <w:r>
        <w:rPr>
          <w:rFonts w:hint="eastAsia" w:hAnsi="宋体"/>
          <w:color w:val="auto"/>
          <w:sz w:val="21"/>
          <w:szCs w:val="21"/>
        </w:rPr>
        <w:t>等</w:t>
      </w:r>
      <w:r>
        <w:rPr>
          <w:rFonts w:hAnsi="宋体"/>
          <w:color w:val="auto"/>
          <w:sz w:val="21"/>
          <w:szCs w:val="21"/>
        </w:rPr>
        <w:t>知识产权而引起</w:t>
      </w:r>
      <w:r>
        <w:rPr>
          <w:rFonts w:hint="eastAsia" w:hAnsi="宋体"/>
          <w:color w:val="auto"/>
          <w:sz w:val="21"/>
          <w:szCs w:val="21"/>
        </w:rPr>
        <w:t>法律或经济纠纷。</w:t>
      </w:r>
      <w:r>
        <w:rPr>
          <w:rFonts w:hAnsi="宋体"/>
          <w:color w:val="auto"/>
          <w:sz w:val="21"/>
          <w:szCs w:val="21"/>
        </w:rPr>
        <w:t>如果任何第三方提出侵权</w:t>
      </w:r>
      <w:r>
        <w:rPr>
          <w:rFonts w:hint="eastAsia" w:hAnsi="宋体"/>
          <w:color w:val="auto"/>
          <w:sz w:val="21"/>
          <w:szCs w:val="21"/>
        </w:rPr>
        <w:t>指控，由投标人</w:t>
      </w:r>
      <w:r>
        <w:rPr>
          <w:rFonts w:hAnsi="宋体"/>
          <w:color w:val="auto"/>
          <w:sz w:val="21"/>
          <w:szCs w:val="21"/>
        </w:rPr>
        <w:t>与该第三方交涉并承担由此发生的一切责任、费用和赔偿</w:t>
      </w:r>
      <w:r>
        <w:rPr>
          <w:rFonts w:hint="eastAsia" w:hAnsi="宋体"/>
          <w:color w:val="auto"/>
          <w:sz w:val="21"/>
          <w:szCs w:val="21"/>
        </w:rPr>
        <w:t>。</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投标人采用自身所不拥有的知识产权，无论是否在投标报价中单独列明，采购人均视为报价已包含投标人合法获取该知识产权的相关费用。</w:t>
      </w:r>
    </w:p>
    <w:p>
      <w:pPr>
        <w:spacing w:line="360" w:lineRule="auto"/>
        <w:ind w:firstLine="422" w:firstLineChars="200"/>
        <w:jc w:val="left"/>
        <w:rPr>
          <w:rFonts w:ascii="宋体" w:hAnsi="宋体"/>
          <w:b/>
          <w:color w:val="auto"/>
          <w:szCs w:val="21"/>
        </w:rPr>
      </w:pPr>
      <w:r>
        <w:rPr>
          <w:rFonts w:hint="eastAsia" w:ascii="宋体" w:hAnsi="宋体"/>
          <w:b/>
          <w:color w:val="auto"/>
          <w:szCs w:val="21"/>
        </w:rPr>
        <w:t>9.转包与分包</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9.1</w:t>
      </w:r>
      <w:r>
        <w:rPr>
          <w:rFonts w:hAnsi="宋体"/>
          <w:color w:val="auto"/>
          <w:sz w:val="21"/>
          <w:szCs w:val="21"/>
        </w:rPr>
        <w:t>本项目不允许转包</w:t>
      </w:r>
      <w:r>
        <w:rPr>
          <w:rFonts w:hint="eastAsia" w:hAnsi="宋体"/>
          <w:color w:val="auto"/>
          <w:sz w:val="21"/>
          <w:szCs w:val="21"/>
        </w:rPr>
        <w:t>。</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9.2本项目经采购人同意可以分包，但项目中的主体、关键性工作的必须由中标人完成。</w:t>
      </w:r>
    </w:p>
    <w:p>
      <w:pPr>
        <w:snapToGrid w:val="0"/>
        <w:spacing w:line="360" w:lineRule="auto"/>
        <w:ind w:firstLine="420" w:firstLineChars="200"/>
        <w:jc w:val="left"/>
        <w:rPr>
          <w:rFonts w:ascii="宋体" w:hAnsi="宋体" w:cs="Arial"/>
          <w:color w:val="auto"/>
          <w:szCs w:val="21"/>
        </w:rPr>
      </w:pPr>
      <w:r>
        <w:rPr>
          <w:rFonts w:hint="eastAsia" w:ascii="宋体" w:hAnsi="宋体" w:cs="Arial"/>
          <w:color w:val="auto"/>
          <w:szCs w:val="21"/>
        </w:rPr>
        <w:t>政府采购合同分包履行的，中标人就采购项目和分包项目向采购人负责，分包供应商就分包项目承担责任。</w:t>
      </w:r>
    </w:p>
    <w:p>
      <w:pPr>
        <w:tabs>
          <w:tab w:val="left" w:pos="426"/>
        </w:tabs>
        <w:snapToGrid w:val="0"/>
        <w:spacing w:line="360" w:lineRule="auto"/>
        <w:ind w:firstLine="422" w:firstLineChars="200"/>
        <w:rPr>
          <w:rFonts w:ascii="宋体" w:hAnsi="宋体" w:cs="宋体"/>
          <w:b/>
          <w:color w:val="auto"/>
          <w:kern w:val="0"/>
          <w:szCs w:val="21"/>
        </w:rPr>
      </w:pPr>
      <w:r>
        <w:rPr>
          <w:rFonts w:hint="eastAsia" w:ascii="宋体" w:hAnsi="宋体" w:cs="宋体"/>
          <w:b/>
          <w:color w:val="auto"/>
          <w:kern w:val="0"/>
          <w:szCs w:val="21"/>
        </w:rPr>
        <w:t>10.</w:t>
      </w:r>
      <w:r>
        <w:rPr>
          <w:rFonts w:ascii="宋体" w:hAnsi="宋体" w:cs="宋体"/>
          <w:b/>
          <w:color w:val="auto"/>
          <w:kern w:val="0"/>
          <w:szCs w:val="21"/>
        </w:rPr>
        <w:t>质疑和投诉</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10.1供应商认为招标文件、招标过程和中标结果使自己的权益受到损害的，可以根据</w:t>
      </w:r>
      <w:r>
        <w:rPr>
          <w:rFonts w:hAnsi="宋体"/>
          <w:color w:val="auto"/>
          <w:sz w:val="21"/>
          <w:szCs w:val="21"/>
        </w:rPr>
        <w:t>《</w:t>
      </w:r>
      <w:r>
        <w:rPr>
          <w:rFonts w:hint="eastAsia" w:hAnsi="宋体"/>
          <w:color w:val="auto"/>
          <w:sz w:val="21"/>
          <w:szCs w:val="21"/>
        </w:rPr>
        <w:t>中华人民共和国政府</w:t>
      </w:r>
      <w:r>
        <w:rPr>
          <w:rFonts w:hAnsi="宋体"/>
          <w:color w:val="auto"/>
          <w:sz w:val="21"/>
          <w:szCs w:val="21"/>
        </w:rPr>
        <w:t>采购法》《</w:t>
      </w:r>
      <w:r>
        <w:rPr>
          <w:rFonts w:hint="eastAsia" w:hAnsi="宋体"/>
          <w:color w:val="auto"/>
          <w:sz w:val="21"/>
          <w:szCs w:val="21"/>
        </w:rPr>
        <w:t>中华人民共和国政府</w:t>
      </w:r>
      <w:r>
        <w:rPr>
          <w:rFonts w:hAnsi="宋体"/>
          <w:color w:val="auto"/>
          <w:sz w:val="21"/>
          <w:szCs w:val="21"/>
        </w:rPr>
        <w:t>采购法实施条例》</w:t>
      </w:r>
      <w:r>
        <w:rPr>
          <w:rFonts w:hint="eastAsia" w:hAnsi="宋体"/>
          <w:color w:val="auto"/>
          <w:sz w:val="21"/>
          <w:szCs w:val="21"/>
        </w:rPr>
        <w:t>和</w:t>
      </w:r>
      <w:r>
        <w:rPr>
          <w:rFonts w:hAnsi="宋体"/>
          <w:color w:val="auto"/>
          <w:sz w:val="21"/>
          <w:szCs w:val="21"/>
        </w:rPr>
        <w:t>《</w:t>
      </w:r>
      <w:r>
        <w:rPr>
          <w:rFonts w:hint="eastAsia" w:hAnsi="宋体"/>
          <w:color w:val="auto"/>
          <w:sz w:val="21"/>
          <w:szCs w:val="21"/>
        </w:rPr>
        <w:t>政府</w:t>
      </w:r>
      <w:r>
        <w:rPr>
          <w:rFonts w:hAnsi="宋体"/>
          <w:color w:val="auto"/>
          <w:sz w:val="21"/>
          <w:szCs w:val="21"/>
        </w:rPr>
        <w:t>采购质疑和投诉办法》</w:t>
      </w:r>
      <w:r>
        <w:rPr>
          <w:rFonts w:hint="eastAsia" w:hAnsi="宋体"/>
          <w:color w:val="auto"/>
          <w:sz w:val="21"/>
          <w:szCs w:val="21"/>
        </w:rPr>
        <w:t>的</w:t>
      </w:r>
      <w:r>
        <w:rPr>
          <w:rFonts w:hAnsi="宋体"/>
          <w:color w:val="auto"/>
          <w:sz w:val="21"/>
          <w:szCs w:val="21"/>
        </w:rPr>
        <w:t>有关规定，</w:t>
      </w:r>
      <w:r>
        <w:rPr>
          <w:rFonts w:hint="eastAsia" w:hAnsi="宋体"/>
          <w:color w:val="auto"/>
          <w:sz w:val="21"/>
          <w:szCs w:val="21"/>
        </w:rPr>
        <w:t>依法向采购人或采购代理机构提出质疑。</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10</w:t>
      </w:r>
      <w:r>
        <w:rPr>
          <w:rFonts w:hAnsi="宋体"/>
          <w:color w:val="auto"/>
          <w:sz w:val="21"/>
          <w:szCs w:val="21"/>
        </w:rPr>
        <w:t>.2</w:t>
      </w:r>
      <w:r>
        <w:rPr>
          <w:rFonts w:hint="eastAsia" w:hAnsi="宋体"/>
          <w:color w:val="auto"/>
          <w:sz w:val="21"/>
          <w:szCs w:val="21"/>
        </w:rPr>
        <w:t>供应商</w:t>
      </w:r>
      <w:r>
        <w:rPr>
          <w:rFonts w:hAnsi="宋体"/>
          <w:color w:val="auto"/>
          <w:sz w:val="21"/>
          <w:szCs w:val="21"/>
        </w:rPr>
        <w:t>应</w:t>
      </w:r>
      <w:r>
        <w:rPr>
          <w:rFonts w:hint="eastAsia" w:hAnsi="宋体"/>
          <w:color w:val="auto"/>
          <w:sz w:val="21"/>
          <w:szCs w:val="21"/>
        </w:rPr>
        <w:t>按</w:t>
      </w:r>
      <w:r>
        <w:rPr>
          <w:rFonts w:hAnsi="宋体"/>
          <w:color w:val="auto"/>
          <w:sz w:val="21"/>
          <w:szCs w:val="21"/>
        </w:rPr>
        <w:t>《</w:t>
      </w:r>
      <w:r>
        <w:rPr>
          <w:rFonts w:hint="eastAsia" w:hAnsi="宋体"/>
          <w:color w:val="auto"/>
          <w:sz w:val="21"/>
          <w:szCs w:val="21"/>
        </w:rPr>
        <w:t>政府</w:t>
      </w:r>
      <w:r>
        <w:rPr>
          <w:rFonts w:hAnsi="宋体"/>
          <w:color w:val="auto"/>
          <w:sz w:val="21"/>
          <w:szCs w:val="21"/>
        </w:rPr>
        <w:t>采购质疑和投诉办法》的要求</w:t>
      </w:r>
      <w:r>
        <w:rPr>
          <w:rFonts w:hint="eastAsia" w:hAnsi="宋体"/>
          <w:color w:val="auto"/>
          <w:sz w:val="21"/>
          <w:szCs w:val="21"/>
        </w:rPr>
        <w:t>，</w:t>
      </w:r>
      <w:r>
        <w:rPr>
          <w:rFonts w:hAnsi="宋体"/>
          <w:color w:val="auto"/>
          <w:sz w:val="21"/>
          <w:szCs w:val="21"/>
        </w:rPr>
        <w:t>在法定质疑期内</w:t>
      </w:r>
      <w:r>
        <w:rPr>
          <w:rFonts w:hint="eastAsia" w:hAnsi="宋体"/>
          <w:color w:val="auto"/>
          <w:sz w:val="21"/>
          <w:szCs w:val="21"/>
        </w:rPr>
        <w:t>以书面形式</w:t>
      </w:r>
      <w:r>
        <w:rPr>
          <w:rFonts w:hAnsi="宋体"/>
          <w:color w:val="auto"/>
          <w:sz w:val="21"/>
          <w:szCs w:val="21"/>
        </w:rPr>
        <w:t>提出质疑</w:t>
      </w:r>
      <w:r>
        <w:rPr>
          <w:rFonts w:hint="eastAsia" w:hAnsi="宋体"/>
          <w:color w:val="auto"/>
          <w:sz w:val="21"/>
          <w:szCs w:val="21"/>
        </w:rPr>
        <w:t>，超出法定质疑期提交的质疑将被拒绝，针对同一采购程序环节的质疑应一次性提出。</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10.3采购代理机构的质疑函接收部门、联系电话和通讯地址</w:t>
      </w:r>
      <w:r>
        <w:rPr>
          <w:rFonts w:hint="eastAsia" w:hAnsi="宋体"/>
          <w:color w:val="auto"/>
          <w:sz w:val="21"/>
          <w:szCs w:val="21"/>
          <w:u w:val="single"/>
        </w:rPr>
        <w:t>详见投标人须知前附表</w:t>
      </w:r>
      <w:r>
        <w:rPr>
          <w:rFonts w:hint="eastAsia" w:hAnsi="宋体"/>
          <w:color w:val="auto"/>
          <w:sz w:val="21"/>
          <w:szCs w:val="21"/>
        </w:rPr>
        <w:t>。</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10.4质疑供应商对采购人、采购代理机构的答复不满意，或者采购人、采购代理机构未在规定时间内作出答复，可以在答复期满后15个工作日内向财政部门提起投诉，财政部门信息详见</w:t>
      </w:r>
      <w:r>
        <w:rPr>
          <w:rFonts w:hint="eastAsia" w:hAnsi="宋体"/>
          <w:color w:val="auto"/>
          <w:sz w:val="21"/>
          <w:szCs w:val="21"/>
          <w:u w:val="single"/>
        </w:rPr>
        <w:t>招标公告</w:t>
      </w:r>
      <w:r>
        <w:rPr>
          <w:rFonts w:hint="eastAsia" w:hAnsi="宋体"/>
          <w:color w:val="auto"/>
          <w:sz w:val="21"/>
          <w:szCs w:val="21"/>
        </w:rPr>
        <w:t>。</w:t>
      </w:r>
    </w:p>
    <w:p>
      <w:pPr>
        <w:spacing w:line="360" w:lineRule="auto"/>
        <w:ind w:firstLine="422" w:firstLineChars="200"/>
        <w:rPr>
          <w:rFonts w:ascii="宋体" w:hAnsi="宋体"/>
          <w:b/>
          <w:color w:val="auto"/>
          <w:szCs w:val="21"/>
        </w:rPr>
      </w:pPr>
      <w:r>
        <w:rPr>
          <w:rFonts w:hint="eastAsia" w:ascii="宋体" w:hAnsi="宋体"/>
          <w:b/>
          <w:color w:val="auto"/>
          <w:szCs w:val="21"/>
        </w:rPr>
        <w:t>11.投标人信用记录查询及使用</w:t>
      </w:r>
    </w:p>
    <w:p>
      <w:pPr>
        <w:pStyle w:val="20"/>
        <w:snapToGrid w:val="0"/>
        <w:spacing w:after="0" w:line="360" w:lineRule="auto"/>
        <w:ind w:left="0" w:leftChars="0" w:firstLine="420" w:firstLineChars="200"/>
        <w:jc w:val="left"/>
        <w:rPr>
          <w:rFonts w:ascii="宋体" w:hAnsi="宋体"/>
          <w:color w:val="auto"/>
          <w:sz w:val="21"/>
          <w:szCs w:val="21"/>
        </w:rPr>
      </w:pPr>
      <w:r>
        <w:rPr>
          <w:rFonts w:hint="eastAsia" w:ascii="宋体" w:hAnsi="宋体"/>
          <w:color w:val="auto"/>
          <w:sz w:val="21"/>
          <w:szCs w:val="21"/>
        </w:rPr>
        <w:t>11.1</w:t>
      </w:r>
      <w:r>
        <w:rPr>
          <w:rFonts w:ascii="宋体" w:hAnsi="宋体"/>
          <w:color w:val="auto"/>
          <w:sz w:val="21"/>
          <w:szCs w:val="21"/>
        </w:rPr>
        <w:t>信用信息查询渠道</w:t>
      </w:r>
      <w:r>
        <w:rPr>
          <w:rFonts w:hint="eastAsia" w:ascii="宋体" w:hAnsi="宋体"/>
          <w:color w:val="auto"/>
          <w:sz w:val="21"/>
          <w:szCs w:val="21"/>
        </w:rPr>
        <w:t>：“信用中国”网站（www.creditchina.gov.cn）、中国政府采购网（www.ccgp.gov.cn）。</w:t>
      </w:r>
    </w:p>
    <w:p>
      <w:pPr>
        <w:pStyle w:val="20"/>
        <w:snapToGrid w:val="0"/>
        <w:spacing w:after="0" w:line="360" w:lineRule="auto"/>
        <w:ind w:left="0" w:leftChars="0" w:firstLine="420" w:firstLineChars="200"/>
        <w:jc w:val="left"/>
        <w:rPr>
          <w:rFonts w:ascii="宋体" w:hAnsi="宋体"/>
          <w:color w:val="auto"/>
          <w:sz w:val="21"/>
          <w:szCs w:val="21"/>
        </w:rPr>
      </w:pPr>
      <w:r>
        <w:rPr>
          <w:rFonts w:hint="eastAsia" w:ascii="宋体" w:hAnsi="宋体"/>
          <w:color w:val="auto"/>
          <w:sz w:val="21"/>
          <w:szCs w:val="21"/>
        </w:rPr>
        <w:t>11.2</w:t>
      </w:r>
      <w:r>
        <w:rPr>
          <w:rFonts w:ascii="宋体" w:hAnsi="宋体"/>
          <w:color w:val="auto"/>
          <w:sz w:val="21"/>
          <w:szCs w:val="21"/>
        </w:rPr>
        <w:t>信用信息查询截止时点</w:t>
      </w:r>
      <w:r>
        <w:rPr>
          <w:rFonts w:hint="eastAsia" w:ascii="宋体" w:hAnsi="宋体"/>
          <w:color w:val="auto"/>
          <w:sz w:val="21"/>
          <w:szCs w:val="21"/>
        </w:rPr>
        <w:t>：投标截止时间后至评审结束前。</w:t>
      </w:r>
    </w:p>
    <w:p>
      <w:pPr>
        <w:pStyle w:val="20"/>
        <w:snapToGrid w:val="0"/>
        <w:spacing w:after="0" w:line="360" w:lineRule="auto"/>
        <w:ind w:left="0" w:leftChars="0" w:firstLine="420" w:firstLineChars="200"/>
        <w:jc w:val="left"/>
        <w:rPr>
          <w:rFonts w:ascii="宋体" w:hAnsi="宋体"/>
          <w:color w:val="auto"/>
          <w:sz w:val="21"/>
          <w:szCs w:val="21"/>
        </w:rPr>
      </w:pPr>
      <w:r>
        <w:rPr>
          <w:rFonts w:hint="eastAsia" w:ascii="宋体" w:hAnsi="宋体"/>
          <w:color w:val="auto"/>
          <w:sz w:val="21"/>
          <w:szCs w:val="21"/>
        </w:rPr>
        <w:t>11.3</w:t>
      </w:r>
      <w:r>
        <w:rPr>
          <w:rFonts w:ascii="宋体" w:hAnsi="宋体"/>
          <w:color w:val="auto"/>
          <w:sz w:val="21"/>
          <w:szCs w:val="21"/>
        </w:rPr>
        <w:t>信用信息查询记录和证据留存的具体方式</w:t>
      </w:r>
      <w:r>
        <w:rPr>
          <w:rFonts w:hint="eastAsia" w:ascii="宋体" w:hAnsi="宋体"/>
          <w:color w:val="auto"/>
          <w:sz w:val="21"/>
          <w:szCs w:val="21"/>
        </w:rPr>
        <w:t>：由</w:t>
      </w:r>
      <w:r>
        <w:rPr>
          <w:rFonts w:ascii="宋体" w:hAnsi="宋体"/>
          <w:color w:val="auto"/>
          <w:sz w:val="21"/>
          <w:szCs w:val="21"/>
        </w:rPr>
        <w:t>采购代理机构</w:t>
      </w:r>
      <w:r>
        <w:rPr>
          <w:rFonts w:hint="eastAsia" w:ascii="宋体" w:hAnsi="宋体"/>
          <w:color w:val="auto"/>
          <w:sz w:val="21"/>
          <w:szCs w:val="21"/>
        </w:rPr>
        <w:t>工作人员将查询网页打印并与其他采购文件一并存档备查。</w:t>
      </w:r>
    </w:p>
    <w:p>
      <w:pPr>
        <w:pStyle w:val="20"/>
        <w:snapToGrid w:val="0"/>
        <w:spacing w:after="0" w:line="360" w:lineRule="auto"/>
        <w:ind w:left="0" w:leftChars="0" w:firstLine="420" w:firstLineChars="200"/>
        <w:jc w:val="left"/>
        <w:rPr>
          <w:rFonts w:ascii="宋体" w:hAnsi="宋体"/>
          <w:color w:val="auto"/>
          <w:sz w:val="21"/>
          <w:szCs w:val="21"/>
        </w:rPr>
      </w:pPr>
      <w:r>
        <w:rPr>
          <w:rFonts w:hint="eastAsia" w:ascii="宋体" w:hAnsi="宋体"/>
          <w:color w:val="auto"/>
          <w:sz w:val="21"/>
          <w:szCs w:val="21"/>
        </w:rPr>
        <w:t>投标人不良信用记录以</w:t>
      </w:r>
      <w:r>
        <w:rPr>
          <w:rFonts w:ascii="宋体" w:hAnsi="宋体"/>
          <w:color w:val="auto"/>
          <w:sz w:val="21"/>
          <w:szCs w:val="21"/>
        </w:rPr>
        <w:t>采购代理机构</w:t>
      </w:r>
      <w:r>
        <w:rPr>
          <w:rFonts w:hint="eastAsia" w:ascii="宋体" w:hAnsi="宋体"/>
          <w:color w:val="auto"/>
          <w:sz w:val="21"/>
          <w:szCs w:val="21"/>
        </w:rPr>
        <w:t>查询结果为准。</w:t>
      </w:r>
      <w:bookmarkStart w:id="47" w:name="_Hlk24663338"/>
      <w:r>
        <w:rPr>
          <w:rFonts w:hint="eastAsia" w:ascii="宋体" w:hAnsi="宋体"/>
          <w:color w:val="auto"/>
          <w:sz w:val="21"/>
          <w:szCs w:val="21"/>
        </w:rPr>
        <w:t>在</w:t>
      </w:r>
      <w:r>
        <w:rPr>
          <w:rFonts w:ascii="宋体" w:hAnsi="宋体"/>
          <w:color w:val="auto"/>
          <w:sz w:val="21"/>
          <w:szCs w:val="21"/>
        </w:rPr>
        <w:t>招标文件规定</w:t>
      </w:r>
      <w:r>
        <w:rPr>
          <w:rFonts w:hint="eastAsia" w:ascii="宋体" w:hAnsi="宋体"/>
          <w:color w:val="auto"/>
          <w:sz w:val="21"/>
          <w:szCs w:val="21"/>
        </w:rPr>
        <w:t>的查询时间之外，网站信息发生的任何变更均不作为资格审查依据</w:t>
      </w:r>
      <w:bookmarkEnd w:id="47"/>
      <w:r>
        <w:rPr>
          <w:rFonts w:hint="eastAsia" w:ascii="宋体" w:hAnsi="宋体"/>
          <w:color w:val="auto"/>
          <w:sz w:val="21"/>
          <w:szCs w:val="21"/>
        </w:rPr>
        <w:t>，投标人自行提供的网站查询结果材料亦不作为资格审查依据。</w:t>
      </w:r>
    </w:p>
    <w:p>
      <w:pPr>
        <w:pStyle w:val="20"/>
        <w:snapToGrid w:val="0"/>
        <w:spacing w:after="0" w:line="360" w:lineRule="auto"/>
        <w:ind w:left="0" w:leftChars="0" w:firstLine="420" w:firstLineChars="200"/>
        <w:jc w:val="left"/>
        <w:rPr>
          <w:rFonts w:ascii="宋体" w:hAnsi="宋体"/>
          <w:color w:val="auto"/>
          <w:sz w:val="21"/>
          <w:szCs w:val="21"/>
        </w:rPr>
      </w:pPr>
      <w:r>
        <w:rPr>
          <w:rFonts w:hint="eastAsia" w:ascii="宋体" w:hAnsi="宋体"/>
          <w:color w:val="auto"/>
          <w:sz w:val="21"/>
          <w:szCs w:val="21"/>
        </w:rPr>
        <w:t>11.4</w:t>
      </w:r>
      <w:r>
        <w:rPr>
          <w:rFonts w:ascii="宋体" w:hAnsi="宋体"/>
          <w:color w:val="auto"/>
          <w:sz w:val="21"/>
          <w:szCs w:val="21"/>
        </w:rPr>
        <w:t>信用信息的使用规则</w:t>
      </w:r>
      <w:r>
        <w:rPr>
          <w:rFonts w:hint="eastAsia" w:ascii="宋体" w:hAnsi="宋体"/>
          <w:color w:val="auto"/>
          <w:sz w:val="21"/>
          <w:szCs w:val="21"/>
        </w:rPr>
        <w:t>：投标人存在招标文件明确的不良信用记录的，其投标将被认定为</w:t>
      </w:r>
      <w:r>
        <w:rPr>
          <w:rFonts w:hint="eastAsia" w:ascii="宋体" w:hAnsi="宋体"/>
          <w:b/>
          <w:color w:val="auto"/>
          <w:sz w:val="21"/>
          <w:szCs w:val="21"/>
        </w:rPr>
        <w:t>投标无效</w:t>
      </w:r>
      <w:r>
        <w:rPr>
          <w:rFonts w:hint="eastAsia" w:ascii="宋体" w:hAnsi="宋体"/>
          <w:color w:val="auto"/>
          <w:sz w:val="21"/>
          <w:szCs w:val="21"/>
        </w:rPr>
        <w:t>。</w:t>
      </w:r>
    </w:p>
    <w:p>
      <w:pPr>
        <w:spacing w:line="360" w:lineRule="auto"/>
        <w:ind w:firstLine="422" w:firstLineChars="200"/>
        <w:jc w:val="left"/>
        <w:rPr>
          <w:rFonts w:ascii="宋体" w:hAnsi="宋体"/>
          <w:color w:val="auto"/>
          <w:szCs w:val="21"/>
        </w:rPr>
      </w:pPr>
      <w:r>
        <w:rPr>
          <w:rFonts w:hint="eastAsia" w:ascii="宋体" w:hAnsi="宋体"/>
          <w:b/>
          <w:color w:val="auto"/>
          <w:szCs w:val="21"/>
        </w:rPr>
        <w:t>12.政府采购信息发布媒体</w:t>
      </w:r>
    </w:p>
    <w:p>
      <w:pPr>
        <w:pStyle w:val="20"/>
        <w:snapToGrid w:val="0"/>
        <w:spacing w:after="0" w:line="360" w:lineRule="auto"/>
        <w:ind w:left="0" w:leftChars="0" w:firstLine="420" w:firstLineChars="200"/>
        <w:rPr>
          <w:rFonts w:ascii="宋体" w:hAnsi="宋体"/>
          <w:color w:val="auto"/>
          <w:sz w:val="21"/>
          <w:szCs w:val="21"/>
        </w:rPr>
      </w:pPr>
      <w:r>
        <w:rPr>
          <w:rFonts w:hint="eastAsia" w:ascii="宋体" w:hAnsi="宋体"/>
          <w:color w:val="auto"/>
          <w:sz w:val="21"/>
          <w:szCs w:val="21"/>
        </w:rPr>
        <w:t>本项目政府采购信息发布在</w:t>
      </w:r>
      <w:r>
        <w:rPr>
          <w:rFonts w:hint="eastAsia" w:ascii="宋体" w:hAnsi="宋体"/>
          <w:bCs/>
          <w:color w:val="auto"/>
          <w:sz w:val="21"/>
          <w:szCs w:val="21"/>
        </w:rPr>
        <w:t>宁波政府采购网（</w:t>
      </w:r>
      <w:r>
        <w:rPr>
          <w:rFonts w:ascii="宋体" w:hAnsi="宋体"/>
          <w:bCs/>
          <w:color w:val="auto"/>
          <w:sz w:val="21"/>
          <w:szCs w:val="21"/>
        </w:rPr>
        <w:t>http：//www.nbzfcg.cn/</w:t>
      </w:r>
      <w:r>
        <w:rPr>
          <w:rFonts w:hint="eastAsia" w:ascii="宋体" w:hAnsi="宋体"/>
          <w:bCs/>
          <w:color w:val="auto"/>
          <w:sz w:val="21"/>
          <w:szCs w:val="21"/>
        </w:rPr>
        <w:t>）、浙江政府采购网（</w:t>
      </w:r>
      <w:r>
        <w:rPr>
          <w:rFonts w:ascii="宋体" w:hAnsi="宋体"/>
          <w:bCs/>
          <w:color w:val="auto"/>
          <w:sz w:val="21"/>
          <w:szCs w:val="21"/>
        </w:rPr>
        <w:t>https：//zfcg.czt.zj.gov.cn/</w:t>
      </w:r>
      <w:r>
        <w:rPr>
          <w:rFonts w:hint="eastAsia" w:ascii="宋体" w:hAnsi="宋体"/>
          <w:bCs/>
          <w:color w:val="auto"/>
          <w:sz w:val="21"/>
          <w:szCs w:val="21"/>
        </w:rPr>
        <w:t>）。</w:t>
      </w:r>
    </w:p>
    <w:p>
      <w:pPr>
        <w:spacing w:line="360" w:lineRule="auto"/>
        <w:ind w:firstLine="422" w:firstLineChars="200"/>
        <w:jc w:val="left"/>
        <w:rPr>
          <w:rFonts w:ascii="宋体" w:hAnsi="宋体"/>
          <w:b/>
          <w:color w:val="auto"/>
          <w:szCs w:val="21"/>
        </w:rPr>
      </w:pPr>
      <w:r>
        <w:rPr>
          <w:rFonts w:hint="eastAsia" w:ascii="宋体" w:hAnsi="宋体"/>
          <w:b/>
          <w:color w:val="auto"/>
          <w:szCs w:val="21"/>
        </w:rPr>
        <w:t>13.</w:t>
      </w:r>
      <w:r>
        <w:rPr>
          <w:rFonts w:ascii="宋体" w:hAnsi="宋体"/>
          <w:b/>
          <w:color w:val="auto"/>
          <w:szCs w:val="21"/>
        </w:rPr>
        <w:t>采购代理</w:t>
      </w:r>
      <w:r>
        <w:rPr>
          <w:rFonts w:hint="eastAsia" w:ascii="宋体" w:hAnsi="宋体"/>
          <w:b/>
          <w:color w:val="auto"/>
          <w:szCs w:val="21"/>
        </w:rPr>
        <w:t>服务</w:t>
      </w:r>
      <w:r>
        <w:rPr>
          <w:rFonts w:ascii="宋体" w:hAnsi="宋体"/>
          <w:b/>
          <w:color w:val="auto"/>
          <w:szCs w:val="21"/>
        </w:rPr>
        <w:t>费用的收取标准和方式</w:t>
      </w:r>
    </w:p>
    <w:p>
      <w:pPr>
        <w:pStyle w:val="20"/>
        <w:snapToGrid w:val="0"/>
        <w:spacing w:after="0" w:line="360" w:lineRule="auto"/>
        <w:ind w:left="0" w:leftChars="0" w:firstLine="420" w:firstLineChars="200"/>
        <w:jc w:val="left"/>
        <w:rPr>
          <w:rFonts w:ascii="宋体" w:hAnsi="宋体"/>
          <w:color w:val="auto"/>
          <w:sz w:val="21"/>
          <w:szCs w:val="21"/>
        </w:rPr>
      </w:pPr>
      <w:r>
        <w:rPr>
          <w:rFonts w:hint="eastAsia" w:ascii="宋体" w:hAnsi="宋体"/>
          <w:color w:val="auto"/>
          <w:sz w:val="21"/>
          <w:szCs w:val="21"/>
        </w:rPr>
        <w:t>13.1</w:t>
      </w:r>
      <w:r>
        <w:rPr>
          <w:rFonts w:ascii="宋体" w:hAnsi="宋体"/>
          <w:color w:val="auto"/>
          <w:sz w:val="21"/>
          <w:szCs w:val="21"/>
        </w:rPr>
        <w:t>采购</w:t>
      </w:r>
      <w:r>
        <w:rPr>
          <w:rFonts w:hint="eastAsia" w:ascii="宋体" w:hAnsi="宋体"/>
          <w:color w:val="auto"/>
          <w:sz w:val="21"/>
          <w:szCs w:val="21"/>
        </w:rPr>
        <w:t>代理服务费用的收取标准：见</w:t>
      </w:r>
      <w:r>
        <w:rPr>
          <w:rFonts w:hint="eastAsia" w:ascii="宋体" w:hAnsi="宋体"/>
          <w:color w:val="auto"/>
          <w:sz w:val="21"/>
          <w:szCs w:val="21"/>
          <w:u w:val="single"/>
        </w:rPr>
        <w:t>投标人须知前附表</w:t>
      </w:r>
      <w:r>
        <w:rPr>
          <w:rFonts w:hint="eastAsia" w:ascii="宋体" w:hAnsi="宋体"/>
          <w:color w:val="auto"/>
          <w:sz w:val="21"/>
          <w:szCs w:val="21"/>
        </w:rPr>
        <w:t>。</w:t>
      </w:r>
    </w:p>
    <w:p>
      <w:pPr>
        <w:pStyle w:val="20"/>
        <w:snapToGrid w:val="0"/>
        <w:spacing w:after="0" w:line="360" w:lineRule="auto"/>
        <w:ind w:left="0" w:leftChars="0" w:firstLine="420" w:firstLineChars="200"/>
        <w:jc w:val="left"/>
        <w:rPr>
          <w:rFonts w:ascii="宋体" w:hAnsi="宋体"/>
          <w:color w:val="auto"/>
          <w:sz w:val="21"/>
          <w:szCs w:val="21"/>
        </w:rPr>
      </w:pPr>
      <w:r>
        <w:rPr>
          <w:rFonts w:hint="eastAsia" w:ascii="宋体" w:hAnsi="宋体"/>
          <w:color w:val="auto"/>
          <w:sz w:val="21"/>
          <w:szCs w:val="21"/>
        </w:rPr>
        <w:t>13.2</w:t>
      </w:r>
      <w:r>
        <w:rPr>
          <w:rFonts w:ascii="宋体" w:hAnsi="宋体"/>
          <w:color w:val="auto"/>
          <w:sz w:val="21"/>
          <w:szCs w:val="21"/>
        </w:rPr>
        <w:t>采购</w:t>
      </w:r>
      <w:r>
        <w:rPr>
          <w:rFonts w:hint="eastAsia" w:ascii="宋体" w:hAnsi="宋体"/>
          <w:color w:val="auto"/>
          <w:sz w:val="21"/>
          <w:szCs w:val="21"/>
        </w:rPr>
        <w:t>代理服务费的支付：见</w:t>
      </w:r>
      <w:r>
        <w:rPr>
          <w:rFonts w:hint="eastAsia" w:ascii="宋体" w:hAnsi="宋体"/>
          <w:color w:val="auto"/>
          <w:sz w:val="21"/>
          <w:szCs w:val="21"/>
          <w:u w:val="single"/>
        </w:rPr>
        <w:t>投标人须知前附表</w:t>
      </w:r>
      <w:r>
        <w:rPr>
          <w:rFonts w:hint="eastAsia" w:ascii="宋体" w:hAnsi="宋体"/>
          <w:color w:val="auto"/>
          <w:sz w:val="21"/>
          <w:szCs w:val="21"/>
        </w:rPr>
        <w:t>。</w:t>
      </w:r>
    </w:p>
    <w:p>
      <w:pPr>
        <w:pStyle w:val="20"/>
        <w:snapToGrid w:val="0"/>
        <w:spacing w:after="0" w:line="360" w:lineRule="auto"/>
        <w:ind w:left="0" w:leftChars="0" w:firstLine="420" w:firstLineChars="200"/>
        <w:jc w:val="left"/>
        <w:rPr>
          <w:rFonts w:ascii="宋体" w:hAnsi="宋体" w:cs="宋体"/>
          <w:bCs/>
          <w:color w:val="auto"/>
        </w:rPr>
      </w:pPr>
      <w:r>
        <w:rPr>
          <w:rFonts w:hint="eastAsia" w:ascii="宋体" w:hAnsi="宋体"/>
          <w:color w:val="auto"/>
          <w:sz w:val="21"/>
          <w:szCs w:val="21"/>
        </w:rPr>
        <w:t>1</w:t>
      </w:r>
      <w:r>
        <w:rPr>
          <w:rFonts w:hint="eastAsia" w:ascii="宋体" w:hAnsi="宋体"/>
          <w:color w:val="auto"/>
          <w:szCs w:val="21"/>
        </w:rPr>
        <w:t>3</w:t>
      </w:r>
      <w:r>
        <w:rPr>
          <w:rFonts w:hint="eastAsia" w:ascii="宋体" w:hAnsi="宋体"/>
          <w:color w:val="auto"/>
          <w:sz w:val="21"/>
          <w:szCs w:val="21"/>
        </w:rPr>
        <w:t>.3中标后，中标人应当将采购</w:t>
      </w:r>
      <w:r>
        <w:rPr>
          <w:rFonts w:ascii="宋体" w:hAnsi="宋体"/>
          <w:color w:val="auto"/>
          <w:sz w:val="21"/>
          <w:szCs w:val="21"/>
        </w:rPr>
        <w:t>代理</w:t>
      </w:r>
      <w:r>
        <w:rPr>
          <w:rFonts w:hint="eastAsia" w:ascii="宋体" w:hAnsi="宋体"/>
          <w:color w:val="auto"/>
          <w:sz w:val="21"/>
          <w:szCs w:val="21"/>
        </w:rPr>
        <w:t>服务</w:t>
      </w:r>
      <w:r>
        <w:rPr>
          <w:rFonts w:ascii="宋体" w:hAnsi="宋体"/>
          <w:color w:val="auto"/>
          <w:sz w:val="21"/>
          <w:szCs w:val="21"/>
        </w:rPr>
        <w:t>费</w:t>
      </w:r>
      <w:r>
        <w:rPr>
          <w:rFonts w:hint="eastAsia" w:ascii="宋体" w:hAnsi="宋体"/>
          <w:color w:val="auto"/>
          <w:sz w:val="21"/>
          <w:szCs w:val="21"/>
        </w:rPr>
        <w:t>交至代理机构银行账户，并</w:t>
      </w:r>
      <w:r>
        <w:rPr>
          <w:rFonts w:hint="eastAsia" w:ascii="宋体" w:hAnsi="宋体"/>
          <w:color w:val="auto"/>
          <w:szCs w:val="21"/>
        </w:rPr>
        <w:t>将</w:t>
      </w:r>
      <w:r>
        <w:rPr>
          <w:rFonts w:hint="eastAsia" w:ascii="宋体" w:hAnsi="宋体"/>
          <w:color w:val="auto"/>
          <w:sz w:val="21"/>
          <w:szCs w:val="21"/>
        </w:rPr>
        <w:t>开票信息、开票要求</w:t>
      </w:r>
      <w:r>
        <w:rPr>
          <w:rFonts w:hint="eastAsia" w:ascii="宋体" w:hAnsi="宋体"/>
          <w:color w:val="auto"/>
          <w:szCs w:val="21"/>
        </w:rPr>
        <w:t>、</w:t>
      </w:r>
      <w:r>
        <w:rPr>
          <w:rFonts w:hint="eastAsia" w:ascii="宋体" w:hAnsi="宋体"/>
          <w:color w:val="auto"/>
          <w:sz w:val="21"/>
          <w:szCs w:val="21"/>
        </w:rPr>
        <w:t>发票收件地址信息</w:t>
      </w:r>
      <w:r>
        <w:rPr>
          <w:rFonts w:hint="eastAsia" w:ascii="宋体" w:hAnsi="宋体"/>
          <w:color w:val="auto"/>
          <w:szCs w:val="21"/>
        </w:rPr>
        <w:t>发</w:t>
      </w:r>
      <w:r>
        <w:rPr>
          <w:rFonts w:hint="eastAsia" w:ascii="宋体" w:hAnsi="宋体"/>
          <w:color w:val="auto"/>
          <w:sz w:val="21"/>
          <w:szCs w:val="21"/>
        </w:rPr>
        <w:t>送至</w:t>
      </w:r>
      <w:r>
        <w:rPr>
          <w:rFonts w:ascii="宋体" w:hAnsi="宋体"/>
          <w:color w:val="auto"/>
          <w:sz w:val="21"/>
          <w:szCs w:val="21"/>
        </w:rPr>
        <w:t>3302172248@qq.com</w:t>
      </w:r>
      <w:r>
        <w:rPr>
          <w:rFonts w:hint="eastAsia" w:ascii="宋体" w:hAnsi="宋体"/>
          <w:color w:val="auto"/>
          <w:sz w:val="21"/>
          <w:szCs w:val="21"/>
        </w:rPr>
        <w:t>，代理机构收款账户信息：</w:t>
      </w:r>
    </w:p>
    <w:p>
      <w:pPr>
        <w:snapToGrid w:val="0"/>
        <w:spacing w:line="360" w:lineRule="auto"/>
        <w:ind w:firstLine="472" w:firstLineChars="225"/>
        <w:rPr>
          <w:rFonts w:ascii="宋体" w:hAnsi="宋体" w:cs="宋体"/>
          <w:bCs/>
          <w:color w:val="auto"/>
        </w:rPr>
      </w:pPr>
      <w:r>
        <w:rPr>
          <w:rFonts w:hint="eastAsia" w:ascii="宋体" w:hAnsi="宋体" w:cs="宋体"/>
          <w:bCs/>
          <w:color w:val="auto"/>
        </w:rPr>
        <w:t>开户银行：宁波银行海曙支行</w:t>
      </w:r>
    </w:p>
    <w:p>
      <w:pPr>
        <w:snapToGrid w:val="0"/>
        <w:spacing w:line="360" w:lineRule="auto"/>
        <w:ind w:firstLine="472" w:firstLineChars="225"/>
        <w:rPr>
          <w:rFonts w:ascii="宋体" w:hAnsi="宋体" w:cs="宋体"/>
          <w:bCs/>
          <w:color w:val="auto"/>
        </w:rPr>
      </w:pPr>
      <w:r>
        <w:rPr>
          <w:rFonts w:hint="eastAsia" w:ascii="宋体" w:hAnsi="宋体" w:cs="宋体"/>
          <w:bCs/>
          <w:color w:val="auto"/>
        </w:rPr>
        <w:t>户名：宁波名诚招标代理有限公司</w:t>
      </w:r>
    </w:p>
    <w:p>
      <w:pPr>
        <w:snapToGrid w:val="0"/>
        <w:spacing w:line="360" w:lineRule="auto"/>
        <w:ind w:firstLine="472" w:firstLineChars="225"/>
        <w:rPr>
          <w:rFonts w:ascii="宋体" w:hAnsi="宋体" w:cs="宋体"/>
          <w:bCs/>
          <w:color w:val="auto"/>
        </w:rPr>
      </w:pPr>
      <w:r>
        <w:rPr>
          <w:rFonts w:hint="eastAsia" w:ascii="宋体" w:hAnsi="宋体" w:cs="宋体"/>
          <w:bCs/>
          <w:color w:val="auto"/>
        </w:rPr>
        <w:t>账号：</w:t>
      </w:r>
      <w:r>
        <w:rPr>
          <w:rFonts w:ascii="宋体" w:hAnsi="宋体" w:cs="宋体"/>
          <w:bCs/>
          <w:color w:val="auto"/>
        </w:rPr>
        <w:t>20010122000443166</w:t>
      </w:r>
    </w:p>
    <w:p>
      <w:pPr>
        <w:pStyle w:val="25"/>
        <w:snapToGrid w:val="0"/>
        <w:spacing w:beforeLines="0" w:afterLines="0" w:line="360" w:lineRule="auto"/>
        <w:ind w:firstLine="422" w:firstLineChars="200"/>
        <w:rPr>
          <w:rFonts w:hAnsi="宋体"/>
          <w:b/>
          <w:color w:val="auto"/>
          <w:sz w:val="21"/>
          <w:szCs w:val="21"/>
        </w:rPr>
      </w:pPr>
      <w:r>
        <w:rPr>
          <w:rFonts w:hint="eastAsia" w:hAnsi="宋体"/>
          <w:b/>
          <w:color w:val="auto"/>
          <w:sz w:val="21"/>
          <w:szCs w:val="21"/>
        </w:rPr>
        <w:t>14.其他</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14.1招标文件的标题和序号只是为了查阅方便，不影响对招标文件的理解。</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14.2投标人提交的投标文件针对招标文件同一条款出现不同表述（响应）的，在合同签订或履行中发现存在上述情形的，按照有利于采购人的方式执行。</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14.3样品提供：见</w:t>
      </w:r>
      <w:r>
        <w:rPr>
          <w:rFonts w:hint="eastAsia" w:hAnsi="宋体"/>
          <w:color w:val="auto"/>
          <w:sz w:val="21"/>
          <w:szCs w:val="21"/>
          <w:u w:val="single"/>
        </w:rPr>
        <w:t>投标人须知前附表</w:t>
      </w:r>
      <w:r>
        <w:rPr>
          <w:rFonts w:hint="eastAsia" w:hAnsi="宋体"/>
          <w:color w:val="auto"/>
          <w:sz w:val="21"/>
          <w:szCs w:val="21"/>
        </w:rPr>
        <w:t>。</w:t>
      </w:r>
    </w:p>
    <w:p>
      <w:pPr>
        <w:snapToGrid w:val="0"/>
        <w:spacing w:line="360" w:lineRule="auto"/>
        <w:ind w:firstLine="420" w:firstLineChars="200"/>
        <w:jc w:val="left"/>
        <w:rPr>
          <w:rFonts w:ascii="宋体" w:hAnsi="宋体" w:cs="Arial"/>
          <w:color w:val="auto"/>
          <w:szCs w:val="21"/>
        </w:rPr>
      </w:pPr>
      <w:r>
        <w:rPr>
          <w:rFonts w:hint="eastAsia" w:ascii="宋体" w:hAnsi="宋体" w:cs="Arial"/>
          <w:color w:val="auto"/>
          <w:szCs w:val="21"/>
        </w:rPr>
        <w:t>14.4投标人应当及时维护政采云注册信息，包含但不仅限于单位银行账户信息等。</w:t>
      </w:r>
    </w:p>
    <w:p>
      <w:pPr>
        <w:pStyle w:val="176"/>
        <w:spacing w:before="120" w:after="120"/>
        <w:jc w:val="center"/>
        <w:rPr>
          <w:rFonts w:ascii="宋体" w:hAnsi="宋体" w:eastAsia="宋体"/>
          <w:color w:val="auto"/>
          <w:sz w:val="21"/>
          <w:szCs w:val="21"/>
        </w:rPr>
      </w:pPr>
      <w:bookmarkStart w:id="48" w:name="_Toc118452528"/>
      <w:r>
        <w:rPr>
          <w:rFonts w:ascii="宋体" w:hAnsi="宋体" w:eastAsia="宋体"/>
          <w:color w:val="auto"/>
          <w:sz w:val="21"/>
          <w:szCs w:val="21"/>
        </w:rPr>
        <w:t>二</w:t>
      </w:r>
      <w:r>
        <w:rPr>
          <w:rFonts w:hint="eastAsia" w:ascii="宋体" w:hAnsi="宋体" w:eastAsia="宋体"/>
          <w:color w:val="auto"/>
          <w:sz w:val="21"/>
          <w:szCs w:val="21"/>
        </w:rPr>
        <w:t>、招标</w:t>
      </w:r>
      <w:r>
        <w:rPr>
          <w:rFonts w:ascii="宋体" w:hAnsi="宋体" w:eastAsia="宋体"/>
          <w:color w:val="auto"/>
          <w:sz w:val="21"/>
          <w:szCs w:val="21"/>
        </w:rPr>
        <w:t>文件</w:t>
      </w:r>
      <w:bookmarkEnd w:id="48"/>
    </w:p>
    <w:p>
      <w:pPr>
        <w:pStyle w:val="25"/>
        <w:snapToGrid w:val="0"/>
        <w:spacing w:beforeLines="0" w:afterLines="0" w:line="360" w:lineRule="auto"/>
        <w:ind w:firstLine="422" w:firstLineChars="200"/>
        <w:rPr>
          <w:rFonts w:hAnsi="宋体"/>
          <w:b/>
          <w:color w:val="auto"/>
          <w:sz w:val="21"/>
          <w:szCs w:val="21"/>
        </w:rPr>
      </w:pPr>
      <w:r>
        <w:rPr>
          <w:rFonts w:hint="eastAsia" w:hAnsi="宋体"/>
          <w:b/>
          <w:color w:val="auto"/>
          <w:sz w:val="21"/>
          <w:szCs w:val="21"/>
        </w:rPr>
        <w:t>15.招标文件的构成</w:t>
      </w:r>
    </w:p>
    <w:p>
      <w:pPr>
        <w:pStyle w:val="25"/>
        <w:snapToGrid w:val="0"/>
        <w:spacing w:beforeLines="0" w:afterLines="0" w:line="360" w:lineRule="auto"/>
        <w:ind w:firstLine="420" w:firstLineChars="200"/>
        <w:rPr>
          <w:rFonts w:hAnsi="宋体"/>
          <w:bCs/>
          <w:color w:val="auto"/>
          <w:sz w:val="21"/>
          <w:szCs w:val="21"/>
        </w:rPr>
      </w:pPr>
      <w:r>
        <w:rPr>
          <w:rFonts w:hint="eastAsia" w:hAnsi="宋体"/>
          <w:bCs/>
          <w:color w:val="auto"/>
          <w:sz w:val="21"/>
          <w:szCs w:val="21"/>
        </w:rPr>
        <w:t>招标文件共七章，由下列文件以及在招标过程中发出的澄清或修改文件组成，内容如下：</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第一章  投标邀请</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 xml:space="preserve">第二章  </w:t>
      </w:r>
      <w:r>
        <w:rPr>
          <w:rFonts w:hAnsi="宋体"/>
          <w:color w:val="auto"/>
          <w:sz w:val="21"/>
          <w:szCs w:val="21"/>
        </w:rPr>
        <w:t>采购需求</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 xml:space="preserve">第三章  </w:t>
      </w:r>
      <w:r>
        <w:rPr>
          <w:rFonts w:hAnsi="宋体"/>
          <w:color w:val="auto"/>
          <w:sz w:val="21"/>
          <w:szCs w:val="21"/>
        </w:rPr>
        <w:t>投标人须知</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 xml:space="preserve">第四章  </w:t>
      </w:r>
      <w:r>
        <w:rPr>
          <w:rFonts w:hAnsi="宋体"/>
          <w:color w:val="auto"/>
          <w:sz w:val="21"/>
          <w:szCs w:val="21"/>
        </w:rPr>
        <w:t>评标方法和标准</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 xml:space="preserve">第五章  </w:t>
      </w:r>
      <w:r>
        <w:rPr>
          <w:rFonts w:hAnsi="宋体"/>
          <w:color w:val="auto"/>
          <w:sz w:val="21"/>
          <w:szCs w:val="21"/>
        </w:rPr>
        <w:t>合同文本</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 xml:space="preserve">第六章  </w:t>
      </w:r>
      <w:r>
        <w:rPr>
          <w:rFonts w:hAnsi="宋体"/>
          <w:color w:val="auto"/>
          <w:sz w:val="21"/>
          <w:szCs w:val="21"/>
        </w:rPr>
        <w:t>投标文件格式</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第七章  政府采购供应商质疑函及投诉书范本</w:t>
      </w:r>
    </w:p>
    <w:p>
      <w:pPr>
        <w:pStyle w:val="12"/>
        <w:widowControl w:val="0"/>
        <w:numPr>
          <w:ilvl w:val="0"/>
          <w:numId w:val="0"/>
        </w:numPr>
        <w:tabs>
          <w:tab w:val="clear" w:pos="454"/>
        </w:tabs>
        <w:snapToGrid w:val="0"/>
        <w:spacing w:afterLines="0" w:line="360" w:lineRule="auto"/>
        <w:ind w:firstLine="422" w:firstLineChars="200"/>
        <w:rPr>
          <w:rFonts w:ascii="宋体" w:hAnsi="宋体" w:cs="宋体"/>
          <w:b/>
          <w:color w:val="auto"/>
          <w:sz w:val="21"/>
          <w:szCs w:val="21"/>
        </w:rPr>
      </w:pPr>
      <w:r>
        <w:rPr>
          <w:rFonts w:hint="eastAsia" w:ascii="宋体" w:hAnsi="宋体" w:cs="宋体"/>
          <w:b/>
          <w:color w:val="auto"/>
          <w:sz w:val="21"/>
          <w:szCs w:val="21"/>
        </w:rPr>
        <w:t>16.招标文件的询问、澄清和修改</w:t>
      </w:r>
    </w:p>
    <w:p>
      <w:pPr>
        <w:pStyle w:val="25"/>
        <w:snapToGrid w:val="0"/>
        <w:spacing w:beforeLines="0" w:afterLines="0" w:line="360" w:lineRule="auto"/>
        <w:ind w:firstLine="420" w:firstLineChars="200"/>
        <w:rPr>
          <w:rFonts w:hAnsi="宋体"/>
          <w:bCs/>
          <w:color w:val="auto"/>
          <w:sz w:val="21"/>
          <w:szCs w:val="21"/>
        </w:rPr>
      </w:pPr>
      <w:r>
        <w:rPr>
          <w:rFonts w:hint="eastAsia" w:hAnsi="宋体"/>
          <w:bCs/>
          <w:color w:val="auto"/>
          <w:sz w:val="21"/>
          <w:szCs w:val="21"/>
        </w:rPr>
        <w:t>16.</w:t>
      </w:r>
      <w:r>
        <w:rPr>
          <w:rFonts w:hAnsi="宋体"/>
          <w:bCs/>
          <w:color w:val="auto"/>
          <w:sz w:val="21"/>
          <w:szCs w:val="21"/>
        </w:rPr>
        <w:t>1</w:t>
      </w:r>
      <w:r>
        <w:rPr>
          <w:rFonts w:hint="eastAsia" w:hAnsi="宋体"/>
          <w:bCs/>
          <w:color w:val="auto"/>
          <w:sz w:val="21"/>
          <w:szCs w:val="21"/>
        </w:rPr>
        <w:t>询问</w:t>
      </w:r>
    </w:p>
    <w:p>
      <w:pPr>
        <w:pStyle w:val="25"/>
        <w:snapToGrid w:val="0"/>
        <w:spacing w:beforeLines="0" w:afterLines="0" w:line="360" w:lineRule="auto"/>
        <w:ind w:firstLine="420" w:firstLineChars="200"/>
        <w:rPr>
          <w:rFonts w:hAnsi="宋体"/>
          <w:color w:val="auto"/>
          <w:sz w:val="21"/>
          <w:szCs w:val="21"/>
        </w:rPr>
      </w:pPr>
      <w:r>
        <w:rPr>
          <w:rFonts w:hAnsi="宋体"/>
          <w:bCs/>
          <w:color w:val="auto"/>
          <w:sz w:val="21"/>
          <w:szCs w:val="21"/>
        </w:rPr>
        <w:t>投标人</w:t>
      </w:r>
      <w:r>
        <w:rPr>
          <w:rFonts w:hint="eastAsia" w:hAnsi="宋体"/>
          <w:bCs/>
          <w:color w:val="auto"/>
          <w:sz w:val="21"/>
          <w:szCs w:val="21"/>
        </w:rPr>
        <w:t>对招标文件有疑问，可以向</w:t>
      </w:r>
      <w:r>
        <w:rPr>
          <w:rFonts w:hint="eastAsia" w:hAnsi="宋体"/>
          <w:color w:val="auto"/>
          <w:sz w:val="21"/>
          <w:szCs w:val="21"/>
        </w:rPr>
        <w:t>采购人或采购代理机构</w:t>
      </w:r>
      <w:r>
        <w:rPr>
          <w:rFonts w:hint="eastAsia" w:hAnsi="宋体"/>
          <w:bCs/>
          <w:color w:val="auto"/>
          <w:sz w:val="21"/>
          <w:szCs w:val="21"/>
        </w:rPr>
        <w:t>询问，</w:t>
      </w:r>
      <w:r>
        <w:rPr>
          <w:rFonts w:hint="eastAsia" w:hAnsi="宋体"/>
          <w:color w:val="auto"/>
          <w:sz w:val="21"/>
          <w:szCs w:val="21"/>
        </w:rPr>
        <w:t>采购人或采购代理机构将依法</w:t>
      </w:r>
      <w:r>
        <w:rPr>
          <w:rFonts w:hint="eastAsia" w:hAnsi="宋体"/>
          <w:bCs/>
          <w:color w:val="auto"/>
          <w:sz w:val="21"/>
          <w:szCs w:val="21"/>
        </w:rPr>
        <w:t>对潜在投标人</w:t>
      </w:r>
      <w:r>
        <w:rPr>
          <w:rFonts w:hint="eastAsia" w:hAnsi="宋体"/>
          <w:color w:val="auto"/>
          <w:sz w:val="21"/>
          <w:szCs w:val="21"/>
        </w:rPr>
        <w:t>的询问作出答复。</w:t>
      </w:r>
    </w:p>
    <w:p>
      <w:pPr>
        <w:pStyle w:val="25"/>
        <w:snapToGrid w:val="0"/>
        <w:spacing w:beforeLines="0" w:afterLines="0" w:line="360" w:lineRule="auto"/>
        <w:ind w:firstLine="420" w:firstLineChars="200"/>
        <w:rPr>
          <w:rFonts w:hAnsi="宋体"/>
          <w:bCs/>
          <w:color w:val="auto"/>
          <w:sz w:val="21"/>
          <w:szCs w:val="21"/>
        </w:rPr>
      </w:pPr>
      <w:r>
        <w:rPr>
          <w:rFonts w:hint="eastAsia" w:hAnsi="宋体"/>
          <w:bCs/>
          <w:color w:val="auto"/>
          <w:sz w:val="21"/>
          <w:szCs w:val="21"/>
        </w:rPr>
        <w:t>16.2澄清和修改</w:t>
      </w:r>
    </w:p>
    <w:p>
      <w:pPr>
        <w:pStyle w:val="25"/>
        <w:snapToGrid w:val="0"/>
        <w:spacing w:beforeLines="0" w:afterLines="0" w:line="360" w:lineRule="auto"/>
        <w:ind w:firstLine="420" w:firstLineChars="200"/>
        <w:rPr>
          <w:rFonts w:hAnsi="宋体"/>
          <w:bCs/>
          <w:color w:val="auto"/>
          <w:sz w:val="21"/>
          <w:szCs w:val="21"/>
        </w:rPr>
      </w:pPr>
      <w:r>
        <w:rPr>
          <w:rFonts w:hint="eastAsia" w:hAnsi="宋体"/>
          <w:bCs/>
          <w:color w:val="auto"/>
          <w:sz w:val="21"/>
          <w:szCs w:val="21"/>
        </w:rPr>
        <w:t>（1）</w:t>
      </w:r>
      <w:r>
        <w:rPr>
          <w:rFonts w:hint="eastAsia" w:hAnsi="宋体"/>
          <w:color w:val="auto"/>
          <w:sz w:val="21"/>
          <w:szCs w:val="21"/>
        </w:rPr>
        <w:t>采购人或采购代理机构</w:t>
      </w:r>
      <w:r>
        <w:rPr>
          <w:rFonts w:hAnsi="宋体"/>
          <w:bCs/>
          <w:color w:val="auto"/>
          <w:sz w:val="21"/>
          <w:szCs w:val="21"/>
        </w:rPr>
        <w:t>可以</w:t>
      </w:r>
      <w:r>
        <w:rPr>
          <w:rFonts w:hint="eastAsia" w:hAnsi="宋体"/>
          <w:bCs/>
          <w:color w:val="auto"/>
          <w:sz w:val="21"/>
          <w:szCs w:val="21"/>
        </w:rPr>
        <w:t>主动地或在解答投标人提出的问题时</w:t>
      </w:r>
      <w:r>
        <w:rPr>
          <w:rFonts w:hAnsi="宋体"/>
          <w:bCs/>
          <w:color w:val="auto"/>
          <w:sz w:val="21"/>
          <w:szCs w:val="21"/>
        </w:rPr>
        <w:t>对已发出的招标文件进行必要的澄清或者修改。</w:t>
      </w:r>
    </w:p>
    <w:p>
      <w:pPr>
        <w:pStyle w:val="25"/>
        <w:snapToGrid w:val="0"/>
        <w:spacing w:beforeLines="0" w:afterLines="0" w:line="360" w:lineRule="auto"/>
        <w:ind w:firstLine="420" w:firstLineChars="200"/>
        <w:rPr>
          <w:rFonts w:hAnsi="宋体"/>
          <w:bCs/>
          <w:color w:val="auto"/>
          <w:sz w:val="21"/>
          <w:szCs w:val="21"/>
        </w:rPr>
      </w:pPr>
      <w:r>
        <w:rPr>
          <w:rFonts w:hint="eastAsia" w:hAnsi="宋体"/>
          <w:bCs/>
          <w:color w:val="auto"/>
          <w:sz w:val="21"/>
          <w:szCs w:val="21"/>
        </w:rPr>
        <w:t>（2）更正信息将以网上公告的方式在宁波政府采购网（</w:t>
      </w:r>
      <w:r>
        <w:rPr>
          <w:rFonts w:hAnsi="宋体"/>
          <w:bCs/>
          <w:color w:val="auto"/>
          <w:sz w:val="21"/>
          <w:szCs w:val="21"/>
        </w:rPr>
        <w:t>http://www.nbzfcg.cn/</w:t>
      </w:r>
      <w:r>
        <w:rPr>
          <w:rFonts w:hint="eastAsia" w:hAnsi="宋体"/>
          <w:bCs/>
          <w:color w:val="auto"/>
          <w:sz w:val="21"/>
          <w:szCs w:val="21"/>
        </w:rPr>
        <w:t>）、浙江政府采购网（</w:t>
      </w:r>
      <w:r>
        <w:rPr>
          <w:rFonts w:hAnsi="宋体"/>
          <w:bCs/>
          <w:color w:val="auto"/>
          <w:sz w:val="21"/>
          <w:szCs w:val="21"/>
        </w:rPr>
        <w:t>https://zfcg.czt.zj.gov.cn/</w:t>
      </w:r>
      <w:r>
        <w:rPr>
          <w:rFonts w:hint="eastAsia" w:hAnsi="宋体"/>
          <w:bCs/>
          <w:color w:val="auto"/>
          <w:sz w:val="21"/>
          <w:szCs w:val="21"/>
        </w:rPr>
        <w:t>）公开发布。政采云平台将发送短信通知所有获取采购文件的投标人，投标人自行登陆上述网站并浏览更正内容，并按照更正后的采购文件编制投标文件。</w:t>
      </w:r>
    </w:p>
    <w:p>
      <w:pPr>
        <w:pStyle w:val="25"/>
        <w:snapToGrid w:val="0"/>
        <w:spacing w:beforeLines="0" w:afterLines="0" w:line="360" w:lineRule="auto"/>
        <w:ind w:firstLine="420" w:firstLineChars="200"/>
        <w:rPr>
          <w:rFonts w:hAnsi="宋体"/>
          <w:bCs/>
          <w:color w:val="auto"/>
          <w:sz w:val="21"/>
          <w:szCs w:val="21"/>
        </w:rPr>
      </w:pPr>
      <w:r>
        <w:rPr>
          <w:rFonts w:hint="eastAsia" w:hAnsi="宋体"/>
          <w:bCs/>
          <w:color w:val="auto"/>
          <w:sz w:val="21"/>
          <w:szCs w:val="21"/>
        </w:rPr>
        <w:t>（3）投标人</w:t>
      </w:r>
      <w:r>
        <w:rPr>
          <w:rFonts w:hAnsi="宋体"/>
          <w:bCs/>
          <w:color w:val="auto"/>
          <w:sz w:val="21"/>
          <w:szCs w:val="21"/>
        </w:rPr>
        <w:t>在收到书面通知后，</w:t>
      </w:r>
      <w:r>
        <w:rPr>
          <w:rFonts w:hint="eastAsia" w:hAnsi="宋体"/>
          <w:bCs/>
          <w:color w:val="auto"/>
          <w:sz w:val="21"/>
          <w:szCs w:val="21"/>
        </w:rPr>
        <w:t>认为</w:t>
      </w:r>
      <w:r>
        <w:rPr>
          <w:rFonts w:hAnsi="宋体"/>
          <w:bCs/>
          <w:color w:val="auto"/>
          <w:sz w:val="21"/>
          <w:szCs w:val="21"/>
        </w:rPr>
        <w:t>澄清或者修改的</w:t>
      </w:r>
      <w:r>
        <w:rPr>
          <w:rFonts w:hint="eastAsia" w:hAnsi="宋体"/>
          <w:bCs/>
          <w:color w:val="auto"/>
          <w:sz w:val="21"/>
          <w:szCs w:val="21"/>
        </w:rPr>
        <w:t>内容</w:t>
      </w:r>
      <w:r>
        <w:rPr>
          <w:rFonts w:hAnsi="宋体"/>
          <w:bCs/>
          <w:color w:val="auto"/>
          <w:sz w:val="21"/>
          <w:szCs w:val="21"/>
        </w:rPr>
        <w:t>影响</w:t>
      </w:r>
      <w:r>
        <w:rPr>
          <w:rFonts w:hint="eastAsia" w:hAnsi="宋体"/>
          <w:bCs/>
          <w:color w:val="auto"/>
          <w:sz w:val="21"/>
          <w:szCs w:val="21"/>
        </w:rPr>
        <w:t>投标</w:t>
      </w:r>
      <w:r>
        <w:rPr>
          <w:rFonts w:hAnsi="宋体"/>
          <w:bCs/>
          <w:color w:val="auto"/>
          <w:sz w:val="21"/>
          <w:szCs w:val="21"/>
        </w:rPr>
        <w:t>文件编制</w:t>
      </w:r>
      <w:r>
        <w:rPr>
          <w:rFonts w:hint="eastAsia" w:hAnsi="宋体"/>
          <w:bCs/>
          <w:color w:val="auto"/>
          <w:sz w:val="21"/>
          <w:szCs w:val="21"/>
        </w:rPr>
        <w:t>的</w:t>
      </w:r>
      <w:r>
        <w:rPr>
          <w:rFonts w:hAnsi="宋体"/>
          <w:bCs/>
          <w:color w:val="auto"/>
          <w:sz w:val="21"/>
          <w:szCs w:val="21"/>
        </w:rPr>
        <w:t>，</w:t>
      </w:r>
      <w:r>
        <w:rPr>
          <w:rFonts w:hint="eastAsia" w:hAnsi="宋体"/>
          <w:bCs/>
          <w:color w:val="auto"/>
          <w:sz w:val="21"/>
          <w:szCs w:val="21"/>
        </w:rPr>
        <w:t>应当</w:t>
      </w:r>
      <w:r>
        <w:rPr>
          <w:rFonts w:hAnsi="宋体"/>
          <w:bCs/>
          <w:color w:val="auto"/>
          <w:sz w:val="21"/>
          <w:szCs w:val="21"/>
        </w:rPr>
        <w:t>在收到</w:t>
      </w:r>
      <w:r>
        <w:rPr>
          <w:rFonts w:hint="eastAsia" w:hAnsi="宋体"/>
          <w:bCs/>
          <w:color w:val="auto"/>
          <w:sz w:val="21"/>
          <w:szCs w:val="21"/>
        </w:rPr>
        <w:t>书面通知</w:t>
      </w:r>
      <w:r>
        <w:rPr>
          <w:rFonts w:hAnsi="宋体"/>
          <w:bCs/>
          <w:color w:val="auto"/>
          <w:sz w:val="21"/>
          <w:szCs w:val="21"/>
        </w:rPr>
        <w:t>后</w:t>
      </w:r>
      <w:r>
        <w:rPr>
          <w:rFonts w:hint="eastAsia" w:hAnsi="宋体"/>
          <w:bCs/>
          <w:color w:val="auto"/>
          <w:sz w:val="21"/>
          <w:szCs w:val="21"/>
        </w:rPr>
        <w:t>及时</w:t>
      </w:r>
      <w:r>
        <w:rPr>
          <w:rFonts w:hAnsi="宋体"/>
          <w:bCs/>
          <w:color w:val="auto"/>
          <w:sz w:val="21"/>
          <w:szCs w:val="21"/>
        </w:rPr>
        <w:t>将</w:t>
      </w:r>
      <w:r>
        <w:rPr>
          <w:rFonts w:hint="eastAsia" w:hAnsi="宋体"/>
          <w:bCs/>
          <w:color w:val="auto"/>
          <w:sz w:val="21"/>
          <w:szCs w:val="21"/>
        </w:rPr>
        <w:t>有关</w:t>
      </w:r>
      <w:r>
        <w:rPr>
          <w:rFonts w:hAnsi="宋体"/>
          <w:bCs/>
          <w:color w:val="auto"/>
          <w:sz w:val="21"/>
          <w:szCs w:val="21"/>
        </w:rPr>
        <w:t>意见以书面形式向</w:t>
      </w:r>
      <w:r>
        <w:rPr>
          <w:rFonts w:hint="eastAsia" w:hAnsi="宋体"/>
          <w:color w:val="auto"/>
          <w:sz w:val="21"/>
          <w:szCs w:val="21"/>
        </w:rPr>
        <w:t>采购人、采购代理机构</w:t>
      </w:r>
      <w:r>
        <w:rPr>
          <w:rFonts w:hAnsi="宋体"/>
          <w:bCs/>
          <w:color w:val="auto"/>
          <w:sz w:val="21"/>
          <w:szCs w:val="21"/>
        </w:rPr>
        <w:t>提出，否则，</w:t>
      </w:r>
      <w:r>
        <w:rPr>
          <w:rFonts w:hint="eastAsia" w:hAnsi="宋体"/>
          <w:color w:val="auto"/>
          <w:sz w:val="21"/>
          <w:szCs w:val="21"/>
        </w:rPr>
        <w:t>采购人、采购代理机构</w:t>
      </w:r>
      <w:r>
        <w:rPr>
          <w:rFonts w:hAnsi="宋体"/>
          <w:bCs/>
          <w:color w:val="auto"/>
          <w:sz w:val="21"/>
          <w:szCs w:val="21"/>
        </w:rPr>
        <w:t>视</w:t>
      </w:r>
      <w:r>
        <w:rPr>
          <w:rFonts w:hint="eastAsia" w:hAnsi="宋体"/>
          <w:bCs/>
          <w:color w:val="auto"/>
          <w:sz w:val="21"/>
          <w:szCs w:val="21"/>
        </w:rPr>
        <w:t>为投标人</w:t>
      </w:r>
      <w:r>
        <w:rPr>
          <w:rFonts w:hAnsi="宋体"/>
          <w:bCs/>
          <w:color w:val="auto"/>
          <w:sz w:val="21"/>
          <w:szCs w:val="21"/>
        </w:rPr>
        <w:t>完全接受澄清或者修改的</w:t>
      </w:r>
      <w:r>
        <w:rPr>
          <w:rFonts w:hint="eastAsia" w:hAnsi="宋体"/>
          <w:bCs/>
          <w:color w:val="auto"/>
          <w:sz w:val="21"/>
          <w:szCs w:val="21"/>
        </w:rPr>
        <w:t>内容，</w:t>
      </w:r>
      <w:r>
        <w:rPr>
          <w:rFonts w:hAnsi="宋体"/>
          <w:bCs/>
          <w:color w:val="auto"/>
          <w:sz w:val="21"/>
          <w:szCs w:val="21"/>
        </w:rPr>
        <w:t>且</w:t>
      </w:r>
      <w:r>
        <w:rPr>
          <w:rFonts w:hint="eastAsia" w:hAnsi="宋体"/>
          <w:bCs/>
          <w:color w:val="auto"/>
          <w:sz w:val="21"/>
          <w:szCs w:val="21"/>
        </w:rPr>
        <w:t>不</w:t>
      </w:r>
      <w:r>
        <w:rPr>
          <w:rFonts w:hAnsi="宋体"/>
          <w:bCs/>
          <w:color w:val="auto"/>
          <w:sz w:val="21"/>
          <w:szCs w:val="21"/>
        </w:rPr>
        <w:t>影响</w:t>
      </w:r>
      <w:r>
        <w:rPr>
          <w:rFonts w:hint="eastAsia" w:hAnsi="宋体"/>
          <w:bCs/>
          <w:color w:val="auto"/>
          <w:sz w:val="21"/>
          <w:szCs w:val="21"/>
        </w:rPr>
        <w:t>投标文件</w:t>
      </w:r>
      <w:r>
        <w:rPr>
          <w:rFonts w:hAnsi="宋体"/>
          <w:bCs/>
          <w:color w:val="auto"/>
          <w:sz w:val="21"/>
          <w:szCs w:val="21"/>
        </w:rPr>
        <w:t>编制。</w:t>
      </w:r>
    </w:p>
    <w:p>
      <w:pPr>
        <w:pStyle w:val="25"/>
        <w:snapToGrid w:val="0"/>
        <w:spacing w:beforeLines="0" w:afterLines="0" w:line="360" w:lineRule="auto"/>
        <w:ind w:firstLine="420" w:firstLineChars="200"/>
        <w:rPr>
          <w:rFonts w:hAnsi="宋体"/>
          <w:bCs/>
          <w:color w:val="auto"/>
          <w:sz w:val="21"/>
          <w:szCs w:val="21"/>
        </w:rPr>
      </w:pPr>
      <w:r>
        <w:rPr>
          <w:rFonts w:hint="eastAsia" w:hAnsi="宋体"/>
          <w:bCs/>
          <w:color w:val="auto"/>
          <w:sz w:val="21"/>
          <w:szCs w:val="21"/>
        </w:rPr>
        <w:t>投标人</w:t>
      </w:r>
      <w:r>
        <w:rPr>
          <w:rFonts w:hAnsi="宋体"/>
          <w:bCs/>
          <w:color w:val="auto"/>
          <w:sz w:val="21"/>
          <w:szCs w:val="21"/>
        </w:rPr>
        <w:t>要求澄清</w:t>
      </w:r>
      <w:r>
        <w:rPr>
          <w:rFonts w:hint="eastAsia" w:hAnsi="宋体"/>
          <w:bCs/>
          <w:color w:val="auto"/>
          <w:sz w:val="21"/>
          <w:szCs w:val="21"/>
        </w:rPr>
        <w:t>和回复的书面材料</w:t>
      </w:r>
      <w:r>
        <w:rPr>
          <w:rFonts w:hAnsi="宋体"/>
          <w:bCs/>
          <w:color w:val="auto"/>
          <w:sz w:val="21"/>
          <w:szCs w:val="21"/>
        </w:rPr>
        <w:t>应</w:t>
      </w:r>
      <w:r>
        <w:rPr>
          <w:rFonts w:hint="eastAsia" w:hAnsi="宋体"/>
          <w:bCs/>
          <w:color w:val="auto"/>
          <w:sz w:val="21"/>
          <w:szCs w:val="21"/>
        </w:rPr>
        <w:t>当</w:t>
      </w:r>
      <w:r>
        <w:rPr>
          <w:rFonts w:hAnsi="宋体"/>
          <w:bCs/>
          <w:color w:val="auto"/>
          <w:sz w:val="21"/>
          <w:szCs w:val="21"/>
        </w:rPr>
        <w:t>加盖单位公章</w:t>
      </w:r>
      <w:r>
        <w:rPr>
          <w:rFonts w:hint="eastAsia" w:hAnsi="宋体"/>
          <w:bCs/>
          <w:color w:val="auto"/>
          <w:sz w:val="21"/>
          <w:szCs w:val="21"/>
        </w:rPr>
        <w:t>并注明</w:t>
      </w:r>
      <w:r>
        <w:rPr>
          <w:rFonts w:hAnsi="宋体"/>
          <w:bCs/>
          <w:color w:val="auto"/>
          <w:sz w:val="21"/>
          <w:szCs w:val="21"/>
        </w:rPr>
        <w:t>日期。</w:t>
      </w:r>
    </w:p>
    <w:p>
      <w:pPr>
        <w:pStyle w:val="25"/>
        <w:snapToGrid w:val="0"/>
        <w:spacing w:beforeLines="0" w:afterLines="0" w:line="360" w:lineRule="auto"/>
        <w:ind w:firstLine="420" w:firstLineChars="200"/>
        <w:rPr>
          <w:rFonts w:hAnsi="宋体"/>
          <w:bCs/>
          <w:color w:val="auto"/>
          <w:sz w:val="21"/>
          <w:szCs w:val="21"/>
        </w:rPr>
      </w:pPr>
      <w:r>
        <w:rPr>
          <w:rFonts w:hint="eastAsia" w:hAnsi="宋体"/>
          <w:bCs/>
          <w:color w:val="auto"/>
          <w:sz w:val="21"/>
          <w:szCs w:val="21"/>
        </w:rPr>
        <w:t>（4）投标人应当保证获取招标文件时所登记的项目联系人信息资料的真实和准确，并确保联系方式的畅通，否则，因此导致未及时收到通知事项造成的后果由投标人自行承担。</w:t>
      </w:r>
    </w:p>
    <w:p>
      <w:pPr>
        <w:pStyle w:val="25"/>
        <w:snapToGrid w:val="0"/>
        <w:spacing w:beforeLines="0" w:afterLines="0" w:line="360" w:lineRule="auto"/>
        <w:ind w:firstLine="422" w:firstLineChars="200"/>
        <w:rPr>
          <w:rFonts w:hAnsi="宋体"/>
          <w:b/>
          <w:bCs/>
          <w:color w:val="auto"/>
          <w:sz w:val="21"/>
          <w:szCs w:val="21"/>
        </w:rPr>
      </w:pPr>
      <w:r>
        <w:rPr>
          <w:rFonts w:hint="eastAsia" w:hAnsi="宋体"/>
          <w:b/>
          <w:bCs/>
          <w:color w:val="auto"/>
          <w:sz w:val="21"/>
          <w:szCs w:val="21"/>
        </w:rPr>
        <w:t>17.现场考察及召开开标前答疑会</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17.1现场考察事项见</w:t>
      </w:r>
      <w:r>
        <w:rPr>
          <w:rFonts w:hint="eastAsia" w:hAnsi="宋体"/>
          <w:color w:val="auto"/>
          <w:sz w:val="21"/>
          <w:szCs w:val="21"/>
          <w:u w:val="single"/>
        </w:rPr>
        <w:t>投标人须知前附表</w:t>
      </w:r>
      <w:r>
        <w:rPr>
          <w:rFonts w:hint="eastAsia" w:hAnsi="宋体"/>
          <w:color w:val="auto"/>
          <w:sz w:val="21"/>
          <w:szCs w:val="21"/>
        </w:rPr>
        <w:t>。</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17.2如统一组织现场考察，</w:t>
      </w:r>
      <w:r>
        <w:rPr>
          <w:rFonts w:hAnsi="宋体"/>
          <w:color w:val="auto"/>
          <w:sz w:val="21"/>
          <w:szCs w:val="21"/>
        </w:rPr>
        <w:t>潜在投标人</w:t>
      </w:r>
      <w:r>
        <w:rPr>
          <w:rFonts w:hint="eastAsia" w:hAnsi="宋体"/>
          <w:color w:val="auto"/>
          <w:sz w:val="21"/>
          <w:szCs w:val="21"/>
        </w:rPr>
        <w:t>应当在通知的时间准时参加现场考察，否则自行承担未及时参加造成的后果。除采购人的原因外，投标人自行负责现场考察造成的自身或第三人的人身伤害、财产损失或损坏的责任。</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17.3本项目不组织召开开标前答疑会。</w:t>
      </w:r>
    </w:p>
    <w:p>
      <w:pPr>
        <w:pStyle w:val="176"/>
        <w:spacing w:before="120" w:after="120"/>
        <w:jc w:val="center"/>
        <w:rPr>
          <w:rFonts w:ascii="宋体" w:hAnsi="宋体" w:eastAsia="宋体"/>
          <w:color w:val="auto"/>
          <w:sz w:val="21"/>
          <w:szCs w:val="21"/>
        </w:rPr>
      </w:pPr>
      <w:bookmarkStart w:id="49" w:name="_Toc118452529"/>
      <w:r>
        <w:rPr>
          <w:rFonts w:ascii="宋体" w:hAnsi="宋体" w:eastAsia="宋体"/>
          <w:color w:val="auto"/>
          <w:sz w:val="21"/>
          <w:szCs w:val="21"/>
        </w:rPr>
        <w:t>三、投标文件的编制</w:t>
      </w:r>
      <w:bookmarkEnd w:id="49"/>
    </w:p>
    <w:p>
      <w:pPr>
        <w:spacing w:line="360" w:lineRule="auto"/>
        <w:ind w:firstLine="422" w:firstLineChars="200"/>
        <w:rPr>
          <w:rFonts w:ascii="宋体" w:hAnsi="宋体"/>
          <w:b/>
          <w:color w:val="auto"/>
          <w:szCs w:val="21"/>
        </w:rPr>
      </w:pPr>
      <w:r>
        <w:rPr>
          <w:rFonts w:hint="eastAsia" w:ascii="宋体" w:hAnsi="宋体"/>
          <w:b/>
          <w:color w:val="auto"/>
          <w:szCs w:val="21"/>
        </w:rPr>
        <w:t>18.投标范围</w:t>
      </w:r>
    </w:p>
    <w:p>
      <w:pPr>
        <w:spacing w:line="360" w:lineRule="auto"/>
        <w:ind w:firstLine="435"/>
        <w:rPr>
          <w:rFonts w:ascii="宋体" w:hAnsi="宋体"/>
          <w:color w:val="auto"/>
          <w:szCs w:val="21"/>
        </w:rPr>
      </w:pPr>
      <w:r>
        <w:rPr>
          <w:rFonts w:ascii="宋体" w:hAnsi="宋体"/>
          <w:color w:val="auto"/>
          <w:szCs w:val="21"/>
        </w:rPr>
        <w:t>投标人应当对所投</w:t>
      </w:r>
      <w:r>
        <w:rPr>
          <w:rFonts w:hint="eastAsia" w:ascii="宋体" w:hAnsi="宋体"/>
          <w:color w:val="auto"/>
          <w:szCs w:val="21"/>
        </w:rPr>
        <w:t>标项的“采购</w:t>
      </w:r>
      <w:r>
        <w:rPr>
          <w:rFonts w:ascii="宋体" w:hAnsi="宋体"/>
          <w:color w:val="auto"/>
          <w:szCs w:val="21"/>
        </w:rPr>
        <w:t>需求</w:t>
      </w:r>
      <w:r>
        <w:rPr>
          <w:rFonts w:hint="eastAsia" w:ascii="宋体" w:hAnsi="宋体"/>
          <w:color w:val="auto"/>
          <w:szCs w:val="21"/>
        </w:rPr>
        <w:t>”</w:t>
      </w:r>
      <w:r>
        <w:rPr>
          <w:rFonts w:ascii="宋体" w:hAnsi="宋体"/>
          <w:color w:val="auto"/>
          <w:szCs w:val="21"/>
        </w:rPr>
        <w:t>所列的</w:t>
      </w:r>
      <w:r>
        <w:rPr>
          <w:rFonts w:hint="eastAsia" w:ascii="宋体" w:hAnsi="宋体"/>
          <w:color w:val="auto"/>
          <w:szCs w:val="21"/>
        </w:rPr>
        <w:t>全部</w:t>
      </w:r>
      <w:r>
        <w:rPr>
          <w:rFonts w:ascii="宋体" w:hAnsi="宋体"/>
          <w:color w:val="auto"/>
          <w:szCs w:val="21"/>
        </w:rPr>
        <w:t>内容</w:t>
      </w:r>
      <w:r>
        <w:rPr>
          <w:rFonts w:hint="eastAsia" w:ascii="宋体" w:hAnsi="宋体"/>
          <w:color w:val="auto"/>
          <w:szCs w:val="21"/>
        </w:rPr>
        <w:t>（标的）</w:t>
      </w:r>
      <w:r>
        <w:rPr>
          <w:rFonts w:ascii="宋体" w:hAnsi="宋体"/>
          <w:color w:val="auto"/>
          <w:szCs w:val="21"/>
        </w:rPr>
        <w:t>进行投标，如仅响应</w:t>
      </w:r>
      <w:r>
        <w:rPr>
          <w:rFonts w:hint="eastAsia" w:ascii="宋体" w:hAnsi="宋体"/>
          <w:color w:val="auto"/>
          <w:szCs w:val="21"/>
        </w:rPr>
        <w:t>所投标项</w:t>
      </w:r>
      <w:r>
        <w:rPr>
          <w:rFonts w:ascii="宋体" w:hAnsi="宋体"/>
          <w:color w:val="auto"/>
          <w:szCs w:val="21"/>
        </w:rPr>
        <w:t>中的部分内容，其</w:t>
      </w:r>
      <w:r>
        <w:rPr>
          <w:rFonts w:hint="eastAsia" w:ascii="宋体" w:hAnsi="宋体"/>
          <w:color w:val="auto"/>
          <w:szCs w:val="21"/>
        </w:rPr>
        <w:t>对该标项的</w:t>
      </w:r>
      <w:r>
        <w:rPr>
          <w:rFonts w:ascii="宋体" w:hAnsi="宋体"/>
          <w:color w:val="auto"/>
          <w:szCs w:val="21"/>
        </w:rPr>
        <w:t>投标将被认定为</w:t>
      </w:r>
      <w:r>
        <w:rPr>
          <w:rFonts w:ascii="宋体" w:hAnsi="宋体"/>
          <w:b/>
          <w:color w:val="auto"/>
          <w:szCs w:val="21"/>
        </w:rPr>
        <w:t>投标无效</w:t>
      </w:r>
      <w:r>
        <w:rPr>
          <w:rFonts w:ascii="宋体" w:hAnsi="宋体"/>
          <w:color w:val="auto"/>
          <w:szCs w:val="21"/>
        </w:rPr>
        <w:t>。</w:t>
      </w:r>
    </w:p>
    <w:p>
      <w:pPr>
        <w:spacing w:line="360" w:lineRule="auto"/>
        <w:ind w:firstLine="422" w:firstLineChars="200"/>
        <w:rPr>
          <w:rFonts w:ascii="宋体" w:hAnsi="宋体"/>
          <w:b/>
          <w:color w:val="auto"/>
          <w:szCs w:val="21"/>
        </w:rPr>
      </w:pPr>
      <w:r>
        <w:rPr>
          <w:rFonts w:hint="eastAsia" w:ascii="宋体" w:hAnsi="宋体"/>
          <w:b/>
          <w:color w:val="auto"/>
          <w:szCs w:val="21"/>
        </w:rPr>
        <w:t>19.投标文件中标准和计量单位的使用</w:t>
      </w:r>
    </w:p>
    <w:p>
      <w:pPr>
        <w:spacing w:line="360" w:lineRule="auto"/>
        <w:ind w:firstLine="435"/>
        <w:rPr>
          <w:rFonts w:ascii="宋体" w:hAnsi="宋体"/>
          <w:color w:val="auto"/>
          <w:szCs w:val="21"/>
        </w:rPr>
      </w:pPr>
      <w:bookmarkStart w:id="50" w:name="_Hlk16458980"/>
      <w:r>
        <w:rPr>
          <w:rFonts w:hint="eastAsia" w:ascii="宋体" w:hAnsi="宋体"/>
          <w:color w:val="auto"/>
          <w:szCs w:val="21"/>
        </w:rPr>
        <w:t>19.1</w:t>
      </w:r>
      <w:r>
        <w:rPr>
          <w:rFonts w:ascii="宋体" w:hAnsi="宋体"/>
          <w:color w:val="auto"/>
          <w:szCs w:val="21"/>
        </w:rPr>
        <w:t>无论招标文件中是否要求，</w:t>
      </w:r>
      <w:r>
        <w:rPr>
          <w:rFonts w:hint="eastAsia" w:ascii="宋体" w:hAnsi="宋体"/>
          <w:color w:val="auto"/>
          <w:szCs w:val="21"/>
        </w:rPr>
        <w:t>投标人所提供的服务及伴随的货物均应符合国家强制性标准。</w:t>
      </w:r>
    </w:p>
    <w:bookmarkEnd w:id="50"/>
    <w:p>
      <w:pPr>
        <w:pStyle w:val="25"/>
        <w:snapToGrid w:val="0"/>
        <w:spacing w:beforeLines="0" w:afterLines="0" w:line="360" w:lineRule="auto"/>
        <w:ind w:firstLine="420" w:firstLineChars="200"/>
        <w:rPr>
          <w:rFonts w:hAnsi="宋体"/>
          <w:color w:val="auto"/>
          <w:sz w:val="21"/>
          <w:szCs w:val="21"/>
        </w:rPr>
      </w:pPr>
      <w:r>
        <w:rPr>
          <w:rFonts w:hint="eastAsia" w:hAnsi="宋体" w:cs="Times New Roman"/>
          <w:color w:val="auto"/>
          <w:kern w:val="2"/>
          <w:sz w:val="21"/>
          <w:szCs w:val="21"/>
        </w:rPr>
        <w:t>19.2</w:t>
      </w:r>
      <w:r>
        <w:rPr>
          <w:rFonts w:hAnsi="宋体" w:cs="Times New Roman"/>
          <w:color w:val="auto"/>
          <w:kern w:val="2"/>
          <w:sz w:val="21"/>
          <w:szCs w:val="21"/>
        </w:rPr>
        <w:t>投标人与</w:t>
      </w:r>
      <w:r>
        <w:rPr>
          <w:rFonts w:hint="eastAsia" w:hAnsi="宋体" w:cs="Times New Roman"/>
          <w:color w:val="auto"/>
          <w:kern w:val="2"/>
          <w:sz w:val="21"/>
          <w:szCs w:val="21"/>
        </w:rPr>
        <w:t>采购人或</w:t>
      </w:r>
      <w:r>
        <w:rPr>
          <w:rFonts w:hAnsi="宋体" w:cs="Times New Roman"/>
          <w:color w:val="auto"/>
          <w:kern w:val="2"/>
          <w:sz w:val="21"/>
          <w:szCs w:val="21"/>
        </w:rPr>
        <w:t>采购</w:t>
      </w:r>
      <w:r>
        <w:rPr>
          <w:rFonts w:hint="eastAsia" w:hAnsi="宋体" w:cs="Times New Roman"/>
          <w:color w:val="auto"/>
          <w:kern w:val="2"/>
          <w:sz w:val="21"/>
          <w:szCs w:val="21"/>
        </w:rPr>
        <w:t>代理</w:t>
      </w:r>
      <w:r>
        <w:rPr>
          <w:rFonts w:hAnsi="宋体" w:cs="Times New Roman"/>
          <w:color w:val="auto"/>
          <w:kern w:val="2"/>
          <w:sz w:val="21"/>
          <w:szCs w:val="21"/>
        </w:rPr>
        <w:t>机构之间与投标有关的所有往来通知、函件和投标文件均用中文表述。投标</w:t>
      </w:r>
      <w:r>
        <w:rPr>
          <w:rFonts w:hAnsi="宋体"/>
          <w:color w:val="auto"/>
          <w:sz w:val="21"/>
          <w:szCs w:val="21"/>
        </w:rPr>
        <w:t>人随投标文件提供的证明文件和资料可以为其它语言</w:t>
      </w:r>
      <w:r>
        <w:rPr>
          <w:rFonts w:hint="eastAsia" w:hAnsi="宋体"/>
          <w:color w:val="auto"/>
          <w:sz w:val="21"/>
          <w:szCs w:val="21"/>
        </w:rPr>
        <w:t>（文字）</w:t>
      </w:r>
      <w:r>
        <w:rPr>
          <w:rFonts w:hAnsi="宋体"/>
          <w:color w:val="auto"/>
          <w:sz w:val="21"/>
          <w:szCs w:val="21"/>
        </w:rPr>
        <w:t>，但</w:t>
      </w:r>
      <w:r>
        <w:rPr>
          <w:rFonts w:hint="eastAsia" w:hAnsi="宋体"/>
          <w:color w:val="auto"/>
          <w:sz w:val="21"/>
          <w:szCs w:val="21"/>
        </w:rPr>
        <w:t>应当</w:t>
      </w:r>
      <w:r>
        <w:rPr>
          <w:rFonts w:hAnsi="宋体"/>
          <w:color w:val="auto"/>
          <w:sz w:val="21"/>
          <w:szCs w:val="21"/>
        </w:rPr>
        <w:t>附中文译文</w:t>
      </w:r>
      <w:r>
        <w:rPr>
          <w:rFonts w:hint="eastAsia" w:hAnsi="宋体"/>
          <w:color w:val="auto"/>
          <w:sz w:val="21"/>
          <w:szCs w:val="21"/>
        </w:rPr>
        <w:t>，未提供中文译文的视为未提供，</w:t>
      </w:r>
      <w:r>
        <w:rPr>
          <w:rFonts w:hAnsi="宋体"/>
          <w:color w:val="auto"/>
          <w:sz w:val="21"/>
          <w:szCs w:val="21"/>
        </w:rPr>
        <w:t>翻译的中文资料与外文资料出现差异时，以中文为准。</w:t>
      </w:r>
    </w:p>
    <w:p>
      <w:pPr>
        <w:spacing w:line="360" w:lineRule="auto"/>
        <w:ind w:firstLine="435"/>
        <w:rPr>
          <w:rFonts w:ascii="宋体" w:hAnsi="宋体"/>
          <w:color w:val="auto"/>
          <w:szCs w:val="21"/>
        </w:rPr>
      </w:pPr>
      <w:r>
        <w:rPr>
          <w:rFonts w:hint="eastAsia" w:ascii="宋体" w:hAnsi="宋体"/>
          <w:color w:val="auto"/>
          <w:szCs w:val="21"/>
        </w:rPr>
        <w:t>19.3</w:t>
      </w:r>
      <w:r>
        <w:rPr>
          <w:rFonts w:ascii="宋体" w:hAnsi="宋体"/>
          <w:color w:val="auto"/>
          <w:szCs w:val="21"/>
        </w:rPr>
        <w:t>除招标文件中有特殊要求外，投标文件中所使用的计量单位，应采用中华人民共和国法定计量单位。</w:t>
      </w:r>
    </w:p>
    <w:p>
      <w:pPr>
        <w:pStyle w:val="25"/>
        <w:snapToGrid w:val="0"/>
        <w:spacing w:beforeLines="0" w:afterLines="0" w:line="360" w:lineRule="auto"/>
        <w:ind w:firstLine="422" w:firstLineChars="200"/>
        <w:rPr>
          <w:rFonts w:hAnsi="宋体"/>
          <w:color w:val="auto"/>
          <w:sz w:val="21"/>
          <w:szCs w:val="21"/>
        </w:rPr>
      </w:pPr>
      <w:r>
        <w:rPr>
          <w:rFonts w:hint="eastAsia" w:hAnsi="宋体"/>
          <w:b/>
          <w:color w:val="auto"/>
          <w:sz w:val="21"/>
          <w:szCs w:val="21"/>
        </w:rPr>
        <w:t>20.投标文件的形式</w:t>
      </w:r>
    </w:p>
    <w:p>
      <w:pPr>
        <w:pStyle w:val="25"/>
        <w:snapToGrid w:val="0"/>
        <w:spacing w:beforeLines="0" w:afterLines="0" w:line="360" w:lineRule="auto"/>
        <w:ind w:firstLine="422" w:firstLineChars="200"/>
        <w:rPr>
          <w:rFonts w:hAnsi="宋体"/>
          <w:color w:val="auto"/>
          <w:sz w:val="21"/>
          <w:szCs w:val="21"/>
        </w:rPr>
      </w:pPr>
      <w:r>
        <w:rPr>
          <w:rFonts w:hint="eastAsia" w:hAnsi="宋体"/>
          <w:b/>
          <w:color w:val="auto"/>
          <w:sz w:val="21"/>
          <w:szCs w:val="21"/>
        </w:rPr>
        <w:t>本项目采用电子投标文件形式，分为电子加密投标文件和备份投标文件两种。</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20.1电子加密投标文件是指通过“政采云电子投标客户端”完成投标文件编制后生成并加密的数据电文形式的加密标书，后缀名为【.jmbs】。</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20.2备份投标文件是指与电子加密投标文件同时生成的数据电文形式的备份标书，后缀名为【.bfbs】。</w:t>
      </w:r>
    </w:p>
    <w:p>
      <w:pPr>
        <w:spacing w:line="360" w:lineRule="auto"/>
        <w:ind w:firstLine="422" w:firstLineChars="200"/>
        <w:rPr>
          <w:rFonts w:ascii="宋体" w:hAnsi="宋体"/>
          <w:b/>
          <w:color w:val="auto"/>
          <w:szCs w:val="21"/>
        </w:rPr>
      </w:pPr>
      <w:r>
        <w:rPr>
          <w:rFonts w:hint="eastAsia" w:ascii="宋体" w:hAnsi="宋体"/>
          <w:b/>
          <w:color w:val="auto"/>
          <w:szCs w:val="21"/>
        </w:rPr>
        <w:t>21.投标文件内容的构成</w:t>
      </w:r>
    </w:p>
    <w:p>
      <w:pPr>
        <w:pStyle w:val="25"/>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21.1投标人编写的投标文件应包含资格要求响应文件、商务技术文件和报价要求响应文件。上述各项文件的组成内容见</w:t>
      </w:r>
      <w:r>
        <w:rPr>
          <w:rFonts w:hint="eastAsia" w:hAnsi="宋体"/>
          <w:color w:val="auto"/>
          <w:sz w:val="21"/>
          <w:szCs w:val="21"/>
          <w:u w:val="single"/>
        </w:rPr>
        <w:t>投标人须知前附表</w:t>
      </w:r>
      <w:r>
        <w:rPr>
          <w:rFonts w:hint="eastAsia" w:hAnsi="宋体"/>
          <w:color w:val="auto"/>
          <w:sz w:val="21"/>
          <w:szCs w:val="21"/>
        </w:rPr>
        <w:t>，未列入其中的内容，投标人认为需要的可以自行提供相关材料。</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21.2招标文件明确要求在投标文件中附（提交）证明材料而投标人未在投标文件中提供的，不被认定为对具体要求作出响应。</w:t>
      </w:r>
      <w:r>
        <w:rPr>
          <w:rFonts w:hint="eastAsia" w:ascii="宋体" w:hAnsi="宋体"/>
          <w:b/>
          <w:color w:val="auto"/>
          <w:szCs w:val="21"/>
        </w:rPr>
        <w:t>提供的合同等证明材料应当是完整无删减、无遮挡（盖）、页码连续的原始文件的复印件，否则因证明材料缺少评审所需的关键或必要的信息或因中间页码缺失导致无法有效认定造成不予认可的风险和责任由投标人自行承担。</w:t>
      </w:r>
    </w:p>
    <w:p>
      <w:pPr>
        <w:spacing w:line="360" w:lineRule="auto"/>
        <w:ind w:firstLine="422" w:firstLineChars="200"/>
        <w:rPr>
          <w:rFonts w:ascii="宋体" w:hAnsi="宋体"/>
          <w:b/>
          <w:color w:val="auto"/>
          <w:szCs w:val="21"/>
        </w:rPr>
      </w:pPr>
      <w:r>
        <w:rPr>
          <w:rFonts w:hint="eastAsia" w:ascii="宋体" w:hAnsi="宋体"/>
          <w:b/>
          <w:color w:val="auto"/>
          <w:szCs w:val="21"/>
        </w:rPr>
        <w:t>22.投标文件的制作</w:t>
      </w:r>
    </w:p>
    <w:p>
      <w:pPr>
        <w:spacing w:line="360" w:lineRule="auto"/>
        <w:ind w:firstLine="420" w:firstLineChars="200"/>
        <w:rPr>
          <w:rFonts w:ascii="宋体" w:hAnsi="宋体" w:cs="Arial"/>
          <w:color w:val="auto"/>
          <w:kern w:val="0"/>
          <w:szCs w:val="21"/>
        </w:rPr>
      </w:pPr>
      <w:r>
        <w:rPr>
          <w:rFonts w:hint="eastAsia" w:ascii="宋体" w:hAnsi="宋体" w:cs="Arial"/>
          <w:color w:val="auto"/>
          <w:kern w:val="0"/>
          <w:szCs w:val="21"/>
        </w:rPr>
        <w:t>投标人应当安装“政采云电子投标客户端”，按照招标文件和政采云平台的要求编制并加密投标文件。</w:t>
      </w:r>
      <w:r>
        <w:rPr>
          <w:rFonts w:ascii="宋体" w:hAnsi="宋体" w:cs="Arial"/>
          <w:color w:val="auto"/>
          <w:kern w:val="0"/>
          <w:szCs w:val="21"/>
        </w:rPr>
        <w:t>投标文件的制作应满足以下规定：</w:t>
      </w:r>
    </w:p>
    <w:p>
      <w:pPr>
        <w:spacing w:line="360" w:lineRule="auto"/>
        <w:ind w:firstLine="420" w:firstLineChars="200"/>
        <w:rPr>
          <w:rFonts w:ascii="宋体" w:hAnsi="宋体" w:cs="Arial"/>
          <w:color w:val="auto"/>
          <w:kern w:val="0"/>
          <w:szCs w:val="21"/>
        </w:rPr>
      </w:pPr>
      <w:r>
        <w:rPr>
          <w:rFonts w:hint="eastAsia" w:ascii="宋体" w:hAnsi="宋体" w:cs="Arial"/>
          <w:color w:val="auto"/>
          <w:kern w:val="0"/>
          <w:szCs w:val="21"/>
        </w:rPr>
        <w:t>（1）由</w:t>
      </w:r>
      <w:r>
        <w:rPr>
          <w:rFonts w:ascii="宋体" w:hAnsi="宋体" w:cs="Arial"/>
          <w:color w:val="auto"/>
          <w:kern w:val="0"/>
          <w:szCs w:val="21"/>
        </w:rPr>
        <w:t>投标人使用电子交易系统提供的投标文件制作工具制作生成。</w:t>
      </w:r>
    </w:p>
    <w:p>
      <w:pPr>
        <w:spacing w:line="360" w:lineRule="auto"/>
        <w:ind w:firstLine="420" w:firstLineChars="200"/>
        <w:rPr>
          <w:rFonts w:ascii="宋体" w:hAnsi="宋体"/>
          <w:color w:val="auto"/>
          <w:szCs w:val="21"/>
        </w:rPr>
      </w:pPr>
      <w:r>
        <w:rPr>
          <w:rFonts w:hint="eastAsia" w:ascii="宋体" w:hAnsi="宋体"/>
          <w:color w:val="auto"/>
          <w:szCs w:val="21"/>
        </w:rPr>
        <w:t>（2）投标人应完整地填写投标函、开标一览表等招标文件提供的格式文件，以及为响应招标文件的要求及项目评审应当提供的其他材料。</w:t>
      </w:r>
    </w:p>
    <w:p>
      <w:pPr>
        <w:snapToGrid w:val="0"/>
        <w:spacing w:line="360" w:lineRule="auto"/>
        <w:ind w:firstLine="422" w:firstLineChars="200"/>
        <w:jc w:val="left"/>
        <w:rPr>
          <w:rFonts w:ascii="宋体" w:hAnsi="宋体"/>
          <w:b/>
          <w:color w:val="auto"/>
          <w:szCs w:val="21"/>
        </w:rPr>
      </w:pPr>
      <w:r>
        <w:rPr>
          <w:rFonts w:hint="eastAsia" w:ascii="宋体" w:hAnsi="宋体"/>
          <w:b/>
          <w:color w:val="auto"/>
          <w:szCs w:val="21"/>
        </w:rPr>
        <w:t>注：投标人应准确设置评审关联定位，避免未设置或设置错误导致投标文件被误读、漏读或者查找不到相关内容。</w:t>
      </w:r>
    </w:p>
    <w:p>
      <w:pPr>
        <w:spacing w:line="360" w:lineRule="auto"/>
        <w:ind w:firstLine="422" w:firstLineChars="200"/>
        <w:rPr>
          <w:rFonts w:ascii="宋体" w:hAnsi="宋体"/>
          <w:b/>
          <w:color w:val="auto"/>
          <w:szCs w:val="21"/>
        </w:rPr>
      </w:pPr>
      <w:r>
        <w:rPr>
          <w:rFonts w:hint="eastAsia" w:ascii="宋体" w:hAnsi="宋体"/>
          <w:b/>
          <w:color w:val="auto"/>
          <w:szCs w:val="21"/>
        </w:rPr>
        <w:t>23.投标文件的签署及盖章</w:t>
      </w:r>
    </w:p>
    <w:p>
      <w:pPr>
        <w:snapToGrid w:val="0"/>
        <w:spacing w:line="360" w:lineRule="auto"/>
        <w:ind w:firstLine="420" w:firstLineChars="200"/>
        <w:jc w:val="left"/>
        <w:rPr>
          <w:rFonts w:ascii="宋体" w:hAnsi="宋体"/>
          <w:b/>
          <w:color w:val="auto"/>
          <w:szCs w:val="21"/>
        </w:rPr>
      </w:pPr>
      <w:r>
        <w:rPr>
          <w:rFonts w:hint="eastAsia" w:ascii="宋体" w:hAnsi="宋体"/>
          <w:color w:val="auto"/>
          <w:szCs w:val="21"/>
        </w:rPr>
        <w:t>电子签章操作指南详见《政府采购项目电子交易管理操作指南-供应商》,</w:t>
      </w:r>
      <w:r>
        <w:rPr>
          <w:rFonts w:hint="eastAsia" w:ascii="宋体" w:hAnsi="宋体"/>
          <w:b/>
          <w:color w:val="auto"/>
          <w:szCs w:val="21"/>
        </w:rPr>
        <w:t>系统要求进行电子签章的文件，按系统要求签章。</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（1）招标文件要求签字的应当由投标人的法定代表人或经其正式授权的代表签字或盖章，</w:t>
      </w:r>
      <w:r>
        <w:rPr>
          <w:rFonts w:hint="eastAsia" w:ascii="宋体" w:hAnsi="宋体"/>
          <w:b/>
          <w:color w:val="auto"/>
          <w:szCs w:val="21"/>
        </w:rPr>
        <w:t>因未获取电子姓名签章无法直接在系统中进行法定代表人或其授权代表电子签名操作的，可以线下签字或盖章后扫描上传。</w:t>
      </w:r>
    </w:p>
    <w:p>
      <w:pPr>
        <w:snapToGrid w:val="0"/>
        <w:spacing w:line="360" w:lineRule="auto"/>
        <w:ind w:firstLine="420" w:firstLineChars="200"/>
        <w:jc w:val="left"/>
        <w:rPr>
          <w:rFonts w:ascii="宋体" w:hAnsi="宋体"/>
          <w:color w:val="auto"/>
          <w:szCs w:val="21"/>
        </w:rPr>
      </w:pPr>
      <w:r>
        <w:rPr>
          <w:rFonts w:hint="eastAsia" w:ascii="宋体" w:hAnsi="宋体" w:cs="Arial"/>
          <w:color w:val="auto"/>
          <w:kern w:val="0"/>
          <w:szCs w:val="21"/>
        </w:rPr>
        <w:t>（2）《</w:t>
      </w:r>
      <w:r>
        <w:rPr>
          <w:rFonts w:ascii="宋体" w:hAnsi="宋体" w:cs="Arial"/>
          <w:color w:val="auto"/>
          <w:kern w:val="0"/>
          <w:szCs w:val="21"/>
        </w:rPr>
        <w:t>第</w:t>
      </w:r>
      <w:r>
        <w:rPr>
          <w:rFonts w:hint="eastAsia" w:ascii="宋体" w:hAnsi="宋体" w:cs="Arial"/>
          <w:color w:val="auto"/>
          <w:kern w:val="0"/>
          <w:szCs w:val="21"/>
        </w:rPr>
        <w:t>六</w:t>
      </w:r>
      <w:r>
        <w:rPr>
          <w:rFonts w:ascii="宋体" w:hAnsi="宋体" w:cs="Arial"/>
          <w:color w:val="auto"/>
          <w:kern w:val="0"/>
          <w:szCs w:val="21"/>
        </w:rPr>
        <w:t>章</w:t>
      </w:r>
      <w:r>
        <w:rPr>
          <w:rFonts w:hint="eastAsia" w:ascii="宋体" w:hAnsi="宋体" w:cs="Arial"/>
          <w:color w:val="auto"/>
          <w:kern w:val="0"/>
          <w:szCs w:val="21"/>
        </w:rPr>
        <w:t xml:space="preserve"> </w:t>
      </w:r>
      <w:r>
        <w:rPr>
          <w:rFonts w:ascii="宋体" w:hAnsi="宋体" w:cs="Arial"/>
          <w:color w:val="auto"/>
          <w:kern w:val="0"/>
          <w:szCs w:val="21"/>
        </w:rPr>
        <w:t xml:space="preserve"> 投标文件格式</w:t>
      </w:r>
      <w:r>
        <w:rPr>
          <w:rFonts w:hint="eastAsia" w:ascii="宋体" w:hAnsi="宋体" w:cs="Arial"/>
          <w:color w:val="auto"/>
          <w:kern w:val="0"/>
          <w:szCs w:val="21"/>
        </w:rPr>
        <w:t>》提供的相关文件</w:t>
      </w:r>
      <w:r>
        <w:rPr>
          <w:rFonts w:ascii="宋体" w:hAnsi="宋体" w:cs="Arial"/>
          <w:color w:val="auto"/>
          <w:kern w:val="0"/>
          <w:szCs w:val="21"/>
        </w:rPr>
        <w:t>要求</w:t>
      </w:r>
      <w:r>
        <w:rPr>
          <w:rFonts w:hint="eastAsia" w:ascii="宋体" w:hAnsi="宋体" w:cs="Arial"/>
          <w:color w:val="auto"/>
          <w:kern w:val="0"/>
          <w:szCs w:val="21"/>
        </w:rPr>
        <w:t>加盖公</w:t>
      </w:r>
      <w:r>
        <w:rPr>
          <w:rFonts w:ascii="宋体" w:hAnsi="宋体" w:cs="Arial"/>
          <w:color w:val="auto"/>
          <w:kern w:val="0"/>
          <w:szCs w:val="21"/>
        </w:rPr>
        <w:t>章处，投标人均应加盖</w:t>
      </w:r>
      <w:r>
        <w:rPr>
          <w:rFonts w:hint="eastAsia" w:ascii="宋体" w:hAnsi="宋体" w:cs="Arial"/>
          <w:color w:val="auto"/>
          <w:kern w:val="0"/>
          <w:szCs w:val="21"/>
        </w:rPr>
        <w:t>公</w:t>
      </w:r>
      <w:r>
        <w:rPr>
          <w:rFonts w:ascii="宋体" w:hAnsi="宋体" w:cs="Arial"/>
          <w:color w:val="auto"/>
          <w:kern w:val="0"/>
          <w:szCs w:val="21"/>
        </w:rPr>
        <w:t>章</w:t>
      </w:r>
      <w:r>
        <w:rPr>
          <w:rFonts w:hint="eastAsia" w:ascii="宋体" w:hAnsi="宋体" w:cs="Arial"/>
          <w:color w:val="auto"/>
          <w:kern w:val="0"/>
          <w:szCs w:val="21"/>
        </w:rPr>
        <w:t>，</w:t>
      </w:r>
      <w:r>
        <w:rPr>
          <w:rFonts w:hint="eastAsia" w:ascii="宋体" w:hAnsi="宋体"/>
          <w:color w:val="auto"/>
          <w:szCs w:val="21"/>
        </w:rPr>
        <w:t>可使用电子公章在线签章或线下加盖公章后扫描上传。</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（3）投标</w:t>
      </w:r>
      <w:r>
        <w:rPr>
          <w:rFonts w:ascii="宋体" w:hAnsi="宋体"/>
          <w:color w:val="auto"/>
          <w:szCs w:val="21"/>
        </w:rPr>
        <w:t>文件若有错</w:t>
      </w:r>
      <w:r>
        <w:rPr>
          <w:rFonts w:hint="eastAsia" w:ascii="宋体" w:hAnsi="宋体"/>
          <w:color w:val="auto"/>
          <w:szCs w:val="21"/>
        </w:rPr>
        <w:t>、</w:t>
      </w:r>
      <w:r>
        <w:rPr>
          <w:rFonts w:ascii="宋体" w:hAnsi="宋体"/>
          <w:color w:val="auto"/>
          <w:szCs w:val="21"/>
        </w:rPr>
        <w:t>漏处</w:t>
      </w:r>
      <w:r>
        <w:rPr>
          <w:rFonts w:hint="eastAsia" w:ascii="宋体" w:hAnsi="宋体"/>
          <w:color w:val="auto"/>
          <w:szCs w:val="21"/>
        </w:rPr>
        <w:t>等必须修改的，修改处</w:t>
      </w:r>
      <w:r>
        <w:rPr>
          <w:rFonts w:ascii="宋体" w:hAnsi="宋体"/>
          <w:color w:val="auto"/>
          <w:szCs w:val="21"/>
        </w:rPr>
        <w:t>加盖</w:t>
      </w:r>
      <w:r>
        <w:rPr>
          <w:rFonts w:hint="eastAsia" w:ascii="宋体" w:hAnsi="宋体"/>
          <w:color w:val="auto"/>
          <w:szCs w:val="21"/>
        </w:rPr>
        <w:t>投标人</w:t>
      </w:r>
      <w:r>
        <w:rPr>
          <w:rFonts w:ascii="宋体" w:hAnsi="宋体"/>
          <w:color w:val="auto"/>
          <w:szCs w:val="21"/>
        </w:rPr>
        <w:t>公章或者</w:t>
      </w:r>
      <w:r>
        <w:rPr>
          <w:rFonts w:hint="eastAsia" w:ascii="宋体" w:hAnsi="宋体"/>
          <w:color w:val="auto"/>
          <w:szCs w:val="21"/>
        </w:rPr>
        <w:t>由投标人的</w:t>
      </w:r>
      <w:r>
        <w:rPr>
          <w:rFonts w:ascii="宋体" w:hAnsi="宋体"/>
          <w:color w:val="auto"/>
          <w:szCs w:val="21"/>
        </w:rPr>
        <w:t>法定代表人</w:t>
      </w:r>
      <w:r>
        <w:rPr>
          <w:rFonts w:hint="eastAsia" w:ascii="宋体" w:hAnsi="宋体"/>
          <w:color w:val="auto"/>
          <w:szCs w:val="21"/>
        </w:rPr>
        <w:t>或其</w:t>
      </w:r>
      <w:r>
        <w:rPr>
          <w:rFonts w:ascii="宋体" w:hAnsi="宋体"/>
          <w:color w:val="auto"/>
          <w:szCs w:val="21"/>
        </w:rPr>
        <w:t>授权</w:t>
      </w:r>
      <w:r>
        <w:rPr>
          <w:rFonts w:hint="eastAsia" w:ascii="宋体" w:hAnsi="宋体"/>
          <w:color w:val="auto"/>
          <w:szCs w:val="21"/>
        </w:rPr>
        <w:t>代表</w:t>
      </w:r>
      <w:r>
        <w:rPr>
          <w:rFonts w:ascii="宋体" w:hAnsi="宋体"/>
          <w:color w:val="auto"/>
          <w:szCs w:val="21"/>
        </w:rPr>
        <w:t>签字</w:t>
      </w:r>
      <w:r>
        <w:rPr>
          <w:rFonts w:hint="eastAsia" w:ascii="宋体" w:hAnsi="宋体"/>
          <w:color w:val="auto"/>
          <w:szCs w:val="21"/>
        </w:rPr>
        <w:t>或盖章</w:t>
      </w:r>
      <w:r>
        <w:rPr>
          <w:rFonts w:ascii="宋体" w:hAnsi="宋体"/>
          <w:color w:val="auto"/>
          <w:szCs w:val="21"/>
        </w:rPr>
        <w:t>。</w:t>
      </w:r>
    </w:p>
    <w:p>
      <w:pPr>
        <w:spacing w:line="360" w:lineRule="auto"/>
        <w:ind w:firstLine="422" w:firstLineChars="200"/>
        <w:rPr>
          <w:rFonts w:ascii="宋体" w:hAnsi="宋体"/>
          <w:b/>
          <w:color w:val="auto"/>
          <w:szCs w:val="21"/>
        </w:rPr>
      </w:pPr>
      <w:r>
        <w:rPr>
          <w:rFonts w:ascii="宋体" w:hAnsi="宋体"/>
          <w:b/>
          <w:color w:val="auto"/>
          <w:szCs w:val="21"/>
        </w:rPr>
        <w:t>2</w:t>
      </w:r>
      <w:r>
        <w:rPr>
          <w:rFonts w:hint="eastAsia" w:ascii="宋体" w:hAnsi="宋体"/>
          <w:b/>
          <w:color w:val="auto"/>
          <w:szCs w:val="21"/>
        </w:rPr>
        <w:t>4</w:t>
      </w:r>
      <w:r>
        <w:rPr>
          <w:rFonts w:ascii="宋体" w:hAnsi="宋体"/>
          <w:b/>
          <w:color w:val="auto"/>
          <w:szCs w:val="21"/>
        </w:rPr>
        <w:t>.投标报价要求</w:t>
      </w:r>
    </w:p>
    <w:p>
      <w:pPr>
        <w:spacing w:line="360" w:lineRule="auto"/>
        <w:ind w:firstLine="420" w:firstLineChars="200"/>
        <w:rPr>
          <w:rFonts w:ascii="宋体" w:hAnsi="宋体" w:cs="宋体"/>
          <w:color w:val="auto"/>
          <w:kern w:val="0"/>
          <w:szCs w:val="21"/>
        </w:rPr>
      </w:pPr>
      <w:r>
        <w:rPr>
          <w:rFonts w:hint="eastAsia" w:ascii="宋体" w:hAnsi="宋体"/>
          <w:color w:val="auto"/>
          <w:szCs w:val="21"/>
        </w:rPr>
        <w:t>24.1</w:t>
      </w:r>
      <w:r>
        <w:rPr>
          <w:rFonts w:ascii="宋体" w:hAnsi="宋体"/>
          <w:color w:val="auto"/>
          <w:szCs w:val="21"/>
        </w:rPr>
        <w:t>投标人的报价应当包括满足本次招标全部采购需求所</w:t>
      </w:r>
      <w:r>
        <w:rPr>
          <w:rFonts w:hint="eastAsia" w:ascii="宋体" w:hAnsi="宋体"/>
          <w:color w:val="auto"/>
          <w:szCs w:val="21"/>
        </w:rPr>
        <w:t>要求</w:t>
      </w:r>
      <w:r>
        <w:rPr>
          <w:rFonts w:ascii="宋体" w:hAnsi="宋体"/>
          <w:color w:val="auto"/>
          <w:szCs w:val="21"/>
        </w:rPr>
        <w:t>提供的</w:t>
      </w:r>
      <w:r>
        <w:rPr>
          <w:rFonts w:hint="eastAsia" w:ascii="宋体" w:hAnsi="宋体"/>
          <w:color w:val="auto"/>
          <w:szCs w:val="21"/>
        </w:rPr>
        <w:t>服务，</w:t>
      </w:r>
      <w:r>
        <w:rPr>
          <w:rFonts w:ascii="宋体" w:hAnsi="宋体"/>
          <w:color w:val="auto"/>
          <w:szCs w:val="21"/>
        </w:rPr>
        <w:t>以及伴随的</w:t>
      </w:r>
      <w:r>
        <w:rPr>
          <w:rFonts w:hint="eastAsia" w:ascii="宋体" w:hAnsi="宋体"/>
          <w:color w:val="auto"/>
          <w:szCs w:val="21"/>
        </w:rPr>
        <w:t>货物，</w:t>
      </w:r>
      <w:r>
        <w:rPr>
          <w:rFonts w:hint="eastAsia" w:ascii="宋体" w:hAnsi="宋体" w:cs="宋体"/>
          <w:color w:val="auto"/>
          <w:kern w:val="0"/>
          <w:szCs w:val="21"/>
        </w:rPr>
        <w:t>包含但不限于为完成采购内容所发生的诸如设施设备的使用费、交通食宿费、人员费用、技术支持费、资料费、培训费等与工作内容相关费用以及保险费、风险费、管理费、利润、税金等服务过程中可能涉及的及合同中明示或暗示的一切费用。</w:t>
      </w:r>
    </w:p>
    <w:p>
      <w:pPr>
        <w:spacing w:line="360" w:lineRule="auto"/>
        <w:ind w:firstLine="422" w:firstLineChars="200"/>
        <w:rPr>
          <w:rFonts w:ascii="宋体" w:hAnsi="宋体"/>
          <w:b/>
          <w:color w:val="auto"/>
          <w:szCs w:val="21"/>
        </w:rPr>
      </w:pPr>
      <w:r>
        <w:rPr>
          <w:rFonts w:hint="eastAsia" w:ascii="宋体" w:hAnsi="宋体"/>
          <w:b/>
          <w:color w:val="auto"/>
          <w:szCs w:val="21"/>
        </w:rPr>
        <w:t>本项目按单价形式进行报价，单价的最高限价：会计专业技术初级资格考试37.9元/科次，会计专业技术中级、高级资格考试39.8元/科次。投标报价超过单价最高限价的，投标无效。</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24.2投标人应在分项报价文件中标明分项服务、伴随的货物的价格，未标明的视同包含在投标报价中。</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24.3投标报价及结算货币均为人民币，针对本项目的投标报价（包含分项报价）</w:t>
      </w:r>
      <w:r>
        <w:rPr>
          <w:rFonts w:ascii="宋体" w:hAnsi="宋体"/>
          <w:color w:val="auto"/>
          <w:szCs w:val="21"/>
        </w:rPr>
        <w:t>只允许有一个，</w:t>
      </w:r>
      <w:r>
        <w:rPr>
          <w:rFonts w:hint="eastAsia" w:ascii="宋体" w:hAnsi="宋体"/>
          <w:color w:val="auto"/>
          <w:szCs w:val="21"/>
        </w:rPr>
        <w:t>不接受</w:t>
      </w:r>
      <w:r>
        <w:rPr>
          <w:rFonts w:ascii="宋体" w:hAnsi="宋体"/>
          <w:color w:val="auto"/>
          <w:szCs w:val="21"/>
        </w:rPr>
        <w:t>有选择的</w:t>
      </w:r>
      <w:r>
        <w:rPr>
          <w:rFonts w:hint="eastAsia" w:ascii="宋体" w:hAnsi="宋体"/>
          <w:color w:val="auto"/>
          <w:szCs w:val="21"/>
        </w:rPr>
        <w:t>或有附加条件的投标</w:t>
      </w:r>
      <w:r>
        <w:rPr>
          <w:rFonts w:ascii="宋体" w:hAnsi="宋体"/>
          <w:color w:val="auto"/>
          <w:szCs w:val="21"/>
        </w:rPr>
        <w:t>报价</w:t>
      </w:r>
      <w:r>
        <w:rPr>
          <w:rFonts w:hint="eastAsia" w:ascii="宋体" w:hAnsi="宋体"/>
          <w:color w:val="auto"/>
          <w:szCs w:val="21"/>
        </w:rPr>
        <w:t>（包含分项报价）</w:t>
      </w:r>
      <w:r>
        <w:rPr>
          <w:rFonts w:ascii="宋体" w:hAnsi="宋体"/>
          <w:color w:val="auto"/>
          <w:szCs w:val="21"/>
        </w:rPr>
        <w:t>。</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24.4</w:t>
      </w:r>
      <w:r>
        <w:rPr>
          <w:rFonts w:hint="eastAsia" w:ascii="宋体" w:hAnsi="宋体"/>
          <w:b/>
          <w:color w:val="auto"/>
          <w:szCs w:val="21"/>
        </w:rPr>
        <w:t>投标报价（包含分项报价）不允许为0元（即赠送），采购人不予接受，其投标文件按照投标无效处理。</w:t>
      </w:r>
    </w:p>
    <w:p>
      <w:pPr>
        <w:spacing w:line="360" w:lineRule="auto"/>
        <w:ind w:firstLine="422" w:firstLineChars="200"/>
        <w:rPr>
          <w:rFonts w:ascii="宋体" w:hAnsi="宋体"/>
          <w:b/>
          <w:color w:val="auto"/>
          <w:szCs w:val="21"/>
        </w:rPr>
      </w:pPr>
      <w:r>
        <w:rPr>
          <w:rFonts w:hint="eastAsia" w:ascii="宋体" w:hAnsi="宋体"/>
          <w:b/>
          <w:color w:val="auto"/>
          <w:szCs w:val="21"/>
        </w:rPr>
        <w:t>25.投标保证金</w:t>
      </w:r>
    </w:p>
    <w:p>
      <w:pPr>
        <w:spacing w:line="360" w:lineRule="auto"/>
        <w:ind w:firstLine="420" w:firstLineChars="200"/>
        <w:rPr>
          <w:rFonts w:ascii="宋体" w:hAnsi="宋体"/>
          <w:color w:val="auto"/>
          <w:szCs w:val="21"/>
        </w:rPr>
      </w:pPr>
      <w:r>
        <w:rPr>
          <w:rFonts w:hint="eastAsia" w:ascii="宋体" w:hAnsi="宋体"/>
          <w:color w:val="auto"/>
          <w:szCs w:val="21"/>
        </w:rPr>
        <w:t>本项目无须投标人缴纳投标保证金。</w:t>
      </w:r>
    </w:p>
    <w:p>
      <w:pPr>
        <w:spacing w:line="360" w:lineRule="auto"/>
        <w:ind w:firstLine="422" w:firstLineChars="200"/>
        <w:rPr>
          <w:rFonts w:ascii="宋体" w:hAnsi="宋体"/>
          <w:b/>
          <w:color w:val="auto"/>
          <w:szCs w:val="21"/>
        </w:rPr>
      </w:pPr>
      <w:r>
        <w:rPr>
          <w:rFonts w:hint="eastAsia" w:ascii="宋体" w:hAnsi="宋体"/>
          <w:b/>
          <w:color w:val="auto"/>
          <w:szCs w:val="21"/>
        </w:rPr>
        <w:t>26.投标有效期</w:t>
      </w:r>
    </w:p>
    <w:p>
      <w:pPr>
        <w:pStyle w:val="25"/>
        <w:snapToGrid w:val="0"/>
        <w:spacing w:beforeLines="0" w:afterLines="0" w:line="360" w:lineRule="auto"/>
        <w:ind w:firstLine="420" w:firstLineChars="200"/>
        <w:jc w:val="left"/>
        <w:rPr>
          <w:rFonts w:hAnsi="宋体"/>
          <w:color w:val="auto"/>
          <w:sz w:val="21"/>
          <w:szCs w:val="21"/>
        </w:rPr>
      </w:pPr>
      <w:r>
        <w:rPr>
          <w:rFonts w:hint="eastAsia" w:hAnsi="宋体"/>
          <w:color w:val="auto"/>
          <w:sz w:val="21"/>
          <w:szCs w:val="21"/>
        </w:rPr>
        <w:t>26.1投标有效期为从投标截止之日算起的日历天数，投标有效期见</w:t>
      </w:r>
      <w:r>
        <w:rPr>
          <w:rFonts w:hint="eastAsia" w:hAnsi="宋体"/>
          <w:color w:val="auto"/>
          <w:sz w:val="21"/>
          <w:szCs w:val="21"/>
          <w:u w:val="single"/>
        </w:rPr>
        <w:t>投标人须知前附表</w:t>
      </w:r>
      <w:r>
        <w:rPr>
          <w:rFonts w:hint="eastAsia" w:hAnsi="宋体"/>
          <w:color w:val="auto"/>
          <w:sz w:val="21"/>
          <w:szCs w:val="21"/>
        </w:rPr>
        <w:t>。</w:t>
      </w:r>
    </w:p>
    <w:p>
      <w:pPr>
        <w:spacing w:line="360" w:lineRule="auto"/>
        <w:ind w:firstLine="435"/>
        <w:rPr>
          <w:rFonts w:ascii="宋体" w:hAnsi="宋体"/>
          <w:color w:val="auto"/>
          <w:kern w:val="0"/>
          <w:szCs w:val="21"/>
        </w:rPr>
      </w:pPr>
      <w:r>
        <w:rPr>
          <w:rFonts w:hint="eastAsia" w:ascii="宋体" w:hAnsi="宋体"/>
          <w:color w:val="auto"/>
          <w:kern w:val="0"/>
          <w:szCs w:val="21"/>
        </w:rPr>
        <w:t>26.2在投标有效期内，投标人的投标保持有效，投标人不得要求撤销或修改其投标文件。投标有效期不满足要求的投标，其投标将被认定为</w:t>
      </w:r>
      <w:r>
        <w:rPr>
          <w:rFonts w:hint="eastAsia" w:ascii="宋体" w:hAnsi="宋体"/>
          <w:b/>
          <w:color w:val="auto"/>
          <w:kern w:val="0"/>
          <w:szCs w:val="21"/>
        </w:rPr>
        <w:t>投标无效</w:t>
      </w:r>
      <w:r>
        <w:rPr>
          <w:rFonts w:hint="eastAsia" w:ascii="宋体" w:hAnsi="宋体"/>
          <w:color w:val="auto"/>
          <w:kern w:val="0"/>
          <w:szCs w:val="21"/>
        </w:rPr>
        <w:t>。</w:t>
      </w:r>
    </w:p>
    <w:p>
      <w:pPr>
        <w:spacing w:line="360" w:lineRule="auto"/>
        <w:ind w:firstLine="435"/>
        <w:rPr>
          <w:rFonts w:ascii="宋体" w:hAnsi="宋体"/>
          <w:color w:val="auto"/>
          <w:szCs w:val="21"/>
        </w:rPr>
      </w:pPr>
      <w:r>
        <w:rPr>
          <w:rFonts w:hint="eastAsia" w:ascii="宋体" w:hAnsi="宋体"/>
          <w:color w:val="auto"/>
          <w:szCs w:val="21"/>
        </w:rPr>
        <w:t>26.3因特殊原因，采购人或采购代理机构可在原投标有效期截止之前，要求投标人延长投标文件的有效期。接受该要求的投标人将不会被要求和允许修正其投标文件。投标人也可以拒绝延长投标有效期的要求，且不承担任何责任。上述要求和答复都以书面形式提交。</w:t>
      </w:r>
    </w:p>
    <w:p>
      <w:pPr>
        <w:pStyle w:val="176"/>
        <w:spacing w:before="120" w:after="120"/>
        <w:jc w:val="center"/>
        <w:rPr>
          <w:rFonts w:ascii="宋体" w:hAnsi="宋体" w:eastAsia="宋体"/>
          <w:color w:val="auto"/>
          <w:sz w:val="21"/>
          <w:szCs w:val="21"/>
        </w:rPr>
      </w:pPr>
      <w:bookmarkStart w:id="51" w:name="_Toc118452530"/>
      <w:r>
        <w:rPr>
          <w:rFonts w:hint="eastAsia" w:ascii="宋体" w:hAnsi="宋体" w:eastAsia="宋体"/>
          <w:color w:val="auto"/>
          <w:sz w:val="21"/>
          <w:szCs w:val="21"/>
        </w:rPr>
        <w:t>四、投标文件的提交</w:t>
      </w:r>
      <w:bookmarkEnd w:id="51"/>
    </w:p>
    <w:p>
      <w:pPr>
        <w:pStyle w:val="25"/>
        <w:snapToGrid w:val="0"/>
        <w:spacing w:beforeLines="0" w:afterLines="0" w:line="360" w:lineRule="auto"/>
        <w:ind w:firstLine="422" w:firstLineChars="200"/>
        <w:jc w:val="left"/>
        <w:rPr>
          <w:rFonts w:hAnsi="宋体" w:cs="宋体"/>
          <w:b/>
          <w:color w:val="auto"/>
          <w:sz w:val="21"/>
          <w:szCs w:val="21"/>
        </w:rPr>
      </w:pPr>
      <w:r>
        <w:rPr>
          <w:rFonts w:hint="eastAsia" w:hAnsi="宋体" w:cs="宋体"/>
          <w:b/>
          <w:color w:val="auto"/>
          <w:sz w:val="21"/>
          <w:szCs w:val="21"/>
        </w:rPr>
        <w:t>27.电子加密投标文件的提交</w:t>
      </w:r>
    </w:p>
    <w:p>
      <w:pPr>
        <w:pStyle w:val="25"/>
        <w:wordWrap w:val="0"/>
        <w:snapToGrid w:val="0"/>
        <w:spacing w:beforeLines="0" w:afterLines="0" w:line="360" w:lineRule="auto"/>
        <w:ind w:firstLine="420" w:firstLineChars="200"/>
        <w:jc w:val="left"/>
        <w:rPr>
          <w:rFonts w:hAnsi="宋体" w:cs="宋体"/>
          <w:color w:val="auto"/>
          <w:sz w:val="21"/>
          <w:szCs w:val="21"/>
        </w:rPr>
      </w:pPr>
      <w:r>
        <w:rPr>
          <w:rFonts w:hint="eastAsia" w:hAnsi="宋体" w:cs="宋体"/>
          <w:color w:val="auto"/>
          <w:sz w:val="21"/>
          <w:szCs w:val="21"/>
        </w:rPr>
        <w:t>投标人应当在投标截止时间前将电子加密投标文件上传至政采云平台（https://www.zcygov.cn/），成功上传后，投标人可自行打印投标文件接收回执。</w:t>
      </w:r>
    </w:p>
    <w:p>
      <w:pPr>
        <w:pStyle w:val="25"/>
        <w:snapToGrid w:val="0"/>
        <w:spacing w:beforeLines="0" w:afterLines="0" w:line="360" w:lineRule="auto"/>
        <w:ind w:firstLine="422" w:firstLineChars="200"/>
        <w:jc w:val="left"/>
        <w:rPr>
          <w:rFonts w:hAnsi="宋体" w:cs="宋体"/>
          <w:b/>
          <w:color w:val="auto"/>
          <w:sz w:val="21"/>
          <w:szCs w:val="21"/>
        </w:rPr>
      </w:pPr>
      <w:r>
        <w:rPr>
          <w:rFonts w:hint="eastAsia" w:hAnsi="宋体"/>
          <w:b/>
          <w:color w:val="auto"/>
          <w:sz w:val="21"/>
          <w:szCs w:val="21"/>
        </w:rPr>
        <w:t>28.</w:t>
      </w:r>
      <w:r>
        <w:rPr>
          <w:rFonts w:hint="eastAsia" w:hAnsi="宋体" w:cs="宋体"/>
          <w:b/>
          <w:color w:val="auto"/>
          <w:sz w:val="21"/>
          <w:szCs w:val="21"/>
        </w:rPr>
        <w:t>备份投标文件的提交</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人可以在投标截止时间前提交备份投标文件。备份投标文件的载体必须密封包装，密封包装应当清楚的标明项目名称、项目编号、投标人名称并加盖公章。采购人或采购代理机构有权拒绝接收未按照规定密封、标注、盖章的备份投标文件。</w:t>
      </w:r>
    </w:p>
    <w:p>
      <w:pPr>
        <w:spacing w:line="360" w:lineRule="auto"/>
        <w:ind w:firstLine="422" w:firstLineChars="200"/>
        <w:rPr>
          <w:rFonts w:ascii="宋体" w:hAnsi="宋体"/>
          <w:b/>
          <w:color w:val="auto"/>
          <w:szCs w:val="21"/>
        </w:rPr>
      </w:pPr>
      <w:r>
        <w:rPr>
          <w:rFonts w:hint="eastAsia" w:ascii="宋体" w:hAnsi="宋体"/>
          <w:b/>
          <w:color w:val="auto"/>
          <w:szCs w:val="21"/>
        </w:rPr>
        <w:t>29.投标截止时间及地点</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29.1投标截止时间及地点见</w:t>
      </w:r>
      <w:r>
        <w:rPr>
          <w:rFonts w:hint="eastAsia" w:ascii="宋体" w:hAnsi="宋体"/>
          <w:color w:val="auto"/>
          <w:szCs w:val="21"/>
          <w:u w:val="single"/>
        </w:rPr>
        <w:t>招标公告（投标邀请）</w:t>
      </w:r>
      <w:r>
        <w:rPr>
          <w:rFonts w:hint="eastAsia" w:ascii="宋体" w:hAnsi="宋体"/>
          <w:color w:val="auto"/>
          <w:szCs w:val="21"/>
        </w:rPr>
        <w:t>。</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29.2采购人或采购代理机构可以根据项目情况</w:t>
      </w:r>
      <w:r>
        <w:rPr>
          <w:rFonts w:ascii="宋体" w:hAnsi="宋体"/>
          <w:color w:val="auto"/>
          <w:szCs w:val="21"/>
        </w:rPr>
        <w:t>，</w:t>
      </w:r>
      <w:r>
        <w:rPr>
          <w:rFonts w:hint="eastAsia" w:ascii="宋体" w:hAnsi="宋体"/>
          <w:color w:val="auto"/>
          <w:szCs w:val="21"/>
        </w:rPr>
        <w:t>推迟投标截止时间。在此情况下，采购人、采购代理机构和投标人受投标截止时间约束的所有权利和义务均延长至新的截止时间。</w:t>
      </w:r>
    </w:p>
    <w:p>
      <w:pPr>
        <w:snapToGrid w:val="0"/>
        <w:spacing w:line="360" w:lineRule="auto"/>
        <w:ind w:firstLine="422" w:firstLineChars="200"/>
        <w:jc w:val="left"/>
        <w:rPr>
          <w:rFonts w:ascii="宋体" w:hAnsi="宋体"/>
          <w:color w:val="auto"/>
          <w:szCs w:val="21"/>
        </w:rPr>
      </w:pPr>
      <w:r>
        <w:rPr>
          <w:rFonts w:hint="eastAsia" w:ascii="宋体" w:hAnsi="宋体"/>
          <w:b/>
          <w:color w:val="auto"/>
          <w:szCs w:val="21"/>
        </w:rPr>
        <w:t>30.投标文件的修改和撤回</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30.1</w:t>
      </w:r>
      <w:r>
        <w:rPr>
          <w:rFonts w:ascii="宋体" w:hAnsi="宋体"/>
          <w:color w:val="auto"/>
          <w:szCs w:val="21"/>
        </w:rPr>
        <w:t>投标人在投标截止时间前，可以对</w:t>
      </w:r>
      <w:r>
        <w:rPr>
          <w:rFonts w:hint="eastAsia" w:ascii="宋体" w:hAnsi="宋体"/>
          <w:color w:val="auto"/>
          <w:szCs w:val="21"/>
        </w:rPr>
        <w:t>已经提交</w:t>
      </w:r>
      <w:r>
        <w:rPr>
          <w:rFonts w:ascii="宋体" w:hAnsi="宋体"/>
          <w:color w:val="auto"/>
          <w:szCs w:val="21"/>
        </w:rPr>
        <w:t>的投标文件进行补充、修改或者撤回。</w:t>
      </w:r>
    </w:p>
    <w:p>
      <w:pPr>
        <w:snapToGrid w:val="0"/>
        <w:spacing w:line="360" w:lineRule="auto"/>
        <w:ind w:firstLine="420" w:firstLineChars="200"/>
        <w:jc w:val="left"/>
        <w:rPr>
          <w:rFonts w:ascii="宋体" w:hAnsi="宋体" w:cs="Helvetica"/>
          <w:color w:val="auto"/>
          <w:kern w:val="0"/>
          <w:szCs w:val="21"/>
        </w:rPr>
      </w:pPr>
      <w:r>
        <w:rPr>
          <w:rFonts w:hint="eastAsia" w:ascii="宋体" w:hAnsi="宋体"/>
          <w:color w:val="auto"/>
          <w:szCs w:val="21"/>
        </w:rPr>
        <w:t>对已经完成传输递交的</w:t>
      </w:r>
      <w:r>
        <w:rPr>
          <w:rFonts w:hint="eastAsia" w:ascii="宋体" w:hAnsi="宋体" w:cs="宋体"/>
          <w:color w:val="auto"/>
          <w:szCs w:val="21"/>
        </w:rPr>
        <w:t>电子加密投标文件进行</w:t>
      </w:r>
      <w:r>
        <w:rPr>
          <w:rFonts w:hint="eastAsia" w:ascii="宋体" w:hAnsi="宋体" w:cs="Helvetica"/>
          <w:color w:val="auto"/>
          <w:kern w:val="0"/>
          <w:szCs w:val="21"/>
        </w:rPr>
        <w:t>补充或者修改的，应当先行撤回原文件，补充、修改后重新传输递交。投标人在投标截止时间前未重新完成传输递交的，</w:t>
      </w:r>
      <w:r>
        <w:rPr>
          <w:rFonts w:hint="eastAsia" w:ascii="宋体" w:hAnsi="宋体" w:cs="Helvetica"/>
          <w:b/>
          <w:color w:val="auto"/>
          <w:kern w:val="0"/>
          <w:szCs w:val="21"/>
        </w:rPr>
        <w:t>视为撤回投标文件</w:t>
      </w:r>
      <w:r>
        <w:rPr>
          <w:rFonts w:hint="eastAsia" w:ascii="宋体" w:hAnsi="宋体" w:cs="Helvetica"/>
          <w:color w:val="auto"/>
          <w:kern w:val="0"/>
          <w:szCs w:val="21"/>
        </w:rPr>
        <w:t>。投标截止时间后递交的电子加密投标文件，电子交易平台将拒收。</w:t>
      </w:r>
    </w:p>
    <w:p>
      <w:pPr>
        <w:snapToGrid w:val="0"/>
        <w:spacing w:line="360" w:lineRule="auto"/>
        <w:ind w:firstLine="420" w:firstLineChars="200"/>
        <w:jc w:val="left"/>
        <w:rPr>
          <w:rFonts w:ascii="宋体" w:hAnsi="宋体" w:cs="Helvetica"/>
          <w:color w:val="auto"/>
          <w:kern w:val="0"/>
          <w:szCs w:val="21"/>
        </w:rPr>
      </w:pPr>
      <w:r>
        <w:rPr>
          <w:rFonts w:hint="eastAsia" w:ascii="宋体" w:hAnsi="宋体" w:cs="Arial"/>
          <w:color w:val="auto"/>
          <w:szCs w:val="21"/>
        </w:rPr>
        <w:t>30.2投标人在投标截止时间前</w:t>
      </w:r>
      <w:r>
        <w:rPr>
          <w:rFonts w:ascii="宋体" w:hAnsi="宋体" w:cs="Arial"/>
          <w:color w:val="auto"/>
          <w:szCs w:val="21"/>
        </w:rPr>
        <w:t>递交</w:t>
      </w:r>
      <w:r>
        <w:rPr>
          <w:rFonts w:hint="eastAsia" w:ascii="宋体" w:hAnsi="宋体" w:cs="Arial"/>
          <w:color w:val="auto"/>
          <w:szCs w:val="21"/>
        </w:rPr>
        <w:t>了需要补充或修改的</w:t>
      </w:r>
      <w:r>
        <w:rPr>
          <w:rFonts w:hint="eastAsia" w:ascii="宋体" w:hAnsi="宋体" w:cs="宋体"/>
          <w:color w:val="auto"/>
          <w:szCs w:val="21"/>
        </w:rPr>
        <w:t>电子加密投标文件的</w:t>
      </w:r>
      <w:r>
        <w:rPr>
          <w:rFonts w:ascii="宋体" w:hAnsi="宋体" w:cs="Arial"/>
          <w:color w:val="auto"/>
          <w:szCs w:val="21"/>
        </w:rPr>
        <w:t>备份投标文件</w:t>
      </w:r>
      <w:r>
        <w:rPr>
          <w:rFonts w:hint="eastAsia" w:ascii="宋体" w:hAnsi="宋体" w:cs="Arial"/>
          <w:color w:val="auto"/>
          <w:szCs w:val="21"/>
        </w:rPr>
        <w:t>的，可以</w:t>
      </w:r>
      <w:r>
        <w:rPr>
          <w:rFonts w:ascii="宋体" w:hAnsi="宋体" w:cs="Arial"/>
          <w:color w:val="auto"/>
          <w:szCs w:val="21"/>
        </w:rPr>
        <w:t>重新</w:t>
      </w:r>
      <w:r>
        <w:rPr>
          <w:rFonts w:hint="eastAsia" w:ascii="宋体" w:hAnsi="宋体" w:cs="Arial"/>
          <w:color w:val="auto"/>
          <w:szCs w:val="21"/>
        </w:rPr>
        <w:t>提交补充或修改后的</w:t>
      </w:r>
      <w:r>
        <w:rPr>
          <w:rFonts w:ascii="宋体" w:hAnsi="宋体" w:cs="Arial"/>
          <w:color w:val="auto"/>
          <w:szCs w:val="21"/>
        </w:rPr>
        <w:t>备份投标文件</w:t>
      </w:r>
      <w:r>
        <w:rPr>
          <w:rFonts w:hint="eastAsia" w:ascii="宋体" w:hAnsi="宋体" w:cs="Arial"/>
          <w:color w:val="auto"/>
          <w:szCs w:val="21"/>
        </w:rPr>
        <w:t>。</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30.3</w:t>
      </w:r>
      <w:r>
        <w:rPr>
          <w:rFonts w:ascii="宋体" w:hAnsi="宋体"/>
          <w:color w:val="auto"/>
          <w:szCs w:val="21"/>
        </w:rPr>
        <w:t>投标截止时间后</w:t>
      </w:r>
      <w:r>
        <w:rPr>
          <w:rFonts w:hint="eastAsia" w:ascii="宋体" w:hAnsi="宋体"/>
          <w:color w:val="auto"/>
          <w:szCs w:val="21"/>
        </w:rPr>
        <w:t>，投标人不得对其投标文件进行补充、修改</w:t>
      </w:r>
      <w:r>
        <w:rPr>
          <w:rFonts w:ascii="宋体" w:hAnsi="宋体"/>
          <w:color w:val="auto"/>
          <w:szCs w:val="21"/>
        </w:rPr>
        <w:t>。</w:t>
      </w:r>
    </w:p>
    <w:p>
      <w:pPr>
        <w:pStyle w:val="176"/>
        <w:spacing w:before="120" w:after="120"/>
        <w:jc w:val="center"/>
        <w:rPr>
          <w:rFonts w:ascii="宋体" w:hAnsi="宋体" w:eastAsia="宋体"/>
          <w:color w:val="auto"/>
          <w:sz w:val="21"/>
          <w:szCs w:val="21"/>
        </w:rPr>
      </w:pPr>
      <w:bookmarkStart w:id="52" w:name="_Toc118452531"/>
      <w:r>
        <w:rPr>
          <w:rFonts w:hint="eastAsia" w:ascii="宋体" w:hAnsi="宋体" w:eastAsia="宋体"/>
          <w:color w:val="auto"/>
          <w:sz w:val="21"/>
          <w:szCs w:val="21"/>
        </w:rPr>
        <w:t>五、开标与评标</w:t>
      </w:r>
      <w:bookmarkEnd w:id="52"/>
    </w:p>
    <w:p>
      <w:pPr>
        <w:snapToGrid w:val="0"/>
        <w:spacing w:line="360" w:lineRule="auto"/>
        <w:ind w:firstLine="422" w:firstLineChars="200"/>
        <w:jc w:val="left"/>
        <w:rPr>
          <w:rFonts w:ascii="宋体" w:hAnsi="宋体"/>
          <w:b/>
          <w:color w:val="auto"/>
          <w:szCs w:val="21"/>
        </w:rPr>
      </w:pPr>
      <w:r>
        <w:rPr>
          <w:rFonts w:hint="eastAsia" w:ascii="宋体" w:hAnsi="宋体"/>
          <w:b/>
          <w:color w:val="auto"/>
          <w:szCs w:val="21"/>
        </w:rPr>
        <w:t>31.开标</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31.1采购代理机构按招标文件规定的时间通过电子交易平台组织公开开标，所有投标人均应当准时在线参加</w:t>
      </w:r>
      <w:r>
        <w:rPr>
          <w:rFonts w:ascii="宋体" w:hAnsi="宋体"/>
          <w:color w:val="auto"/>
          <w:szCs w:val="21"/>
        </w:rPr>
        <w:t>。</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31.2开标时，采购代理机构依托电子交易平台发起开始解密指令，</w:t>
      </w:r>
      <w:r>
        <w:rPr>
          <w:rFonts w:ascii="宋体" w:hAnsi="宋体"/>
          <w:color w:val="auto"/>
          <w:szCs w:val="21"/>
        </w:rPr>
        <w:t>投标</w:t>
      </w:r>
      <w:r>
        <w:rPr>
          <w:rFonts w:hint="eastAsia" w:ascii="宋体" w:hAnsi="宋体"/>
          <w:color w:val="auto"/>
          <w:szCs w:val="21"/>
        </w:rPr>
        <w:t>人</w:t>
      </w:r>
      <w:r>
        <w:rPr>
          <w:rFonts w:ascii="宋体" w:hAnsi="宋体"/>
          <w:color w:val="auto"/>
          <w:szCs w:val="21"/>
        </w:rPr>
        <w:t>应</w:t>
      </w:r>
      <w:r>
        <w:rPr>
          <w:rFonts w:hint="eastAsia" w:ascii="宋体" w:hAnsi="宋体"/>
          <w:color w:val="auto"/>
          <w:szCs w:val="21"/>
        </w:rPr>
        <w:t>在30分钟内</w:t>
      </w:r>
      <w:r>
        <w:rPr>
          <w:rFonts w:ascii="宋体" w:hAnsi="宋体"/>
          <w:color w:val="auto"/>
          <w:szCs w:val="21"/>
        </w:rPr>
        <w:t>（</w:t>
      </w:r>
      <w:r>
        <w:rPr>
          <w:rFonts w:hint="eastAsia" w:ascii="宋体" w:hAnsi="宋体"/>
          <w:color w:val="auto"/>
          <w:szCs w:val="21"/>
        </w:rPr>
        <w:t>以电子交易系统解密倒计时为准</w:t>
      </w:r>
      <w:r>
        <w:rPr>
          <w:rFonts w:ascii="宋体" w:hAnsi="宋体"/>
          <w:color w:val="auto"/>
          <w:szCs w:val="21"/>
        </w:rPr>
        <w:t>）对本单位的投标文件</w:t>
      </w:r>
      <w:r>
        <w:rPr>
          <w:rFonts w:hint="eastAsia" w:ascii="宋体" w:hAnsi="宋体"/>
          <w:color w:val="auto"/>
          <w:szCs w:val="21"/>
        </w:rPr>
        <w:t>进行</w:t>
      </w:r>
      <w:r>
        <w:rPr>
          <w:rFonts w:ascii="宋体" w:hAnsi="宋体"/>
          <w:color w:val="auto"/>
          <w:szCs w:val="21"/>
        </w:rPr>
        <w:t>解密。</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31.3</w:t>
      </w:r>
      <w:r>
        <w:rPr>
          <w:rFonts w:ascii="宋体" w:hAnsi="宋体"/>
          <w:color w:val="auto"/>
          <w:szCs w:val="21"/>
        </w:rPr>
        <w:t>开标时，采购代理机构将通过网上开标系统公布</w:t>
      </w:r>
      <w:r>
        <w:rPr>
          <w:rFonts w:hint="eastAsia" w:ascii="宋体" w:hAnsi="宋体"/>
          <w:color w:val="auto"/>
          <w:szCs w:val="21"/>
        </w:rPr>
        <w:t>开标结果，公布内容包括投标人名称、投标报价及招标文件规定的其他内容。</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31.4投标人如未在线参加开标的，视同认可开标结果，事后不得对开标结果提出异议。同时，投标人因未在线参加开标而导致电子加密投标文件无法按时解密等一切后果由投标人自行承担。</w:t>
      </w:r>
    </w:p>
    <w:p>
      <w:pPr>
        <w:snapToGrid w:val="0"/>
        <w:spacing w:line="360" w:lineRule="auto"/>
        <w:ind w:firstLine="420" w:firstLineChars="200"/>
        <w:jc w:val="left"/>
        <w:rPr>
          <w:rFonts w:ascii="宋体" w:hAnsi="宋体" w:cs="Arial"/>
          <w:color w:val="auto"/>
          <w:kern w:val="0"/>
          <w:szCs w:val="21"/>
        </w:rPr>
      </w:pPr>
      <w:r>
        <w:rPr>
          <w:rFonts w:hint="eastAsia" w:ascii="宋体" w:hAnsi="宋体"/>
          <w:color w:val="auto"/>
          <w:szCs w:val="21"/>
        </w:rPr>
        <w:t>31.5发生电子加密投标文件解密失败的情形，如投标人已按招标文件规定提交了备份投标文件的，将由采购代理机构按政采云平台操作规范将备份投标文件上传至政采云平台异常端口处理，上传成功后，电子加密投标文件自动失效；使用备份投标文件仍无法成功或投标人</w:t>
      </w:r>
      <w:r>
        <w:rPr>
          <w:rFonts w:hint="eastAsia" w:ascii="宋体" w:hAnsi="宋体" w:cs="Arial"/>
          <w:color w:val="auto"/>
          <w:kern w:val="0"/>
          <w:szCs w:val="21"/>
        </w:rPr>
        <w:t>未按规定提交备份投标文件的</w:t>
      </w:r>
      <w:r>
        <w:rPr>
          <w:rFonts w:hint="eastAsia" w:ascii="宋体" w:hAnsi="宋体"/>
          <w:color w:val="auto"/>
          <w:szCs w:val="21"/>
        </w:rPr>
        <w:t>，</w:t>
      </w:r>
      <w:r>
        <w:rPr>
          <w:rFonts w:hint="eastAsia" w:ascii="宋体" w:hAnsi="宋体"/>
          <w:b/>
          <w:color w:val="auto"/>
          <w:szCs w:val="21"/>
        </w:rPr>
        <w:t>视为撤回投标文件</w:t>
      </w:r>
      <w:r>
        <w:rPr>
          <w:rFonts w:hint="eastAsia" w:ascii="宋体" w:hAnsi="宋体"/>
          <w:color w:val="auto"/>
          <w:szCs w:val="21"/>
        </w:rPr>
        <w:t>。</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电子加密投标文件已按时解密的，备份投标文件自动失效。</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31.6</w:t>
      </w:r>
      <w:r>
        <w:rPr>
          <w:rFonts w:ascii="宋体" w:hAnsi="宋体"/>
          <w:color w:val="auto"/>
          <w:szCs w:val="21"/>
        </w:rPr>
        <w:t>开标过程由采购代理机构负责记录，由参加开标的投标人代表和相关工作人员签字确认后随采购文件一并存档。</w:t>
      </w:r>
    </w:p>
    <w:p>
      <w:pPr>
        <w:snapToGrid w:val="0"/>
        <w:spacing w:line="360" w:lineRule="auto"/>
        <w:ind w:firstLine="420" w:firstLineChars="200"/>
        <w:jc w:val="left"/>
        <w:rPr>
          <w:rFonts w:ascii="宋体" w:hAnsi="宋体"/>
          <w:color w:val="auto"/>
          <w:szCs w:val="21"/>
        </w:rPr>
      </w:pPr>
      <w:r>
        <w:rPr>
          <w:rFonts w:ascii="宋体" w:hAnsi="宋体"/>
          <w:color w:val="auto"/>
          <w:szCs w:val="21"/>
        </w:rPr>
        <w:t>投标人代表对开标过程和开标记录有疑义，应当场提出询问。</w:t>
      </w:r>
    </w:p>
    <w:p>
      <w:pPr>
        <w:snapToGrid w:val="0"/>
        <w:spacing w:line="360" w:lineRule="auto"/>
        <w:ind w:firstLine="422" w:firstLineChars="200"/>
        <w:jc w:val="left"/>
        <w:rPr>
          <w:rFonts w:ascii="宋体" w:hAnsi="宋体"/>
          <w:b/>
          <w:color w:val="auto"/>
          <w:szCs w:val="21"/>
        </w:rPr>
      </w:pPr>
      <w:r>
        <w:rPr>
          <w:rFonts w:hint="eastAsia" w:ascii="宋体" w:hAnsi="宋体"/>
          <w:b/>
          <w:color w:val="auto"/>
          <w:szCs w:val="21"/>
        </w:rPr>
        <w:t>32.资格审查及组建评标委员会</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32.1开标结束后，采购人或采购代理机构依据法律法规和招标文件中规定的内容对投标人的资格进行审查，未通过资格审查的投标人不进入评标，通过资格审查的投标人不足3家的不进行评标。</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32.2评标委员会依法组建，由5人以上单数组成。</w:t>
      </w:r>
    </w:p>
    <w:p>
      <w:pPr>
        <w:snapToGrid w:val="0"/>
        <w:spacing w:line="360" w:lineRule="auto"/>
        <w:ind w:firstLine="422" w:firstLineChars="200"/>
        <w:jc w:val="left"/>
        <w:rPr>
          <w:rFonts w:ascii="宋体" w:hAnsi="宋体"/>
          <w:b/>
          <w:color w:val="auto"/>
          <w:szCs w:val="21"/>
        </w:rPr>
      </w:pPr>
      <w:r>
        <w:rPr>
          <w:rFonts w:hint="eastAsia" w:ascii="宋体" w:hAnsi="宋体"/>
          <w:b/>
          <w:color w:val="auto"/>
          <w:szCs w:val="21"/>
        </w:rPr>
        <w:t>33.投标文件符合性审查与澄清</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33.1评标委员会负责对符合资格要求的投标人的投标文件进行符合性审查，以确定其是否满足招标文件的实质性要求。</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33.2对于投标文件中含义不明确、同类问题表述不一致或者有明显文字和计算错误的内容，</w:t>
      </w:r>
      <w:r>
        <w:rPr>
          <w:rFonts w:ascii="宋体" w:hAnsi="宋体"/>
          <w:color w:val="auto"/>
          <w:szCs w:val="21"/>
        </w:rPr>
        <w:t>以及评标委员会认为投标人的报价明显低于其他通过符合性</w:t>
      </w:r>
      <w:r>
        <w:rPr>
          <w:rFonts w:hint="eastAsia" w:ascii="宋体" w:hAnsi="宋体"/>
          <w:color w:val="auto"/>
          <w:szCs w:val="21"/>
        </w:rPr>
        <w:t>审</w:t>
      </w:r>
      <w:r>
        <w:rPr>
          <w:rFonts w:ascii="宋体" w:hAnsi="宋体"/>
          <w:color w:val="auto"/>
          <w:szCs w:val="21"/>
        </w:rPr>
        <w:t>查投标人的报价，有可能</w:t>
      </w:r>
      <w:r>
        <w:rPr>
          <w:rFonts w:ascii="宋体" w:hAnsi="宋体"/>
          <w:color w:val="auto"/>
          <w:szCs w:val="21"/>
          <w:shd w:val="clear" w:color="auto" w:fill="FFFFFF"/>
        </w:rPr>
        <w:t>影响产品质量或者不能诚信履约的</w:t>
      </w:r>
      <w:r>
        <w:rPr>
          <w:rFonts w:hint="eastAsia" w:ascii="宋体" w:hAnsi="宋体"/>
          <w:color w:val="auto"/>
          <w:szCs w:val="21"/>
        </w:rPr>
        <w:t>，评标委员会以书面形式要求投标人作出必要的澄清、说明或者补正。</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人的澄清、说明或者补正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投标人的澄清、说明或者补正不得超出投标文件的范围或者改变投标文件的实质性内容。</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33.3投标人的澄清、说明或补正将作为投标文件的一部分。</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33.4报价修正</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投标文件报价出现不一致的，按照下列规定修正：</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（1）电子交易平台客户端里开标一览表录入的投标报价与报价要求响应文件中的开标一览表投标报价不一致的，以报价要求响应文件中的投标报价为准。</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（2）投标文件中开标一览表（报价表）内容与投标文件中其他内容不一致的，以开标一览表（报价表）为准；</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（3）投标文件中开标一览表（报价表）大写金额和小写金额不一致的，以大写金额为准。</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修正后的报价由投标人确认，经投标人确认后产生约束力，投标人不确认的，</w:t>
      </w:r>
      <w:r>
        <w:rPr>
          <w:rFonts w:hint="eastAsia" w:ascii="宋体" w:hAnsi="宋体"/>
          <w:b/>
          <w:color w:val="auto"/>
          <w:szCs w:val="21"/>
        </w:rPr>
        <w:t>其投标无效</w:t>
      </w:r>
      <w:r>
        <w:rPr>
          <w:rFonts w:hint="eastAsia" w:ascii="宋体" w:hAnsi="宋体"/>
          <w:color w:val="auto"/>
          <w:szCs w:val="21"/>
        </w:rPr>
        <w:t>。</w:t>
      </w:r>
    </w:p>
    <w:p>
      <w:pPr>
        <w:snapToGrid w:val="0"/>
        <w:spacing w:line="360" w:lineRule="auto"/>
        <w:ind w:firstLine="422" w:firstLineChars="200"/>
        <w:jc w:val="left"/>
        <w:rPr>
          <w:rFonts w:ascii="宋体" w:hAnsi="宋体"/>
          <w:b/>
          <w:color w:val="auto"/>
          <w:szCs w:val="21"/>
        </w:rPr>
      </w:pPr>
      <w:r>
        <w:rPr>
          <w:rFonts w:hint="eastAsia" w:ascii="宋体" w:hAnsi="宋体"/>
          <w:b/>
          <w:color w:val="auto"/>
          <w:szCs w:val="21"/>
        </w:rPr>
        <w:t>34.投标无效</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34.1</w:t>
      </w:r>
      <w:r>
        <w:rPr>
          <w:rFonts w:ascii="宋体" w:hAnsi="宋体"/>
          <w:color w:val="auto"/>
          <w:szCs w:val="21"/>
        </w:rPr>
        <w:t>根据</w:t>
      </w:r>
      <w:r>
        <w:rPr>
          <w:rFonts w:hint="eastAsia" w:ascii="宋体" w:hAnsi="宋体"/>
          <w:color w:val="auto"/>
          <w:szCs w:val="21"/>
        </w:rPr>
        <w:t>招标文件</w:t>
      </w:r>
      <w:r>
        <w:rPr>
          <w:rFonts w:ascii="宋体" w:hAnsi="宋体"/>
          <w:color w:val="auto"/>
          <w:szCs w:val="21"/>
        </w:rPr>
        <w:t>的规定，评标委员会审查每份投标文件</w:t>
      </w:r>
      <w:r>
        <w:rPr>
          <w:rFonts w:hint="eastAsia" w:ascii="宋体" w:hAnsi="宋体"/>
          <w:color w:val="auto"/>
          <w:szCs w:val="21"/>
        </w:rPr>
        <w:t>，以确定其是否满足招标文件的实质性要求。</w:t>
      </w:r>
      <w:r>
        <w:rPr>
          <w:rFonts w:ascii="宋体" w:hAnsi="宋体"/>
          <w:color w:val="auto"/>
          <w:szCs w:val="21"/>
        </w:rPr>
        <w:t>投标人不得通过修正或撤销不符合要求的偏离，从而使其投标实质上响应</w:t>
      </w:r>
      <w:r>
        <w:rPr>
          <w:rFonts w:hint="eastAsia" w:ascii="宋体" w:hAnsi="宋体"/>
          <w:color w:val="auto"/>
          <w:szCs w:val="21"/>
        </w:rPr>
        <w:t>招标文件要求</w:t>
      </w:r>
      <w:r>
        <w:rPr>
          <w:rFonts w:ascii="宋体" w:hAnsi="宋体"/>
          <w:color w:val="auto"/>
          <w:szCs w:val="21"/>
        </w:rPr>
        <w:t>。</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34.2投标人存在下列情况之一的，投标无效：</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（1）投标文件未按招标文件要求签署、盖章而影响投标文件法律效力的；</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（2）不具备招标文件中规定的资格要求的（包括未提交合法有效的资格证明文件）；</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（3）未对招标文件的实质性条款作出响应（包括未按要求提交证明文件）的；</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（4）报价超过招标文件中规定的预算金额或最高限价（如有）或单项限价（如有）的；</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（5）投标文件含有采购人不能接受的附加条件的；</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（6）投标文件中含有虚假材料的；</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（7）投标人违背诚实信用原则的；</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（8）仅提交备份投标文件的；</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（9）法律、法规和招标文件规定的其他无效情形。</w:t>
      </w:r>
    </w:p>
    <w:p>
      <w:pPr>
        <w:snapToGrid w:val="0"/>
        <w:spacing w:line="360" w:lineRule="auto"/>
        <w:ind w:firstLine="422" w:firstLineChars="200"/>
        <w:jc w:val="left"/>
        <w:rPr>
          <w:rFonts w:ascii="宋体" w:hAnsi="宋体"/>
          <w:b/>
          <w:color w:val="auto"/>
          <w:szCs w:val="21"/>
        </w:rPr>
      </w:pPr>
      <w:r>
        <w:rPr>
          <w:rFonts w:hint="eastAsia" w:ascii="宋体" w:hAnsi="宋体"/>
          <w:b/>
          <w:color w:val="auto"/>
          <w:szCs w:val="21"/>
        </w:rPr>
        <w:t>35</w:t>
      </w:r>
      <w:r>
        <w:rPr>
          <w:rFonts w:ascii="宋体" w:hAnsi="宋体"/>
          <w:b/>
          <w:color w:val="auto"/>
          <w:szCs w:val="21"/>
        </w:rPr>
        <w:t>.</w:t>
      </w:r>
      <w:r>
        <w:rPr>
          <w:rFonts w:hint="eastAsia" w:ascii="宋体" w:hAnsi="宋体"/>
          <w:b/>
          <w:color w:val="auto"/>
          <w:szCs w:val="21"/>
        </w:rPr>
        <w:t>比较与评价</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35.1评标委员会按照招标文件规定的评标方法和标准，对符合性审查合格的投标文件进行商务和技术评估，综合比较与评价。</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35.2本项目采用综合评分法，评标严格按照招标文件的要求和条件进行，详细评标标准见招标文件第四章。</w:t>
      </w:r>
    </w:p>
    <w:p>
      <w:pPr>
        <w:pStyle w:val="25"/>
        <w:snapToGrid w:val="0"/>
        <w:spacing w:beforeLines="0" w:afterLines="0" w:line="360" w:lineRule="auto"/>
        <w:ind w:firstLine="422" w:firstLineChars="200"/>
        <w:rPr>
          <w:rFonts w:hAnsi="宋体"/>
          <w:b/>
          <w:color w:val="auto"/>
          <w:sz w:val="21"/>
          <w:szCs w:val="21"/>
        </w:rPr>
      </w:pPr>
      <w:r>
        <w:rPr>
          <w:rFonts w:hint="eastAsia" w:hAnsi="宋体"/>
          <w:b/>
          <w:color w:val="auto"/>
          <w:sz w:val="21"/>
          <w:szCs w:val="21"/>
        </w:rPr>
        <w:t>36.废标的情形</w:t>
      </w:r>
    </w:p>
    <w:p>
      <w:pPr>
        <w:spacing w:line="360" w:lineRule="auto"/>
        <w:ind w:firstLine="420" w:firstLineChars="200"/>
        <w:rPr>
          <w:rFonts w:ascii="宋体" w:hAnsi="宋体"/>
          <w:color w:val="auto"/>
          <w:szCs w:val="21"/>
        </w:rPr>
      </w:pPr>
      <w:r>
        <w:rPr>
          <w:rFonts w:hint="eastAsia" w:ascii="宋体" w:hAnsi="宋体"/>
          <w:color w:val="auto"/>
          <w:szCs w:val="21"/>
        </w:rPr>
        <w:t>在本项目招标采购中，出现下列情形之一的，应予废标：</w:t>
      </w:r>
    </w:p>
    <w:p>
      <w:pPr>
        <w:spacing w:line="360" w:lineRule="auto"/>
        <w:ind w:firstLine="420" w:firstLineChars="200"/>
        <w:rPr>
          <w:rFonts w:ascii="宋体" w:hAnsi="宋体"/>
          <w:color w:val="auto"/>
          <w:szCs w:val="21"/>
        </w:rPr>
      </w:pPr>
      <w:r>
        <w:rPr>
          <w:rFonts w:hint="eastAsia" w:ascii="宋体" w:hAnsi="宋体"/>
          <w:color w:val="auto"/>
          <w:szCs w:val="21"/>
        </w:rPr>
        <w:t>（1）符合资格要求的投标人或者对招标文件作实质响应的投标人不足三家的；</w:t>
      </w:r>
    </w:p>
    <w:p>
      <w:pPr>
        <w:spacing w:line="360" w:lineRule="auto"/>
        <w:ind w:firstLine="420" w:firstLineChars="200"/>
        <w:rPr>
          <w:rFonts w:ascii="宋体" w:hAnsi="宋体"/>
          <w:color w:val="auto"/>
          <w:szCs w:val="21"/>
        </w:rPr>
      </w:pPr>
      <w:r>
        <w:rPr>
          <w:rFonts w:hint="eastAsia" w:ascii="宋体" w:hAnsi="宋体"/>
          <w:color w:val="auto"/>
          <w:szCs w:val="21"/>
        </w:rPr>
        <w:t>（2）出现影响采购公正的违法、违规行为的；</w:t>
      </w:r>
    </w:p>
    <w:p>
      <w:pPr>
        <w:spacing w:line="360" w:lineRule="auto"/>
        <w:ind w:firstLine="420" w:firstLineChars="200"/>
        <w:rPr>
          <w:rFonts w:ascii="宋体" w:hAnsi="宋体"/>
          <w:color w:val="auto"/>
          <w:szCs w:val="21"/>
        </w:rPr>
      </w:pPr>
      <w:r>
        <w:rPr>
          <w:rFonts w:hint="eastAsia" w:ascii="宋体" w:hAnsi="宋体"/>
          <w:color w:val="auto"/>
          <w:szCs w:val="21"/>
        </w:rPr>
        <w:t>（3）投标人的报价均超过了采购预算，采购人不能支付的；</w:t>
      </w:r>
    </w:p>
    <w:p>
      <w:pPr>
        <w:spacing w:line="360" w:lineRule="auto"/>
        <w:ind w:firstLine="420" w:firstLineChars="200"/>
        <w:rPr>
          <w:rFonts w:ascii="宋体" w:hAnsi="宋体"/>
          <w:color w:val="auto"/>
          <w:szCs w:val="21"/>
        </w:rPr>
      </w:pPr>
      <w:r>
        <w:rPr>
          <w:rFonts w:hint="eastAsia" w:ascii="宋体" w:hAnsi="宋体"/>
          <w:color w:val="auto"/>
          <w:szCs w:val="21"/>
        </w:rPr>
        <w:t>（4）因重大变故，采购任务取消的。</w:t>
      </w:r>
    </w:p>
    <w:p>
      <w:pPr>
        <w:spacing w:line="360" w:lineRule="auto"/>
        <w:ind w:firstLine="420" w:firstLineChars="200"/>
        <w:rPr>
          <w:rFonts w:ascii="宋体" w:hAnsi="宋体"/>
          <w:color w:val="auto"/>
          <w:szCs w:val="21"/>
        </w:rPr>
      </w:pPr>
      <w:r>
        <w:rPr>
          <w:rFonts w:hint="eastAsia" w:ascii="宋体" w:hAnsi="宋体"/>
          <w:color w:val="auto"/>
          <w:szCs w:val="21"/>
        </w:rPr>
        <w:t>（5）电子交易平台无法正常运行，无法保证电子交易的公平、公正和安全的情况。</w:t>
      </w:r>
    </w:p>
    <w:p>
      <w:pPr>
        <w:pStyle w:val="25"/>
        <w:snapToGrid w:val="0"/>
        <w:spacing w:beforeLines="0" w:afterLines="0" w:line="360" w:lineRule="auto"/>
        <w:ind w:firstLine="422" w:firstLineChars="200"/>
        <w:rPr>
          <w:rFonts w:hAnsi="宋体"/>
          <w:b/>
          <w:color w:val="auto"/>
          <w:sz w:val="21"/>
          <w:szCs w:val="21"/>
        </w:rPr>
      </w:pPr>
      <w:r>
        <w:rPr>
          <w:rFonts w:hint="eastAsia" w:hAnsi="宋体"/>
          <w:b/>
          <w:color w:val="auto"/>
          <w:sz w:val="21"/>
          <w:szCs w:val="21"/>
        </w:rPr>
        <w:t>37.中止电子交易活动的情形</w:t>
      </w:r>
    </w:p>
    <w:p>
      <w:pPr>
        <w:spacing w:line="360" w:lineRule="auto"/>
        <w:ind w:firstLine="420" w:firstLineChars="200"/>
        <w:rPr>
          <w:rFonts w:ascii="宋体" w:hAnsi="宋体"/>
          <w:color w:val="auto"/>
          <w:szCs w:val="21"/>
        </w:rPr>
      </w:pPr>
      <w:r>
        <w:rPr>
          <w:rFonts w:hint="eastAsia" w:ascii="宋体" w:hAnsi="宋体"/>
          <w:color w:val="auto"/>
          <w:szCs w:val="21"/>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宋体" w:hAnsi="宋体"/>
          <w:color w:val="auto"/>
          <w:szCs w:val="21"/>
        </w:rPr>
      </w:pPr>
      <w:r>
        <w:rPr>
          <w:rFonts w:hint="eastAsia" w:ascii="宋体" w:hAnsi="宋体"/>
          <w:color w:val="auto"/>
          <w:szCs w:val="21"/>
        </w:rPr>
        <w:t>（1）电子交易平台发生故障而无法登录访问的；</w:t>
      </w:r>
    </w:p>
    <w:p>
      <w:pPr>
        <w:spacing w:line="360" w:lineRule="auto"/>
        <w:ind w:firstLine="420" w:firstLineChars="200"/>
        <w:rPr>
          <w:rFonts w:ascii="宋体" w:hAnsi="宋体"/>
          <w:color w:val="auto"/>
          <w:szCs w:val="21"/>
        </w:rPr>
      </w:pPr>
      <w:r>
        <w:rPr>
          <w:rFonts w:hint="eastAsia" w:ascii="宋体" w:hAnsi="宋体"/>
          <w:color w:val="auto"/>
          <w:szCs w:val="21"/>
        </w:rPr>
        <w:t>（2）电子交易平台应用或数据库出现错误，不能进行正常操作的；</w:t>
      </w:r>
    </w:p>
    <w:p>
      <w:pPr>
        <w:spacing w:line="360" w:lineRule="auto"/>
        <w:ind w:firstLine="420" w:firstLineChars="200"/>
        <w:rPr>
          <w:rFonts w:ascii="宋体" w:hAnsi="宋体"/>
          <w:color w:val="auto"/>
          <w:szCs w:val="21"/>
        </w:rPr>
      </w:pPr>
      <w:r>
        <w:rPr>
          <w:rFonts w:hint="eastAsia" w:ascii="宋体" w:hAnsi="宋体"/>
          <w:color w:val="auto"/>
          <w:szCs w:val="21"/>
        </w:rPr>
        <w:t>（3）电子交易平台发现严重安全漏洞，有潜在泄密危险的；</w:t>
      </w:r>
    </w:p>
    <w:p>
      <w:pPr>
        <w:spacing w:line="360" w:lineRule="auto"/>
        <w:ind w:firstLine="420" w:firstLineChars="200"/>
        <w:rPr>
          <w:rFonts w:ascii="宋体" w:hAnsi="宋体"/>
          <w:color w:val="auto"/>
          <w:szCs w:val="21"/>
        </w:rPr>
      </w:pPr>
      <w:r>
        <w:rPr>
          <w:rFonts w:hint="eastAsia" w:ascii="宋体" w:hAnsi="宋体"/>
          <w:color w:val="auto"/>
          <w:szCs w:val="21"/>
        </w:rPr>
        <w:t>（4）病毒发作导致不能进行正常操作的；</w:t>
      </w:r>
    </w:p>
    <w:p>
      <w:pPr>
        <w:spacing w:line="360" w:lineRule="auto"/>
        <w:ind w:firstLine="420" w:firstLineChars="200"/>
        <w:rPr>
          <w:rFonts w:ascii="宋体" w:hAnsi="宋体"/>
          <w:color w:val="auto"/>
          <w:szCs w:val="21"/>
        </w:rPr>
      </w:pPr>
      <w:r>
        <w:rPr>
          <w:rFonts w:hint="eastAsia" w:ascii="宋体" w:hAnsi="宋体"/>
          <w:color w:val="auto"/>
          <w:szCs w:val="21"/>
        </w:rPr>
        <w:t>（5）其他无法保证电子交易的公平、公正和安全的情况。</w:t>
      </w:r>
    </w:p>
    <w:p>
      <w:pPr>
        <w:spacing w:line="360" w:lineRule="auto"/>
        <w:ind w:firstLine="420" w:firstLineChars="200"/>
        <w:rPr>
          <w:rFonts w:ascii="宋体" w:hAnsi="宋体"/>
          <w:color w:val="auto"/>
          <w:szCs w:val="21"/>
        </w:rPr>
      </w:pPr>
      <w:r>
        <w:rPr>
          <w:rFonts w:hint="eastAsia" w:ascii="宋体" w:hAnsi="宋体"/>
          <w:color w:val="auto"/>
          <w:szCs w:val="21"/>
        </w:rPr>
        <w:t>出现前款规定情形，不影响采购公平、公正性的，采购组织机构可以待上述情形消除后继续组织电子交易活动；影响或可能影响采购公平、公正性的，将重新采购。</w:t>
      </w:r>
    </w:p>
    <w:p>
      <w:pPr>
        <w:pStyle w:val="25"/>
        <w:snapToGrid w:val="0"/>
        <w:spacing w:beforeLines="0" w:afterLines="0" w:line="360" w:lineRule="auto"/>
        <w:ind w:firstLine="422" w:firstLineChars="200"/>
        <w:rPr>
          <w:rFonts w:hAnsi="宋体"/>
          <w:b/>
          <w:color w:val="auto"/>
          <w:sz w:val="21"/>
          <w:szCs w:val="21"/>
        </w:rPr>
      </w:pPr>
      <w:r>
        <w:rPr>
          <w:rFonts w:hint="eastAsia" w:hAnsi="宋体"/>
          <w:b/>
          <w:color w:val="auto"/>
          <w:sz w:val="21"/>
          <w:szCs w:val="21"/>
        </w:rPr>
        <w:t>38</w:t>
      </w:r>
      <w:r>
        <w:rPr>
          <w:rFonts w:hAnsi="宋体"/>
          <w:b/>
          <w:color w:val="auto"/>
          <w:sz w:val="21"/>
          <w:szCs w:val="21"/>
        </w:rPr>
        <w:t>.</w:t>
      </w:r>
      <w:r>
        <w:rPr>
          <w:rFonts w:hint="eastAsia" w:hAnsi="宋体"/>
          <w:b/>
          <w:color w:val="auto"/>
          <w:sz w:val="21"/>
          <w:szCs w:val="21"/>
        </w:rPr>
        <w:t>中标候选人的确定原则及标准</w:t>
      </w:r>
    </w:p>
    <w:p>
      <w:pPr>
        <w:spacing w:line="360" w:lineRule="auto"/>
        <w:ind w:firstLine="420" w:firstLineChars="200"/>
        <w:rPr>
          <w:rFonts w:ascii="宋体" w:hAnsi="宋体"/>
          <w:color w:val="auto"/>
          <w:szCs w:val="21"/>
        </w:rPr>
      </w:pPr>
      <w:r>
        <w:rPr>
          <w:rFonts w:ascii="宋体" w:hAnsi="宋体"/>
          <w:color w:val="auto"/>
          <w:szCs w:val="21"/>
        </w:rPr>
        <w:t>本项目</w:t>
      </w:r>
      <w:r>
        <w:rPr>
          <w:rFonts w:hint="eastAsia" w:ascii="宋体" w:hAnsi="宋体"/>
          <w:color w:val="auto"/>
          <w:szCs w:val="21"/>
        </w:rPr>
        <w:t>所有有效投标人均为中标候选人，评标结果按评审后得分由高到低顺序排列。得分相同的，按投标报价由低到高顺序排列。得分且投标报价相同的并列。</w:t>
      </w:r>
    </w:p>
    <w:p>
      <w:pPr>
        <w:snapToGrid w:val="0"/>
        <w:spacing w:line="360" w:lineRule="auto"/>
        <w:ind w:firstLine="422" w:firstLineChars="200"/>
        <w:jc w:val="left"/>
        <w:rPr>
          <w:rFonts w:ascii="宋体" w:hAnsi="宋体"/>
          <w:b/>
          <w:color w:val="auto"/>
          <w:szCs w:val="21"/>
        </w:rPr>
      </w:pPr>
      <w:r>
        <w:rPr>
          <w:rFonts w:hint="eastAsia" w:ascii="宋体" w:hAnsi="宋体"/>
          <w:b/>
          <w:color w:val="auto"/>
          <w:szCs w:val="21"/>
        </w:rPr>
        <w:t>39.编写评标报告</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根据全体评标委员会成员签字的原始评标记录和评标结果编写评标报告，评标报告由评标委员会全体成员签字。</w:t>
      </w:r>
      <w:r>
        <w:rPr>
          <w:rFonts w:ascii="宋体" w:hAnsi="宋体"/>
          <w:color w:val="auto"/>
          <w:szCs w:val="21"/>
        </w:rPr>
        <w:t>评标委员会成员对需要共同认定的事项存在争议的，应当按照少数服从多数的原则作出结论。持不同意见的评标委员会成员应当在评标报告上签署不同意见及理由，否则视为同意评标报告。</w:t>
      </w:r>
    </w:p>
    <w:p>
      <w:pPr>
        <w:pStyle w:val="176"/>
        <w:spacing w:before="120" w:after="120"/>
        <w:jc w:val="center"/>
        <w:rPr>
          <w:rFonts w:ascii="宋体" w:hAnsi="宋体" w:eastAsia="宋体"/>
          <w:color w:val="auto"/>
          <w:sz w:val="21"/>
          <w:szCs w:val="21"/>
        </w:rPr>
      </w:pPr>
      <w:bookmarkStart w:id="53" w:name="_Toc118452532"/>
      <w:r>
        <w:rPr>
          <w:rFonts w:hint="eastAsia" w:ascii="宋体" w:hAnsi="宋体" w:eastAsia="宋体"/>
          <w:color w:val="auto"/>
          <w:sz w:val="21"/>
          <w:szCs w:val="21"/>
        </w:rPr>
        <w:t>六、授予合同</w:t>
      </w:r>
      <w:bookmarkEnd w:id="53"/>
    </w:p>
    <w:p>
      <w:pPr>
        <w:spacing w:line="360" w:lineRule="auto"/>
        <w:ind w:firstLine="422" w:firstLineChars="200"/>
        <w:rPr>
          <w:rFonts w:ascii="宋体" w:hAnsi="宋体"/>
          <w:b/>
          <w:color w:val="auto"/>
          <w:szCs w:val="21"/>
        </w:rPr>
      </w:pPr>
      <w:r>
        <w:rPr>
          <w:rFonts w:hint="eastAsia" w:ascii="宋体" w:hAnsi="宋体"/>
          <w:b/>
          <w:color w:val="auto"/>
          <w:szCs w:val="21"/>
        </w:rPr>
        <w:t>40.中标人的确定</w:t>
      </w:r>
    </w:p>
    <w:p>
      <w:pPr>
        <w:spacing w:line="360" w:lineRule="auto"/>
        <w:ind w:firstLine="420" w:firstLineChars="200"/>
        <w:rPr>
          <w:rFonts w:ascii="宋体" w:hAnsi="宋体"/>
          <w:color w:val="auto"/>
          <w:szCs w:val="21"/>
          <w:shd w:val="clear" w:color="auto" w:fill="FFFFFF"/>
        </w:rPr>
      </w:pPr>
      <w:r>
        <w:rPr>
          <w:rFonts w:hint="eastAsia" w:ascii="宋体" w:hAnsi="宋体"/>
          <w:color w:val="auto"/>
          <w:szCs w:val="21"/>
          <w:shd w:val="clear" w:color="auto" w:fill="FFFFFF"/>
        </w:rPr>
        <w:t>40.1中标人确定主体为采购人，确定排名第一位的中标候选人为中标人。</w:t>
      </w:r>
    </w:p>
    <w:p>
      <w:pPr>
        <w:spacing w:line="360" w:lineRule="auto"/>
        <w:ind w:firstLine="420" w:firstLineChars="200"/>
        <w:rPr>
          <w:rFonts w:ascii="宋体" w:hAnsi="宋体"/>
          <w:color w:val="auto"/>
          <w:szCs w:val="21"/>
          <w:shd w:val="clear" w:color="auto" w:fill="FFFFFF"/>
        </w:rPr>
      </w:pPr>
      <w:r>
        <w:rPr>
          <w:rFonts w:hint="eastAsia" w:ascii="宋体" w:hAnsi="宋体"/>
          <w:color w:val="auto"/>
          <w:szCs w:val="21"/>
          <w:shd w:val="clear" w:color="auto" w:fill="FFFFFF"/>
        </w:rPr>
        <w:t>40.2</w:t>
      </w:r>
      <w:r>
        <w:rPr>
          <w:rFonts w:ascii="宋体" w:hAnsi="宋体"/>
          <w:color w:val="auto"/>
          <w:szCs w:val="21"/>
          <w:shd w:val="clear" w:color="auto" w:fill="FFFFFF"/>
        </w:rPr>
        <w:t>中标候选人并列的</w:t>
      </w:r>
      <w:r>
        <w:rPr>
          <w:rFonts w:hint="eastAsia" w:ascii="宋体" w:hAnsi="宋体"/>
          <w:color w:val="auto"/>
          <w:szCs w:val="21"/>
          <w:shd w:val="clear" w:color="auto" w:fill="FFFFFF"/>
        </w:rPr>
        <w:t>，由采购人采用随机抽取的方式确定。</w:t>
      </w:r>
    </w:p>
    <w:p>
      <w:pPr>
        <w:spacing w:line="360" w:lineRule="auto"/>
        <w:ind w:firstLine="422" w:firstLineChars="200"/>
        <w:rPr>
          <w:rFonts w:ascii="宋体" w:hAnsi="宋体"/>
          <w:b/>
          <w:color w:val="auto"/>
          <w:szCs w:val="21"/>
        </w:rPr>
      </w:pPr>
      <w:r>
        <w:rPr>
          <w:rFonts w:hint="eastAsia" w:ascii="宋体" w:hAnsi="宋体"/>
          <w:b/>
          <w:color w:val="auto"/>
          <w:szCs w:val="21"/>
        </w:rPr>
        <w:t>41.中标结果公告</w:t>
      </w:r>
    </w:p>
    <w:p>
      <w:pPr>
        <w:spacing w:line="360" w:lineRule="auto"/>
        <w:ind w:firstLine="420" w:firstLineChars="200"/>
        <w:rPr>
          <w:rFonts w:ascii="宋体" w:hAnsi="宋体"/>
          <w:color w:val="auto"/>
          <w:szCs w:val="21"/>
        </w:rPr>
      </w:pPr>
      <w:r>
        <w:rPr>
          <w:rFonts w:hint="eastAsia" w:ascii="宋体" w:hAnsi="宋体"/>
          <w:color w:val="auto"/>
          <w:szCs w:val="21"/>
        </w:rPr>
        <w:t>自中标人确定之日起2个工作日内，采购代理机构在招标公告发布媒体上公告中标结果。</w:t>
      </w:r>
    </w:p>
    <w:p>
      <w:pPr>
        <w:spacing w:line="360" w:lineRule="auto"/>
        <w:ind w:firstLine="422" w:firstLineChars="200"/>
        <w:rPr>
          <w:rFonts w:ascii="宋体" w:hAnsi="宋体"/>
          <w:b/>
          <w:color w:val="auto"/>
          <w:szCs w:val="21"/>
        </w:rPr>
      </w:pPr>
      <w:r>
        <w:rPr>
          <w:rFonts w:hint="eastAsia" w:ascii="宋体" w:hAnsi="宋体"/>
          <w:b/>
          <w:color w:val="auto"/>
          <w:szCs w:val="21"/>
        </w:rPr>
        <w:t>42.中标通知书和招标结果通知书</w:t>
      </w:r>
    </w:p>
    <w:p>
      <w:pPr>
        <w:spacing w:line="360" w:lineRule="auto"/>
        <w:ind w:firstLine="420" w:firstLineChars="200"/>
        <w:rPr>
          <w:rFonts w:ascii="宋体" w:hAnsi="宋体"/>
          <w:color w:val="auto"/>
          <w:szCs w:val="21"/>
        </w:rPr>
      </w:pPr>
      <w:r>
        <w:rPr>
          <w:rFonts w:hint="eastAsia" w:ascii="宋体" w:hAnsi="宋体"/>
          <w:color w:val="auto"/>
          <w:szCs w:val="21"/>
        </w:rPr>
        <w:t>42.1在公告中标结果的同时，采购代理机构向中标人发出中标通知书，向未中标的投标人发出招标结果通知书。</w:t>
      </w:r>
    </w:p>
    <w:p>
      <w:pPr>
        <w:spacing w:line="360" w:lineRule="auto"/>
        <w:ind w:firstLine="435"/>
        <w:rPr>
          <w:rFonts w:ascii="宋体" w:hAnsi="宋体"/>
          <w:color w:val="auto"/>
          <w:szCs w:val="21"/>
        </w:rPr>
      </w:pPr>
      <w:r>
        <w:rPr>
          <w:rFonts w:hint="eastAsia" w:ascii="宋体" w:hAnsi="宋体"/>
          <w:color w:val="auto"/>
          <w:szCs w:val="21"/>
        </w:rPr>
        <w:t>42.2因重大变故采购任务取消时，采购人有权拒绝任何投标人中标，且对受影响的投标人不承担任何责任。</w:t>
      </w:r>
    </w:p>
    <w:p>
      <w:pPr>
        <w:spacing w:line="360" w:lineRule="auto"/>
        <w:ind w:firstLine="422" w:firstLineChars="200"/>
        <w:rPr>
          <w:rFonts w:ascii="宋体" w:hAnsi="宋体"/>
          <w:b/>
          <w:color w:val="auto"/>
          <w:szCs w:val="21"/>
        </w:rPr>
      </w:pPr>
      <w:r>
        <w:rPr>
          <w:rFonts w:hint="eastAsia" w:ascii="宋体" w:hAnsi="宋体"/>
          <w:b/>
          <w:color w:val="auto"/>
          <w:szCs w:val="21"/>
        </w:rPr>
        <w:t>43.签订合同</w:t>
      </w:r>
    </w:p>
    <w:p>
      <w:pPr>
        <w:spacing w:line="360" w:lineRule="auto"/>
        <w:ind w:firstLine="420" w:firstLineChars="200"/>
        <w:rPr>
          <w:rFonts w:ascii="宋体" w:hAnsi="宋体"/>
          <w:color w:val="auto"/>
          <w:szCs w:val="21"/>
        </w:rPr>
      </w:pPr>
      <w:r>
        <w:rPr>
          <w:rFonts w:hint="eastAsia" w:ascii="宋体" w:hAnsi="宋体"/>
          <w:color w:val="auto"/>
          <w:szCs w:val="21"/>
        </w:rPr>
        <w:t>采购人按照法律法规的规定与中标人签订书面合同。</w:t>
      </w:r>
    </w:p>
    <w:p>
      <w:pPr>
        <w:pStyle w:val="18"/>
        <w:rPr>
          <w:rFonts w:ascii="宋体" w:hAnsi="宋体"/>
          <w:color w:val="auto"/>
        </w:rPr>
      </w:pPr>
    </w:p>
    <w:p>
      <w:pPr>
        <w:pStyle w:val="19"/>
        <w:ind w:firstLine="280"/>
        <w:rPr>
          <w:rFonts w:ascii="宋体" w:hAnsi="宋体"/>
          <w:color w:val="auto"/>
        </w:rPr>
      </w:pPr>
    </w:p>
    <w:p>
      <w:pPr>
        <w:widowControl/>
        <w:jc w:val="left"/>
        <w:rPr>
          <w:rFonts w:ascii="宋体" w:hAnsi="宋体"/>
          <w:color w:val="auto"/>
          <w:szCs w:val="21"/>
        </w:rPr>
      </w:pPr>
      <w:r>
        <w:rPr>
          <w:rFonts w:ascii="宋体" w:hAnsi="宋体"/>
          <w:color w:val="auto"/>
          <w:szCs w:val="21"/>
        </w:rPr>
        <w:br w:type="page"/>
      </w:r>
    </w:p>
    <w:p>
      <w:pPr>
        <w:pStyle w:val="3"/>
        <w:spacing w:before="0" w:after="0"/>
        <w:rPr>
          <w:rFonts w:ascii="宋体" w:hAnsi="宋体"/>
          <w:color w:val="auto"/>
          <w:szCs w:val="21"/>
        </w:rPr>
      </w:pPr>
      <w:bookmarkStart w:id="54" w:name="_Toc118452533"/>
      <w:bookmarkStart w:id="55" w:name="_Toc34844744"/>
      <w:r>
        <w:rPr>
          <w:rFonts w:hint="eastAsia" w:ascii="宋体" w:hAnsi="宋体"/>
          <w:color w:val="auto"/>
        </w:rPr>
        <w:t xml:space="preserve">第四章  </w:t>
      </w:r>
      <w:r>
        <w:rPr>
          <w:rFonts w:ascii="宋体" w:hAnsi="宋体"/>
          <w:color w:val="auto"/>
        </w:rPr>
        <w:t>评标方法和标准</w:t>
      </w:r>
      <w:bookmarkEnd w:id="54"/>
      <w:bookmarkEnd w:id="55"/>
    </w:p>
    <w:p>
      <w:pPr>
        <w:pStyle w:val="176"/>
        <w:spacing w:before="120" w:after="120" w:line="360" w:lineRule="auto"/>
        <w:jc w:val="center"/>
        <w:rPr>
          <w:rFonts w:ascii="宋体" w:hAnsi="宋体" w:eastAsia="宋体"/>
          <w:color w:val="auto"/>
          <w:sz w:val="21"/>
          <w:szCs w:val="21"/>
        </w:rPr>
      </w:pPr>
      <w:bookmarkStart w:id="56" w:name="_Toc118452534"/>
      <w:r>
        <w:rPr>
          <w:rFonts w:hint="eastAsia" w:ascii="宋体" w:hAnsi="宋体" w:eastAsia="宋体"/>
          <w:color w:val="auto"/>
          <w:sz w:val="21"/>
          <w:szCs w:val="21"/>
        </w:rPr>
        <w:t>一、总则</w:t>
      </w:r>
      <w:bookmarkEnd w:id="56"/>
    </w:p>
    <w:p>
      <w:pPr>
        <w:spacing w:line="360" w:lineRule="auto"/>
        <w:ind w:firstLine="420" w:firstLineChars="200"/>
        <w:rPr>
          <w:rFonts w:ascii="宋体" w:hAnsi="宋体"/>
          <w:color w:val="auto"/>
          <w:szCs w:val="21"/>
        </w:rPr>
      </w:pPr>
      <w:r>
        <w:rPr>
          <w:rFonts w:ascii="宋体" w:hAnsi="宋体"/>
          <w:color w:val="auto"/>
          <w:szCs w:val="21"/>
        </w:rPr>
        <w:t>遵循公开、公正、公平、择优和诚实信用的原则，评标人员应本着认真、公正、诚实、廉洁的精神进行评标工作，择优推荐中标候选人。</w:t>
      </w:r>
      <w:r>
        <w:rPr>
          <w:rFonts w:hint="eastAsia" w:ascii="宋体" w:hAnsi="宋体"/>
          <w:color w:val="auto"/>
          <w:szCs w:val="21"/>
        </w:rPr>
        <w:t>评标委员会成员</w:t>
      </w:r>
      <w:r>
        <w:rPr>
          <w:rFonts w:ascii="宋体" w:hAnsi="宋体"/>
          <w:color w:val="auto"/>
          <w:szCs w:val="21"/>
        </w:rPr>
        <w:t>必须严格遵守保密规定，不得泄露评标的有关情况。</w:t>
      </w:r>
    </w:p>
    <w:p>
      <w:pPr>
        <w:pStyle w:val="176"/>
        <w:spacing w:before="120" w:after="120" w:line="360" w:lineRule="auto"/>
        <w:jc w:val="center"/>
        <w:rPr>
          <w:rFonts w:ascii="宋体" w:hAnsi="宋体" w:eastAsia="宋体"/>
          <w:color w:val="auto"/>
          <w:sz w:val="21"/>
          <w:szCs w:val="21"/>
        </w:rPr>
      </w:pPr>
      <w:bookmarkStart w:id="57" w:name="_Toc118452535"/>
      <w:r>
        <w:rPr>
          <w:rFonts w:hint="eastAsia" w:ascii="宋体" w:hAnsi="宋体" w:eastAsia="宋体"/>
          <w:color w:val="auto"/>
          <w:sz w:val="21"/>
          <w:szCs w:val="21"/>
        </w:rPr>
        <w:t>二、评标方法</w:t>
      </w:r>
      <w:bookmarkEnd w:id="57"/>
    </w:p>
    <w:p>
      <w:pPr>
        <w:spacing w:line="360" w:lineRule="auto"/>
        <w:ind w:firstLine="420" w:firstLineChars="200"/>
        <w:rPr>
          <w:rFonts w:ascii="宋体" w:hAnsi="宋体"/>
          <w:color w:val="auto"/>
          <w:szCs w:val="21"/>
        </w:rPr>
      </w:pPr>
      <w:r>
        <w:rPr>
          <w:rFonts w:hint="eastAsia" w:ascii="宋体" w:hAnsi="宋体"/>
          <w:color w:val="auto"/>
          <w:szCs w:val="21"/>
        </w:rPr>
        <w:t>本项目采用综合评分法进行评审</w:t>
      </w:r>
    </w:p>
    <w:p>
      <w:pPr>
        <w:spacing w:line="360" w:lineRule="auto"/>
        <w:ind w:firstLine="420" w:firstLineChars="200"/>
        <w:rPr>
          <w:rFonts w:ascii="宋体" w:hAnsi="宋体"/>
          <w:color w:val="auto"/>
          <w:szCs w:val="21"/>
        </w:rPr>
      </w:pPr>
      <w:r>
        <w:rPr>
          <w:rFonts w:hint="eastAsia" w:ascii="宋体" w:hAnsi="宋体"/>
          <w:color w:val="auto"/>
          <w:szCs w:val="21"/>
        </w:rPr>
        <w:t>评标时，评标委员会各成员独立对每个投标人的投标文件进行评价，根据评委打分表的</w:t>
      </w:r>
      <w:r>
        <w:rPr>
          <w:rFonts w:ascii="宋体" w:hAnsi="宋体"/>
          <w:color w:val="auto"/>
          <w:szCs w:val="21"/>
        </w:rPr>
        <w:t>评分标准</w:t>
      </w:r>
      <w:r>
        <w:rPr>
          <w:rFonts w:hint="eastAsia" w:ascii="宋体" w:hAnsi="宋体"/>
          <w:color w:val="auto"/>
          <w:szCs w:val="21"/>
        </w:rPr>
        <w:t>和评分</w:t>
      </w:r>
      <w:r>
        <w:rPr>
          <w:rFonts w:ascii="宋体" w:hAnsi="宋体"/>
          <w:color w:val="auto"/>
          <w:szCs w:val="21"/>
        </w:rPr>
        <w:t>范围</w:t>
      </w:r>
      <w:r>
        <w:rPr>
          <w:rFonts w:hint="eastAsia" w:ascii="宋体" w:hAnsi="宋体"/>
          <w:color w:val="auto"/>
          <w:szCs w:val="21"/>
        </w:rPr>
        <w:t>，逐栏打分并汇总。</w:t>
      </w:r>
      <w:r>
        <w:rPr>
          <w:rFonts w:ascii="宋体" w:hAnsi="宋体"/>
          <w:color w:val="auto"/>
          <w:szCs w:val="21"/>
        </w:rPr>
        <w:t>投标人的</w:t>
      </w:r>
      <w:r>
        <w:rPr>
          <w:rFonts w:hint="eastAsia" w:ascii="宋体" w:hAnsi="宋体"/>
          <w:color w:val="auto"/>
          <w:szCs w:val="21"/>
        </w:rPr>
        <w:t>最终评标</w:t>
      </w:r>
      <w:r>
        <w:rPr>
          <w:rFonts w:ascii="宋体" w:hAnsi="宋体"/>
          <w:color w:val="auto"/>
          <w:szCs w:val="21"/>
        </w:rPr>
        <w:t>得分为所有评委</w:t>
      </w:r>
      <w:r>
        <w:rPr>
          <w:rFonts w:hint="eastAsia" w:ascii="宋体" w:hAnsi="宋体"/>
          <w:color w:val="auto"/>
          <w:szCs w:val="21"/>
        </w:rPr>
        <w:t>评</w:t>
      </w:r>
      <w:r>
        <w:rPr>
          <w:rFonts w:ascii="宋体" w:hAnsi="宋体"/>
          <w:color w:val="auto"/>
          <w:szCs w:val="21"/>
        </w:rPr>
        <w:t>分的算术平均数</w:t>
      </w:r>
      <w:r>
        <w:rPr>
          <w:rFonts w:hint="eastAsia" w:ascii="宋体" w:hAnsi="宋体"/>
          <w:color w:val="auto"/>
          <w:szCs w:val="21"/>
        </w:rPr>
        <w:t>，小数点后四舍五入保留二位小数。</w:t>
      </w:r>
    </w:p>
    <w:p>
      <w:pPr>
        <w:pStyle w:val="176"/>
        <w:spacing w:before="120" w:after="120" w:line="360" w:lineRule="auto"/>
        <w:jc w:val="center"/>
        <w:rPr>
          <w:rFonts w:ascii="宋体" w:hAnsi="宋体" w:eastAsia="宋体"/>
          <w:color w:val="auto"/>
          <w:sz w:val="21"/>
          <w:szCs w:val="21"/>
        </w:rPr>
      </w:pPr>
      <w:bookmarkStart w:id="58" w:name="_Toc118452536"/>
      <w:r>
        <w:rPr>
          <w:rFonts w:hint="eastAsia" w:ascii="宋体" w:hAnsi="宋体" w:eastAsia="宋体"/>
          <w:color w:val="auto"/>
          <w:sz w:val="21"/>
          <w:szCs w:val="21"/>
        </w:rPr>
        <w:t>三、评审程序</w:t>
      </w:r>
      <w:bookmarkEnd w:id="58"/>
    </w:p>
    <w:p>
      <w:pPr>
        <w:spacing w:line="360" w:lineRule="auto"/>
        <w:ind w:firstLine="435"/>
        <w:rPr>
          <w:rFonts w:ascii="宋体" w:hAnsi="宋体"/>
          <w:b/>
          <w:color w:val="auto"/>
          <w:szCs w:val="21"/>
        </w:rPr>
      </w:pPr>
      <w:r>
        <w:rPr>
          <w:rFonts w:hint="eastAsia" w:ascii="宋体" w:hAnsi="宋体"/>
          <w:b/>
          <w:color w:val="auto"/>
          <w:szCs w:val="21"/>
        </w:rPr>
        <w:t>1.资格审查</w:t>
      </w:r>
    </w:p>
    <w:p>
      <w:pPr>
        <w:spacing w:line="360" w:lineRule="auto"/>
        <w:ind w:firstLine="435"/>
        <w:rPr>
          <w:rFonts w:ascii="宋体" w:hAnsi="宋体"/>
          <w:color w:val="auto"/>
          <w:szCs w:val="21"/>
        </w:rPr>
      </w:pPr>
      <w:r>
        <w:rPr>
          <w:rFonts w:ascii="宋体" w:hAnsi="宋体"/>
          <w:color w:val="auto"/>
          <w:szCs w:val="21"/>
        </w:rPr>
        <w:t>由采购人或采购代理机构对</w:t>
      </w:r>
      <w:r>
        <w:rPr>
          <w:rFonts w:hint="eastAsia" w:ascii="宋体" w:hAnsi="宋体"/>
          <w:color w:val="auto"/>
          <w:szCs w:val="21"/>
        </w:rPr>
        <w:t>投标人进行资格审查</w:t>
      </w:r>
      <w:r>
        <w:rPr>
          <w:rFonts w:ascii="宋体" w:hAnsi="宋体"/>
          <w:color w:val="auto"/>
          <w:szCs w:val="21"/>
        </w:rPr>
        <w:t>。资格审查</w:t>
      </w:r>
      <w:r>
        <w:rPr>
          <w:rFonts w:hint="eastAsia" w:ascii="宋体" w:hAnsi="宋体"/>
          <w:color w:val="auto"/>
          <w:szCs w:val="21"/>
        </w:rPr>
        <w:t>内容</w:t>
      </w:r>
      <w:r>
        <w:rPr>
          <w:rFonts w:ascii="宋体" w:hAnsi="宋体"/>
          <w:color w:val="auto"/>
          <w:szCs w:val="21"/>
        </w:rPr>
        <w:t>如下：</w:t>
      </w:r>
    </w:p>
    <w:tbl>
      <w:tblPr>
        <w:tblStyle w:val="4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97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宋体" w:hAnsi="宋体"/>
                <w:color w:val="auto"/>
                <w:szCs w:val="21"/>
              </w:rPr>
            </w:pPr>
            <w:r>
              <w:rPr>
                <w:rFonts w:hint="eastAsia" w:ascii="宋体" w:hAnsi="宋体"/>
                <w:color w:val="auto"/>
                <w:szCs w:val="21"/>
              </w:rPr>
              <w:t>序号</w:t>
            </w:r>
          </w:p>
        </w:tc>
        <w:tc>
          <w:tcPr>
            <w:tcW w:w="1134" w:type="dxa"/>
            <w:tcBorders>
              <w:bottom w:val="single" w:color="auto" w:sz="4" w:space="0"/>
            </w:tcBorders>
            <w:vAlign w:val="center"/>
          </w:tcPr>
          <w:p>
            <w:pPr>
              <w:pStyle w:val="266"/>
              <w:pBdr>
                <w:bottom w:val="none" w:color="auto" w:sz="0" w:space="0"/>
              </w:pBdr>
              <w:tabs>
                <w:tab w:val="clear" w:pos="4153"/>
                <w:tab w:val="clear" w:pos="8306"/>
              </w:tabs>
              <w:snapToGrid w:val="0"/>
              <w:spacing w:line="240" w:lineRule="auto"/>
              <w:ind w:right="-10"/>
              <w:textAlignment w:val="auto"/>
              <w:rPr>
                <w:rFonts w:ascii="宋体" w:hAnsi="宋体" w:eastAsia="宋体"/>
                <w:color w:val="auto"/>
                <w:kern w:val="2"/>
                <w:sz w:val="21"/>
                <w:szCs w:val="21"/>
              </w:rPr>
            </w:pPr>
            <w:r>
              <w:rPr>
                <w:rFonts w:hint="eastAsia" w:ascii="宋体" w:hAnsi="宋体" w:eastAsia="宋体"/>
                <w:color w:val="auto"/>
                <w:kern w:val="2"/>
                <w:sz w:val="21"/>
                <w:szCs w:val="21"/>
              </w:rPr>
              <w:t>评审内容</w:t>
            </w:r>
          </w:p>
        </w:tc>
        <w:tc>
          <w:tcPr>
            <w:tcW w:w="2977" w:type="dxa"/>
            <w:tcBorders>
              <w:bottom w:val="single" w:color="auto" w:sz="4" w:space="0"/>
            </w:tcBorders>
            <w:vAlign w:val="center"/>
          </w:tcPr>
          <w:p>
            <w:pPr>
              <w:adjustRightInd w:val="0"/>
              <w:snapToGrid w:val="0"/>
              <w:ind w:right="-10"/>
              <w:jc w:val="center"/>
              <w:rPr>
                <w:rFonts w:ascii="宋体" w:hAnsi="宋体"/>
                <w:color w:val="auto"/>
                <w:szCs w:val="21"/>
              </w:rPr>
            </w:pPr>
            <w:r>
              <w:rPr>
                <w:rFonts w:hint="eastAsia" w:ascii="宋体" w:hAnsi="宋体"/>
                <w:color w:val="auto"/>
                <w:szCs w:val="21"/>
              </w:rPr>
              <w:t>审查要求</w:t>
            </w:r>
          </w:p>
        </w:tc>
        <w:tc>
          <w:tcPr>
            <w:tcW w:w="3969" w:type="dxa"/>
            <w:tcBorders>
              <w:bottom w:val="single" w:color="auto" w:sz="4" w:space="0"/>
            </w:tcBorders>
            <w:vAlign w:val="center"/>
          </w:tcPr>
          <w:p>
            <w:pPr>
              <w:adjustRightInd w:val="0"/>
              <w:snapToGrid w:val="0"/>
              <w:ind w:right="-10"/>
              <w:jc w:val="center"/>
              <w:rPr>
                <w:rFonts w:ascii="宋体" w:hAnsi="宋体"/>
                <w:color w:val="auto"/>
                <w:szCs w:val="21"/>
              </w:rPr>
            </w:pPr>
            <w:r>
              <w:rPr>
                <w:rFonts w:hint="eastAsia" w:ascii="宋体" w:hAnsi="宋体"/>
                <w:color w:val="auto"/>
                <w:szCs w:val="21"/>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9" w:type="dxa"/>
            <w:vAlign w:val="center"/>
          </w:tcPr>
          <w:p>
            <w:pPr>
              <w:adjustRightInd w:val="0"/>
              <w:snapToGrid w:val="0"/>
              <w:ind w:right="-10"/>
              <w:jc w:val="center"/>
              <w:rPr>
                <w:rFonts w:ascii="宋体" w:hAnsi="宋体"/>
                <w:color w:val="auto"/>
                <w:szCs w:val="21"/>
              </w:rPr>
            </w:pPr>
            <w:r>
              <w:rPr>
                <w:rFonts w:hint="eastAsia" w:ascii="宋体" w:hAnsi="宋体"/>
                <w:color w:val="auto"/>
                <w:szCs w:val="21"/>
              </w:rPr>
              <w:t>1</w:t>
            </w:r>
          </w:p>
        </w:tc>
        <w:tc>
          <w:tcPr>
            <w:tcW w:w="1134" w:type="dxa"/>
            <w:vAlign w:val="center"/>
          </w:tcPr>
          <w:p>
            <w:pPr>
              <w:ind w:right="-10"/>
              <w:jc w:val="left"/>
              <w:rPr>
                <w:rFonts w:ascii="宋体" w:hAnsi="宋体"/>
                <w:color w:val="auto"/>
                <w:szCs w:val="21"/>
              </w:rPr>
            </w:pPr>
            <w:r>
              <w:rPr>
                <w:rFonts w:hint="eastAsia" w:ascii="宋体" w:hAnsi="宋体"/>
                <w:color w:val="auto"/>
                <w:szCs w:val="21"/>
              </w:rPr>
              <w:t>基本资质</w:t>
            </w:r>
          </w:p>
        </w:tc>
        <w:tc>
          <w:tcPr>
            <w:tcW w:w="2977" w:type="dxa"/>
            <w:vAlign w:val="center"/>
          </w:tcPr>
          <w:p>
            <w:pPr>
              <w:ind w:right="-10"/>
              <w:jc w:val="left"/>
              <w:rPr>
                <w:rFonts w:ascii="宋体" w:hAnsi="宋体"/>
                <w:color w:val="auto"/>
                <w:szCs w:val="21"/>
              </w:rPr>
            </w:pPr>
            <w:r>
              <w:rPr>
                <w:rFonts w:hint="eastAsia" w:ascii="宋体" w:hAnsi="宋体"/>
                <w:color w:val="auto"/>
                <w:szCs w:val="21"/>
              </w:rPr>
              <w:t>满足《中华人民共和国政府采购法》第二十二条第一款规定</w:t>
            </w:r>
          </w:p>
        </w:tc>
        <w:tc>
          <w:tcPr>
            <w:tcW w:w="3969" w:type="dxa"/>
            <w:vAlign w:val="center"/>
          </w:tcPr>
          <w:p>
            <w:pPr>
              <w:jc w:val="left"/>
              <w:rPr>
                <w:rFonts w:ascii="宋体" w:hAnsi="宋体"/>
                <w:color w:val="auto"/>
                <w:szCs w:val="21"/>
              </w:rPr>
            </w:pPr>
            <w:r>
              <w:rPr>
                <w:rFonts w:hint="eastAsia" w:ascii="宋体" w:hAnsi="宋体"/>
                <w:color w:val="auto"/>
                <w:szCs w:val="21"/>
              </w:rPr>
              <w:t>资格要求响应文件内提供《供应商资格声明函》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9" w:type="dxa"/>
            <w:vAlign w:val="center"/>
          </w:tcPr>
          <w:p>
            <w:pPr>
              <w:adjustRightInd w:val="0"/>
              <w:snapToGrid w:val="0"/>
              <w:ind w:right="-10"/>
              <w:jc w:val="center"/>
              <w:rPr>
                <w:rFonts w:ascii="宋体" w:hAnsi="宋体"/>
                <w:color w:val="auto"/>
                <w:szCs w:val="21"/>
              </w:rPr>
            </w:pPr>
            <w:r>
              <w:rPr>
                <w:rFonts w:hint="eastAsia" w:ascii="宋体" w:hAnsi="宋体"/>
                <w:color w:val="auto"/>
                <w:szCs w:val="21"/>
              </w:rPr>
              <w:t>2</w:t>
            </w:r>
          </w:p>
        </w:tc>
        <w:tc>
          <w:tcPr>
            <w:tcW w:w="1134" w:type="dxa"/>
            <w:vAlign w:val="center"/>
          </w:tcPr>
          <w:p>
            <w:pPr>
              <w:ind w:right="-10"/>
              <w:jc w:val="left"/>
              <w:rPr>
                <w:rFonts w:ascii="宋体" w:hAnsi="宋体"/>
                <w:color w:val="auto"/>
                <w:szCs w:val="21"/>
              </w:rPr>
            </w:pPr>
            <w:r>
              <w:rPr>
                <w:rFonts w:hint="eastAsia" w:ascii="宋体" w:hAnsi="宋体"/>
                <w:color w:val="auto"/>
                <w:szCs w:val="21"/>
              </w:rPr>
              <w:t>营业执照</w:t>
            </w:r>
          </w:p>
        </w:tc>
        <w:tc>
          <w:tcPr>
            <w:tcW w:w="2977" w:type="dxa"/>
            <w:vAlign w:val="center"/>
          </w:tcPr>
          <w:p>
            <w:pPr>
              <w:ind w:right="-10"/>
              <w:jc w:val="left"/>
              <w:rPr>
                <w:rFonts w:ascii="宋体" w:hAnsi="宋体"/>
                <w:color w:val="auto"/>
                <w:szCs w:val="21"/>
              </w:rPr>
            </w:pPr>
            <w:r>
              <w:rPr>
                <w:rFonts w:hint="eastAsia" w:ascii="宋体" w:hAnsi="宋体"/>
                <w:color w:val="auto"/>
                <w:szCs w:val="21"/>
              </w:rPr>
              <w:t>有效的营业执照等机构登记证明复印件</w:t>
            </w:r>
          </w:p>
        </w:tc>
        <w:tc>
          <w:tcPr>
            <w:tcW w:w="3969" w:type="dxa"/>
            <w:vAlign w:val="center"/>
          </w:tcPr>
          <w:p>
            <w:pPr>
              <w:jc w:val="left"/>
              <w:rPr>
                <w:rFonts w:ascii="宋体" w:hAnsi="宋体"/>
                <w:color w:val="auto"/>
                <w:szCs w:val="21"/>
              </w:rPr>
            </w:pPr>
            <w:r>
              <w:rPr>
                <w:rFonts w:hint="eastAsia" w:ascii="宋体" w:hAnsi="宋体"/>
                <w:color w:val="auto"/>
                <w:szCs w:val="21"/>
              </w:rPr>
              <w:t>资格要求响应文件内提供有效</w:t>
            </w:r>
            <w:r>
              <w:rPr>
                <w:rFonts w:hint="eastAsia" w:ascii="宋体" w:hAnsi="宋体" w:cs="宋体"/>
                <w:color w:val="auto"/>
                <w:kern w:val="1"/>
              </w:rPr>
              <w:t>的营业执照等机构登记证明，</w:t>
            </w:r>
            <w:r>
              <w:rPr>
                <w:rFonts w:hint="eastAsia" w:ascii="宋体" w:hAnsi="宋体"/>
                <w:color w:val="auto"/>
                <w:szCs w:val="21"/>
              </w:rPr>
              <w:t>应完整清晰的体现出证明材料的全部内容。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adjustRightInd w:val="0"/>
              <w:snapToGrid w:val="0"/>
              <w:ind w:right="-10"/>
              <w:jc w:val="center"/>
              <w:rPr>
                <w:rFonts w:ascii="宋体" w:hAnsi="宋体"/>
                <w:color w:val="auto"/>
                <w:szCs w:val="21"/>
              </w:rPr>
            </w:pPr>
            <w:r>
              <w:rPr>
                <w:rFonts w:hint="eastAsia" w:ascii="宋体" w:hAnsi="宋体"/>
                <w:color w:val="auto"/>
                <w:szCs w:val="21"/>
              </w:rPr>
              <w:t>3</w:t>
            </w:r>
          </w:p>
        </w:tc>
        <w:tc>
          <w:tcPr>
            <w:tcW w:w="1134" w:type="dxa"/>
            <w:vAlign w:val="center"/>
          </w:tcPr>
          <w:p>
            <w:pPr>
              <w:ind w:right="-10"/>
              <w:jc w:val="left"/>
              <w:rPr>
                <w:rFonts w:ascii="宋体" w:hAnsi="宋体"/>
                <w:color w:val="auto"/>
                <w:szCs w:val="21"/>
              </w:rPr>
            </w:pPr>
            <w:r>
              <w:rPr>
                <w:rFonts w:hint="eastAsia" w:ascii="宋体" w:hAnsi="宋体"/>
                <w:color w:val="auto"/>
                <w:szCs w:val="21"/>
              </w:rPr>
              <w:t>落实政府采购政策需满足的资格要求</w:t>
            </w:r>
          </w:p>
        </w:tc>
        <w:tc>
          <w:tcPr>
            <w:tcW w:w="2977" w:type="dxa"/>
            <w:vAlign w:val="center"/>
          </w:tcPr>
          <w:p>
            <w:pPr>
              <w:ind w:right="-107"/>
              <w:jc w:val="left"/>
              <w:rPr>
                <w:rFonts w:ascii="宋体" w:hAnsi="宋体"/>
                <w:color w:val="auto"/>
                <w:szCs w:val="21"/>
              </w:rPr>
            </w:pPr>
            <w:r>
              <w:rPr>
                <w:rFonts w:hint="eastAsia" w:ascii="宋体" w:hAnsi="宋体"/>
                <w:color w:val="auto"/>
                <w:szCs w:val="21"/>
              </w:rPr>
              <w:t>服务全部由符合政策要求的中小企业承接</w:t>
            </w:r>
          </w:p>
        </w:tc>
        <w:tc>
          <w:tcPr>
            <w:tcW w:w="3969" w:type="dxa"/>
            <w:vAlign w:val="center"/>
          </w:tcPr>
          <w:p>
            <w:pPr>
              <w:adjustRightInd w:val="0"/>
              <w:snapToGrid w:val="0"/>
              <w:ind w:right="-10"/>
              <w:jc w:val="left"/>
              <w:rPr>
                <w:rFonts w:ascii="宋体" w:hAnsi="宋体"/>
                <w:color w:val="auto"/>
                <w:szCs w:val="21"/>
              </w:rPr>
            </w:pPr>
            <w:r>
              <w:rPr>
                <w:rFonts w:hint="eastAsia" w:ascii="宋体" w:hAnsi="宋体"/>
                <w:color w:val="auto"/>
                <w:szCs w:val="21"/>
              </w:rPr>
              <w:t>提供符合要求的中小企业声明函或残疾人福利性单位声明函或监狱企业证明文件</w:t>
            </w:r>
            <w:r>
              <w:rPr>
                <w:rFonts w:hint="eastAsia" w:ascii="宋体" w:hAnsi="宋体"/>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adjustRightInd w:val="0"/>
              <w:snapToGrid w:val="0"/>
              <w:ind w:right="-10"/>
              <w:jc w:val="center"/>
              <w:rPr>
                <w:rFonts w:ascii="宋体" w:hAnsi="宋体"/>
                <w:color w:val="auto"/>
                <w:szCs w:val="21"/>
              </w:rPr>
            </w:pPr>
            <w:r>
              <w:rPr>
                <w:rFonts w:hint="eastAsia" w:ascii="宋体" w:hAnsi="宋体"/>
                <w:color w:val="auto"/>
                <w:szCs w:val="21"/>
              </w:rPr>
              <w:t>4</w:t>
            </w:r>
          </w:p>
        </w:tc>
        <w:tc>
          <w:tcPr>
            <w:tcW w:w="1134" w:type="dxa"/>
            <w:vAlign w:val="center"/>
          </w:tcPr>
          <w:p>
            <w:pPr>
              <w:ind w:right="-10"/>
              <w:jc w:val="left"/>
              <w:rPr>
                <w:rFonts w:ascii="宋体" w:hAnsi="宋体"/>
                <w:color w:val="auto"/>
                <w:szCs w:val="21"/>
              </w:rPr>
            </w:pPr>
            <w:r>
              <w:rPr>
                <w:rFonts w:hint="eastAsia" w:ascii="宋体" w:hAnsi="宋体"/>
                <w:color w:val="auto"/>
                <w:szCs w:val="21"/>
              </w:rPr>
              <w:t>信用情况</w:t>
            </w:r>
          </w:p>
        </w:tc>
        <w:tc>
          <w:tcPr>
            <w:tcW w:w="2977" w:type="dxa"/>
            <w:vAlign w:val="center"/>
          </w:tcPr>
          <w:p>
            <w:pPr>
              <w:ind w:right="-10"/>
              <w:jc w:val="left"/>
              <w:rPr>
                <w:rFonts w:ascii="宋体" w:hAnsi="宋体"/>
                <w:color w:val="auto"/>
                <w:szCs w:val="21"/>
              </w:rPr>
            </w:pPr>
            <w:r>
              <w:rPr>
                <w:rFonts w:hint="eastAsia" w:ascii="宋体" w:hAnsi="宋体"/>
                <w:color w:val="auto"/>
                <w:szCs w:val="21"/>
              </w:rPr>
              <w:t>未被“信用中国”（www.creditchina.gov.cn)、中国政府采购网（www.ccgp.gov.cn）列入失信被执行人、重大税收违法失信主体、政府采购严重违法失信行为记录名单</w:t>
            </w:r>
          </w:p>
        </w:tc>
        <w:tc>
          <w:tcPr>
            <w:tcW w:w="3969" w:type="dxa"/>
            <w:vAlign w:val="center"/>
          </w:tcPr>
          <w:p>
            <w:pPr>
              <w:adjustRightInd w:val="0"/>
              <w:snapToGrid w:val="0"/>
              <w:ind w:right="-10"/>
              <w:jc w:val="left"/>
              <w:rPr>
                <w:rFonts w:ascii="宋体" w:hAnsi="宋体"/>
                <w:color w:val="auto"/>
                <w:szCs w:val="21"/>
              </w:rPr>
            </w:pPr>
            <w:r>
              <w:rPr>
                <w:rFonts w:hint="eastAsia" w:ascii="宋体" w:hAnsi="宋体"/>
                <w:color w:val="auto"/>
                <w:szCs w:val="21"/>
              </w:rPr>
              <w:t>无需提供材料。</w:t>
            </w:r>
          </w:p>
        </w:tc>
      </w:tr>
    </w:tbl>
    <w:p>
      <w:pPr>
        <w:spacing w:line="360" w:lineRule="auto"/>
        <w:ind w:firstLine="437"/>
        <w:rPr>
          <w:rFonts w:ascii="宋体" w:hAnsi="宋体"/>
          <w:color w:val="auto"/>
          <w:szCs w:val="21"/>
        </w:rPr>
      </w:pPr>
      <w:r>
        <w:rPr>
          <w:rFonts w:hint="eastAsia" w:ascii="宋体" w:hAnsi="宋体"/>
          <w:b/>
          <w:bCs/>
          <w:color w:val="auto"/>
          <w:szCs w:val="21"/>
        </w:rPr>
        <w:t>资格审查指标通过标准：</w:t>
      </w:r>
      <w:r>
        <w:rPr>
          <w:rFonts w:hint="eastAsia" w:ascii="宋体" w:hAnsi="宋体"/>
          <w:color w:val="auto"/>
          <w:szCs w:val="21"/>
        </w:rPr>
        <w:t>投标人必须通过资格审查表中的全部评审指标。</w:t>
      </w:r>
    </w:p>
    <w:p>
      <w:pPr>
        <w:spacing w:line="360" w:lineRule="auto"/>
        <w:ind w:firstLine="435"/>
        <w:rPr>
          <w:rFonts w:ascii="宋体" w:hAnsi="宋体"/>
          <w:b/>
          <w:color w:val="auto"/>
          <w:szCs w:val="21"/>
        </w:rPr>
      </w:pPr>
      <w:r>
        <w:rPr>
          <w:rFonts w:hint="eastAsia" w:ascii="宋体" w:hAnsi="宋体"/>
          <w:b/>
          <w:color w:val="auto"/>
          <w:szCs w:val="21"/>
        </w:rPr>
        <w:t>2.符合性审查</w:t>
      </w:r>
    </w:p>
    <w:p>
      <w:pPr>
        <w:spacing w:line="360" w:lineRule="auto"/>
        <w:ind w:firstLine="437"/>
        <w:rPr>
          <w:rFonts w:ascii="宋体" w:hAnsi="宋体"/>
          <w:color w:val="auto"/>
          <w:szCs w:val="21"/>
        </w:rPr>
      </w:pPr>
      <w:r>
        <w:rPr>
          <w:rFonts w:hint="eastAsia" w:ascii="宋体" w:hAnsi="宋体"/>
          <w:color w:val="auto"/>
          <w:szCs w:val="21"/>
        </w:rPr>
        <w:t>评标委员会对通过资格审查的投标人的投标文件进行符合性审查，以确定其是否满足招标文件的实质性要求。符合性</w:t>
      </w:r>
      <w:r>
        <w:rPr>
          <w:rFonts w:ascii="宋体" w:hAnsi="宋体"/>
          <w:color w:val="auto"/>
          <w:szCs w:val="21"/>
        </w:rPr>
        <w:t>审查</w:t>
      </w:r>
      <w:r>
        <w:rPr>
          <w:rFonts w:hint="eastAsia" w:ascii="宋体" w:hAnsi="宋体"/>
          <w:color w:val="auto"/>
          <w:szCs w:val="21"/>
        </w:rPr>
        <w:t>内容</w:t>
      </w:r>
      <w:r>
        <w:rPr>
          <w:rFonts w:ascii="宋体" w:hAnsi="宋体"/>
          <w:color w:val="auto"/>
          <w:szCs w:val="21"/>
        </w:rPr>
        <w:t>如下</w:t>
      </w:r>
      <w:r>
        <w:rPr>
          <w:rFonts w:hint="eastAsia" w:ascii="宋体" w:hAnsi="宋体"/>
          <w:color w:val="auto"/>
          <w:szCs w:val="21"/>
        </w:rPr>
        <w:t>：</w:t>
      </w:r>
    </w:p>
    <w:tbl>
      <w:tblPr>
        <w:tblStyle w:val="44"/>
        <w:tblW w:w="86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pPr>
              <w:adjustRightInd w:val="0"/>
              <w:snapToGrid w:val="0"/>
              <w:ind w:right="-10"/>
              <w:jc w:val="center"/>
              <w:rPr>
                <w:rFonts w:ascii="宋体" w:hAnsi="宋体"/>
                <w:color w:val="auto"/>
                <w:szCs w:val="21"/>
              </w:rPr>
            </w:pPr>
            <w:r>
              <w:rPr>
                <w:rFonts w:hint="eastAsia" w:ascii="宋体" w:hAnsi="宋体"/>
                <w:color w:val="auto"/>
                <w:szCs w:val="21"/>
              </w:rPr>
              <w:t>序号</w:t>
            </w:r>
          </w:p>
        </w:tc>
        <w:tc>
          <w:tcPr>
            <w:tcW w:w="1690" w:type="dxa"/>
            <w:tcBorders>
              <w:bottom w:val="single" w:color="auto" w:sz="4" w:space="0"/>
            </w:tcBorders>
            <w:vAlign w:val="center"/>
          </w:tcPr>
          <w:p>
            <w:pPr>
              <w:pStyle w:val="266"/>
              <w:pBdr>
                <w:bottom w:val="none" w:color="auto" w:sz="0" w:space="0"/>
              </w:pBdr>
              <w:tabs>
                <w:tab w:val="clear" w:pos="4153"/>
                <w:tab w:val="clear" w:pos="8306"/>
              </w:tabs>
              <w:snapToGrid w:val="0"/>
              <w:spacing w:line="240" w:lineRule="auto"/>
              <w:ind w:right="-10"/>
              <w:textAlignment w:val="auto"/>
              <w:rPr>
                <w:rFonts w:ascii="宋体" w:hAnsi="宋体" w:eastAsia="宋体"/>
                <w:color w:val="auto"/>
                <w:kern w:val="2"/>
                <w:sz w:val="21"/>
                <w:szCs w:val="21"/>
              </w:rPr>
            </w:pPr>
            <w:r>
              <w:rPr>
                <w:rFonts w:hint="eastAsia" w:ascii="宋体" w:hAnsi="宋体" w:eastAsia="宋体"/>
                <w:color w:val="auto"/>
                <w:kern w:val="2"/>
                <w:sz w:val="21"/>
                <w:szCs w:val="21"/>
              </w:rPr>
              <w:t>评审内容</w:t>
            </w:r>
          </w:p>
        </w:tc>
        <w:tc>
          <w:tcPr>
            <w:tcW w:w="3260" w:type="dxa"/>
            <w:tcBorders>
              <w:bottom w:val="single" w:color="auto" w:sz="4" w:space="0"/>
            </w:tcBorders>
            <w:vAlign w:val="center"/>
          </w:tcPr>
          <w:p>
            <w:pPr>
              <w:adjustRightInd w:val="0"/>
              <w:snapToGrid w:val="0"/>
              <w:ind w:right="-10"/>
              <w:jc w:val="center"/>
              <w:rPr>
                <w:rFonts w:ascii="宋体" w:hAnsi="宋体"/>
                <w:color w:val="auto"/>
                <w:szCs w:val="21"/>
              </w:rPr>
            </w:pPr>
            <w:r>
              <w:rPr>
                <w:rFonts w:hint="eastAsia" w:ascii="宋体" w:hAnsi="宋体"/>
                <w:color w:val="auto"/>
                <w:szCs w:val="21"/>
              </w:rPr>
              <w:t>要求</w:t>
            </w:r>
          </w:p>
        </w:tc>
        <w:tc>
          <w:tcPr>
            <w:tcW w:w="3006" w:type="dxa"/>
            <w:tcBorders>
              <w:bottom w:val="single" w:color="auto" w:sz="4" w:space="0"/>
            </w:tcBorders>
            <w:vAlign w:val="center"/>
          </w:tcPr>
          <w:p>
            <w:pPr>
              <w:adjustRightInd w:val="0"/>
              <w:snapToGrid w:val="0"/>
              <w:ind w:right="-10"/>
              <w:jc w:val="center"/>
              <w:rPr>
                <w:rFonts w:ascii="宋体" w:hAnsi="宋体"/>
                <w:color w:val="auto"/>
                <w:szCs w:val="21"/>
              </w:rPr>
            </w:pPr>
            <w:r>
              <w:rPr>
                <w:rFonts w:hint="eastAsia" w:ascii="宋体" w:hAnsi="宋体"/>
                <w:color w:val="auto"/>
                <w:szCs w:val="21"/>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olor w:val="auto"/>
                <w:szCs w:val="21"/>
              </w:rPr>
            </w:pPr>
            <w:r>
              <w:rPr>
                <w:rFonts w:hint="eastAsia" w:ascii="宋体" w:hAnsi="宋体"/>
                <w:color w:val="auto"/>
                <w:szCs w:val="21"/>
              </w:rPr>
              <w:t>1</w:t>
            </w:r>
          </w:p>
        </w:tc>
        <w:tc>
          <w:tcPr>
            <w:tcW w:w="1690" w:type="dxa"/>
            <w:vAlign w:val="center"/>
          </w:tcPr>
          <w:p>
            <w:pPr>
              <w:ind w:right="-10"/>
              <w:jc w:val="left"/>
              <w:rPr>
                <w:rFonts w:ascii="宋体" w:hAnsi="宋体"/>
                <w:color w:val="auto"/>
                <w:szCs w:val="21"/>
              </w:rPr>
            </w:pPr>
            <w:r>
              <w:rPr>
                <w:rFonts w:hint="eastAsia" w:ascii="宋体" w:hAnsi="宋体"/>
                <w:color w:val="auto"/>
                <w:szCs w:val="21"/>
              </w:rPr>
              <w:t>投标报价</w:t>
            </w:r>
          </w:p>
        </w:tc>
        <w:tc>
          <w:tcPr>
            <w:tcW w:w="3260" w:type="dxa"/>
            <w:vAlign w:val="center"/>
          </w:tcPr>
          <w:p>
            <w:pPr>
              <w:ind w:right="-10"/>
              <w:jc w:val="left"/>
              <w:rPr>
                <w:rFonts w:ascii="宋体" w:hAnsi="宋体"/>
                <w:color w:val="auto"/>
                <w:szCs w:val="21"/>
              </w:rPr>
            </w:pPr>
            <w:r>
              <w:rPr>
                <w:rFonts w:hint="eastAsia" w:ascii="宋体" w:hAnsi="宋体"/>
                <w:color w:val="auto"/>
                <w:szCs w:val="21"/>
              </w:rPr>
              <w:t>格式、金额符合招标文件要求并加盖公章</w:t>
            </w:r>
          </w:p>
        </w:tc>
        <w:tc>
          <w:tcPr>
            <w:tcW w:w="3006" w:type="dxa"/>
            <w:vAlign w:val="center"/>
          </w:tcPr>
          <w:p>
            <w:pPr>
              <w:adjustRightInd w:val="0"/>
              <w:snapToGrid w:val="0"/>
              <w:ind w:right="-10"/>
              <w:jc w:val="left"/>
              <w:rPr>
                <w:rFonts w:ascii="宋体" w:hAnsi="宋体"/>
                <w:color w:val="auto"/>
                <w:szCs w:val="21"/>
              </w:rPr>
            </w:pPr>
            <w:r>
              <w:rPr>
                <w:rFonts w:hint="eastAsia" w:ascii="宋体" w:hAnsi="宋体"/>
                <w:color w:val="auto"/>
                <w:szCs w:val="21"/>
              </w:rPr>
              <w:t>投标文件内提供《开标一览表》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olor w:val="auto"/>
                <w:szCs w:val="21"/>
              </w:rPr>
            </w:pPr>
            <w:r>
              <w:rPr>
                <w:rFonts w:hint="eastAsia" w:ascii="宋体" w:hAnsi="宋体"/>
                <w:color w:val="auto"/>
                <w:szCs w:val="21"/>
              </w:rPr>
              <w:t>2</w:t>
            </w:r>
          </w:p>
        </w:tc>
        <w:tc>
          <w:tcPr>
            <w:tcW w:w="1690" w:type="dxa"/>
            <w:vAlign w:val="center"/>
          </w:tcPr>
          <w:p>
            <w:pPr>
              <w:ind w:right="-10"/>
              <w:jc w:val="left"/>
              <w:rPr>
                <w:rFonts w:ascii="宋体" w:hAnsi="宋体"/>
                <w:color w:val="auto"/>
                <w:szCs w:val="21"/>
              </w:rPr>
            </w:pPr>
            <w:r>
              <w:rPr>
                <w:rFonts w:hint="eastAsia" w:ascii="宋体" w:hAnsi="宋体"/>
                <w:color w:val="auto"/>
                <w:szCs w:val="21"/>
              </w:rPr>
              <w:t>投标函</w:t>
            </w:r>
          </w:p>
        </w:tc>
        <w:tc>
          <w:tcPr>
            <w:tcW w:w="3260" w:type="dxa"/>
            <w:vAlign w:val="center"/>
          </w:tcPr>
          <w:p>
            <w:pPr>
              <w:ind w:right="-10"/>
              <w:jc w:val="left"/>
              <w:rPr>
                <w:rFonts w:ascii="宋体" w:hAnsi="宋体"/>
                <w:color w:val="auto"/>
                <w:szCs w:val="21"/>
              </w:rPr>
            </w:pPr>
            <w:r>
              <w:rPr>
                <w:rFonts w:hint="eastAsia" w:ascii="宋体" w:hAnsi="宋体"/>
                <w:color w:val="auto"/>
                <w:szCs w:val="21"/>
              </w:rPr>
              <w:t>投标函格式、填写符合招标文件要求并加盖公章</w:t>
            </w:r>
          </w:p>
        </w:tc>
        <w:tc>
          <w:tcPr>
            <w:tcW w:w="3006" w:type="dxa"/>
            <w:vAlign w:val="center"/>
          </w:tcPr>
          <w:p>
            <w:pPr>
              <w:adjustRightInd w:val="0"/>
              <w:snapToGrid w:val="0"/>
              <w:ind w:right="-10"/>
              <w:jc w:val="left"/>
              <w:rPr>
                <w:rFonts w:ascii="宋体" w:hAnsi="宋体"/>
                <w:color w:val="auto"/>
                <w:szCs w:val="21"/>
              </w:rPr>
            </w:pPr>
            <w:r>
              <w:rPr>
                <w:rFonts w:hint="eastAsia" w:ascii="宋体" w:hAnsi="宋体"/>
                <w:color w:val="auto"/>
                <w:szCs w:val="21"/>
              </w:rPr>
              <w:t>投标文件内提供《投标函》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olor w:val="auto"/>
                <w:szCs w:val="21"/>
              </w:rPr>
            </w:pPr>
            <w:r>
              <w:rPr>
                <w:rFonts w:ascii="宋体" w:hAnsi="宋体"/>
                <w:color w:val="auto"/>
                <w:szCs w:val="21"/>
              </w:rPr>
              <w:t>3</w:t>
            </w:r>
          </w:p>
        </w:tc>
        <w:tc>
          <w:tcPr>
            <w:tcW w:w="1690" w:type="dxa"/>
            <w:vAlign w:val="center"/>
          </w:tcPr>
          <w:p>
            <w:pPr>
              <w:ind w:right="-10"/>
              <w:jc w:val="left"/>
              <w:rPr>
                <w:rFonts w:ascii="宋体" w:hAnsi="宋体"/>
                <w:color w:val="auto"/>
                <w:szCs w:val="21"/>
              </w:rPr>
            </w:pPr>
            <w:r>
              <w:rPr>
                <w:rFonts w:hint="eastAsia" w:ascii="宋体" w:hAnsi="宋体"/>
                <w:color w:val="auto"/>
                <w:szCs w:val="21"/>
              </w:rPr>
              <w:t>投标文件签署</w:t>
            </w:r>
          </w:p>
        </w:tc>
        <w:tc>
          <w:tcPr>
            <w:tcW w:w="3260" w:type="dxa"/>
            <w:vAlign w:val="center"/>
          </w:tcPr>
          <w:p>
            <w:pPr>
              <w:ind w:right="-10"/>
              <w:jc w:val="left"/>
              <w:rPr>
                <w:rFonts w:ascii="宋体" w:hAnsi="宋体"/>
                <w:color w:val="auto"/>
                <w:szCs w:val="21"/>
              </w:rPr>
            </w:pPr>
            <w:r>
              <w:rPr>
                <w:rFonts w:hint="eastAsia" w:ascii="宋体" w:hAnsi="宋体"/>
                <w:color w:val="auto"/>
                <w:szCs w:val="21"/>
              </w:rPr>
              <w:t>投标文件的签署人具有法定签署权或获得有效授权。</w:t>
            </w:r>
          </w:p>
        </w:tc>
        <w:tc>
          <w:tcPr>
            <w:tcW w:w="3006" w:type="dxa"/>
            <w:vAlign w:val="center"/>
          </w:tcPr>
          <w:p>
            <w:pPr>
              <w:adjustRightInd w:val="0"/>
              <w:snapToGrid w:val="0"/>
              <w:ind w:right="-10"/>
              <w:jc w:val="left"/>
              <w:rPr>
                <w:rFonts w:ascii="宋体" w:hAnsi="宋体"/>
                <w:color w:val="auto"/>
                <w:szCs w:val="21"/>
              </w:rPr>
            </w:pPr>
            <w:r>
              <w:rPr>
                <w:rFonts w:hint="eastAsia" w:ascii="宋体" w:hAnsi="宋体"/>
                <w:color w:val="auto"/>
                <w:szCs w:val="21"/>
              </w:rPr>
              <w:t>法定代表人参加投标的，提供身份证正反面复印件；授权代表参加投标的，提供授权委托书及其附件。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vAlign w:val="center"/>
          </w:tcPr>
          <w:p>
            <w:pPr>
              <w:adjustRightInd w:val="0"/>
              <w:snapToGrid w:val="0"/>
              <w:ind w:right="-10"/>
              <w:jc w:val="center"/>
              <w:rPr>
                <w:rFonts w:ascii="宋体" w:hAnsi="宋体"/>
                <w:color w:val="auto"/>
                <w:szCs w:val="21"/>
              </w:rPr>
            </w:pPr>
            <w:r>
              <w:rPr>
                <w:rFonts w:hint="eastAsia" w:ascii="宋体" w:hAnsi="宋体"/>
                <w:color w:val="auto"/>
                <w:szCs w:val="21"/>
              </w:rPr>
              <w:t>4</w:t>
            </w:r>
          </w:p>
        </w:tc>
        <w:tc>
          <w:tcPr>
            <w:tcW w:w="1690" w:type="dxa"/>
            <w:vAlign w:val="center"/>
          </w:tcPr>
          <w:p>
            <w:pPr>
              <w:ind w:right="-10"/>
              <w:jc w:val="left"/>
              <w:rPr>
                <w:rFonts w:ascii="宋体" w:hAnsi="宋体"/>
                <w:color w:val="auto"/>
                <w:szCs w:val="21"/>
              </w:rPr>
            </w:pPr>
            <w:r>
              <w:rPr>
                <w:rFonts w:hint="eastAsia" w:ascii="宋体" w:hAnsi="宋体"/>
                <w:color w:val="auto"/>
                <w:szCs w:val="21"/>
              </w:rPr>
              <w:t>投标文件盖章</w:t>
            </w:r>
          </w:p>
        </w:tc>
        <w:tc>
          <w:tcPr>
            <w:tcW w:w="3260" w:type="dxa"/>
            <w:vAlign w:val="center"/>
          </w:tcPr>
          <w:p>
            <w:pPr>
              <w:ind w:right="-10"/>
              <w:jc w:val="left"/>
              <w:rPr>
                <w:rFonts w:ascii="宋体" w:hAnsi="宋体"/>
                <w:color w:val="auto"/>
                <w:szCs w:val="21"/>
              </w:rPr>
            </w:pPr>
            <w:r>
              <w:rPr>
                <w:rFonts w:hint="eastAsia" w:ascii="宋体" w:hAnsi="宋体"/>
                <w:color w:val="auto"/>
                <w:szCs w:val="21"/>
              </w:rPr>
              <w:t>投标文件按照招标文件要求进行盖章</w:t>
            </w:r>
          </w:p>
        </w:tc>
        <w:tc>
          <w:tcPr>
            <w:tcW w:w="3006" w:type="dxa"/>
            <w:vAlign w:val="center"/>
          </w:tcPr>
          <w:p>
            <w:pPr>
              <w:adjustRightInd w:val="0"/>
              <w:snapToGrid w:val="0"/>
              <w:ind w:right="-10"/>
              <w:jc w:val="left"/>
              <w:rPr>
                <w:rFonts w:ascii="宋体" w:hAnsi="宋体"/>
                <w:color w:val="auto"/>
                <w:szCs w:val="21"/>
              </w:rPr>
            </w:pPr>
            <w:r>
              <w:rPr>
                <w:rFonts w:hint="eastAsia" w:ascii="宋体" w:hAnsi="宋体"/>
                <w:color w:val="auto"/>
                <w:szCs w:val="21"/>
              </w:rPr>
              <w:t>投标文件相关资料盖章满足招标文件要求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olor w:val="auto"/>
                <w:szCs w:val="21"/>
              </w:rPr>
            </w:pPr>
            <w:r>
              <w:rPr>
                <w:rFonts w:hint="eastAsia" w:ascii="宋体" w:hAnsi="宋体"/>
                <w:color w:val="auto"/>
                <w:szCs w:val="21"/>
              </w:rPr>
              <w:t>5</w:t>
            </w:r>
          </w:p>
        </w:tc>
        <w:tc>
          <w:tcPr>
            <w:tcW w:w="1690" w:type="dxa"/>
            <w:vAlign w:val="center"/>
          </w:tcPr>
          <w:p>
            <w:pPr>
              <w:ind w:right="-10"/>
              <w:jc w:val="left"/>
              <w:rPr>
                <w:rFonts w:ascii="宋体" w:hAnsi="宋体"/>
                <w:color w:val="auto"/>
                <w:szCs w:val="21"/>
              </w:rPr>
            </w:pPr>
            <w:r>
              <w:rPr>
                <w:rFonts w:hint="eastAsia" w:ascii="宋体" w:hAnsi="宋体"/>
                <w:color w:val="auto"/>
                <w:szCs w:val="21"/>
              </w:rPr>
              <w:t>采购需求要求响应</w:t>
            </w:r>
          </w:p>
        </w:tc>
        <w:tc>
          <w:tcPr>
            <w:tcW w:w="3260" w:type="dxa"/>
            <w:vAlign w:val="center"/>
          </w:tcPr>
          <w:p>
            <w:pPr>
              <w:ind w:right="-10"/>
              <w:jc w:val="left"/>
              <w:rPr>
                <w:rFonts w:ascii="宋体" w:hAnsi="宋体"/>
                <w:color w:val="auto"/>
                <w:szCs w:val="21"/>
              </w:rPr>
            </w:pPr>
            <w:r>
              <w:rPr>
                <w:rFonts w:hint="eastAsia" w:ascii="宋体" w:hAnsi="宋体"/>
                <w:color w:val="auto"/>
                <w:szCs w:val="21"/>
              </w:rPr>
              <w:t>符合招标文件采购需求中明确的实质性要求。</w:t>
            </w:r>
          </w:p>
        </w:tc>
        <w:tc>
          <w:tcPr>
            <w:tcW w:w="3006" w:type="dxa"/>
            <w:vAlign w:val="center"/>
          </w:tcPr>
          <w:p>
            <w:pPr>
              <w:adjustRightInd w:val="0"/>
              <w:snapToGrid w:val="0"/>
              <w:ind w:right="-10"/>
              <w:jc w:val="left"/>
              <w:rPr>
                <w:rFonts w:ascii="宋体" w:hAnsi="宋体"/>
                <w:color w:val="auto"/>
                <w:szCs w:val="21"/>
              </w:rPr>
            </w:pPr>
            <w:r>
              <w:rPr>
                <w:rFonts w:hint="eastAsia" w:ascii="宋体" w:hAnsi="宋体"/>
                <w:color w:val="auto"/>
                <w:szCs w:val="21"/>
              </w:rPr>
              <w:t>投标文件内提供采购需求响应表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pPr>
              <w:adjustRightInd w:val="0"/>
              <w:snapToGrid w:val="0"/>
              <w:ind w:right="-10"/>
              <w:jc w:val="center"/>
              <w:rPr>
                <w:rFonts w:ascii="宋体" w:hAnsi="宋体"/>
                <w:color w:val="auto"/>
                <w:szCs w:val="21"/>
              </w:rPr>
            </w:pPr>
            <w:r>
              <w:rPr>
                <w:rFonts w:ascii="宋体" w:hAnsi="宋体"/>
                <w:color w:val="auto"/>
                <w:szCs w:val="21"/>
              </w:rPr>
              <w:t>6</w:t>
            </w:r>
          </w:p>
        </w:tc>
        <w:tc>
          <w:tcPr>
            <w:tcW w:w="1690" w:type="dxa"/>
            <w:vAlign w:val="center"/>
          </w:tcPr>
          <w:p>
            <w:pPr>
              <w:ind w:right="-10"/>
              <w:jc w:val="left"/>
              <w:rPr>
                <w:rFonts w:ascii="宋体" w:hAnsi="宋体"/>
                <w:color w:val="auto"/>
                <w:szCs w:val="21"/>
              </w:rPr>
            </w:pPr>
            <w:r>
              <w:rPr>
                <w:rFonts w:hint="eastAsia" w:ascii="宋体" w:hAnsi="宋体"/>
                <w:color w:val="auto"/>
                <w:szCs w:val="21"/>
              </w:rPr>
              <w:t>其他要求</w:t>
            </w:r>
          </w:p>
        </w:tc>
        <w:tc>
          <w:tcPr>
            <w:tcW w:w="3260" w:type="dxa"/>
            <w:vAlign w:val="center"/>
          </w:tcPr>
          <w:p>
            <w:pPr>
              <w:ind w:right="-10"/>
              <w:jc w:val="left"/>
              <w:rPr>
                <w:rFonts w:ascii="宋体" w:hAnsi="宋体"/>
                <w:color w:val="auto"/>
                <w:szCs w:val="21"/>
              </w:rPr>
            </w:pPr>
            <w:r>
              <w:rPr>
                <w:rFonts w:hint="eastAsia" w:ascii="宋体" w:hAnsi="宋体"/>
                <w:color w:val="auto"/>
                <w:szCs w:val="21"/>
              </w:rPr>
              <w:t>符合法律、行政法规规定的其他条件或不存在招标文件列明的拒绝投标、不允许存在的其他情形</w:t>
            </w:r>
          </w:p>
        </w:tc>
        <w:tc>
          <w:tcPr>
            <w:tcW w:w="3006" w:type="dxa"/>
            <w:vAlign w:val="center"/>
          </w:tcPr>
          <w:p>
            <w:pPr>
              <w:adjustRightInd w:val="0"/>
              <w:snapToGrid w:val="0"/>
              <w:ind w:right="-10"/>
              <w:jc w:val="left"/>
              <w:rPr>
                <w:rFonts w:ascii="宋体" w:hAnsi="宋体"/>
                <w:color w:val="auto"/>
                <w:szCs w:val="21"/>
              </w:rPr>
            </w:pPr>
            <w:r>
              <w:rPr>
                <w:rFonts w:hint="eastAsia" w:ascii="宋体" w:hAnsi="宋体"/>
                <w:color w:val="auto"/>
                <w:szCs w:val="21"/>
              </w:rPr>
              <w:t>无需提供材料</w:t>
            </w:r>
          </w:p>
        </w:tc>
      </w:tr>
    </w:tbl>
    <w:p>
      <w:pPr>
        <w:spacing w:line="360" w:lineRule="auto"/>
        <w:ind w:firstLine="437"/>
        <w:rPr>
          <w:rFonts w:ascii="宋体" w:hAnsi="宋体"/>
          <w:color w:val="auto"/>
          <w:szCs w:val="21"/>
        </w:rPr>
      </w:pPr>
      <w:r>
        <w:rPr>
          <w:rFonts w:hint="eastAsia" w:ascii="宋体" w:hAnsi="宋体"/>
          <w:b/>
          <w:bCs/>
          <w:color w:val="auto"/>
          <w:szCs w:val="21"/>
        </w:rPr>
        <w:t>符合性审查指标通过标准：</w:t>
      </w:r>
      <w:r>
        <w:rPr>
          <w:rFonts w:hint="eastAsia" w:ascii="宋体" w:hAnsi="宋体"/>
          <w:color w:val="auto"/>
          <w:szCs w:val="21"/>
        </w:rPr>
        <w:t>投标人必须通过符合性审查表中的全部评审指标。</w:t>
      </w:r>
    </w:p>
    <w:p>
      <w:pPr>
        <w:spacing w:line="360" w:lineRule="auto"/>
        <w:ind w:firstLine="422" w:firstLineChars="200"/>
        <w:rPr>
          <w:rFonts w:ascii="宋体" w:hAnsi="宋体"/>
          <w:b/>
          <w:color w:val="auto"/>
          <w:szCs w:val="21"/>
        </w:rPr>
      </w:pPr>
      <w:r>
        <w:rPr>
          <w:rFonts w:hint="eastAsia" w:ascii="宋体" w:hAnsi="宋体"/>
          <w:b/>
          <w:color w:val="auto"/>
          <w:szCs w:val="21"/>
        </w:rPr>
        <w:t>3.详细审查和评分（评标标准兼评委打分表）</w:t>
      </w:r>
    </w:p>
    <w:tbl>
      <w:tblPr>
        <w:tblStyle w:val="4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90"/>
        <w:gridCol w:w="5316"/>
        <w:gridCol w:w="74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序号</w:t>
            </w:r>
          </w:p>
        </w:tc>
        <w:tc>
          <w:tcPr>
            <w:tcW w:w="62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仿宋_GB2312"/>
                <w:color w:val="auto"/>
                <w:szCs w:val="21"/>
              </w:rPr>
            </w:pPr>
            <w:r>
              <w:rPr>
                <w:rFonts w:hint="eastAsia" w:ascii="宋体" w:hAnsi="宋体" w:cs="仿宋_GB2312"/>
                <w:color w:val="auto"/>
                <w:szCs w:val="21"/>
              </w:rPr>
              <w:t>评标标准</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分值</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bCs/>
                <w:color w:val="auto"/>
                <w:szCs w:val="21"/>
              </w:rPr>
            </w:pPr>
            <w:r>
              <w:rPr>
                <w:rFonts w:hint="eastAsia" w:ascii="宋体" w:hAnsi="宋体" w:cs="仿宋_GB2312"/>
                <w:bCs/>
                <w:color w:val="auto"/>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1</w:t>
            </w:r>
          </w:p>
        </w:tc>
        <w:tc>
          <w:tcPr>
            <w:tcW w:w="620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仿宋_GB2312"/>
                <w:color w:val="auto"/>
                <w:szCs w:val="21"/>
              </w:rPr>
            </w:pPr>
            <w:r>
              <w:rPr>
                <w:rFonts w:hint="eastAsia" w:ascii="宋体" w:hAnsi="宋体" w:cs="仿宋_GB2312"/>
                <w:color w:val="auto"/>
                <w:szCs w:val="21"/>
              </w:rPr>
              <w:t>业绩情况（</w:t>
            </w:r>
            <w:r>
              <w:rPr>
                <w:rFonts w:ascii="宋体" w:hAnsi="宋体" w:cs="仿宋_GB2312"/>
                <w:color w:val="auto"/>
                <w:szCs w:val="21"/>
              </w:rPr>
              <w:t>1</w:t>
            </w:r>
            <w:r>
              <w:rPr>
                <w:rFonts w:hint="eastAsia" w:ascii="宋体" w:hAnsi="宋体" w:cs="仿宋_GB2312"/>
                <w:color w:val="auto"/>
                <w:szCs w:val="21"/>
              </w:rPr>
              <w:t>分）：</w:t>
            </w:r>
          </w:p>
          <w:p>
            <w:pPr>
              <w:snapToGrid w:val="0"/>
              <w:spacing w:line="276" w:lineRule="auto"/>
              <w:rPr>
                <w:rFonts w:ascii="宋体" w:hAnsi="宋体" w:cs="仿宋_GB2312"/>
                <w:color w:val="auto"/>
                <w:szCs w:val="21"/>
              </w:rPr>
            </w:pPr>
            <w:r>
              <w:rPr>
                <w:rFonts w:hint="eastAsia" w:ascii="宋体" w:hAnsi="宋体" w:cs="仿宋_GB2312"/>
                <w:color w:val="auto"/>
                <w:szCs w:val="21"/>
              </w:rPr>
              <w:t>投标人具有2020年1月1日以来（以合同签订时间为准）承担并完成一个年度全国统一的无纸化考试考务服务项目业绩的，得</w:t>
            </w:r>
            <w:r>
              <w:rPr>
                <w:rFonts w:ascii="宋体" w:hAnsi="宋体" w:cs="仿宋_GB2312"/>
                <w:color w:val="auto"/>
                <w:szCs w:val="21"/>
              </w:rPr>
              <w:t>0.5</w:t>
            </w:r>
            <w:r>
              <w:rPr>
                <w:rFonts w:hint="eastAsia" w:ascii="宋体" w:hAnsi="宋体" w:cs="仿宋_GB2312"/>
                <w:color w:val="auto"/>
                <w:szCs w:val="21"/>
              </w:rPr>
              <w:t>分，本项最高得1分。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t>证明材料：投标文件内提供与考试管理部门签订的合同原件扫描件或复印件，否则不得分。</w:t>
            </w:r>
          </w:p>
        </w:tc>
        <w:tc>
          <w:tcPr>
            <w:tcW w:w="740" w:type="dxa"/>
            <w:tcBorders>
              <w:top w:val="single" w:color="auto" w:sz="4" w:space="0"/>
              <w:left w:val="single" w:color="auto" w:sz="4" w:space="0"/>
              <w:bottom w:val="single" w:color="auto" w:sz="4" w:space="0"/>
              <w:right w:val="single" w:color="auto" w:sz="4" w:space="0"/>
            </w:tcBorders>
            <w:vAlign w:val="center"/>
          </w:tcPr>
          <w:p>
            <w:pPr>
              <w:pStyle w:val="18"/>
              <w:jc w:val="center"/>
              <w:rPr>
                <w:color w:val="auto"/>
              </w:rPr>
            </w:pPr>
            <w:r>
              <w:rPr>
                <w:rFonts w:ascii="宋体" w:hAnsi="宋体" w:cs="仿宋_GB2312"/>
                <w:color w:val="auto"/>
                <w:kern w:val="2"/>
                <w:sz w:val="2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2</w:t>
            </w:r>
          </w:p>
        </w:tc>
        <w:tc>
          <w:tcPr>
            <w:tcW w:w="620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ascii="宋体" w:hAnsi="宋体" w:cs="仿宋_GB2312"/>
                <w:color w:val="auto"/>
                <w:szCs w:val="21"/>
              </w:rPr>
            </w:pPr>
            <w:r>
              <w:rPr>
                <w:rFonts w:hint="eastAsia" w:ascii="宋体" w:hAnsi="宋体" w:cs="仿宋_GB2312"/>
                <w:color w:val="auto"/>
                <w:szCs w:val="21"/>
              </w:rPr>
              <w:t>考试机位数量（16分）：</w:t>
            </w:r>
          </w:p>
          <w:p>
            <w:pPr>
              <w:snapToGrid w:val="0"/>
              <w:spacing w:line="276" w:lineRule="auto"/>
              <w:jc w:val="left"/>
              <w:rPr>
                <w:rFonts w:ascii="宋体" w:hAnsi="宋体" w:cs="仿宋_GB2312"/>
                <w:color w:val="auto"/>
                <w:szCs w:val="21"/>
              </w:rPr>
            </w:pPr>
            <w:r>
              <w:rPr>
                <w:rFonts w:hint="eastAsia" w:ascii="宋体" w:hAnsi="宋体" w:cs="仿宋_GB2312"/>
                <w:color w:val="auto"/>
                <w:szCs w:val="21"/>
              </w:rPr>
              <w:t>投标人能提供符合会计专业技术资格考试考场设置要求的考试机位，位于宁波市主城区院校的考试场地资源。</w:t>
            </w:r>
          </w:p>
          <w:p>
            <w:pPr>
              <w:snapToGrid w:val="0"/>
              <w:spacing w:line="276" w:lineRule="auto"/>
              <w:jc w:val="left"/>
              <w:rPr>
                <w:rFonts w:ascii="宋体" w:hAnsi="宋体" w:cs="仿宋_GB2312"/>
                <w:color w:val="auto"/>
                <w:szCs w:val="21"/>
              </w:rPr>
            </w:pPr>
            <w:r>
              <w:rPr>
                <w:rFonts w:hint="eastAsia" w:ascii="宋体" w:hAnsi="宋体" w:cs="仿宋_GB2312"/>
                <w:color w:val="auto"/>
                <w:szCs w:val="21"/>
              </w:rPr>
              <w:t>考试机位总数达到4000台及以上的得16分；未达到4000台的，按照比例计算，得分计算公式为：得分=提供考试机位总数/4000台×100%×16分，计算结果保留2位小数。</w:t>
            </w:r>
          </w:p>
          <w:p>
            <w:pPr>
              <w:snapToGrid w:val="0"/>
              <w:spacing w:line="276" w:lineRule="auto"/>
              <w:jc w:val="left"/>
              <w:rPr>
                <w:rFonts w:ascii="宋体" w:hAnsi="宋体" w:cs="仿宋_GB2312"/>
                <w:b/>
                <w:bCs/>
                <w:color w:val="auto"/>
                <w:szCs w:val="21"/>
              </w:rPr>
            </w:pPr>
            <w:r>
              <w:rPr>
                <w:rFonts w:hint="eastAsia" w:ascii="宋体" w:hAnsi="宋体" w:cs="仿宋_GB2312"/>
                <w:b/>
                <w:bCs/>
                <w:color w:val="auto"/>
                <w:szCs w:val="21"/>
              </w:rPr>
              <w:t>注：单个考点考试机位数量少于</w:t>
            </w:r>
            <w:r>
              <w:rPr>
                <w:rFonts w:ascii="宋体" w:hAnsi="宋体" w:cs="仿宋_GB2312"/>
                <w:b/>
                <w:bCs/>
                <w:color w:val="auto"/>
                <w:szCs w:val="21"/>
              </w:rPr>
              <w:t>3</w:t>
            </w:r>
            <w:r>
              <w:rPr>
                <w:rFonts w:hint="eastAsia" w:ascii="宋体" w:hAnsi="宋体" w:cs="仿宋_GB2312"/>
                <w:b/>
                <w:bCs/>
                <w:color w:val="auto"/>
                <w:szCs w:val="21"/>
              </w:rPr>
              <w:t>00台的，不计入考试机位总数。</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t>证明材料：投标文件内提供投标人与宁波主城区院校签订的协议或意向书（原件扫描件），内容包含：考试项目（2024-2026年度会计专业技术资格考试）、机位总数等相关必要因素，否则不予认可。</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16</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3</w:t>
            </w:r>
          </w:p>
        </w:tc>
        <w:tc>
          <w:tcPr>
            <w:tcW w:w="62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t>人员情况（16分）：</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3.1</w:t>
            </w:r>
          </w:p>
        </w:tc>
        <w:tc>
          <w:tcPr>
            <w:tcW w:w="620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ascii="宋体" w:hAnsi="宋体" w:cs="仿宋_GB2312"/>
                <w:color w:val="auto"/>
                <w:szCs w:val="21"/>
              </w:rPr>
            </w:pPr>
            <w:r>
              <w:rPr>
                <w:rFonts w:hint="eastAsia" w:ascii="宋体" w:hAnsi="宋体" w:cs="仿宋_GB2312"/>
                <w:color w:val="auto"/>
                <w:szCs w:val="21"/>
              </w:rPr>
              <w:t>项目负责人：</w:t>
            </w:r>
          </w:p>
          <w:p>
            <w:pPr>
              <w:snapToGrid w:val="0"/>
              <w:spacing w:line="276" w:lineRule="auto"/>
              <w:jc w:val="left"/>
              <w:rPr>
                <w:rFonts w:ascii="宋体" w:hAnsi="宋体" w:cs="仿宋_GB2312"/>
                <w:color w:val="auto"/>
                <w:szCs w:val="21"/>
              </w:rPr>
            </w:pPr>
            <w:r>
              <w:rPr>
                <w:rFonts w:hint="eastAsia" w:ascii="宋体" w:hAnsi="宋体" w:cs="仿宋_GB2312"/>
                <w:color w:val="auto"/>
                <w:szCs w:val="21"/>
              </w:rPr>
              <w:t>项目负责人2020年1月1日至今具有全国统一的无纸化考试考务服务项目管理经历的得</w:t>
            </w:r>
            <w:r>
              <w:rPr>
                <w:rFonts w:ascii="宋体" w:hAnsi="宋体" w:cs="仿宋_GB2312"/>
                <w:color w:val="auto"/>
                <w:szCs w:val="21"/>
              </w:rPr>
              <w:t>2</w:t>
            </w:r>
            <w:r>
              <w:rPr>
                <w:rFonts w:hint="eastAsia" w:ascii="宋体" w:hAnsi="宋体" w:cs="仿宋_GB2312"/>
                <w:color w:val="auto"/>
                <w:szCs w:val="21"/>
              </w:rPr>
              <w:t>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t>证明材料：投标文件内提供项目负责人开标当月或前三个月内任意一个月在投标人单位的社保缴纳证明和项目合同复印件，项目合同中无法体现项目负责人岗位工作的，补充提供能证明相关经历的材料或考务手册复印件。</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ascii="宋体" w:hAnsi="宋体" w:cs="仿宋_GB2312"/>
                <w:color w:val="auto"/>
                <w:szCs w:val="21"/>
              </w:rPr>
              <w:t>2</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3.2</w:t>
            </w:r>
          </w:p>
        </w:tc>
        <w:tc>
          <w:tcPr>
            <w:tcW w:w="620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ascii="宋体" w:hAnsi="宋体" w:cs="仿宋_GB2312"/>
                <w:color w:val="auto"/>
                <w:szCs w:val="21"/>
              </w:rPr>
            </w:pPr>
            <w:r>
              <w:rPr>
                <w:rFonts w:hint="eastAsia" w:ascii="宋体" w:hAnsi="宋体" w:cs="仿宋_GB2312"/>
                <w:color w:val="auto"/>
                <w:szCs w:val="21"/>
              </w:rPr>
              <w:t>考试技术人员：</w:t>
            </w:r>
          </w:p>
          <w:p>
            <w:pPr>
              <w:snapToGrid w:val="0"/>
              <w:spacing w:line="276" w:lineRule="auto"/>
              <w:jc w:val="left"/>
              <w:rPr>
                <w:rFonts w:ascii="宋体" w:hAnsi="宋体" w:cs="仿宋_GB2312"/>
                <w:color w:val="auto"/>
                <w:szCs w:val="21"/>
              </w:rPr>
            </w:pPr>
            <w:r>
              <w:rPr>
                <w:rFonts w:hint="eastAsia" w:ascii="宋体" w:hAnsi="宋体" w:cs="仿宋_GB2312"/>
                <w:color w:val="auto"/>
                <w:szCs w:val="21"/>
              </w:rPr>
              <w:t>为了保障服务质量和技术人员的固定，服务于本项目的计算机相关专业技术人员不少于</w:t>
            </w:r>
            <w:r>
              <w:rPr>
                <w:rFonts w:ascii="宋体" w:hAnsi="宋体" w:cs="仿宋_GB2312"/>
                <w:color w:val="auto"/>
                <w:szCs w:val="21"/>
              </w:rPr>
              <w:t>15</w:t>
            </w:r>
            <w:r>
              <w:rPr>
                <w:rFonts w:hint="eastAsia" w:ascii="宋体" w:hAnsi="宋体" w:cs="仿宋_GB2312"/>
                <w:color w:val="auto"/>
                <w:szCs w:val="21"/>
              </w:rPr>
              <w:t>人的，得</w:t>
            </w:r>
            <w:r>
              <w:rPr>
                <w:rFonts w:ascii="宋体" w:hAnsi="宋体" w:cs="仿宋_GB2312"/>
                <w:color w:val="auto"/>
                <w:szCs w:val="21"/>
              </w:rPr>
              <w:t>14</w:t>
            </w:r>
            <w:r>
              <w:rPr>
                <w:rFonts w:hint="eastAsia" w:ascii="宋体" w:hAnsi="宋体" w:cs="仿宋_GB2312"/>
                <w:color w:val="auto"/>
                <w:szCs w:val="21"/>
              </w:rPr>
              <w:t>分；在1</w:t>
            </w:r>
            <w:r>
              <w:rPr>
                <w:rFonts w:ascii="宋体" w:hAnsi="宋体" w:cs="仿宋_GB2312"/>
                <w:color w:val="auto"/>
                <w:szCs w:val="21"/>
              </w:rPr>
              <w:t>5</w:t>
            </w:r>
            <w:r>
              <w:rPr>
                <w:rFonts w:hint="eastAsia" w:ascii="宋体" w:hAnsi="宋体" w:cs="仿宋_GB2312"/>
                <w:color w:val="auto"/>
                <w:szCs w:val="21"/>
              </w:rPr>
              <w:t>人的基础上每少1人扣</w:t>
            </w:r>
            <w:r>
              <w:rPr>
                <w:rFonts w:ascii="宋体" w:hAnsi="宋体" w:cs="仿宋_GB2312"/>
                <w:color w:val="auto"/>
                <w:szCs w:val="21"/>
              </w:rPr>
              <w:t>2.5</w:t>
            </w:r>
            <w:r>
              <w:rPr>
                <w:rFonts w:hint="eastAsia" w:ascii="宋体" w:hAnsi="宋体" w:cs="仿宋_GB2312"/>
                <w:color w:val="auto"/>
                <w:szCs w:val="21"/>
              </w:rPr>
              <w:t>分，承诺的技术人员不足1</w:t>
            </w:r>
            <w:r>
              <w:rPr>
                <w:rFonts w:ascii="宋体" w:hAnsi="宋体" w:cs="仿宋_GB2312"/>
                <w:color w:val="auto"/>
                <w:szCs w:val="21"/>
              </w:rPr>
              <w:t>0</w:t>
            </w:r>
            <w:r>
              <w:rPr>
                <w:rFonts w:hint="eastAsia" w:ascii="宋体" w:hAnsi="宋体" w:cs="仿宋_GB2312"/>
                <w:color w:val="auto"/>
                <w:szCs w:val="21"/>
              </w:rPr>
              <w:t>人的，按照投标无效处理。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t>证明材料：投标文件内提供承诺函。本项人员仅指投入本项目的机房管理人员和考试软件技术支持人员数量，且不包括项目负责人。</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14</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4</w:t>
            </w:r>
          </w:p>
        </w:tc>
        <w:tc>
          <w:tcPr>
            <w:tcW w:w="62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t>服务方案（35分）：</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4.1</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仿宋_GB2312"/>
                <w:color w:val="auto"/>
                <w:szCs w:val="21"/>
              </w:rPr>
            </w:pPr>
            <w:r>
              <w:rPr>
                <w:rFonts w:hint="eastAsia" w:ascii="宋体" w:hAnsi="宋体" w:cs="仿宋_GB2312"/>
                <w:color w:val="auto"/>
                <w:szCs w:val="21"/>
              </w:rPr>
              <w:t>项目实施重难点分析及其解决</w:t>
            </w:r>
          </w:p>
        </w:tc>
        <w:tc>
          <w:tcPr>
            <w:tcW w:w="5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t>（1）根据投标人针对本项目的重难点的预判及分析是否全面、深入且具有针对性情况进行评议：</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\o\ac(○,1)</w:instrText>
            </w:r>
            <w:r>
              <w:rPr>
                <w:rFonts w:hint="eastAsia" w:ascii="宋体" w:hAnsi="宋体" w:cs="仿宋_GB2312"/>
                <w:color w:val="auto"/>
                <w:szCs w:val="21"/>
              </w:rPr>
              <w:fldChar w:fldCharType="end"/>
            </w:r>
            <w:r>
              <w:rPr>
                <w:rFonts w:hint="eastAsia" w:ascii="宋体" w:hAnsi="宋体" w:cs="仿宋_GB2312"/>
                <w:color w:val="auto"/>
                <w:szCs w:val="21"/>
              </w:rPr>
              <w:t>对项目实施重点、难点罗列详细、完整，分析针对性强的得3分；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\o\ac(○,2)</w:instrText>
            </w:r>
            <w:r>
              <w:rPr>
                <w:rFonts w:hint="eastAsia" w:ascii="宋体" w:hAnsi="宋体" w:cs="仿宋_GB2312"/>
                <w:color w:val="auto"/>
                <w:szCs w:val="21"/>
              </w:rPr>
              <w:fldChar w:fldCharType="end"/>
            </w:r>
            <w:r>
              <w:rPr>
                <w:rFonts w:hint="eastAsia" w:ascii="宋体" w:hAnsi="宋体" w:cs="仿宋_GB2312"/>
                <w:color w:val="auto"/>
                <w:szCs w:val="21"/>
              </w:rPr>
              <w:t>对项目实施重点、难点有基本预判，分析描述略有欠缺的得2分；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\o\ac(○,3)</w:instrText>
            </w:r>
            <w:r>
              <w:rPr>
                <w:rFonts w:hint="eastAsia" w:ascii="宋体" w:hAnsi="宋体" w:cs="仿宋_GB2312"/>
                <w:color w:val="auto"/>
                <w:szCs w:val="21"/>
              </w:rPr>
              <w:fldChar w:fldCharType="end"/>
            </w:r>
            <w:r>
              <w:rPr>
                <w:rFonts w:hint="eastAsia" w:ascii="宋体" w:hAnsi="宋体" w:cs="仿宋_GB2312"/>
                <w:color w:val="auto"/>
                <w:szCs w:val="21"/>
              </w:rPr>
              <w:t>对项目实施重点、难点预判缺乏或未提供相关描述的得0分。</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3</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color w:val="auto"/>
                <w:szCs w:val="21"/>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color w:val="auto"/>
                <w:szCs w:val="21"/>
              </w:rPr>
            </w:pPr>
          </w:p>
        </w:tc>
        <w:tc>
          <w:tcPr>
            <w:tcW w:w="5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t>（2）根据投标人针对本项目重难点的预判及分析提出的解决方案的合理性及可行性进行评议：</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\o\ac(○,1)</w:instrText>
            </w:r>
            <w:r>
              <w:rPr>
                <w:rFonts w:hint="eastAsia" w:ascii="宋体" w:hAnsi="宋体" w:cs="仿宋_GB2312"/>
                <w:color w:val="auto"/>
                <w:szCs w:val="21"/>
              </w:rPr>
              <w:fldChar w:fldCharType="end"/>
            </w:r>
            <w:r>
              <w:rPr>
                <w:rFonts w:hint="eastAsia" w:ascii="宋体" w:hAnsi="宋体" w:cs="仿宋_GB2312"/>
                <w:color w:val="auto"/>
                <w:szCs w:val="21"/>
              </w:rPr>
              <w:t>针对提出的重点、难点能结合以往工作经验提出优质、合理、可行的解决方案的得4分；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\o\ac(○,2)</w:instrText>
            </w:r>
            <w:r>
              <w:rPr>
                <w:rFonts w:hint="eastAsia" w:ascii="宋体" w:hAnsi="宋体" w:cs="仿宋_GB2312"/>
                <w:color w:val="auto"/>
                <w:szCs w:val="21"/>
              </w:rPr>
              <w:fldChar w:fldCharType="end"/>
            </w:r>
            <w:r>
              <w:rPr>
                <w:rFonts w:hint="eastAsia" w:ascii="宋体" w:hAnsi="宋体" w:cs="仿宋_GB2312"/>
                <w:color w:val="auto"/>
                <w:szCs w:val="21"/>
              </w:rPr>
              <w:t>针对提出的重点以及难点提出的解决方案合理性或可行性一般的得</w:t>
            </w:r>
            <w:r>
              <w:rPr>
                <w:rFonts w:ascii="宋体" w:hAnsi="宋体" w:cs="仿宋_GB2312"/>
                <w:color w:val="auto"/>
                <w:szCs w:val="21"/>
              </w:rPr>
              <w:t>2.5</w:t>
            </w:r>
            <w:r>
              <w:rPr>
                <w:rFonts w:hint="eastAsia" w:ascii="宋体" w:hAnsi="宋体" w:cs="仿宋_GB2312"/>
                <w:color w:val="auto"/>
                <w:szCs w:val="21"/>
              </w:rPr>
              <w:t>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\o\ac(○,3)</w:instrText>
            </w:r>
            <w:r>
              <w:rPr>
                <w:rFonts w:hint="eastAsia" w:ascii="宋体" w:hAnsi="宋体" w:cs="仿宋_GB2312"/>
                <w:color w:val="auto"/>
                <w:szCs w:val="21"/>
              </w:rPr>
              <w:fldChar w:fldCharType="end"/>
            </w:r>
            <w:r>
              <w:rPr>
                <w:rFonts w:hint="eastAsia" w:ascii="宋体" w:hAnsi="宋体" w:cs="仿宋_GB2312"/>
                <w:color w:val="auto"/>
                <w:szCs w:val="21"/>
              </w:rPr>
              <w:t>针对提出的重点以及难点提供了比较简单的建议，但是缺乏合理性或可行性的得1分；</w:t>
            </w:r>
          </w:p>
          <w:p>
            <w:pPr>
              <w:adjustRightInd w:val="0"/>
              <w:snapToGrid w:val="0"/>
              <w:spacing w:line="276" w:lineRule="auto"/>
              <w:jc w:val="left"/>
              <w:rPr>
                <w:rFonts w:ascii="宋体" w:hAnsi="宋体" w:cs="仿宋_GB2312"/>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w:instrText>
            </w:r>
            <w:r>
              <w:rPr>
                <w:rFonts w:hint="eastAsia" w:ascii="宋体" w:hAnsi="宋体"/>
                <w:color w:val="auto"/>
                <w:position w:val="3"/>
                <w:szCs w:val="21"/>
              </w:rPr>
              <w:instrText xml:space="preserve">4</w:instrText>
            </w:r>
            <w:r>
              <w:rPr>
                <w:rFonts w:hint="eastAsia" w:ascii="宋体" w:hAnsi="宋体"/>
                <w:color w:val="auto"/>
                <w:szCs w:val="21"/>
              </w:rPr>
              <w:instrText xml:space="preserve">)</w:instrText>
            </w:r>
            <w:r>
              <w:rPr>
                <w:rFonts w:hint="eastAsia" w:ascii="宋体" w:hAnsi="宋体"/>
                <w:color w:val="auto"/>
                <w:szCs w:val="21"/>
              </w:rPr>
              <w:fldChar w:fldCharType="end"/>
            </w:r>
            <w:r>
              <w:rPr>
                <w:rFonts w:hint="eastAsia" w:ascii="宋体" w:hAnsi="宋体" w:cs="仿宋_GB2312"/>
                <w:color w:val="auto"/>
                <w:szCs w:val="21"/>
              </w:rPr>
              <w:t>未提供相关描述的得0分。</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4.2</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仿宋_GB2312"/>
                <w:color w:val="auto"/>
                <w:szCs w:val="21"/>
              </w:rPr>
            </w:pPr>
            <w:r>
              <w:rPr>
                <w:rFonts w:hint="eastAsia" w:ascii="宋体" w:hAnsi="宋体" w:cs="仿宋_GB2312"/>
                <w:color w:val="auto"/>
                <w:szCs w:val="21"/>
              </w:rPr>
              <w:t>培训体系及保密制度、质量保障</w:t>
            </w:r>
          </w:p>
        </w:tc>
        <w:tc>
          <w:tcPr>
            <w:tcW w:w="5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t>（1）根据投标人提供的项目服务人员培训体系的完善性情况评议：</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\o\ac(○,1)</w:instrText>
            </w:r>
            <w:r>
              <w:rPr>
                <w:rFonts w:hint="eastAsia" w:ascii="宋体" w:hAnsi="宋体" w:cs="仿宋_GB2312"/>
                <w:color w:val="auto"/>
                <w:szCs w:val="21"/>
              </w:rPr>
              <w:fldChar w:fldCharType="end"/>
            </w:r>
            <w:r>
              <w:rPr>
                <w:rFonts w:hint="eastAsia" w:ascii="宋体" w:hAnsi="宋体" w:cs="仿宋_GB2312"/>
                <w:color w:val="auto"/>
                <w:szCs w:val="21"/>
              </w:rPr>
              <w:t>服务人员培训体系完善，有利于项目实施的得3分；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\o\ac(○,2)</w:instrText>
            </w:r>
            <w:r>
              <w:rPr>
                <w:rFonts w:hint="eastAsia" w:ascii="宋体" w:hAnsi="宋体" w:cs="仿宋_GB2312"/>
                <w:color w:val="auto"/>
                <w:szCs w:val="21"/>
              </w:rPr>
              <w:fldChar w:fldCharType="end"/>
            </w:r>
            <w:r>
              <w:rPr>
                <w:rFonts w:hint="eastAsia" w:ascii="宋体" w:hAnsi="宋体" w:cs="仿宋_GB2312"/>
                <w:color w:val="auto"/>
                <w:szCs w:val="21"/>
              </w:rPr>
              <w:t>培训体系比较完善，略有不足但不影响项目实施的得2分；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\o\ac(○,3)</w:instrText>
            </w:r>
            <w:r>
              <w:rPr>
                <w:rFonts w:hint="eastAsia" w:ascii="宋体" w:hAnsi="宋体" w:cs="仿宋_GB2312"/>
                <w:color w:val="auto"/>
                <w:szCs w:val="21"/>
              </w:rPr>
              <w:fldChar w:fldCharType="end"/>
            </w:r>
            <w:r>
              <w:rPr>
                <w:rFonts w:hint="eastAsia" w:ascii="宋体" w:hAnsi="宋体" w:cs="仿宋_GB2312"/>
                <w:color w:val="auto"/>
                <w:szCs w:val="21"/>
              </w:rPr>
              <w:t>培训体系不够完善的得1分；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\o\ac(○,4)</w:instrText>
            </w:r>
            <w:r>
              <w:rPr>
                <w:rFonts w:hint="eastAsia" w:ascii="宋体" w:hAnsi="宋体" w:cs="仿宋_GB2312"/>
                <w:color w:val="auto"/>
                <w:szCs w:val="21"/>
              </w:rPr>
              <w:fldChar w:fldCharType="end"/>
            </w:r>
            <w:r>
              <w:rPr>
                <w:rFonts w:hint="eastAsia" w:ascii="宋体" w:hAnsi="宋体" w:cs="仿宋_GB2312"/>
                <w:color w:val="auto"/>
                <w:szCs w:val="21"/>
              </w:rPr>
              <w:t>培训体系不完善，不利于项目实施的得0分。</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3</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color w:val="auto"/>
                <w:szCs w:val="21"/>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color w:val="auto"/>
                <w:szCs w:val="21"/>
              </w:rPr>
            </w:pPr>
          </w:p>
        </w:tc>
        <w:tc>
          <w:tcPr>
            <w:tcW w:w="5316" w:type="dxa"/>
            <w:tcBorders>
              <w:top w:val="single" w:color="auto" w:sz="4" w:space="0"/>
              <w:left w:val="single" w:color="auto" w:sz="4" w:space="0"/>
              <w:right w:val="single" w:color="auto" w:sz="4" w:space="0"/>
            </w:tcBorders>
            <w:vAlign w:val="center"/>
          </w:tcPr>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t>（</w:t>
            </w:r>
            <w:r>
              <w:rPr>
                <w:rFonts w:ascii="宋体" w:hAnsi="宋体" w:cs="仿宋_GB2312"/>
                <w:color w:val="auto"/>
                <w:szCs w:val="21"/>
              </w:rPr>
              <w:t>2</w:t>
            </w:r>
            <w:r>
              <w:rPr>
                <w:rFonts w:hint="eastAsia" w:ascii="宋体" w:hAnsi="宋体" w:cs="仿宋_GB2312"/>
                <w:color w:val="auto"/>
                <w:szCs w:val="21"/>
              </w:rPr>
              <w:t>）根据投标人提供的项目保密相关规章制度和保障措施完整性、合理性情况进行评议：</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\o\ac(○,1)</w:instrText>
            </w:r>
            <w:r>
              <w:rPr>
                <w:rFonts w:hint="eastAsia" w:ascii="宋体" w:hAnsi="宋体" w:cs="仿宋_GB2312"/>
                <w:color w:val="auto"/>
                <w:szCs w:val="21"/>
              </w:rPr>
              <w:fldChar w:fldCharType="end"/>
            </w:r>
            <w:r>
              <w:rPr>
                <w:rFonts w:hint="eastAsia" w:ascii="宋体" w:hAnsi="宋体" w:cs="仿宋_GB2312"/>
                <w:color w:val="auto"/>
                <w:szCs w:val="21"/>
              </w:rPr>
              <w:t>保密措施内容清晰、考虑全面、防范泄密的措施可靠、单位保密制度完善，满足项目实施需求的得3分；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\o\ac(○,2)</w:instrText>
            </w:r>
            <w:r>
              <w:rPr>
                <w:rFonts w:hint="eastAsia" w:ascii="宋体" w:hAnsi="宋体" w:cs="仿宋_GB2312"/>
                <w:color w:val="auto"/>
                <w:szCs w:val="21"/>
              </w:rPr>
              <w:fldChar w:fldCharType="end"/>
            </w:r>
            <w:r>
              <w:rPr>
                <w:rFonts w:hint="eastAsia" w:ascii="宋体" w:hAnsi="宋体" w:cs="仿宋_GB2312"/>
                <w:color w:val="auto"/>
                <w:szCs w:val="21"/>
              </w:rPr>
              <w:t>保密措施内容基本清晰、措施基本全面、防范泄密有一定措施、单位保密制基本完善，基本满足项目实施需求的得2分；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\o\ac(○,3)</w:instrText>
            </w:r>
            <w:r>
              <w:rPr>
                <w:rFonts w:hint="eastAsia" w:ascii="宋体" w:hAnsi="宋体" w:cs="仿宋_GB2312"/>
                <w:color w:val="auto"/>
                <w:szCs w:val="21"/>
              </w:rPr>
              <w:fldChar w:fldCharType="end"/>
            </w:r>
            <w:r>
              <w:rPr>
                <w:rFonts w:hint="eastAsia" w:ascii="宋体" w:hAnsi="宋体" w:cs="仿宋_GB2312"/>
                <w:color w:val="auto"/>
                <w:szCs w:val="21"/>
              </w:rPr>
              <w:t>保密措施内容不够清晰、措施片面、防范泄密的措施一般、单位保密制不完善，不能满足项目实施的得1分；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\o\ac(○,4)</w:instrText>
            </w:r>
            <w:r>
              <w:rPr>
                <w:rFonts w:hint="eastAsia" w:ascii="宋体" w:hAnsi="宋体" w:cs="仿宋_GB2312"/>
                <w:color w:val="auto"/>
                <w:szCs w:val="21"/>
              </w:rPr>
              <w:fldChar w:fldCharType="end"/>
            </w:r>
            <w:r>
              <w:rPr>
                <w:rFonts w:hint="eastAsia" w:ascii="宋体" w:hAnsi="宋体" w:cs="仿宋_GB2312"/>
                <w:color w:val="auto"/>
                <w:szCs w:val="21"/>
              </w:rPr>
              <w:t>保密措施内容简单、无可靠的防范泄密的措施的得0分。</w:t>
            </w:r>
          </w:p>
        </w:tc>
        <w:tc>
          <w:tcPr>
            <w:tcW w:w="740"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3</w:t>
            </w:r>
          </w:p>
        </w:tc>
        <w:tc>
          <w:tcPr>
            <w:tcW w:w="992"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color w:val="auto"/>
                <w:szCs w:val="21"/>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color w:val="auto"/>
                <w:szCs w:val="21"/>
              </w:rPr>
            </w:pPr>
          </w:p>
        </w:tc>
        <w:tc>
          <w:tcPr>
            <w:tcW w:w="5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t>（</w:t>
            </w:r>
            <w:r>
              <w:rPr>
                <w:rFonts w:ascii="宋体" w:hAnsi="宋体" w:cs="仿宋_GB2312"/>
                <w:color w:val="auto"/>
                <w:szCs w:val="21"/>
              </w:rPr>
              <w:t>3</w:t>
            </w:r>
            <w:r>
              <w:rPr>
                <w:rFonts w:hint="eastAsia" w:ascii="宋体" w:hAnsi="宋体" w:cs="仿宋_GB2312"/>
                <w:color w:val="auto"/>
                <w:szCs w:val="21"/>
              </w:rPr>
              <w:t>）服务质量保证措施（是否有明确的服务质量目标，是否有详细质量保证工序，是否有详细质量保证措施），根据提供的质量保证措施内容进行评议：</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\o\ac(○,1)</w:instrText>
            </w:r>
            <w:r>
              <w:rPr>
                <w:rFonts w:hint="eastAsia" w:ascii="宋体" w:hAnsi="宋体" w:cs="仿宋_GB2312"/>
                <w:color w:val="auto"/>
                <w:szCs w:val="21"/>
              </w:rPr>
              <w:fldChar w:fldCharType="end"/>
            </w:r>
            <w:r>
              <w:rPr>
                <w:rFonts w:hint="eastAsia" w:ascii="宋体" w:hAnsi="宋体" w:cs="仿宋_GB2312"/>
                <w:color w:val="auto"/>
                <w:szCs w:val="21"/>
              </w:rPr>
              <w:t>每一项内容描述完整、措施有效、符合项目实际的得3分；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\o\ac(○,2)</w:instrText>
            </w:r>
            <w:r>
              <w:rPr>
                <w:rFonts w:hint="eastAsia" w:ascii="宋体" w:hAnsi="宋体" w:cs="仿宋_GB2312"/>
                <w:color w:val="auto"/>
                <w:szCs w:val="21"/>
              </w:rPr>
              <w:fldChar w:fldCharType="end"/>
            </w:r>
            <w:r>
              <w:rPr>
                <w:rFonts w:hint="eastAsia" w:ascii="宋体" w:hAnsi="宋体" w:cs="仿宋_GB2312"/>
                <w:color w:val="auto"/>
                <w:szCs w:val="21"/>
              </w:rPr>
              <w:t>每一项内容均有阐述，措施有效性相对一般但基本可以满足项目需求的得2分；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\o\ac(○,3)</w:instrText>
            </w:r>
            <w:r>
              <w:rPr>
                <w:rFonts w:hint="eastAsia" w:ascii="宋体" w:hAnsi="宋体" w:cs="仿宋_GB2312"/>
                <w:color w:val="auto"/>
                <w:szCs w:val="21"/>
              </w:rPr>
              <w:fldChar w:fldCharType="end"/>
            </w:r>
            <w:r>
              <w:rPr>
                <w:rFonts w:hint="eastAsia" w:ascii="宋体" w:hAnsi="宋体" w:cs="仿宋_GB2312"/>
                <w:color w:val="auto"/>
                <w:szCs w:val="21"/>
              </w:rPr>
              <w:t>内容虽然进行了阐述但并未贴合项目需求情况，或阐述的内容未包括细节或有效措施的得1分；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\o\ac(○,4)</w:instrText>
            </w:r>
            <w:r>
              <w:rPr>
                <w:rFonts w:hint="eastAsia" w:ascii="宋体" w:hAnsi="宋体" w:cs="仿宋_GB2312"/>
                <w:color w:val="auto"/>
                <w:szCs w:val="21"/>
              </w:rPr>
              <w:fldChar w:fldCharType="end"/>
            </w:r>
            <w:r>
              <w:rPr>
                <w:rFonts w:hint="eastAsia" w:ascii="宋体" w:hAnsi="宋体" w:cs="仿宋_GB2312"/>
                <w:color w:val="auto"/>
                <w:szCs w:val="21"/>
              </w:rPr>
              <w:t>未进行阐述或阐述内容无法满足项目需求的得0分。</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3</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4.3</w:t>
            </w:r>
          </w:p>
        </w:tc>
        <w:tc>
          <w:tcPr>
            <w:tcW w:w="8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仿宋_GB2312"/>
                <w:color w:val="auto"/>
                <w:szCs w:val="21"/>
              </w:rPr>
            </w:pPr>
            <w:r>
              <w:rPr>
                <w:rFonts w:hint="eastAsia" w:ascii="宋体" w:hAnsi="宋体" w:cs="仿宋_GB2312"/>
                <w:color w:val="auto"/>
                <w:szCs w:val="21"/>
              </w:rPr>
              <w:t>工作时间安排及配合方案</w:t>
            </w:r>
          </w:p>
        </w:tc>
        <w:tc>
          <w:tcPr>
            <w:tcW w:w="5316" w:type="dxa"/>
            <w:tcBorders>
              <w:top w:val="single" w:color="auto" w:sz="4" w:space="0"/>
              <w:left w:val="single" w:color="auto" w:sz="4" w:space="0"/>
              <w:right w:val="single" w:color="auto" w:sz="4" w:space="0"/>
            </w:tcBorders>
            <w:vAlign w:val="center"/>
          </w:tcPr>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t>针对本项目制定的工作部署及时间安排，考虑是否周全完整、切实可行情况进行评议：</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\o\ac(○,1)</w:instrText>
            </w:r>
            <w:r>
              <w:rPr>
                <w:rFonts w:hint="eastAsia" w:ascii="宋体" w:hAnsi="宋体" w:cs="仿宋_GB2312"/>
                <w:color w:val="auto"/>
                <w:szCs w:val="21"/>
              </w:rPr>
              <w:fldChar w:fldCharType="end"/>
            </w:r>
            <w:r>
              <w:rPr>
                <w:rFonts w:hint="eastAsia" w:ascii="宋体" w:hAnsi="宋体" w:cs="仿宋_GB2312"/>
                <w:color w:val="auto"/>
                <w:szCs w:val="21"/>
              </w:rPr>
              <w:t>工作部署及时间安排清楚、详细，考虑周全完整、切实可行，满足项目实施需求的得3分；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\o\ac(○,2)</w:instrText>
            </w:r>
            <w:r>
              <w:rPr>
                <w:rFonts w:hint="eastAsia" w:ascii="宋体" w:hAnsi="宋体" w:cs="仿宋_GB2312"/>
                <w:color w:val="auto"/>
                <w:szCs w:val="21"/>
              </w:rPr>
              <w:fldChar w:fldCharType="end"/>
            </w:r>
            <w:r>
              <w:rPr>
                <w:rFonts w:hint="eastAsia" w:ascii="宋体" w:hAnsi="宋体" w:cs="仿宋_GB2312"/>
                <w:color w:val="auto"/>
                <w:szCs w:val="21"/>
              </w:rPr>
              <w:t>工作部署及时间安排比较清楚，考虑比较全面、合理可行，基本满足项目实施需求的得2分；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\o\ac(○,3)</w:instrText>
            </w:r>
            <w:r>
              <w:rPr>
                <w:rFonts w:hint="eastAsia" w:ascii="宋体" w:hAnsi="宋体" w:cs="仿宋_GB2312"/>
                <w:color w:val="auto"/>
                <w:szCs w:val="21"/>
              </w:rPr>
              <w:fldChar w:fldCharType="end"/>
            </w:r>
            <w:r>
              <w:rPr>
                <w:rFonts w:hint="eastAsia" w:ascii="宋体" w:hAnsi="宋体" w:cs="仿宋_GB2312"/>
                <w:color w:val="auto"/>
                <w:szCs w:val="21"/>
              </w:rPr>
              <w:t>工作部署及时间安排简单或缺乏合理性，考虑不够周全或缺乏可行性，不能满足项目实施需求的得1分；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fldChar w:fldCharType="begin"/>
            </w:r>
            <w:r>
              <w:rPr>
                <w:rFonts w:hint="eastAsia" w:ascii="宋体" w:hAnsi="宋体" w:cs="仿宋_GB2312"/>
                <w:color w:val="auto"/>
                <w:szCs w:val="21"/>
              </w:rPr>
              <w:instrText xml:space="preserve"> eq \o\ac(○,4)</w:instrText>
            </w:r>
            <w:r>
              <w:rPr>
                <w:rFonts w:hint="eastAsia" w:ascii="宋体" w:hAnsi="宋体" w:cs="仿宋_GB2312"/>
                <w:color w:val="auto"/>
                <w:szCs w:val="21"/>
              </w:rPr>
              <w:fldChar w:fldCharType="end"/>
            </w:r>
            <w:r>
              <w:rPr>
                <w:rFonts w:hint="eastAsia" w:ascii="宋体" w:hAnsi="宋体" w:cs="仿宋_GB2312"/>
                <w:color w:val="auto"/>
                <w:szCs w:val="21"/>
              </w:rPr>
              <w:t>工作部署及时间安排极不合理的得0分。</w:t>
            </w:r>
          </w:p>
        </w:tc>
        <w:tc>
          <w:tcPr>
            <w:tcW w:w="740"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3</w:t>
            </w:r>
          </w:p>
        </w:tc>
        <w:tc>
          <w:tcPr>
            <w:tcW w:w="992"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4.4</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仿宋_GB2312"/>
                <w:color w:val="auto"/>
                <w:szCs w:val="21"/>
              </w:rPr>
            </w:pPr>
            <w:r>
              <w:rPr>
                <w:rFonts w:hint="eastAsia" w:ascii="宋体" w:hAnsi="宋体" w:cs="仿宋_GB2312"/>
                <w:color w:val="auto"/>
                <w:szCs w:val="21"/>
                <w:lang w:val="zh-CN"/>
              </w:rPr>
              <w:t>考点情况及机位落实保障</w:t>
            </w:r>
          </w:p>
        </w:tc>
        <w:tc>
          <w:tcPr>
            <w:tcW w:w="531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ascii="宋体" w:hAnsi="宋体"/>
                <w:color w:val="auto"/>
                <w:szCs w:val="21"/>
              </w:rPr>
            </w:pPr>
            <w:r>
              <w:rPr>
                <w:rFonts w:hint="eastAsia" w:ascii="宋体" w:hAnsi="宋体"/>
                <w:color w:val="auto"/>
                <w:szCs w:val="21"/>
              </w:rPr>
              <w:t>（1）考点与考试规模的匹配度：在考点的考试机位配置充足的前提下，考点数量≤</w:t>
            </w:r>
            <w:r>
              <w:rPr>
                <w:rFonts w:ascii="宋体" w:hAnsi="宋体"/>
                <w:color w:val="auto"/>
                <w:szCs w:val="21"/>
              </w:rPr>
              <w:t>7</w:t>
            </w:r>
            <w:r>
              <w:rPr>
                <w:rFonts w:hint="eastAsia" w:ascii="宋体" w:hAnsi="宋体"/>
                <w:color w:val="auto"/>
                <w:szCs w:val="21"/>
              </w:rPr>
              <w:t>个的得4分；在</w:t>
            </w:r>
            <w:r>
              <w:rPr>
                <w:rFonts w:ascii="宋体" w:hAnsi="宋体"/>
                <w:color w:val="auto"/>
                <w:szCs w:val="21"/>
              </w:rPr>
              <w:t>7</w:t>
            </w:r>
            <w:r>
              <w:rPr>
                <w:rFonts w:hint="eastAsia" w:ascii="宋体" w:hAnsi="宋体"/>
                <w:color w:val="auto"/>
                <w:szCs w:val="21"/>
              </w:rPr>
              <w:t>个的基础上每增加一个扣1分，考点数量≥1</w:t>
            </w:r>
            <w:r>
              <w:rPr>
                <w:rFonts w:ascii="宋体" w:hAnsi="宋体"/>
                <w:color w:val="auto"/>
                <w:szCs w:val="21"/>
              </w:rPr>
              <w:t>1</w:t>
            </w:r>
            <w:r>
              <w:rPr>
                <w:rFonts w:hint="eastAsia" w:ascii="宋体" w:hAnsi="宋体"/>
                <w:color w:val="auto"/>
                <w:szCs w:val="21"/>
              </w:rPr>
              <w:t>个得0分。</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仿宋_GB2312"/>
                <w:color w:val="auto"/>
                <w:szCs w:val="21"/>
                <w:lang w:val="zh-CN"/>
              </w:rPr>
            </w:pPr>
          </w:p>
        </w:tc>
        <w:tc>
          <w:tcPr>
            <w:tcW w:w="531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ascii="宋体" w:hAnsi="宋体"/>
                <w:color w:val="auto"/>
                <w:szCs w:val="21"/>
              </w:rPr>
            </w:pPr>
            <w:r>
              <w:rPr>
                <w:rFonts w:hint="eastAsia" w:ascii="宋体" w:hAnsi="宋体"/>
                <w:color w:val="auto"/>
                <w:szCs w:val="21"/>
              </w:rPr>
              <w:t>（2）交通便利度：根据投标人提供的上述“考点情况”提供的考点便利程度进行评议。投标人选取离考点最近的公交或地铁站，依据“百度地图”测算考点（学校大门）与最近的公交或地铁站的最短公路距离。考点与最近的公交或地铁站公路距离≤500米，每个考点得1分，最高得4分。</w:t>
            </w:r>
          </w:p>
          <w:p>
            <w:pPr>
              <w:snapToGrid w:val="0"/>
              <w:spacing w:line="276" w:lineRule="auto"/>
              <w:jc w:val="left"/>
              <w:rPr>
                <w:rFonts w:ascii="宋体" w:hAnsi="宋体"/>
                <w:color w:val="auto"/>
                <w:szCs w:val="21"/>
              </w:rPr>
            </w:pPr>
            <w:r>
              <w:rPr>
                <w:rFonts w:hint="eastAsia" w:ascii="宋体" w:hAnsi="宋体" w:cs="仿宋_GB2312"/>
                <w:color w:val="auto"/>
                <w:szCs w:val="21"/>
              </w:rPr>
              <w:t>证明材料：</w:t>
            </w:r>
            <w:r>
              <w:rPr>
                <w:rFonts w:hint="eastAsia" w:ascii="宋体" w:hAnsi="宋体"/>
                <w:color w:val="auto"/>
                <w:szCs w:val="21"/>
              </w:rPr>
              <w:t>投标文件内提供“百度地图”测算页面截图作为证明，未提供截图或者截图不清晰无法辨认的不得分。</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color w:val="auto"/>
                <w:szCs w:val="21"/>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color w:val="auto"/>
                <w:szCs w:val="21"/>
              </w:rPr>
            </w:pPr>
          </w:p>
        </w:tc>
        <w:tc>
          <w:tcPr>
            <w:tcW w:w="5316" w:type="dxa"/>
            <w:tcBorders>
              <w:top w:val="single" w:color="auto" w:sz="4" w:space="0"/>
              <w:left w:val="single" w:color="auto" w:sz="4" w:space="0"/>
              <w:right w:val="single" w:color="auto" w:sz="4" w:space="0"/>
            </w:tcBorders>
            <w:vAlign w:val="center"/>
          </w:tcPr>
          <w:p>
            <w:pPr>
              <w:spacing w:line="276" w:lineRule="auto"/>
              <w:rPr>
                <w:rFonts w:ascii="宋体" w:hAnsi="宋体"/>
                <w:color w:val="auto"/>
                <w:szCs w:val="21"/>
              </w:rPr>
            </w:pPr>
            <w:r>
              <w:rPr>
                <w:rFonts w:hint="eastAsia" w:ascii="宋体" w:hAnsi="宋体"/>
                <w:color w:val="auto"/>
                <w:szCs w:val="21"/>
              </w:rPr>
              <w:t>（3）考试机位编排率承诺：承诺考试机位编排率根据采购人的要求执行的得4分，不能满足或承诺附条件的不得分。</w:t>
            </w:r>
          </w:p>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rPr>
              <w:t>证明材料：投标文件中提供承诺函。</w:t>
            </w:r>
          </w:p>
        </w:tc>
        <w:tc>
          <w:tcPr>
            <w:tcW w:w="740"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4</w:t>
            </w:r>
          </w:p>
        </w:tc>
        <w:tc>
          <w:tcPr>
            <w:tcW w:w="992"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lang w:val="zh-CN"/>
              </w:rPr>
              <w:t>4.5</w:t>
            </w:r>
          </w:p>
        </w:tc>
        <w:tc>
          <w:tcPr>
            <w:tcW w:w="8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cs="仿宋_GB2312"/>
                <w:color w:val="auto"/>
                <w:szCs w:val="21"/>
              </w:rPr>
            </w:pPr>
            <w:r>
              <w:rPr>
                <w:rFonts w:hint="eastAsia" w:ascii="宋体" w:hAnsi="宋体" w:cs="仿宋_GB2312"/>
                <w:color w:val="auto"/>
                <w:szCs w:val="21"/>
                <w:lang w:val="zh-CN"/>
              </w:rPr>
              <w:t>监考及巡考服务方案</w:t>
            </w:r>
          </w:p>
        </w:tc>
        <w:tc>
          <w:tcPr>
            <w:tcW w:w="5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color w:val="auto"/>
                <w:szCs w:val="21"/>
              </w:rPr>
            </w:pPr>
            <w:r>
              <w:rPr>
                <w:rFonts w:hint="eastAsia" w:ascii="宋体" w:hAnsi="宋体"/>
                <w:color w:val="auto"/>
                <w:szCs w:val="21"/>
              </w:rPr>
              <w:t>根据监考、巡考服务方案的合理性、完整性、可行性进行评议：</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\o\ac(○,1)</w:instrText>
            </w:r>
            <w:r>
              <w:rPr>
                <w:rFonts w:hint="eastAsia" w:ascii="宋体" w:hAnsi="宋体"/>
                <w:color w:val="auto"/>
                <w:szCs w:val="21"/>
              </w:rPr>
              <w:fldChar w:fldCharType="end"/>
            </w:r>
            <w:r>
              <w:rPr>
                <w:rFonts w:hint="eastAsia" w:ascii="宋体" w:hAnsi="宋体"/>
                <w:color w:val="auto"/>
                <w:szCs w:val="21"/>
              </w:rPr>
              <w:t>方案完善、针对本项目制定方案，符合项目实际需求，切实可行的得4分；</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\o\ac(○,2)</w:instrText>
            </w:r>
            <w:r>
              <w:rPr>
                <w:rFonts w:hint="eastAsia" w:ascii="宋体" w:hAnsi="宋体"/>
                <w:color w:val="auto"/>
                <w:szCs w:val="21"/>
              </w:rPr>
              <w:fldChar w:fldCharType="end"/>
            </w:r>
            <w:r>
              <w:rPr>
                <w:rFonts w:hint="eastAsia" w:ascii="宋体" w:hAnsi="宋体"/>
                <w:color w:val="auto"/>
                <w:szCs w:val="21"/>
              </w:rPr>
              <w:t>方案比较完整，基本符合项目实际需求，比较合理、可行的得3分；</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\o\ac(○,3)</w:instrText>
            </w:r>
            <w:r>
              <w:rPr>
                <w:rFonts w:hint="eastAsia" w:ascii="宋体" w:hAnsi="宋体"/>
                <w:color w:val="auto"/>
                <w:szCs w:val="21"/>
              </w:rPr>
              <w:fldChar w:fldCharType="end"/>
            </w:r>
            <w:r>
              <w:rPr>
                <w:rFonts w:hint="eastAsia" w:ascii="宋体" w:hAnsi="宋体"/>
                <w:color w:val="auto"/>
                <w:szCs w:val="21"/>
              </w:rPr>
              <w:t>方案简单，没有针对项目制定方案，缺乏合理性或可行性的得1分；</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\o\ac(○,4)</w:instrText>
            </w:r>
            <w:r>
              <w:rPr>
                <w:rFonts w:hint="eastAsia" w:ascii="宋体" w:hAnsi="宋体"/>
                <w:color w:val="auto"/>
                <w:szCs w:val="21"/>
              </w:rPr>
              <w:fldChar w:fldCharType="end"/>
            </w:r>
            <w:r>
              <w:rPr>
                <w:rFonts w:hint="eastAsia" w:ascii="宋体" w:hAnsi="宋体"/>
                <w:color w:val="auto"/>
                <w:szCs w:val="21"/>
              </w:rPr>
              <w:t>未提供相关方案的</w:t>
            </w:r>
            <w:r>
              <w:rPr>
                <w:rFonts w:hint="eastAsia" w:ascii="宋体" w:hAnsi="宋体" w:cs="仿宋_GB2312"/>
                <w:color w:val="auto"/>
                <w:szCs w:val="21"/>
              </w:rPr>
              <w:t>得0分</w:t>
            </w:r>
            <w:r>
              <w:rPr>
                <w:rFonts w:hint="eastAsia" w:ascii="宋体" w:hAnsi="宋体"/>
                <w:color w:val="auto"/>
                <w:szCs w:val="21"/>
              </w:rPr>
              <w:t>。</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s="仿宋_GB2312"/>
                <w:color w:val="auto"/>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lang w:val="zh-CN"/>
              </w:rPr>
            </w:pPr>
            <w:r>
              <w:rPr>
                <w:rFonts w:hint="eastAsia" w:ascii="宋体" w:hAnsi="宋体" w:cs="仿宋_GB2312"/>
                <w:color w:val="auto"/>
                <w:szCs w:val="21"/>
                <w:lang w:val="zh-CN"/>
              </w:rPr>
              <w:t>5</w:t>
            </w:r>
          </w:p>
        </w:tc>
        <w:tc>
          <w:tcPr>
            <w:tcW w:w="62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color w:val="auto"/>
                <w:szCs w:val="21"/>
              </w:rPr>
            </w:pPr>
            <w:r>
              <w:rPr>
                <w:rFonts w:hint="eastAsia" w:ascii="宋体" w:hAnsi="宋体" w:cs="仿宋_GB2312"/>
                <w:color w:val="auto"/>
                <w:szCs w:val="21"/>
              </w:rPr>
              <w:t>安全保障及应急预案（15分）：</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lang w:val="zh-CN"/>
              </w:rPr>
            </w:pPr>
            <w:r>
              <w:rPr>
                <w:rFonts w:hint="eastAsia" w:ascii="宋体" w:hAnsi="宋体"/>
                <w:color w:val="auto"/>
                <w:szCs w:val="21"/>
              </w:rPr>
              <w:t>5.1</w:t>
            </w:r>
          </w:p>
        </w:tc>
        <w:tc>
          <w:tcPr>
            <w:tcW w:w="62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color w:val="auto"/>
                <w:szCs w:val="21"/>
              </w:rPr>
            </w:pPr>
            <w:r>
              <w:rPr>
                <w:rFonts w:hint="eastAsia" w:ascii="宋体" w:hAnsi="宋体"/>
                <w:color w:val="auto"/>
                <w:szCs w:val="21"/>
              </w:rPr>
              <w:t>根据投标人针对可能发生的考生溢出的应急预案及处置措施的完整性、合理性、可行性进行评议：</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\o\ac(○,1)</w:instrText>
            </w:r>
            <w:r>
              <w:rPr>
                <w:rFonts w:hint="eastAsia" w:ascii="宋体" w:hAnsi="宋体"/>
                <w:color w:val="auto"/>
                <w:szCs w:val="21"/>
              </w:rPr>
              <w:fldChar w:fldCharType="end"/>
            </w:r>
            <w:r>
              <w:rPr>
                <w:rFonts w:hint="eastAsia" w:ascii="宋体" w:hAnsi="宋体"/>
                <w:color w:val="auto"/>
                <w:szCs w:val="21"/>
              </w:rPr>
              <w:t>对突发事件进行了详细阐述，且方案完整合理、切实可行的得3分；</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\o\ac(○,2)</w:instrText>
            </w:r>
            <w:r>
              <w:rPr>
                <w:rFonts w:hint="eastAsia" w:ascii="宋体" w:hAnsi="宋体"/>
                <w:color w:val="auto"/>
                <w:szCs w:val="21"/>
              </w:rPr>
              <w:fldChar w:fldCharType="end"/>
            </w:r>
            <w:r>
              <w:rPr>
                <w:rFonts w:hint="eastAsia" w:ascii="宋体" w:hAnsi="宋体"/>
                <w:color w:val="auto"/>
                <w:szCs w:val="21"/>
              </w:rPr>
              <w:t>对突发事件进行了阐述，方案比较完整，合理可行的得2分；</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\o\ac(○,3)</w:instrText>
            </w:r>
            <w:r>
              <w:rPr>
                <w:rFonts w:hint="eastAsia" w:ascii="宋体" w:hAnsi="宋体"/>
                <w:color w:val="auto"/>
                <w:szCs w:val="21"/>
              </w:rPr>
              <w:fldChar w:fldCharType="end"/>
            </w:r>
            <w:r>
              <w:rPr>
                <w:rFonts w:hint="eastAsia" w:ascii="宋体" w:hAnsi="宋体"/>
                <w:color w:val="auto"/>
                <w:szCs w:val="21"/>
              </w:rPr>
              <w:t>突发事件阐述不完整、未贴合项目需求或方案不合理，可行性差的得1分；</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\o\ac(○,4)</w:instrText>
            </w:r>
            <w:r>
              <w:rPr>
                <w:rFonts w:hint="eastAsia" w:ascii="宋体" w:hAnsi="宋体"/>
                <w:color w:val="auto"/>
                <w:szCs w:val="21"/>
              </w:rPr>
              <w:fldChar w:fldCharType="end"/>
            </w:r>
            <w:r>
              <w:rPr>
                <w:rFonts w:hint="eastAsia" w:ascii="宋体" w:hAnsi="宋体"/>
                <w:color w:val="auto"/>
                <w:szCs w:val="21"/>
              </w:rPr>
              <w:t>未提供相关方案的得0分。</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3</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5.2</w:t>
            </w:r>
          </w:p>
        </w:tc>
        <w:tc>
          <w:tcPr>
            <w:tcW w:w="62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color w:val="auto"/>
                <w:szCs w:val="21"/>
              </w:rPr>
            </w:pPr>
            <w:r>
              <w:rPr>
                <w:rFonts w:hint="eastAsia" w:ascii="宋体" w:hAnsi="宋体"/>
                <w:color w:val="auto"/>
                <w:szCs w:val="21"/>
              </w:rPr>
              <w:t>根据投标人针对可能发生的停电、断网、病毒攻击的应急预案及处置措施的完整性、合理性、可行性进行评议：</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\o\ac(○,1)</w:instrText>
            </w:r>
            <w:r>
              <w:rPr>
                <w:rFonts w:hint="eastAsia" w:ascii="宋体" w:hAnsi="宋体"/>
                <w:color w:val="auto"/>
                <w:szCs w:val="21"/>
              </w:rPr>
              <w:fldChar w:fldCharType="end"/>
            </w:r>
            <w:r>
              <w:rPr>
                <w:rFonts w:hint="eastAsia" w:ascii="宋体" w:hAnsi="宋体"/>
                <w:color w:val="auto"/>
                <w:szCs w:val="21"/>
              </w:rPr>
              <w:t>对突发事件都进行了详细阐述，且方案完整合理、切实可行的得5分；</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\o\ac(○,2)</w:instrText>
            </w:r>
            <w:r>
              <w:rPr>
                <w:rFonts w:hint="eastAsia" w:ascii="宋体" w:hAnsi="宋体"/>
                <w:color w:val="auto"/>
                <w:szCs w:val="21"/>
              </w:rPr>
              <w:fldChar w:fldCharType="end"/>
            </w:r>
            <w:r>
              <w:rPr>
                <w:rFonts w:hint="eastAsia" w:ascii="宋体" w:hAnsi="宋体"/>
                <w:color w:val="auto"/>
                <w:szCs w:val="21"/>
              </w:rPr>
              <w:t>对突发事件进行了阐述，方案比较完整，合理可行的得</w:t>
            </w:r>
            <w:r>
              <w:rPr>
                <w:rFonts w:ascii="宋体" w:hAnsi="宋体"/>
                <w:color w:val="auto"/>
                <w:szCs w:val="21"/>
              </w:rPr>
              <w:t>3.5</w:t>
            </w:r>
            <w:r>
              <w:rPr>
                <w:rFonts w:hint="eastAsia" w:ascii="宋体" w:hAnsi="宋体"/>
                <w:color w:val="auto"/>
                <w:szCs w:val="21"/>
              </w:rPr>
              <w:t>分；</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\o\ac(○,3)</w:instrText>
            </w:r>
            <w:r>
              <w:rPr>
                <w:rFonts w:hint="eastAsia" w:ascii="宋体" w:hAnsi="宋体"/>
                <w:color w:val="auto"/>
                <w:szCs w:val="21"/>
              </w:rPr>
              <w:fldChar w:fldCharType="end"/>
            </w:r>
            <w:r>
              <w:rPr>
                <w:rFonts w:hint="eastAsia" w:ascii="宋体" w:hAnsi="宋体"/>
                <w:color w:val="auto"/>
                <w:szCs w:val="21"/>
              </w:rPr>
              <w:t>对突发事件阐述不完整、未贴合项目需求或方案不合理，可行性差的得1分；</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\o\ac(○,4)</w:instrText>
            </w:r>
            <w:r>
              <w:rPr>
                <w:rFonts w:hint="eastAsia" w:ascii="宋体" w:hAnsi="宋体"/>
                <w:color w:val="auto"/>
                <w:szCs w:val="21"/>
              </w:rPr>
              <w:fldChar w:fldCharType="end"/>
            </w:r>
            <w:r>
              <w:rPr>
                <w:rFonts w:hint="eastAsia" w:ascii="宋体" w:hAnsi="宋体"/>
                <w:color w:val="auto"/>
                <w:szCs w:val="21"/>
              </w:rPr>
              <w:t>未提供相关方案的得0分。</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5</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5.3</w:t>
            </w:r>
          </w:p>
        </w:tc>
        <w:tc>
          <w:tcPr>
            <w:tcW w:w="620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left"/>
              <w:rPr>
                <w:rFonts w:ascii="宋体" w:hAnsi="宋体"/>
                <w:color w:val="auto"/>
                <w:szCs w:val="21"/>
              </w:rPr>
            </w:pPr>
            <w:r>
              <w:rPr>
                <w:rFonts w:hint="eastAsia" w:ascii="宋体" w:hAnsi="宋体"/>
                <w:color w:val="auto"/>
                <w:szCs w:val="21"/>
              </w:rPr>
              <w:t>根据投标人针对考试数据下载、数据上传异常的应急预案及处置措施的完整性、合理性、可靠性进行评议：</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\o\ac(○,1)</w:instrText>
            </w:r>
            <w:r>
              <w:rPr>
                <w:rFonts w:hint="eastAsia" w:ascii="宋体" w:hAnsi="宋体"/>
                <w:color w:val="auto"/>
                <w:szCs w:val="21"/>
              </w:rPr>
              <w:fldChar w:fldCharType="end"/>
            </w:r>
            <w:r>
              <w:rPr>
                <w:rFonts w:hint="eastAsia" w:ascii="宋体" w:hAnsi="宋体"/>
                <w:color w:val="auto"/>
                <w:szCs w:val="21"/>
              </w:rPr>
              <w:t>对突发事件都进行了详细阐述，且方案完整合理、切实可行的得4分；</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\o\ac(○,2)</w:instrText>
            </w:r>
            <w:r>
              <w:rPr>
                <w:rFonts w:hint="eastAsia" w:ascii="宋体" w:hAnsi="宋体"/>
                <w:color w:val="auto"/>
                <w:szCs w:val="21"/>
              </w:rPr>
              <w:fldChar w:fldCharType="end"/>
            </w:r>
            <w:r>
              <w:rPr>
                <w:rFonts w:hint="eastAsia" w:ascii="宋体" w:hAnsi="宋体"/>
                <w:color w:val="auto"/>
                <w:szCs w:val="21"/>
              </w:rPr>
              <w:t>对突发事件进行了阐述，方案比较完整，合理可行的得</w:t>
            </w:r>
            <w:r>
              <w:rPr>
                <w:rFonts w:ascii="宋体" w:hAnsi="宋体"/>
                <w:color w:val="auto"/>
                <w:szCs w:val="21"/>
              </w:rPr>
              <w:t>2.5</w:t>
            </w:r>
            <w:r>
              <w:rPr>
                <w:rFonts w:hint="eastAsia" w:ascii="宋体" w:hAnsi="宋体"/>
                <w:color w:val="auto"/>
                <w:szCs w:val="21"/>
              </w:rPr>
              <w:t>分；</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\o\ac(○,3)</w:instrText>
            </w:r>
            <w:r>
              <w:rPr>
                <w:rFonts w:hint="eastAsia" w:ascii="宋体" w:hAnsi="宋体"/>
                <w:color w:val="auto"/>
                <w:szCs w:val="21"/>
              </w:rPr>
              <w:fldChar w:fldCharType="end"/>
            </w:r>
            <w:r>
              <w:rPr>
                <w:rFonts w:hint="eastAsia" w:ascii="宋体" w:hAnsi="宋体"/>
                <w:color w:val="auto"/>
                <w:szCs w:val="21"/>
              </w:rPr>
              <w:t>突发事件阐述不完整、未贴合项目需求或方案不合理，可行性差的得1分；</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\o\ac(○,4)</w:instrText>
            </w:r>
            <w:r>
              <w:rPr>
                <w:rFonts w:hint="eastAsia" w:ascii="宋体" w:hAnsi="宋体"/>
                <w:color w:val="auto"/>
                <w:szCs w:val="21"/>
              </w:rPr>
              <w:fldChar w:fldCharType="end"/>
            </w:r>
            <w:r>
              <w:rPr>
                <w:rFonts w:hint="eastAsia" w:ascii="宋体" w:hAnsi="宋体"/>
                <w:color w:val="auto"/>
                <w:szCs w:val="21"/>
              </w:rPr>
              <w:t>未提供相关方案的得0分。</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s="仿宋_GB2312"/>
                <w:color w:val="auto"/>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5.4</w:t>
            </w:r>
          </w:p>
        </w:tc>
        <w:tc>
          <w:tcPr>
            <w:tcW w:w="620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left"/>
              <w:rPr>
                <w:rFonts w:ascii="宋体" w:hAnsi="宋体"/>
                <w:color w:val="auto"/>
                <w:szCs w:val="21"/>
              </w:rPr>
            </w:pPr>
            <w:r>
              <w:rPr>
                <w:rFonts w:hint="eastAsia" w:ascii="宋体" w:hAnsi="宋体"/>
                <w:color w:val="auto"/>
                <w:szCs w:val="21"/>
              </w:rPr>
              <w:t>根据投标人针对考试当天各方面的后勤保障方案的完善性、合理性、可行性进行评议：</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\o\ac(○,1)</w:instrText>
            </w:r>
            <w:r>
              <w:rPr>
                <w:rFonts w:hint="eastAsia" w:ascii="宋体" w:hAnsi="宋体"/>
                <w:color w:val="auto"/>
                <w:szCs w:val="21"/>
              </w:rPr>
              <w:fldChar w:fldCharType="end"/>
            </w:r>
            <w:r>
              <w:rPr>
                <w:rFonts w:hint="eastAsia" w:ascii="宋体" w:hAnsi="宋体"/>
                <w:color w:val="auto"/>
                <w:szCs w:val="21"/>
              </w:rPr>
              <w:t>对后勤保障内容进行了详细阐述，且方案完善合理、可行性高的得3分；</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\o\ac(○,2)</w:instrText>
            </w:r>
            <w:r>
              <w:rPr>
                <w:rFonts w:hint="eastAsia" w:ascii="宋体" w:hAnsi="宋体"/>
                <w:color w:val="auto"/>
                <w:szCs w:val="21"/>
              </w:rPr>
              <w:fldChar w:fldCharType="end"/>
            </w:r>
            <w:r>
              <w:rPr>
                <w:rFonts w:hint="eastAsia" w:ascii="宋体" w:hAnsi="宋体"/>
                <w:color w:val="auto"/>
                <w:szCs w:val="21"/>
              </w:rPr>
              <w:t>对后勤保障内容进行了阐述，方案比较完善，合理,可行的得2分；</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\o\ac(○,3)</w:instrText>
            </w:r>
            <w:r>
              <w:rPr>
                <w:rFonts w:hint="eastAsia" w:ascii="宋体" w:hAnsi="宋体"/>
                <w:color w:val="auto"/>
                <w:szCs w:val="21"/>
              </w:rPr>
              <w:fldChar w:fldCharType="end"/>
            </w:r>
            <w:r>
              <w:rPr>
                <w:rFonts w:hint="eastAsia" w:ascii="宋体" w:hAnsi="宋体"/>
                <w:color w:val="auto"/>
                <w:szCs w:val="21"/>
              </w:rPr>
              <w:t>对后勤保障内容阐述不完善、未贴合项目需求或方案不合理，可行性差的得1分；</w:t>
            </w:r>
          </w:p>
          <w:p>
            <w:pPr>
              <w:adjustRightInd w:val="0"/>
              <w:snapToGrid w:val="0"/>
              <w:spacing w:line="276" w:lineRule="auto"/>
              <w:jc w:val="left"/>
              <w:rPr>
                <w:rFonts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\o\ac(○,4)</w:instrText>
            </w:r>
            <w:r>
              <w:rPr>
                <w:rFonts w:hint="eastAsia" w:ascii="宋体" w:hAnsi="宋体"/>
                <w:color w:val="auto"/>
                <w:szCs w:val="21"/>
              </w:rPr>
              <w:fldChar w:fldCharType="end"/>
            </w:r>
            <w:r>
              <w:rPr>
                <w:rFonts w:hint="eastAsia" w:ascii="宋体" w:hAnsi="宋体"/>
                <w:color w:val="auto"/>
                <w:szCs w:val="21"/>
              </w:rPr>
              <w:t>未提供相关方案的得0分。</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3</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s="仿宋_GB2312"/>
                <w:color w:val="auto"/>
                <w:szCs w:val="21"/>
              </w:rPr>
              <w:t>6</w:t>
            </w:r>
          </w:p>
        </w:tc>
        <w:tc>
          <w:tcPr>
            <w:tcW w:w="620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color w:val="auto"/>
                <w:szCs w:val="21"/>
              </w:rPr>
            </w:pPr>
            <w:r>
              <w:rPr>
                <w:rFonts w:hint="eastAsia" w:ascii="宋体" w:hAnsi="宋体" w:cs="宋体"/>
                <w:color w:val="auto"/>
                <w:szCs w:val="21"/>
              </w:rPr>
              <w:t>服务响应情况评议</w:t>
            </w:r>
            <w:r>
              <w:rPr>
                <w:rFonts w:hint="eastAsia" w:ascii="宋体" w:hAnsi="宋体" w:cs="仿宋_GB2312"/>
                <w:color w:val="auto"/>
                <w:szCs w:val="21"/>
              </w:rPr>
              <w:t>（</w:t>
            </w:r>
            <w:r>
              <w:rPr>
                <w:rFonts w:ascii="宋体" w:hAnsi="宋体" w:cs="仿宋_GB2312"/>
                <w:color w:val="auto"/>
                <w:szCs w:val="21"/>
              </w:rPr>
              <w:t>5</w:t>
            </w:r>
            <w:r>
              <w:rPr>
                <w:rFonts w:hint="eastAsia" w:ascii="宋体" w:hAnsi="宋体" w:cs="仿宋_GB2312"/>
                <w:color w:val="auto"/>
                <w:szCs w:val="21"/>
              </w:rPr>
              <w:t>分）：</w:t>
            </w:r>
          </w:p>
          <w:p>
            <w:pPr>
              <w:adjustRightInd w:val="0"/>
              <w:snapToGrid w:val="0"/>
              <w:rPr>
                <w:rFonts w:ascii="宋体" w:hAnsi="宋体"/>
                <w:color w:val="auto"/>
                <w:szCs w:val="21"/>
              </w:rPr>
            </w:pPr>
            <w:r>
              <w:rPr>
                <w:rFonts w:ascii="宋体" w:hAnsi="宋体"/>
                <w:color w:val="auto"/>
                <w:kern w:val="0"/>
                <w:szCs w:val="21"/>
              </w:rPr>
              <w:t>为保证</w:t>
            </w:r>
            <w:r>
              <w:rPr>
                <w:rFonts w:hint="eastAsia" w:ascii="宋体" w:hAnsi="宋体"/>
                <w:color w:val="auto"/>
                <w:kern w:val="0"/>
                <w:szCs w:val="21"/>
              </w:rPr>
              <w:t>投标人在合同</w:t>
            </w:r>
            <w:r>
              <w:rPr>
                <w:rFonts w:hint="eastAsia" w:ascii="宋体" w:hAnsi="宋体"/>
                <w:color w:val="auto"/>
                <w:szCs w:val="21"/>
              </w:rPr>
              <w:t>履行期间提供及时的现场服务响应，根据投标人提供的现场服务响应承诺时间进行评议。投标人的项目服务人员到达采购人办公地址提供现场服务响应的承诺时间&lt;</w:t>
            </w:r>
            <w:r>
              <w:rPr>
                <w:rFonts w:ascii="宋体" w:hAnsi="宋体"/>
                <w:color w:val="auto"/>
                <w:szCs w:val="21"/>
              </w:rPr>
              <w:t>60</w:t>
            </w:r>
            <w:r>
              <w:rPr>
                <w:rFonts w:hint="eastAsia" w:ascii="宋体" w:hAnsi="宋体"/>
                <w:color w:val="auto"/>
                <w:szCs w:val="21"/>
              </w:rPr>
              <w:t>分钟的得5分；</w:t>
            </w:r>
            <w:r>
              <w:rPr>
                <w:rFonts w:ascii="宋体" w:hAnsi="宋体"/>
                <w:color w:val="auto"/>
                <w:szCs w:val="21"/>
              </w:rPr>
              <w:t>时间</w:t>
            </w:r>
            <w:r>
              <w:rPr>
                <w:rFonts w:hint="eastAsia" w:ascii="宋体" w:hAnsi="宋体"/>
                <w:color w:val="auto"/>
                <w:szCs w:val="21"/>
              </w:rPr>
              <w:t>≥</w:t>
            </w:r>
            <w:r>
              <w:rPr>
                <w:rFonts w:ascii="宋体" w:hAnsi="宋体"/>
                <w:color w:val="auto"/>
                <w:szCs w:val="21"/>
              </w:rPr>
              <w:t>60</w:t>
            </w:r>
            <w:r>
              <w:rPr>
                <w:rFonts w:hint="eastAsia" w:ascii="宋体" w:hAnsi="宋体"/>
                <w:color w:val="auto"/>
                <w:szCs w:val="21"/>
              </w:rPr>
              <w:t>分钟，&lt;</w:t>
            </w:r>
            <w:r>
              <w:rPr>
                <w:rFonts w:ascii="宋体" w:hAnsi="宋体"/>
                <w:color w:val="auto"/>
                <w:szCs w:val="21"/>
              </w:rPr>
              <w:t>90</w:t>
            </w:r>
            <w:r>
              <w:rPr>
                <w:rFonts w:hint="eastAsia" w:ascii="宋体" w:hAnsi="宋体"/>
                <w:color w:val="auto"/>
                <w:szCs w:val="21"/>
              </w:rPr>
              <w:t>分钟</w:t>
            </w:r>
            <w:r>
              <w:rPr>
                <w:rFonts w:ascii="宋体" w:hAnsi="宋体"/>
                <w:color w:val="auto"/>
                <w:szCs w:val="21"/>
              </w:rPr>
              <w:t>的得</w:t>
            </w:r>
            <w:r>
              <w:rPr>
                <w:rFonts w:hint="eastAsia" w:ascii="宋体" w:hAnsi="宋体"/>
                <w:color w:val="auto"/>
                <w:szCs w:val="21"/>
              </w:rPr>
              <w:t>4</w:t>
            </w:r>
            <w:r>
              <w:rPr>
                <w:rFonts w:ascii="宋体" w:hAnsi="宋体"/>
                <w:color w:val="auto"/>
                <w:szCs w:val="21"/>
              </w:rPr>
              <w:t>分；时间</w:t>
            </w:r>
            <w:r>
              <w:rPr>
                <w:rFonts w:hint="eastAsia" w:ascii="宋体" w:hAnsi="宋体"/>
                <w:color w:val="auto"/>
                <w:szCs w:val="21"/>
              </w:rPr>
              <w:t>≥</w:t>
            </w:r>
            <w:r>
              <w:rPr>
                <w:rFonts w:ascii="宋体" w:hAnsi="宋体"/>
                <w:color w:val="auto"/>
                <w:szCs w:val="21"/>
              </w:rPr>
              <w:t>90</w:t>
            </w:r>
            <w:r>
              <w:rPr>
                <w:rFonts w:hint="eastAsia" w:ascii="宋体" w:hAnsi="宋体"/>
                <w:color w:val="auto"/>
                <w:szCs w:val="21"/>
              </w:rPr>
              <w:t>分钟</w:t>
            </w:r>
            <w:r>
              <w:rPr>
                <w:rFonts w:ascii="宋体" w:hAnsi="宋体"/>
                <w:color w:val="auto"/>
                <w:szCs w:val="21"/>
              </w:rPr>
              <w:t>，</w:t>
            </w:r>
            <w:r>
              <w:rPr>
                <w:rFonts w:hint="eastAsia" w:ascii="宋体" w:hAnsi="宋体"/>
                <w:color w:val="auto"/>
                <w:szCs w:val="21"/>
              </w:rPr>
              <w:t>&lt;</w:t>
            </w:r>
            <w:r>
              <w:rPr>
                <w:rFonts w:ascii="宋体" w:hAnsi="宋体"/>
                <w:color w:val="auto"/>
                <w:szCs w:val="21"/>
              </w:rPr>
              <w:t>120</w:t>
            </w:r>
            <w:r>
              <w:rPr>
                <w:rFonts w:hint="eastAsia" w:ascii="宋体" w:hAnsi="宋体"/>
                <w:color w:val="auto"/>
                <w:szCs w:val="21"/>
              </w:rPr>
              <w:t>分钟的</w:t>
            </w:r>
            <w:r>
              <w:rPr>
                <w:rFonts w:ascii="宋体" w:hAnsi="宋体"/>
                <w:color w:val="auto"/>
                <w:szCs w:val="21"/>
              </w:rPr>
              <w:t>，得</w:t>
            </w:r>
            <w:r>
              <w:rPr>
                <w:rFonts w:hint="eastAsia" w:ascii="宋体" w:hAnsi="宋体"/>
                <w:color w:val="auto"/>
                <w:szCs w:val="21"/>
              </w:rPr>
              <w:t>3</w:t>
            </w:r>
            <w:r>
              <w:rPr>
                <w:rFonts w:ascii="宋体" w:hAnsi="宋体"/>
                <w:color w:val="auto"/>
                <w:szCs w:val="21"/>
              </w:rPr>
              <w:t>分；时间</w:t>
            </w:r>
            <w:r>
              <w:rPr>
                <w:rFonts w:hint="eastAsia" w:ascii="宋体" w:hAnsi="宋体"/>
                <w:color w:val="auto"/>
                <w:szCs w:val="21"/>
              </w:rPr>
              <w:t>≥</w:t>
            </w:r>
            <w:r>
              <w:rPr>
                <w:rFonts w:ascii="宋体" w:hAnsi="宋体"/>
                <w:color w:val="auto"/>
                <w:szCs w:val="21"/>
              </w:rPr>
              <w:t>120</w:t>
            </w:r>
            <w:r>
              <w:rPr>
                <w:rFonts w:hint="eastAsia" w:ascii="宋体" w:hAnsi="宋体"/>
                <w:color w:val="auto"/>
                <w:szCs w:val="21"/>
              </w:rPr>
              <w:t>分钟，&lt;</w:t>
            </w:r>
            <w:r>
              <w:rPr>
                <w:rFonts w:ascii="宋体" w:hAnsi="宋体"/>
                <w:color w:val="auto"/>
                <w:szCs w:val="21"/>
              </w:rPr>
              <w:t>150</w:t>
            </w:r>
            <w:r>
              <w:rPr>
                <w:rFonts w:hint="eastAsia" w:ascii="宋体" w:hAnsi="宋体"/>
                <w:color w:val="auto"/>
                <w:szCs w:val="21"/>
              </w:rPr>
              <w:t>分钟</w:t>
            </w:r>
            <w:r>
              <w:rPr>
                <w:rFonts w:ascii="宋体" w:hAnsi="宋体"/>
                <w:color w:val="auto"/>
                <w:szCs w:val="21"/>
              </w:rPr>
              <w:t>的得2分</w:t>
            </w:r>
            <w:r>
              <w:rPr>
                <w:rFonts w:hint="eastAsia" w:ascii="宋体" w:hAnsi="宋体"/>
                <w:color w:val="auto"/>
                <w:szCs w:val="21"/>
              </w:rPr>
              <w:t>；</w:t>
            </w:r>
            <w:r>
              <w:rPr>
                <w:rFonts w:ascii="宋体" w:hAnsi="宋体"/>
                <w:color w:val="auto"/>
                <w:szCs w:val="21"/>
              </w:rPr>
              <w:t>时间</w:t>
            </w:r>
            <w:r>
              <w:rPr>
                <w:rFonts w:hint="eastAsia" w:ascii="宋体" w:hAnsi="宋体"/>
                <w:color w:val="auto"/>
                <w:szCs w:val="21"/>
              </w:rPr>
              <w:t>≥</w:t>
            </w:r>
            <w:r>
              <w:rPr>
                <w:rFonts w:ascii="宋体" w:hAnsi="宋体"/>
                <w:color w:val="auto"/>
                <w:szCs w:val="21"/>
              </w:rPr>
              <w:t>150</w:t>
            </w:r>
            <w:r>
              <w:rPr>
                <w:rFonts w:hint="eastAsia" w:ascii="宋体" w:hAnsi="宋体"/>
                <w:color w:val="auto"/>
                <w:szCs w:val="21"/>
              </w:rPr>
              <w:t>分钟，&lt;</w:t>
            </w:r>
            <w:r>
              <w:rPr>
                <w:rFonts w:ascii="宋体" w:hAnsi="宋体"/>
                <w:color w:val="auto"/>
                <w:szCs w:val="21"/>
              </w:rPr>
              <w:t>3小时的得</w:t>
            </w:r>
            <w:r>
              <w:rPr>
                <w:rFonts w:hint="eastAsia" w:ascii="宋体" w:hAnsi="宋体"/>
                <w:color w:val="auto"/>
                <w:szCs w:val="21"/>
              </w:rPr>
              <w:t>1</w:t>
            </w:r>
            <w:r>
              <w:rPr>
                <w:rFonts w:ascii="宋体" w:hAnsi="宋体"/>
                <w:color w:val="auto"/>
                <w:szCs w:val="21"/>
              </w:rPr>
              <w:t>分</w:t>
            </w:r>
            <w:r>
              <w:rPr>
                <w:rFonts w:hint="eastAsia" w:ascii="宋体" w:hAnsi="宋体"/>
                <w:color w:val="auto"/>
                <w:szCs w:val="21"/>
              </w:rPr>
              <w:t>；</w:t>
            </w:r>
            <w:r>
              <w:rPr>
                <w:rFonts w:ascii="宋体" w:hAnsi="宋体"/>
                <w:color w:val="auto"/>
                <w:szCs w:val="21"/>
              </w:rPr>
              <w:t>时间</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小时</w:t>
            </w:r>
            <w:r>
              <w:rPr>
                <w:rFonts w:ascii="宋体" w:hAnsi="宋体"/>
                <w:color w:val="auto"/>
                <w:szCs w:val="21"/>
              </w:rPr>
              <w:t>的不得分。</w:t>
            </w:r>
          </w:p>
          <w:p>
            <w:pPr>
              <w:adjustRightInd w:val="0"/>
              <w:snapToGrid w:val="0"/>
              <w:rPr>
                <w:rFonts w:ascii="宋体" w:hAnsi="宋体"/>
                <w:color w:val="auto"/>
                <w:szCs w:val="21"/>
              </w:rPr>
            </w:pPr>
            <w:r>
              <w:rPr>
                <w:rFonts w:ascii="宋体" w:hAnsi="宋体"/>
                <w:color w:val="auto"/>
                <w:szCs w:val="21"/>
              </w:rPr>
              <w:t>注：</w:t>
            </w:r>
            <w:r>
              <w:rPr>
                <w:rFonts w:hint="eastAsia" w:ascii="宋体" w:hAnsi="宋体"/>
                <w:color w:val="auto"/>
                <w:szCs w:val="21"/>
              </w:rPr>
              <w:t>投标文件内提供明确的现场服务响应时间承诺（承诺不得附条件，否则按照不得分处理），同时提供</w:t>
            </w:r>
            <w:r>
              <w:rPr>
                <w:rFonts w:ascii="宋体" w:hAnsi="宋体"/>
                <w:color w:val="auto"/>
                <w:szCs w:val="21"/>
              </w:rPr>
              <w:t>投标人</w:t>
            </w:r>
            <w:r>
              <w:rPr>
                <w:rFonts w:hint="eastAsia" w:ascii="宋体" w:hAnsi="宋体"/>
                <w:color w:val="auto"/>
                <w:szCs w:val="21"/>
              </w:rPr>
              <w:t>办公地点至采购人办公地点间</w:t>
            </w:r>
            <w:r>
              <w:rPr>
                <w:rFonts w:ascii="宋体" w:hAnsi="宋体"/>
                <w:color w:val="auto"/>
                <w:szCs w:val="21"/>
              </w:rPr>
              <w:t>交通路程的百度等导航地图规划测算数据作为</w:t>
            </w:r>
            <w:r>
              <w:rPr>
                <w:rFonts w:hint="eastAsia" w:ascii="宋体" w:hAnsi="宋体"/>
                <w:color w:val="auto"/>
                <w:szCs w:val="21"/>
              </w:rPr>
              <w:t>本项时间的计算</w:t>
            </w:r>
            <w:r>
              <w:rPr>
                <w:rFonts w:ascii="宋体" w:hAnsi="宋体"/>
                <w:color w:val="auto"/>
                <w:szCs w:val="21"/>
              </w:rPr>
              <w:t>依据。</w:t>
            </w:r>
            <w:r>
              <w:rPr>
                <w:rFonts w:hint="eastAsia" w:ascii="宋体" w:hAnsi="宋体"/>
                <w:color w:val="auto"/>
                <w:szCs w:val="21"/>
              </w:rPr>
              <w:t>投标人的办公地址与营业执照等机构登记证明材料的地址不一致的，投标文件内另外补充提供办公地址的证明材料，办公地址为投标人自有的提供产权证明复印件，租赁的提供租赁合同和产权证明的复印件，办公地点应为投标人的服务人员正式办公所在而非未正式使用的各种场所。承诺现场服务响应时间小于交通路</w:t>
            </w:r>
            <w:r>
              <w:rPr>
                <w:rFonts w:ascii="宋体" w:hAnsi="宋体"/>
                <w:color w:val="auto"/>
                <w:szCs w:val="21"/>
              </w:rPr>
              <w:t>程</w:t>
            </w:r>
            <w:r>
              <w:rPr>
                <w:rFonts w:hint="eastAsia" w:ascii="宋体" w:hAnsi="宋体"/>
                <w:color w:val="auto"/>
                <w:szCs w:val="21"/>
              </w:rPr>
              <w:t>时间的，按照交通路</w:t>
            </w:r>
            <w:r>
              <w:rPr>
                <w:rFonts w:ascii="宋体" w:hAnsi="宋体"/>
                <w:color w:val="auto"/>
                <w:szCs w:val="21"/>
              </w:rPr>
              <w:t>程</w:t>
            </w:r>
            <w:r>
              <w:rPr>
                <w:rFonts w:hint="eastAsia" w:ascii="宋体" w:hAnsi="宋体"/>
                <w:color w:val="auto"/>
                <w:szCs w:val="21"/>
              </w:rPr>
              <w:t>时间计算得分；承诺现场服务响应时间大于交通路</w:t>
            </w:r>
            <w:r>
              <w:rPr>
                <w:rFonts w:ascii="宋体" w:hAnsi="宋体"/>
                <w:color w:val="auto"/>
                <w:szCs w:val="21"/>
              </w:rPr>
              <w:t>程</w:t>
            </w:r>
            <w:r>
              <w:rPr>
                <w:rFonts w:hint="eastAsia" w:ascii="宋体" w:hAnsi="宋体"/>
                <w:color w:val="auto"/>
                <w:szCs w:val="21"/>
              </w:rPr>
              <w:t>时间的，按照承诺现场服务响应时间计算得分。不符合以上要求的不予计算得分。</w:t>
            </w:r>
          </w:p>
        </w:tc>
        <w:tc>
          <w:tcPr>
            <w:tcW w:w="74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jc w:val="center"/>
              <w:rPr>
                <w:color w:val="auto"/>
              </w:rPr>
            </w:pPr>
            <w:r>
              <w:rPr>
                <w:rFonts w:hint="eastAsia"/>
                <w:color w:val="auto"/>
              </w:rPr>
              <w:t>5</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color w:val="auto"/>
                <w:szCs w:val="21"/>
              </w:rPr>
            </w:pPr>
            <w:r>
              <w:rPr>
                <w:rFonts w:hint="eastAsia" w:ascii="宋体" w:hAnsi="宋体" w:cs="仿宋_GB2312"/>
                <w:color w:val="auto"/>
                <w:szCs w:val="21"/>
              </w:rPr>
              <w:t>7</w:t>
            </w:r>
          </w:p>
        </w:tc>
        <w:tc>
          <w:tcPr>
            <w:tcW w:w="6206" w:type="dxa"/>
            <w:gridSpan w:val="2"/>
            <w:tcBorders>
              <w:top w:val="single" w:color="auto" w:sz="4" w:space="0"/>
              <w:left w:val="single" w:color="auto" w:sz="4" w:space="0"/>
              <w:bottom w:val="single" w:color="auto" w:sz="4" w:space="0"/>
              <w:right w:val="single" w:color="auto" w:sz="4" w:space="0"/>
            </w:tcBorders>
          </w:tcPr>
          <w:p>
            <w:pPr>
              <w:spacing w:line="276" w:lineRule="auto"/>
              <w:jc w:val="left"/>
              <w:rPr>
                <w:rFonts w:ascii="宋体" w:hAnsi="宋体" w:cs="仿宋_GB2312"/>
                <w:color w:val="auto"/>
                <w:szCs w:val="21"/>
              </w:rPr>
            </w:pPr>
            <w:r>
              <w:rPr>
                <w:rFonts w:hint="eastAsia" w:ascii="宋体" w:hAnsi="宋体" w:cs="仿宋_GB2312"/>
                <w:color w:val="auto"/>
                <w:szCs w:val="21"/>
              </w:rPr>
              <w:t>本项目投标报价分为两部分，投标报价1为：会计专业技术初级资格无纸化考试每科次报价，投标报价2为：会计专业技术中级、高级资格无纸化考试每科次报价。</w:t>
            </w:r>
          </w:p>
          <w:p>
            <w:pPr>
              <w:spacing w:line="276" w:lineRule="auto"/>
              <w:jc w:val="left"/>
              <w:rPr>
                <w:rFonts w:ascii="宋体" w:hAnsi="宋体" w:cs="仿宋_GB2312"/>
                <w:color w:val="auto"/>
                <w:szCs w:val="21"/>
              </w:rPr>
            </w:pPr>
            <w:r>
              <w:rPr>
                <w:rFonts w:hint="eastAsia" w:ascii="宋体" w:hAnsi="宋体" w:cs="仿宋_GB2312"/>
                <w:color w:val="auto"/>
                <w:szCs w:val="21"/>
              </w:rPr>
              <w:t xml:space="preserve">有效投标报价的最低价作为评标基准价，其最低报价为满分；按［投标报价得分=（评标基准价1/投标报价1）* </w:t>
            </w:r>
            <w:r>
              <w:rPr>
                <w:rFonts w:ascii="宋体" w:hAnsi="宋体" w:cs="仿宋_GB2312"/>
                <w:color w:val="auto"/>
                <w:sz w:val="20"/>
                <w:szCs w:val="21"/>
              </w:rPr>
              <w:t>6</w:t>
            </w:r>
            <w:r>
              <w:rPr>
                <w:rFonts w:hint="eastAsia" w:ascii="宋体" w:hAnsi="宋体" w:cs="仿宋_GB2312"/>
                <w:color w:val="auto"/>
                <w:szCs w:val="21"/>
              </w:rPr>
              <w:t xml:space="preserve"> + （评标基准价2/投标报价2）*</w:t>
            </w:r>
            <w:r>
              <w:rPr>
                <w:rFonts w:ascii="宋体" w:hAnsi="宋体" w:cs="仿宋_GB2312"/>
                <w:color w:val="auto"/>
                <w:sz w:val="20"/>
                <w:szCs w:val="21"/>
              </w:rPr>
              <w:t>6</w:t>
            </w:r>
            <w:r>
              <w:rPr>
                <w:rFonts w:hint="eastAsia" w:ascii="宋体" w:hAnsi="宋体" w:cs="仿宋_GB2312"/>
                <w:color w:val="auto"/>
                <w:szCs w:val="21"/>
              </w:rPr>
              <w:t>］的计算公式计算。</w:t>
            </w:r>
          </w:p>
          <w:p>
            <w:pPr>
              <w:widowControl/>
              <w:shd w:val="clear" w:color="auto" w:fill="FFFFFF"/>
              <w:spacing w:line="276" w:lineRule="auto"/>
              <w:jc w:val="left"/>
              <w:rPr>
                <w:rFonts w:ascii="宋体" w:hAnsi="宋体" w:cs="仿宋_GB2312"/>
                <w:color w:val="auto"/>
                <w:szCs w:val="21"/>
              </w:rPr>
            </w:pPr>
            <w:r>
              <w:rPr>
                <w:rFonts w:hint="eastAsia" w:ascii="宋体" w:hAnsi="宋体" w:cs="仿宋_GB2312"/>
                <w:color w:val="auto"/>
                <w:szCs w:val="21"/>
              </w:rPr>
              <w:t>评标过程中，不得去掉报价中的最高报价和最低报价。</w:t>
            </w:r>
          </w:p>
        </w:tc>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outlineLvl w:val="0"/>
              <w:rPr>
                <w:rFonts w:ascii="宋体" w:hAnsi="宋体"/>
                <w:color w:val="auto"/>
                <w:szCs w:val="21"/>
              </w:rPr>
            </w:pPr>
            <w:r>
              <w:rPr>
                <w:rFonts w:ascii="宋体" w:hAnsi="宋体"/>
                <w:color w:val="auto"/>
                <w:sz w:val="20"/>
                <w:szCs w:val="21"/>
              </w:rPr>
              <w:t>12</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jc w:val="center"/>
              <w:outlineLvl w:val="0"/>
              <w:rPr>
                <w:rFonts w:ascii="宋体" w:hAnsi="宋体" w:cs="仿宋_GB2312"/>
                <w:color w:val="auto"/>
                <w:szCs w:val="21"/>
              </w:rPr>
            </w:pPr>
          </w:p>
        </w:tc>
      </w:tr>
    </w:tbl>
    <w:p>
      <w:pPr>
        <w:widowControl/>
        <w:jc w:val="left"/>
        <w:rPr>
          <w:rFonts w:ascii="宋体" w:hAnsi="宋体"/>
          <w:color w:val="auto"/>
          <w:kern w:val="0"/>
          <w:sz w:val="28"/>
        </w:rPr>
      </w:pPr>
      <w:r>
        <w:rPr>
          <w:rFonts w:ascii="宋体" w:hAnsi="宋体"/>
          <w:color w:val="auto"/>
        </w:rPr>
        <w:br w:type="page"/>
      </w:r>
    </w:p>
    <w:p>
      <w:pPr>
        <w:pStyle w:val="3"/>
        <w:rPr>
          <w:rFonts w:ascii="宋体" w:hAnsi="宋体"/>
          <w:color w:val="auto"/>
        </w:rPr>
      </w:pPr>
      <w:bookmarkStart w:id="59" w:name="_Toc118452537"/>
      <w:bookmarkStart w:id="60" w:name="_Toc34844745"/>
      <w:r>
        <w:rPr>
          <w:rFonts w:hint="eastAsia" w:ascii="宋体" w:hAnsi="宋体"/>
          <w:color w:val="auto"/>
        </w:rPr>
        <w:t>第五章  合同文本</w:t>
      </w:r>
      <w:bookmarkEnd w:id="59"/>
      <w:bookmarkEnd w:id="60"/>
    </w:p>
    <w:p>
      <w:pPr>
        <w:pStyle w:val="25"/>
        <w:spacing w:beforeLines="0" w:afterLines="0" w:line="360" w:lineRule="auto"/>
        <w:ind w:firstLine="422" w:firstLineChars="201"/>
        <w:jc w:val="left"/>
        <w:rPr>
          <w:rFonts w:hAnsi="宋体" w:cs="宋体"/>
          <w:color w:val="auto"/>
          <w:sz w:val="21"/>
          <w:szCs w:val="21"/>
        </w:rPr>
      </w:pPr>
      <w:r>
        <w:rPr>
          <w:rFonts w:hint="eastAsia" w:hAnsi="宋体" w:cs="宋体"/>
          <w:color w:val="auto"/>
          <w:sz w:val="21"/>
          <w:szCs w:val="21"/>
        </w:rPr>
        <w:t>注：本合同文本为中标后签订合同的草案，有关条款和采购文件其他部分有冲突的，以其他部分约定为准，最终合同由宁波市财政局与经评审最终确定的中标人结合本项目具体情况协商后签订。</w:t>
      </w:r>
    </w:p>
    <w:p>
      <w:pPr>
        <w:spacing w:line="360" w:lineRule="auto"/>
        <w:jc w:val="center"/>
        <w:rPr>
          <w:rFonts w:ascii="宋体" w:hAnsi="宋体" w:cs="宋体"/>
          <w:b/>
          <w:color w:val="auto"/>
          <w:sz w:val="24"/>
          <w:szCs w:val="36"/>
        </w:rPr>
      </w:pPr>
      <w:r>
        <w:rPr>
          <w:rFonts w:hint="eastAsia" w:ascii="宋体" w:hAnsi="宋体" w:cs="宋体"/>
          <w:b/>
          <w:color w:val="auto"/>
          <w:sz w:val="24"/>
          <w:szCs w:val="36"/>
        </w:rPr>
        <w:t>全国会计专业技术资格无纸化考试宁波考区考务服务项目合同</w:t>
      </w:r>
    </w:p>
    <w:p>
      <w:pPr>
        <w:pStyle w:val="282"/>
        <w:spacing w:after="0"/>
        <w:ind w:left="0" w:leftChars="0" w:firstLine="0" w:firstLineChars="0"/>
        <w:rPr>
          <w:rFonts w:ascii="宋体" w:hAnsi="宋体" w:cs="宋体"/>
          <w:bCs/>
          <w:color w:val="auto"/>
          <w:sz w:val="21"/>
        </w:rPr>
      </w:pPr>
    </w:p>
    <w:p>
      <w:pPr>
        <w:pStyle w:val="282"/>
        <w:spacing w:after="0"/>
        <w:ind w:left="0" w:leftChars="0" w:firstLine="0" w:firstLineChars="0"/>
        <w:rPr>
          <w:rFonts w:ascii="宋体" w:hAnsi="宋体" w:cs="宋体"/>
          <w:bCs/>
          <w:color w:val="auto"/>
          <w:sz w:val="21"/>
        </w:rPr>
      </w:pPr>
      <w:r>
        <w:rPr>
          <w:rFonts w:hint="eastAsia" w:ascii="宋体" w:hAnsi="宋体" w:cs="宋体"/>
          <w:bCs/>
          <w:color w:val="auto"/>
          <w:sz w:val="21"/>
        </w:rPr>
        <w:t>项目编号：</w:t>
      </w:r>
      <w:r>
        <w:rPr>
          <w:rFonts w:ascii="宋体" w:hAnsi="宋体" w:cs="宋体"/>
          <w:bCs/>
          <w:color w:val="auto"/>
          <w:sz w:val="21"/>
        </w:rPr>
        <w:t>NBMC-20242037G</w:t>
      </w:r>
    </w:p>
    <w:p>
      <w:pPr>
        <w:pStyle w:val="282"/>
        <w:spacing w:after="0"/>
        <w:ind w:left="0" w:leftChars="0" w:firstLine="0" w:firstLineChars="0"/>
        <w:rPr>
          <w:rFonts w:ascii="宋体" w:hAnsi="宋体" w:cs="宋体"/>
          <w:bCs/>
          <w:color w:val="auto"/>
          <w:sz w:val="21"/>
          <w:u w:val="single"/>
        </w:rPr>
      </w:pPr>
      <w:r>
        <w:rPr>
          <w:rFonts w:hint="eastAsia" w:ascii="宋体" w:hAnsi="宋体" w:cs="宋体"/>
          <w:bCs/>
          <w:color w:val="auto"/>
          <w:sz w:val="21"/>
        </w:rPr>
        <w:t>甲方：宁波市财政局</w:t>
      </w:r>
    </w:p>
    <w:p>
      <w:pPr>
        <w:spacing w:line="360" w:lineRule="auto"/>
        <w:rPr>
          <w:rFonts w:ascii="宋体" w:hAnsi="宋体" w:cs="宋体"/>
          <w:bCs/>
          <w:color w:val="auto"/>
          <w:szCs w:val="21"/>
          <w:u w:val="single"/>
        </w:rPr>
      </w:pPr>
      <w:r>
        <w:rPr>
          <w:rFonts w:hint="eastAsia" w:ascii="宋体" w:hAnsi="宋体"/>
          <w:color w:val="auto"/>
          <w:szCs w:val="21"/>
          <w:lang w:val="zh-CN"/>
        </w:rPr>
        <w:t>乙方：</w:t>
      </w:r>
      <w:r>
        <w:rPr>
          <w:rFonts w:hint="eastAsia" w:ascii="宋体" w:hAnsi="宋体" w:cs="宋体"/>
          <w:bCs/>
          <w:color w:val="auto"/>
          <w:szCs w:val="21"/>
          <w:u w:val="single"/>
        </w:rPr>
        <w:t xml:space="preserve">            </w:t>
      </w:r>
    </w:p>
    <w:p>
      <w:pPr>
        <w:spacing w:line="360" w:lineRule="auto"/>
        <w:ind w:firstLine="420" w:firstLineChars="200"/>
        <w:rPr>
          <w:rFonts w:ascii="宋体" w:hAnsi="宋体"/>
          <w:color w:val="auto"/>
          <w:szCs w:val="21"/>
          <w:lang w:val="zh-CN"/>
        </w:rPr>
      </w:pPr>
    </w:p>
    <w:p>
      <w:pPr>
        <w:spacing w:line="360" w:lineRule="auto"/>
        <w:ind w:firstLine="420" w:firstLineChars="200"/>
        <w:rPr>
          <w:rFonts w:ascii="宋体" w:hAnsi="宋体"/>
          <w:color w:val="auto"/>
          <w:szCs w:val="21"/>
        </w:rPr>
      </w:pPr>
      <w:r>
        <w:rPr>
          <w:rFonts w:hint="eastAsia" w:ascii="宋体" w:hAnsi="宋体"/>
          <w:color w:val="auto"/>
          <w:szCs w:val="21"/>
          <w:lang w:val="zh-CN"/>
        </w:rPr>
        <w:t>2024年  月  日</w:t>
      </w:r>
      <w:r>
        <w:rPr>
          <w:rFonts w:hint="eastAsia" w:ascii="宋体" w:hAnsi="宋体"/>
          <w:color w:val="auto"/>
          <w:szCs w:val="21"/>
        </w:rPr>
        <w:t>，</w:t>
      </w:r>
      <w:r>
        <w:rPr>
          <w:rFonts w:hint="eastAsia" w:ascii="宋体" w:hAnsi="宋体" w:cs="宋体"/>
          <w:color w:val="auto"/>
          <w:szCs w:val="21"/>
          <w:u w:val="single"/>
        </w:rPr>
        <w:t xml:space="preserve">宁波市财政局 </w:t>
      </w:r>
      <w:r>
        <w:rPr>
          <w:rFonts w:hint="eastAsia" w:ascii="宋体" w:hAnsi="宋体"/>
          <w:color w:val="auto"/>
          <w:szCs w:val="21"/>
        </w:rPr>
        <w:t>以</w:t>
      </w:r>
      <w:r>
        <w:rPr>
          <w:rFonts w:hint="eastAsia" w:ascii="宋体" w:hAnsi="宋体"/>
          <w:color w:val="auto"/>
          <w:szCs w:val="21"/>
          <w:u w:val="single"/>
        </w:rPr>
        <w:t xml:space="preserve"> 公开招标 </w:t>
      </w:r>
      <w:r>
        <w:rPr>
          <w:rFonts w:hint="eastAsia" w:ascii="宋体" w:hAnsi="宋体"/>
          <w:color w:val="auto"/>
          <w:szCs w:val="21"/>
        </w:rPr>
        <w:t>方式对</w:t>
      </w:r>
      <w:r>
        <w:rPr>
          <w:rFonts w:hint="eastAsia" w:ascii="宋体" w:hAnsi="宋体" w:cs="宋体"/>
          <w:color w:val="auto"/>
          <w:szCs w:val="21"/>
          <w:u w:val="single"/>
        </w:rPr>
        <w:t>全国会计专业技术资格无纸化考试宁波考区考务服务项目</w:t>
      </w:r>
      <w:r>
        <w:rPr>
          <w:rFonts w:hint="eastAsia" w:ascii="宋体" w:hAnsi="宋体"/>
          <w:color w:val="auto"/>
          <w:szCs w:val="21"/>
        </w:rPr>
        <w:t>进行了采购。经</w:t>
      </w:r>
      <w:r>
        <w:rPr>
          <w:rFonts w:hint="eastAsia" w:ascii="宋体" w:hAnsi="宋体"/>
          <w:color w:val="auto"/>
          <w:szCs w:val="21"/>
          <w:u w:val="single"/>
        </w:rPr>
        <w:t xml:space="preserve"> 评标委员会 </w:t>
      </w:r>
      <w:r>
        <w:rPr>
          <w:rFonts w:hint="eastAsia" w:ascii="宋体" w:hAnsi="宋体"/>
          <w:color w:val="auto"/>
          <w:szCs w:val="21"/>
        </w:rPr>
        <w:t>评议，甲方确定</w:t>
      </w:r>
      <w:r>
        <w:rPr>
          <w:rFonts w:hint="eastAsia" w:ascii="宋体" w:hAnsi="宋体"/>
          <w:color w:val="auto"/>
          <w:szCs w:val="21"/>
          <w:u w:val="single"/>
        </w:rPr>
        <w:t xml:space="preserve"> </w:t>
      </w:r>
      <w:r>
        <w:rPr>
          <w:rFonts w:hint="eastAsia" w:ascii="宋体" w:hAnsi="宋体" w:cs="宋体"/>
          <w:color w:val="auto"/>
          <w:szCs w:val="21"/>
          <w:u w:val="single"/>
        </w:rPr>
        <w:t xml:space="preserve"> （中标人名称） </w:t>
      </w:r>
      <w:r>
        <w:rPr>
          <w:rFonts w:hint="eastAsia" w:ascii="宋体" w:hAnsi="宋体"/>
          <w:color w:val="auto"/>
          <w:szCs w:val="21"/>
        </w:rPr>
        <w:t>为该项目中标人。按照采购文件确定的事项签订本合同。</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根据《中华人民共和国民法典》《中华人民共和国政府采购法》等相关法律法规之规定，按照平等、自愿、公平和诚实信用的原则，经</w:t>
      </w:r>
      <w:r>
        <w:rPr>
          <w:rFonts w:hint="eastAsia" w:ascii="宋体" w:hAnsi="宋体" w:cs="宋体"/>
          <w:color w:val="auto"/>
          <w:szCs w:val="21"/>
          <w:u w:val="single"/>
        </w:rPr>
        <w:t xml:space="preserve">宁波市财政局 </w:t>
      </w:r>
      <w:r>
        <w:rPr>
          <w:rFonts w:hint="eastAsia" w:ascii="宋体" w:hAnsi="宋体"/>
          <w:color w:val="auto"/>
          <w:szCs w:val="21"/>
          <w:lang w:val="zh-CN"/>
        </w:rPr>
        <w:t>(以下简称：甲方)和</w:t>
      </w:r>
      <w:r>
        <w:rPr>
          <w:rFonts w:hint="eastAsia" w:ascii="宋体" w:hAnsi="宋体"/>
          <w:color w:val="auto"/>
          <w:szCs w:val="21"/>
          <w:u w:val="single"/>
        </w:rPr>
        <w:t xml:space="preserve">  </w:t>
      </w:r>
      <w:r>
        <w:rPr>
          <w:rFonts w:hint="eastAsia" w:ascii="宋体" w:hAnsi="宋体" w:cs="宋体"/>
          <w:color w:val="auto"/>
          <w:szCs w:val="21"/>
          <w:u w:val="single"/>
        </w:rPr>
        <w:t xml:space="preserve"> （中标人名称）  </w:t>
      </w:r>
      <w:r>
        <w:rPr>
          <w:rFonts w:hint="eastAsia" w:ascii="宋体" w:hAnsi="宋体"/>
          <w:color w:val="auto"/>
          <w:szCs w:val="21"/>
          <w:u w:val="single"/>
        </w:rPr>
        <w:t xml:space="preserve"> </w:t>
      </w:r>
      <w:r>
        <w:rPr>
          <w:rFonts w:hint="eastAsia" w:ascii="宋体" w:hAnsi="宋体"/>
          <w:color w:val="auto"/>
          <w:szCs w:val="21"/>
          <w:lang w:val="zh-CN"/>
        </w:rPr>
        <w:t>(以下简称：乙方)协商一致，约定以下合同条款，以兹共同遵守、全面履行。</w:t>
      </w:r>
    </w:p>
    <w:p>
      <w:pPr>
        <w:snapToGrid w:val="0"/>
        <w:spacing w:line="360" w:lineRule="auto"/>
        <w:ind w:firstLine="422" w:firstLineChars="200"/>
        <w:rPr>
          <w:rFonts w:ascii="宋体" w:hAnsi="宋体"/>
          <w:b/>
          <w:bCs/>
          <w:color w:val="auto"/>
          <w:szCs w:val="21"/>
          <w:lang w:val="zh-CN"/>
        </w:rPr>
      </w:pPr>
      <w:bookmarkStart w:id="61" w:name="_Toc28855"/>
      <w:bookmarkStart w:id="62" w:name="_Toc15367"/>
      <w:bookmarkStart w:id="63" w:name="_Toc19273"/>
      <w:bookmarkStart w:id="64" w:name="_Toc22967"/>
      <w:bookmarkStart w:id="65" w:name="_Toc20421"/>
      <w:r>
        <w:rPr>
          <w:rFonts w:hint="eastAsia" w:ascii="宋体" w:hAnsi="宋体"/>
          <w:b/>
          <w:bCs/>
          <w:color w:val="auto"/>
          <w:szCs w:val="21"/>
          <w:lang w:val="zh-CN"/>
        </w:rPr>
        <w:t>1、定义</w:t>
      </w:r>
    </w:p>
    <w:p>
      <w:pPr>
        <w:snapToGrid w:val="0"/>
        <w:spacing w:line="360" w:lineRule="auto"/>
        <w:ind w:firstLine="420" w:firstLineChars="200"/>
        <w:rPr>
          <w:rFonts w:ascii="宋体" w:hAnsi="宋体"/>
          <w:color w:val="auto"/>
          <w:szCs w:val="21"/>
          <w:lang w:val="zh-CN"/>
        </w:rPr>
      </w:pPr>
      <w:r>
        <w:rPr>
          <w:rFonts w:hint="eastAsia" w:ascii="宋体" w:hAnsi="宋体"/>
          <w:color w:val="auto"/>
          <w:szCs w:val="21"/>
          <w:lang w:val="zh-CN"/>
        </w:rPr>
        <w:t>在本合同中，除非上下文另有说明，下列词语分别具有本条所指含义：</w:t>
      </w:r>
    </w:p>
    <w:p>
      <w:pPr>
        <w:snapToGrid w:val="0"/>
        <w:spacing w:line="360" w:lineRule="auto"/>
        <w:ind w:firstLine="420" w:firstLineChars="200"/>
        <w:rPr>
          <w:rFonts w:ascii="宋体" w:hAnsi="宋体"/>
          <w:color w:val="auto"/>
          <w:szCs w:val="21"/>
          <w:lang w:val="zh-CN"/>
        </w:rPr>
      </w:pPr>
      <w:r>
        <w:rPr>
          <w:rFonts w:hint="eastAsia" w:ascii="宋体" w:hAnsi="宋体"/>
          <w:color w:val="auto"/>
          <w:szCs w:val="21"/>
          <w:lang w:val="zh-CN"/>
        </w:rPr>
        <w:t>1.1 “工作日”，指中国法定节假日之外的日期。</w:t>
      </w:r>
    </w:p>
    <w:p>
      <w:pPr>
        <w:snapToGrid w:val="0"/>
        <w:spacing w:line="360" w:lineRule="auto"/>
        <w:ind w:firstLine="420" w:firstLineChars="200"/>
        <w:rPr>
          <w:rFonts w:ascii="宋体" w:hAnsi="宋体"/>
          <w:color w:val="auto"/>
          <w:szCs w:val="21"/>
          <w:lang w:val="zh-CN"/>
        </w:rPr>
      </w:pPr>
      <w:r>
        <w:rPr>
          <w:rFonts w:hint="eastAsia" w:ascii="宋体" w:hAnsi="宋体"/>
          <w:color w:val="auto"/>
          <w:szCs w:val="21"/>
          <w:lang w:val="zh-CN"/>
        </w:rPr>
        <w:t>1.2 “年”，指日历年；一年按365天计算。</w:t>
      </w:r>
    </w:p>
    <w:p>
      <w:pPr>
        <w:snapToGrid w:val="0"/>
        <w:spacing w:line="360" w:lineRule="auto"/>
        <w:ind w:firstLine="420" w:firstLineChars="200"/>
        <w:rPr>
          <w:rFonts w:ascii="宋体" w:hAnsi="宋体"/>
          <w:color w:val="auto"/>
          <w:szCs w:val="21"/>
          <w:lang w:val="zh-CN"/>
        </w:rPr>
      </w:pPr>
      <w:r>
        <w:rPr>
          <w:rFonts w:hint="eastAsia" w:ascii="宋体" w:hAnsi="宋体"/>
          <w:color w:val="auto"/>
          <w:szCs w:val="21"/>
          <w:lang w:val="zh-CN"/>
        </w:rPr>
        <w:t>1.3 “元”，指中国法定货币人民币元。</w:t>
      </w:r>
    </w:p>
    <w:p>
      <w:pPr>
        <w:spacing w:line="360" w:lineRule="auto"/>
        <w:ind w:firstLine="422" w:firstLineChars="200"/>
        <w:rPr>
          <w:rFonts w:ascii="宋体" w:hAnsi="宋体"/>
          <w:color w:val="auto"/>
          <w:szCs w:val="21"/>
        </w:rPr>
      </w:pPr>
      <w:r>
        <w:rPr>
          <w:rFonts w:hint="eastAsia" w:ascii="宋体" w:hAnsi="宋体"/>
          <w:b/>
          <w:color w:val="auto"/>
          <w:szCs w:val="21"/>
        </w:rPr>
        <w:t>2、合同组成部分</w:t>
      </w:r>
      <w:bookmarkEnd w:id="61"/>
      <w:bookmarkEnd w:id="62"/>
      <w:bookmarkEnd w:id="63"/>
      <w:bookmarkEnd w:id="64"/>
      <w:bookmarkEnd w:id="65"/>
    </w:p>
    <w:p>
      <w:pPr>
        <w:spacing w:line="360" w:lineRule="auto"/>
        <w:ind w:firstLine="420" w:firstLineChars="200"/>
        <w:rPr>
          <w:rFonts w:ascii="宋体" w:hAnsi="宋体"/>
          <w:color w:val="auto"/>
          <w:szCs w:val="21"/>
        </w:rPr>
      </w:pPr>
      <w:r>
        <w:rPr>
          <w:rFonts w:hint="eastAsia" w:ascii="宋体" w:hAnsi="宋体"/>
          <w:color w:val="auto"/>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20" w:firstLineChars="200"/>
        <w:rPr>
          <w:rFonts w:ascii="宋体" w:hAnsi="宋体"/>
          <w:color w:val="auto"/>
          <w:szCs w:val="21"/>
        </w:rPr>
      </w:pPr>
      <w:r>
        <w:rPr>
          <w:rFonts w:hint="eastAsia" w:ascii="宋体" w:hAnsi="宋体"/>
          <w:color w:val="auto"/>
          <w:szCs w:val="21"/>
        </w:rPr>
        <w:t>2.1 本合同及其补充合同、变更协议；</w:t>
      </w:r>
    </w:p>
    <w:p>
      <w:pPr>
        <w:spacing w:line="360" w:lineRule="auto"/>
        <w:ind w:firstLine="420" w:firstLineChars="200"/>
        <w:rPr>
          <w:rFonts w:ascii="宋体" w:hAnsi="宋体"/>
          <w:color w:val="auto"/>
          <w:szCs w:val="21"/>
        </w:rPr>
      </w:pPr>
      <w:r>
        <w:rPr>
          <w:rFonts w:hint="eastAsia" w:ascii="宋体" w:hAnsi="宋体"/>
          <w:color w:val="auto"/>
          <w:szCs w:val="21"/>
        </w:rPr>
        <w:t>2.2 中标通知书；</w:t>
      </w:r>
    </w:p>
    <w:p>
      <w:pPr>
        <w:spacing w:line="360" w:lineRule="auto"/>
        <w:ind w:firstLine="420" w:firstLineChars="200"/>
        <w:rPr>
          <w:rFonts w:ascii="宋体" w:hAnsi="宋体"/>
          <w:color w:val="auto"/>
          <w:szCs w:val="21"/>
        </w:rPr>
      </w:pPr>
      <w:r>
        <w:rPr>
          <w:rFonts w:hint="eastAsia" w:ascii="宋体" w:hAnsi="宋体"/>
          <w:color w:val="auto"/>
          <w:szCs w:val="21"/>
        </w:rPr>
        <w:t>2.3 投标文件（含澄清或者说明文件）；</w:t>
      </w:r>
    </w:p>
    <w:p>
      <w:pPr>
        <w:spacing w:line="360" w:lineRule="auto"/>
        <w:ind w:firstLine="420" w:firstLineChars="200"/>
        <w:rPr>
          <w:rFonts w:ascii="宋体" w:hAnsi="宋体"/>
          <w:color w:val="auto"/>
          <w:szCs w:val="21"/>
        </w:rPr>
      </w:pPr>
      <w:r>
        <w:rPr>
          <w:rFonts w:hint="eastAsia" w:ascii="宋体" w:hAnsi="宋体"/>
          <w:color w:val="auto"/>
          <w:szCs w:val="21"/>
        </w:rPr>
        <w:t>2.4 招标文件（含澄清或者修改文件）；</w:t>
      </w:r>
    </w:p>
    <w:p>
      <w:pPr>
        <w:spacing w:line="360" w:lineRule="auto"/>
        <w:ind w:firstLine="420" w:firstLineChars="200"/>
        <w:rPr>
          <w:rFonts w:ascii="宋体" w:hAnsi="宋体"/>
          <w:color w:val="auto"/>
          <w:szCs w:val="21"/>
        </w:rPr>
      </w:pPr>
      <w:r>
        <w:rPr>
          <w:rFonts w:hint="eastAsia" w:ascii="宋体" w:hAnsi="宋体"/>
          <w:color w:val="auto"/>
          <w:szCs w:val="21"/>
        </w:rPr>
        <w:t>2.5 其他相关采购文件。</w:t>
      </w:r>
    </w:p>
    <w:p>
      <w:pPr>
        <w:spacing w:line="360" w:lineRule="auto"/>
        <w:ind w:firstLine="422" w:firstLineChars="200"/>
        <w:rPr>
          <w:rFonts w:ascii="宋体" w:hAnsi="宋体"/>
          <w:b/>
          <w:color w:val="auto"/>
          <w:szCs w:val="21"/>
        </w:rPr>
      </w:pPr>
      <w:bookmarkStart w:id="66" w:name="_Toc5635"/>
      <w:bookmarkStart w:id="67" w:name="_Toc13918"/>
      <w:bookmarkStart w:id="68" w:name="_Toc4929"/>
      <w:bookmarkStart w:id="69" w:name="_Toc1386"/>
      <w:bookmarkStart w:id="70" w:name="_Toc21124"/>
      <w:r>
        <w:rPr>
          <w:rFonts w:hint="eastAsia" w:ascii="宋体" w:hAnsi="宋体"/>
          <w:b/>
          <w:color w:val="auto"/>
          <w:szCs w:val="21"/>
        </w:rPr>
        <w:t>3、服务目标及内容</w:t>
      </w:r>
    </w:p>
    <w:p>
      <w:pPr>
        <w:spacing w:line="360" w:lineRule="auto"/>
        <w:ind w:firstLine="420" w:firstLineChars="200"/>
        <w:rPr>
          <w:rFonts w:ascii="宋体" w:hAnsi="宋体"/>
          <w:bCs/>
          <w:color w:val="auto"/>
          <w:szCs w:val="21"/>
        </w:rPr>
      </w:pPr>
      <w:r>
        <w:rPr>
          <w:rFonts w:hint="eastAsia" w:ascii="宋体" w:hAnsi="宋体"/>
          <w:bCs/>
          <w:color w:val="auto"/>
          <w:szCs w:val="21"/>
        </w:rPr>
        <w:t>3.1服务目标：</w:t>
      </w:r>
    </w:p>
    <w:p>
      <w:pPr>
        <w:spacing w:line="360" w:lineRule="auto"/>
        <w:ind w:firstLine="420" w:firstLineChars="200"/>
        <w:rPr>
          <w:rFonts w:ascii="宋体" w:hAnsi="宋体"/>
          <w:bCs/>
          <w:color w:val="auto"/>
          <w:szCs w:val="21"/>
        </w:rPr>
      </w:pPr>
      <w:r>
        <w:rPr>
          <w:rFonts w:hint="eastAsia" w:ascii="宋体" w:hAnsi="宋体"/>
          <w:bCs/>
          <w:color w:val="auto"/>
          <w:szCs w:val="21"/>
        </w:rPr>
        <w:t>为宁波市提供2024-2026年度全国会计专业技术初、中、高级资格无纸化考试考务服务。</w:t>
      </w:r>
    </w:p>
    <w:p>
      <w:pPr>
        <w:spacing w:line="360" w:lineRule="auto"/>
        <w:ind w:firstLine="420" w:firstLineChars="200"/>
        <w:rPr>
          <w:rFonts w:ascii="宋体" w:hAnsi="宋体"/>
          <w:bCs/>
          <w:color w:val="auto"/>
          <w:szCs w:val="21"/>
        </w:rPr>
      </w:pPr>
      <w:r>
        <w:rPr>
          <w:rFonts w:hint="eastAsia" w:ascii="宋体" w:hAnsi="宋体"/>
          <w:bCs/>
          <w:color w:val="auto"/>
          <w:szCs w:val="21"/>
        </w:rPr>
        <w:t>3.2服务内容：</w:t>
      </w:r>
    </w:p>
    <w:p>
      <w:pPr>
        <w:spacing w:line="360" w:lineRule="auto"/>
        <w:ind w:firstLine="420" w:firstLineChars="200"/>
        <w:rPr>
          <w:rFonts w:ascii="宋体" w:hAnsi="宋体"/>
          <w:bCs/>
          <w:color w:val="auto"/>
          <w:szCs w:val="21"/>
        </w:rPr>
      </w:pPr>
      <w:r>
        <w:rPr>
          <w:rFonts w:hint="eastAsia" w:ascii="宋体" w:hAnsi="宋体"/>
          <w:bCs/>
          <w:color w:val="auto"/>
          <w:szCs w:val="21"/>
        </w:rPr>
        <w:t>乙方负责做好考场考位保障、技术服务、安全保障、监考等工作，并接受甲方考核验收。甲方按合同约定向乙方支付相应的考试考务服务费用。</w:t>
      </w:r>
    </w:p>
    <w:p>
      <w:pPr>
        <w:spacing w:line="360" w:lineRule="auto"/>
        <w:ind w:firstLine="420" w:firstLineChars="200"/>
        <w:rPr>
          <w:rFonts w:ascii="宋体" w:hAnsi="宋体"/>
          <w:bCs/>
          <w:color w:val="auto"/>
          <w:szCs w:val="21"/>
        </w:rPr>
      </w:pPr>
      <w:r>
        <w:rPr>
          <w:rFonts w:hint="eastAsia" w:ascii="宋体" w:hAnsi="宋体"/>
          <w:bCs/>
          <w:color w:val="auto"/>
          <w:szCs w:val="21"/>
        </w:rPr>
        <w:t>乙方具体服务内容包括：</w:t>
      </w:r>
      <w:r>
        <w:rPr>
          <w:rFonts w:hint="eastAsia" w:ascii="宋体" w:hAnsi="宋体"/>
          <w:iCs/>
          <w:color w:val="auto"/>
          <w:szCs w:val="21"/>
        </w:rPr>
        <w:t>为全国会计专业技术资格无纸化考试宁波考区提供会计专业技术资格（初、中、高级）无纸化考试考务服务。成交供应商按照上级财政部门考务工作的要求，负责做好考试期间的考场考位保障、考试系统软件安装维护等技术服务、安全保障、疫情防控、监考（巡考）等考务服务工作，并接受采购人的管理和考核验收评价。</w:t>
      </w:r>
    </w:p>
    <w:p>
      <w:pPr>
        <w:spacing w:line="360" w:lineRule="auto"/>
        <w:ind w:firstLine="420" w:firstLineChars="200"/>
        <w:rPr>
          <w:rFonts w:ascii="宋体" w:hAnsi="宋体"/>
          <w:bCs/>
          <w:color w:val="auto"/>
          <w:szCs w:val="21"/>
        </w:rPr>
      </w:pPr>
      <w:r>
        <w:rPr>
          <w:rFonts w:hint="eastAsia" w:ascii="宋体" w:hAnsi="宋体"/>
          <w:bCs/>
          <w:color w:val="auto"/>
          <w:szCs w:val="21"/>
        </w:rPr>
        <w:t>具体服务内容以招标文件“第二章  采购需求”、乙方投标文件承诺内容及采购过程中的修改文件、澄清文件、说明文件等所涉及的服务内容为准，如遇特殊情况发生变化，须经甲方同意。</w:t>
      </w:r>
    </w:p>
    <w:p>
      <w:pPr>
        <w:spacing w:line="360" w:lineRule="auto"/>
        <w:ind w:firstLine="422" w:firstLineChars="200"/>
        <w:rPr>
          <w:rFonts w:ascii="宋体" w:hAnsi="宋体"/>
          <w:b/>
          <w:color w:val="auto"/>
          <w:szCs w:val="21"/>
        </w:rPr>
      </w:pPr>
      <w:r>
        <w:rPr>
          <w:rFonts w:hint="eastAsia" w:ascii="宋体" w:hAnsi="宋体"/>
          <w:b/>
          <w:color w:val="auto"/>
          <w:szCs w:val="21"/>
        </w:rPr>
        <w:t>4、技术资料</w:t>
      </w:r>
    </w:p>
    <w:p>
      <w:pPr>
        <w:spacing w:line="360" w:lineRule="auto"/>
        <w:ind w:firstLine="420" w:firstLineChars="200"/>
        <w:rPr>
          <w:rFonts w:ascii="宋体" w:hAnsi="宋体"/>
          <w:color w:val="auto"/>
          <w:szCs w:val="21"/>
        </w:rPr>
      </w:pPr>
      <w:r>
        <w:rPr>
          <w:rFonts w:hint="eastAsia" w:ascii="宋体" w:hAnsi="宋体"/>
          <w:color w:val="auto"/>
          <w:szCs w:val="21"/>
        </w:rPr>
        <w:t>4.1乙方应按要求向甲方提供有关技术资料。</w:t>
      </w:r>
    </w:p>
    <w:p>
      <w:pPr>
        <w:spacing w:line="360" w:lineRule="auto"/>
        <w:ind w:firstLine="420" w:firstLineChars="200"/>
        <w:rPr>
          <w:rFonts w:ascii="宋体" w:hAnsi="宋体"/>
          <w:color w:val="auto"/>
          <w:szCs w:val="21"/>
        </w:rPr>
      </w:pPr>
      <w:r>
        <w:rPr>
          <w:rFonts w:hint="eastAsia" w:ascii="宋体" w:hAnsi="宋体"/>
          <w:color w:val="auto"/>
          <w:szCs w:val="21"/>
        </w:rPr>
        <w:t>4.2未经甲方书面同意，乙方不得将由甲方提供的有关合同或任何合同条文、规格、计划或相关技术资料提供给与履行本合同无关的任何其他人。即使向履行本合同有关的人员提供，也应注意保密并限于履行合同的必需范围。</w:t>
      </w:r>
    </w:p>
    <w:p>
      <w:pPr>
        <w:spacing w:line="360" w:lineRule="auto"/>
        <w:ind w:firstLine="422" w:firstLineChars="200"/>
        <w:rPr>
          <w:rFonts w:ascii="宋体" w:hAnsi="宋体"/>
          <w:b/>
          <w:bCs/>
          <w:color w:val="auto"/>
          <w:szCs w:val="21"/>
        </w:rPr>
      </w:pPr>
      <w:r>
        <w:rPr>
          <w:rFonts w:hint="eastAsia" w:ascii="宋体" w:hAnsi="宋体"/>
          <w:b/>
          <w:bCs/>
          <w:color w:val="auto"/>
          <w:szCs w:val="21"/>
        </w:rPr>
        <w:t>5、知识产权</w:t>
      </w:r>
    </w:p>
    <w:p>
      <w:pPr>
        <w:spacing w:line="360" w:lineRule="auto"/>
        <w:ind w:firstLine="420" w:firstLineChars="200"/>
        <w:rPr>
          <w:rFonts w:ascii="宋体" w:hAnsi="宋体"/>
          <w:color w:val="auto"/>
          <w:szCs w:val="21"/>
        </w:rPr>
      </w:pPr>
      <w:r>
        <w:rPr>
          <w:rFonts w:hint="eastAsia" w:ascii="宋体" w:hAnsi="宋体"/>
          <w:color w:val="auto"/>
          <w:szCs w:val="21"/>
        </w:rPr>
        <w:t>乙方提供服务过程中不得侵犯任何第三方的知识产权，如果发生知识产权纠纷，则由乙方负责处理，甲方不承担责任。乙方应及时澄清相关信息，使甲方声誉免受损害，甲方保留追责的权利。</w:t>
      </w:r>
    </w:p>
    <w:p>
      <w:pPr>
        <w:spacing w:line="360" w:lineRule="auto"/>
        <w:ind w:firstLine="422" w:firstLineChars="200"/>
        <w:rPr>
          <w:rFonts w:ascii="宋体" w:hAnsi="宋体"/>
          <w:b/>
          <w:bCs/>
          <w:color w:val="auto"/>
          <w:szCs w:val="21"/>
        </w:rPr>
      </w:pPr>
      <w:r>
        <w:rPr>
          <w:rFonts w:hint="eastAsia" w:ascii="宋体" w:hAnsi="宋体"/>
          <w:b/>
          <w:bCs/>
          <w:color w:val="auto"/>
          <w:szCs w:val="21"/>
        </w:rPr>
        <w:t>6、转包或分包</w:t>
      </w:r>
    </w:p>
    <w:p>
      <w:pPr>
        <w:spacing w:line="360" w:lineRule="auto"/>
        <w:ind w:firstLine="420" w:firstLineChars="200"/>
        <w:rPr>
          <w:rFonts w:ascii="宋体" w:hAnsi="宋体"/>
          <w:color w:val="auto"/>
          <w:szCs w:val="21"/>
        </w:rPr>
      </w:pPr>
      <w:r>
        <w:rPr>
          <w:rFonts w:hint="eastAsia" w:ascii="宋体" w:hAnsi="宋体"/>
          <w:color w:val="auto"/>
          <w:szCs w:val="21"/>
        </w:rPr>
        <w:t>本合同范围的服务，应由乙方直接提供，不得以任何形式转包或分包，如有转包和分包行为，甲方有权解除合同，并追究乙方的违约责任。</w:t>
      </w:r>
    </w:p>
    <w:bookmarkEnd w:id="66"/>
    <w:bookmarkEnd w:id="67"/>
    <w:bookmarkEnd w:id="68"/>
    <w:bookmarkEnd w:id="69"/>
    <w:bookmarkEnd w:id="70"/>
    <w:p>
      <w:pPr>
        <w:spacing w:line="360" w:lineRule="auto"/>
        <w:ind w:firstLine="422" w:firstLineChars="200"/>
        <w:rPr>
          <w:rFonts w:ascii="宋体" w:hAnsi="宋体"/>
          <w:b/>
          <w:bCs/>
          <w:color w:val="auto"/>
          <w:szCs w:val="21"/>
        </w:rPr>
      </w:pPr>
      <w:r>
        <w:rPr>
          <w:rFonts w:hint="eastAsia" w:ascii="宋体" w:hAnsi="宋体"/>
          <w:b/>
          <w:bCs/>
          <w:color w:val="auto"/>
          <w:szCs w:val="21"/>
        </w:rPr>
        <w:t>7、违约责任</w:t>
      </w:r>
    </w:p>
    <w:p>
      <w:pPr>
        <w:spacing w:line="360" w:lineRule="auto"/>
        <w:ind w:firstLine="420" w:firstLineChars="200"/>
        <w:rPr>
          <w:rFonts w:ascii="宋体" w:hAnsi="宋体"/>
          <w:color w:val="auto"/>
          <w:szCs w:val="21"/>
        </w:rPr>
      </w:pPr>
      <w:r>
        <w:rPr>
          <w:rFonts w:hint="eastAsia" w:ascii="宋体" w:hAnsi="宋体"/>
          <w:color w:val="auto"/>
          <w:szCs w:val="21"/>
        </w:rPr>
        <w:t>7.1乙方未按合同要求执行所导致的质量及安全问题，由乙方负责处理解决并承担一切费用。</w:t>
      </w:r>
    </w:p>
    <w:p>
      <w:pPr>
        <w:spacing w:line="360" w:lineRule="auto"/>
        <w:ind w:firstLine="420" w:firstLineChars="200"/>
        <w:rPr>
          <w:rFonts w:ascii="宋体" w:hAnsi="宋体"/>
          <w:color w:val="auto"/>
          <w:szCs w:val="21"/>
        </w:rPr>
      </w:pPr>
      <w:r>
        <w:rPr>
          <w:rFonts w:hint="eastAsia" w:ascii="宋体" w:hAnsi="宋体"/>
          <w:color w:val="auto"/>
          <w:szCs w:val="21"/>
        </w:rPr>
        <w:t>7.2乙方在考务服务过程中，发生以下严重影响考试情况的情形，乙方考核验收评价结果不得评定为优秀，甲方有权取消乙方服务资格，同时乙方应向甲方支付合同总价30%的违约金，如造成甲方损失超过违约金的，超出部分由乙方继续承担赔偿责任，同时乙方还应当承担甲方为主张权利所支出的一切费用，包括但不限于诉讼费、律师费、保全费、担保费等。</w:t>
      </w:r>
    </w:p>
    <w:p>
      <w:pPr>
        <w:spacing w:line="360" w:lineRule="auto"/>
        <w:ind w:firstLine="420" w:firstLineChars="200"/>
        <w:rPr>
          <w:rFonts w:ascii="宋体" w:hAnsi="宋体"/>
          <w:color w:val="auto"/>
          <w:szCs w:val="21"/>
        </w:rPr>
      </w:pPr>
      <w:r>
        <w:rPr>
          <w:rFonts w:hint="eastAsia" w:ascii="宋体" w:hAnsi="宋体"/>
          <w:color w:val="auto"/>
          <w:szCs w:val="21"/>
        </w:rPr>
        <w:t>（1）发生泄露考务实施工作中应当保密信息的事件；</w:t>
      </w:r>
    </w:p>
    <w:p>
      <w:pPr>
        <w:spacing w:line="360" w:lineRule="auto"/>
        <w:ind w:firstLine="420" w:firstLineChars="200"/>
        <w:rPr>
          <w:rFonts w:ascii="宋体" w:hAnsi="宋体"/>
          <w:color w:val="auto"/>
          <w:szCs w:val="21"/>
        </w:rPr>
      </w:pPr>
      <w:r>
        <w:rPr>
          <w:rFonts w:hint="eastAsia" w:ascii="宋体" w:hAnsi="宋体"/>
          <w:color w:val="auto"/>
          <w:szCs w:val="21"/>
        </w:rPr>
        <w:t>（2）未经甲方同意擅自编排考场或实际编排考试机位数低于向甲方报备编排考试机位数的；</w:t>
      </w:r>
    </w:p>
    <w:p>
      <w:pPr>
        <w:spacing w:line="360" w:lineRule="auto"/>
        <w:ind w:firstLine="420" w:firstLineChars="200"/>
        <w:rPr>
          <w:rFonts w:ascii="宋体" w:hAnsi="宋体"/>
          <w:color w:val="auto"/>
          <w:szCs w:val="21"/>
        </w:rPr>
      </w:pPr>
      <w:r>
        <w:rPr>
          <w:rFonts w:hint="eastAsia" w:ascii="宋体" w:hAnsi="宋体"/>
          <w:color w:val="auto"/>
          <w:szCs w:val="21"/>
        </w:rPr>
        <w:t>（3）发生考生溢出无法如期参考情况的；</w:t>
      </w:r>
    </w:p>
    <w:p>
      <w:pPr>
        <w:spacing w:line="360" w:lineRule="auto"/>
        <w:ind w:firstLine="420" w:firstLineChars="200"/>
        <w:rPr>
          <w:rFonts w:ascii="宋体" w:hAnsi="宋体"/>
          <w:color w:val="auto"/>
          <w:szCs w:val="21"/>
        </w:rPr>
      </w:pPr>
      <w:r>
        <w:rPr>
          <w:rFonts w:hint="eastAsia" w:ascii="宋体" w:hAnsi="宋体"/>
          <w:color w:val="auto"/>
          <w:szCs w:val="21"/>
        </w:rPr>
        <w:t>（4）对重大突发事件隐瞒不报；</w:t>
      </w:r>
    </w:p>
    <w:p>
      <w:pPr>
        <w:spacing w:line="360" w:lineRule="auto"/>
        <w:ind w:firstLine="420" w:firstLineChars="200"/>
        <w:rPr>
          <w:rFonts w:ascii="宋体" w:hAnsi="宋体"/>
          <w:color w:val="auto"/>
          <w:szCs w:val="21"/>
        </w:rPr>
      </w:pPr>
      <w:r>
        <w:rPr>
          <w:rFonts w:hint="eastAsia" w:ascii="宋体" w:hAnsi="宋体"/>
          <w:color w:val="auto"/>
          <w:szCs w:val="21"/>
        </w:rPr>
        <w:t>（5）与其他技术服务公司产生纠纷导致影响考试工作的；</w:t>
      </w:r>
    </w:p>
    <w:p>
      <w:pPr>
        <w:spacing w:line="360" w:lineRule="auto"/>
        <w:ind w:firstLine="420" w:firstLineChars="200"/>
        <w:rPr>
          <w:rFonts w:ascii="宋体" w:hAnsi="宋体"/>
          <w:color w:val="auto"/>
          <w:szCs w:val="21"/>
        </w:rPr>
      </w:pPr>
      <w:r>
        <w:rPr>
          <w:rFonts w:hint="eastAsia" w:ascii="宋体" w:hAnsi="宋体"/>
          <w:color w:val="auto"/>
          <w:szCs w:val="21"/>
        </w:rPr>
        <w:t>（6）乙方出现任何形式转包或分包行为的；</w:t>
      </w:r>
    </w:p>
    <w:p>
      <w:pPr>
        <w:spacing w:line="360" w:lineRule="auto"/>
        <w:ind w:firstLine="420" w:firstLineChars="200"/>
        <w:rPr>
          <w:rFonts w:ascii="宋体" w:hAnsi="宋体"/>
          <w:color w:val="auto"/>
          <w:szCs w:val="21"/>
        </w:rPr>
      </w:pPr>
      <w:r>
        <w:rPr>
          <w:rFonts w:hint="eastAsia" w:ascii="宋体" w:hAnsi="宋体"/>
          <w:color w:val="auto"/>
          <w:szCs w:val="21"/>
        </w:rPr>
        <w:t>（7）对考试前期发现的严重问题未做整改导致影响考试工作正常进行的；</w:t>
      </w:r>
    </w:p>
    <w:p>
      <w:pPr>
        <w:spacing w:line="360" w:lineRule="auto"/>
        <w:ind w:firstLine="420" w:firstLineChars="200"/>
        <w:rPr>
          <w:rFonts w:ascii="宋体" w:hAnsi="宋体"/>
          <w:color w:val="auto"/>
          <w:szCs w:val="21"/>
        </w:rPr>
      </w:pPr>
      <w:r>
        <w:rPr>
          <w:rFonts w:hint="eastAsia" w:ascii="宋体" w:hAnsi="宋体"/>
          <w:color w:val="auto"/>
          <w:szCs w:val="21"/>
        </w:rPr>
        <w:t>（8）其他严重影响考试工作的情况。</w:t>
      </w:r>
    </w:p>
    <w:p>
      <w:pPr>
        <w:spacing w:line="360" w:lineRule="auto"/>
        <w:ind w:firstLine="422" w:firstLineChars="200"/>
        <w:rPr>
          <w:rFonts w:ascii="宋体" w:hAnsi="宋体"/>
          <w:b/>
          <w:color w:val="auto"/>
          <w:szCs w:val="21"/>
        </w:rPr>
      </w:pPr>
      <w:r>
        <w:rPr>
          <w:rFonts w:hint="eastAsia" w:ascii="宋体" w:hAnsi="宋体"/>
          <w:b/>
          <w:color w:val="auto"/>
          <w:szCs w:val="21"/>
        </w:rPr>
        <w:t>8、履行期限、地点及续签</w:t>
      </w:r>
    </w:p>
    <w:p>
      <w:pPr>
        <w:spacing w:line="360" w:lineRule="auto"/>
        <w:ind w:firstLine="420" w:firstLineChars="200"/>
        <w:rPr>
          <w:rFonts w:ascii="宋体" w:hAnsi="宋体"/>
          <w:bCs/>
          <w:color w:val="auto"/>
          <w:szCs w:val="21"/>
        </w:rPr>
      </w:pPr>
      <w:bookmarkStart w:id="71" w:name="_Hlk127193529"/>
      <w:r>
        <w:rPr>
          <w:rFonts w:hint="eastAsia" w:ascii="宋体" w:hAnsi="宋体"/>
          <w:bCs/>
          <w:color w:val="auto"/>
          <w:szCs w:val="21"/>
        </w:rPr>
        <w:t>8.1本合同履行期限：自合同签订之日起至当年度12月31日止。</w:t>
      </w:r>
    </w:p>
    <w:p>
      <w:pPr>
        <w:spacing w:line="360" w:lineRule="auto"/>
        <w:ind w:firstLine="420" w:firstLineChars="200"/>
        <w:rPr>
          <w:rFonts w:ascii="宋体" w:hAnsi="宋体"/>
          <w:bCs/>
          <w:color w:val="auto"/>
          <w:szCs w:val="21"/>
        </w:rPr>
      </w:pPr>
      <w:r>
        <w:rPr>
          <w:rFonts w:hint="eastAsia" w:ascii="宋体" w:hAnsi="宋体"/>
          <w:bCs/>
          <w:color w:val="auto"/>
          <w:szCs w:val="21"/>
        </w:rPr>
        <w:t>8.2本合同履约地点：浙江省宁波市。</w:t>
      </w:r>
    </w:p>
    <w:p>
      <w:pPr>
        <w:spacing w:line="360" w:lineRule="auto"/>
        <w:ind w:firstLine="420" w:firstLineChars="200"/>
        <w:rPr>
          <w:rFonts w:ascii="宋体" w:hAnsi="宋体"/>
          <w:bCs/>
          <w:color w:val="auto"/>
          <w:szCs w:val="21"/>
        </w:rPr>
      </w:pPr>
      <w:r>
        <w:rPr>
          <w:rFonts w:hint="eastAsia" w:ascii="宋体" w:hAnsi="宋体"/>
          <w:bCs/>
          <w:color w:val="auto"/>
          <w:szCs w:val="21"/>
        </w:rPr>
        <w:t>8.3乙方考务服务工作结束，经甲方考核验收评价优秀的，方可与甲方续签下一年度合同。</w:t>
      </w:r>
    </w:p>
    <w:bookmarkEnd w:id="71"/>
    <w:p>
      <w:pPr>
        <w:spacing w:line="360" w:lineRule="auto"/>
        <w:ind w:firstLine="422" w:firstLineChars="200"/>
        <w:rPr>
          <w:rFonts w:ascii="宋体" w:hAnsi="宋体"/>
          <w:b/>
          <w:bCs/>
          <w:color w:val="auto"/>
          <w:szCs w:val="21"/>
        </w:rPr>
      </w:pPr>
      <w:r>
        <w:rPr>
          <w:rFonts w:hint="eastAsia" w:ascii="宋体" w:hAnsi="宋体"/>
          <w:b/>
          <w:bCs/>
          <w:color w:val="auto"/>
          <w:szCs w:val="21"/>
        </w:rPr>
        <w:t>9、考核验收</w:t>
      </w:r>
    </w:p>
    <w:p>
      <w:pPr>
        <w:spacing w:line="360" w:lineRule="auto"/>
        <w:ind w:firstLine="420" w:firstLineChars="200"/>
        <w:rPr>
          <w:rFonts w:ascii="宋体" w:hAnsi="宋体"/>
          <w:b/>
          <w:bCs/>
          <w:color w:val="auto"/>
          <w:szCs w:val="21"/>
        </w:rPr>
      </w:pPr>
      <w:r>
        <w:rPr>
          <w:rFonts w:hint="eastAsia" w:ascii="宋体" w:hAnsi="宋体"/>
          <w:color w:val="auto"/>
        </w:rPr>
        <w:t>每次考试结束，在财政部公布当次考试成绩结果</w:t>
      </w:r>
      <w:r>
        <w:rPr>
          <w:rFonts w:hint="eastAsia" w:ascii="宋体" w:hAnsi="宋体"/>
          <w:color w:val="auto"/>
          <w:szCs w:val="21"/>
        </w:rPr>
        <w:t>后，按照《宁波市会计专业技术资格无纸化考试考务服务供应商履约考核验收评价办法》，由甲方对乙方考试考务服务工作进行考核验收，此考核验收评价办法及考核验收评价表格作为本合同的附件，与本合同具有同等法律效力。</w:t>
      </w:r>
    </w:p>
    <w:p>
      <w:pPr>
        <w:spacing w:line="360" w:lineRule="auto"/>
        <w:ind w:firstLine="420" w:firstLineChars="200"/>
        <w:rPr>
          <w:rFonts w:ascii="宋体" w:hAnsi="宋体"/>
          <w:b/>
          <w:bCs/>
          <w:color w:val="auto"/>
          <w:szCs w:val="21"/>
        </w:rPr>
      </w:pPr>
      <w:r>
        <w:rPr>
          <w:rFonts w:hint="eastAsia" w:ascii="宋体" w:hAnsi="宋体"/>
          <w:color w:val="auto"/>
          <w:szCs w:val="21"/>
        </w:rPr>
        <w:t>乙方应按要求向甲方报送考务工作总结报告及考务服务相关考核验收评价材料，甲方接收或者未对接收材料提出异议的，不视为免除或减轻乙方的责任，乙方仍应根据合同约定充分履行自身义务。</w:t>
      </w:r>
    </w:p>
    <w:p>
      <w:pPr>
        <w:spacing w:line="360" w:lineRule="auto"/>
        <w:ind w:firstLine="422" w:firstLineChars="200"/>
        <w:rPr>
          <w:rFonts w:ascii="宋体" w:hAnsi="宋体"/>
          <w:b/>
          <w:bCs/>
          <w:color w:val="auto"/>
          <w:szCs w:val="21"/>
        </w:rPr>
      </w:pPr>
      <w:r>
        <w:rPr>
          <w:rFonts w:hint="eastAsia" w:ascii="宋体" w:hAnsi="宋体"/>
          <w:b/>
          <w:bCs/>
          <w:color w:val="auto"/>
          <w:szCs w:val="21"/>
        </w:rPr>
        <w:t>10、合同金额及支付方式</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.1本合同为标准单价合同，中标单价为：会计专业技术初级资格无纸化考试</w:t>
      </w:r>
      <w:r>
        <w:rPr>
          <w:rFonts w:hint="eastAsia" w:ascii="宋体" w:hAnsi="宋体"/>
          <w:color w:val="auto"/>
          <w:szCs w:val="21"/>
          <w:u w:val="single"/>
        </w:rPr>
        <w:t xml:space="preserve">     </w:t>
      </w:r>
      <w:r>
        <w:rPr>
          <w:rFonts w:hint="eastAsia" w:ascii="宋体" w:hAnsi="宋体"/>
          <w:color w:val="auto"/>
          <w:szCs w:val="21"/>
        </w:rPr>
        <w:t>元/科次，会计专业技术中级、高级资格无纸化考试</w:t>
      </w:r>
      <w:r>
        <w:rPr>
          <w:rFonts w:hint="eastAsia" w:ascii="宋体" w:hAnsi="宋体"/>
          <w:color w:val="auto"/>
          <w:szCs w:val="21"/>
          <w:u w:val="single"/>
        </w:rPr>
        <w:t xml:space="preserve">     </w:t>
      </w:r>
      <w:r>
        <w:rPr>
          <w:rFonts w:hint="eastAsia" w:ascii="宋体" w:hAnsi="宋体"/>
          <w:color w:val="auto"/>
          <w:szCs w:val="21"/>
        </w:rPr>
        <w:t>元/科次。</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.2合同款支付：</w:t>
      </w:r>
    </w:p>
    <w:p>
      <w:pPr>
        <w:spacing w:line="360" w:lineRule="auto"/>
        <w:ind w:firstLine="420" w:firstLineChars="200"/>
        <w:rPr>
          <w:rFonts w:ascii="Calibri" w:hAnsi="Calibri"/>
          <w:color w:val="auto"/>
          <w:szCs w:val="20"/>
        </w:rPr>
      </w:pPr>
      <w:r>
        <w:rPr>
          <w:rFonts w:hint="eastAsia" w:ascii="宋体" w:hAnsi="宋体"/>
          <w:color w:val="auto"/>
        </w:rPr>
        <w:t>合同签订生效并具备实施条件后7个工作日内支付合同金额的</w:t>
      </w:r>
      <w:r>
        <w:rPr>
          <w:rFonts w:ascii="宋体" w:hAnsi="宋体"/>
          <w:color w:val="auto"/>
        </w:rPr>
        <w:t>70</w:t>
      </w:r>
      <w:r>
        <w:rPr>
          <w:rFonts w:hint="eastAsia" w:ascii="宋体" w:hAnsi="宋体"/>
          <w:color w:val="auto"/>
        </w:rPr>
        <w:t>%作为预付款；</w:t>
      </w:r>
    </w:p>
    <w:p>
      <w:pPr>
        <w:spacing w:line="360" w:lineRule="auto"/>
        <w:ind w:firstLine="420" w:firstLineChars="200"/>
        <w:rPr>
          <w:rFonts w:ascii="宋体" w:hAnsi="宋体"/>
          <w:color w:val="auto"/>
          <w:szCs w:val="21"/>
        </w:rPr>
      </w:pPr>
      <w:r>
        <w:rPr>
          <w:rFonts w:hint="eastAsia" w:ascii="宋体" w:hAnsi="宋体"/>
          <w:color w:val="auto"/>
          <w:szCs w:val="21"/>
        </w:rPr>
        <w:t>每次考试结束后，甲方依据考核评价结果及实际承担报名科次数，按约定结算公式计算服务费用，在收到乙方开具的对应金额的发票后，向乙方进行款项支付。</w:t>
      </w:r>
    </w:p>
    <w:p>
      <w:pPr>
        <w:spacing w:line="360" w:lineRule="auto"/>
        <w:ind w:firstLine="420" w:firstLineChars="200"/>
        <w:rPr>
          <w:rFonts w:ascii="宋体" w:hAnsi="宋体"/>
          <w:color w:val="auto"/>
          <w:szCs w:val="21"/>
        </w:rPr>
      </w:pPr>
      <w:r>
        <w:rPr>
          <w:rFonts w:hint="eastAsia" w:ascii="宋体" w:hAnsi="宋体"/>
          <w:color w:val="auto"/>
          <w:szCs w:val="21"/>
        </w:rPr>
        <w:t>考核结果得分≥95分的，应付考试服务费=中标单价×实际承担报名科次数。</w:t>
      </w:r>
    </w:p>
    <w:p>
      <w:pPr>
        <w:spacing w:line="360" w:lineRule="auto"/>
        <w:ind w:firstLine="420" w:firstLineChars="200"/>
        <w:rPr>
          <w:rFonts w:ascii="宋体" w:hAnsi="宋体"/>
          <w:color w:val="auto"/>
          <w:szCs w:val="21"/>
        </w:rPr>
      </w:pPr>
      <w:r>
        <w:rPr>
          <w:rFonts w:hint="eastAsia" w:ascii="宋体" w:hAnsi="宋体"/>
          <w:color w:val="auto"/>
          <w:szCs w:val="21"/>
        </w:rPr>
        <w:t>考核结果得分﹤95分的，应付考试服务费=中标单价×实际承担报名科次数×（考核验收评价得分÷100）。</w:t>
      </w:r>
    </w:p>
    <w:p>
      <w:pPr>
        <w:spacing w:line="360" w:lineRule="auto"/>
        <w:ind w:firstLine="420" w:firstLineChars="200"/>
        <w:rPr>
          <w:rFonts w:ascii="宋体" w:hAnsi="宋体"/>
          <w:color w:val="auto"/>
          <w:szCs w:val="21"/>
        </w:rPr>
      </w:pPr>
      <w:r>
        <w:rPr>
          <w:rFonts w:hint="eastAsia" w:ascii="宋体" w:hAnsi="宋体"/>
          <w:color w:val="auto"/>
        </w:rPr>
        <w:t>在财政部公布当次考试成绩结果存在雷同卷等违纪问题的，合同支付金额扣除当次考试应付考试服务费的1%。</w:t>
      </w:r>
    </w:p>
    <w:p>
      <w:pPr>
        <w:spacing w:line="360" w:lineRule="auto"/>
        <w:ind w:firstLine="420" w:firstLineChars="200"/>
        <w:rPr>
          <w:rFonts w:ascii="宋体" w:hAnsi="宋体"/>
          <w:color w:val="auto"/>
          <w:szCs w:val="21"/>
        </w:rPr>
      </w:pPr>
      <w:r>
        <w:rPr>
          <w:rFonts w:hint="eastAsia" w:ascii="宋体" w:hAnsi="宋体"/>
          <w:color w:val="auto"/>
          <w:szCs w:val="21"/>
        </w:rPr>
        <w:t>经计算，应支付的服务费未超过预付款时不进行后续合同款的支付。</w:t>
      </w:r>
    </w:p>
    <w:p>
      <w:pPr>
        <w:spacing w:line="360" w:lineRule="auto"/>
        <w:ind w:firstLine="420" w:firstLineChars="200"/>
        <w:rPr>
          <w:rFonts w:ascii="宋体" w:hAnsi="宋体"/>
          <w:color w:val="auto"/>
          <w:szCs w:val="21"/>
        </w:rPr>
      </w:pPr>
      <w:r>
        <w:rPr>
          <w:rFonts w:hint="eastAsia" w:ascii="宋体" w:hAnsi="宋体"/>
          <w:color w:val="auto"/>
          <w:szCs w:val="21"/>
        </w:rPr>
        <w:t>注：合同签订时，乙方明确表示无需预付款或者主动降低预付款比例的，甲方将根据情况调整预付款及后续合同款的支付。</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.3付款方式为【银行转账】，乙方银行账户信息：</w:t>
      </w:r>
    </w:p>
    <w:p>
      <w:pPr>
        <w:spacing w:line="360" w:lineRule="auto"/>
        <w:ind w:firstLine="420" w:firstLineChars="200"/>
        <w:rPr>
          <w:rFonts w:ascii="宋体" w:hAnsi="宋体"/>
          <w:color w:val="auto"/>
          <w:szCs w:val="21"/>
        </w:rPr>
      </w:pPr>
      <w:r>
        <w:rPr>
          <w:rFonts w:hint="eastAsia" w:ascii="宋体" w:hAnsi="宋体"/>
          <w:color w:val="auto"/>
          <w:szCs w:val="21"/>
        </w:rPr>
        <w:t>开户名：</w:t>
      </w:r>
    </w:p>
    <w:p>
      <w:pPr>
        <w:spacing w:line="360" w:lineRule="auto"/>
        <w:ind w:firstLine="420" w:firstLineChars="200"/>
        <w:rPr>
          <w:rFonts w:ascii="宋体" w:hAnsi="宋体"/>
          <w:color w:val="auto"/>
          <w:szCs w:val="21"/>
        </w:rPr>
      </w:pPr>
      <w:r>
        <w:rPr>
          <w:rFonts w:hint="eastAsia" w:ascii="宋体" w:hAnsi="宋体"/>
          <w:color w:val="auto"/>
          <w:szCs w:val="21"/>
        </w:rPr>
        <w:t>账号：</w:t>
      </w:r>
    </w:p>
    <w:p>
      <w:pPr>
        <w:spacing w:line="360" w:lineRule="auto"/>
        <w:ind w:firstLine="420" w:firstLineChars="200"/>
        <w:rPr>
          <w:rFonts w:ascii="宋体" w:hAnsi="宋体"/>
          <w:color w:val="auto"/>
          <w:szCs w:val="21"/>
        </w:rPr>
      </w:pPr>
      <w:r>
        <w:rPr>
          <w:rFonts w:hint="eastAsia" w:ascii="宋体" w:hAnsi="宋体"/>
          <w:color w:val="auto"/>
          <w:szCs w:val="21"/>
        </w:rPr>
        <w:t>开户银行：</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.4财政政策：</w:t>
      </w:r>
    </w:p>
    <w:p>
      <w:pPr>
        <w:spacing w:line="360" w:lineRule="auto"/>
        <w:ind w:firstLine="420" w:firstLineChars="200"/>
        <w:rPr>
          <w:rFonts w:ascii="宋体" w:hAnsi="宋体"/>
          <w:color w:val="auto"/>
          <w:szCs w:val="21"/>
        </w:rPr>
      </w:pPr>
      <w:r>
        <w:rPr>
          <w:rFonts w:hint="eastAsia" w:ascii="宋体" w:hAnsi="宋体"/>
          <w:color w:val="auto"/>
          <w:szCs w:val="21"/>
        </w:rPr>
        <w:t>付款按财政政策执行，因乙方迟延履行以及不符合财政资金支付时间要求等原因造成不能及时支付款的，甲方不承担责任。</w:t>
      </w:r>
    </w:p>
    <w:p>
      <w:pPr>
        <w:spacing w:line="360" w:lineRule="auto"/>
        <w:ind w:firstLine="422" w:firstLineChars="200"/>
        <w:rPr>
          <w:rFonts w:ascii="宋体" w:hAnsi="宋体"/>
          <w:b/>
          <w:color w:val="auto"/>
          <w:szCs w:val="21"/>
        </w:rPr>
      </w:pPr>
      <w:r>
        <w:rPr>
          <w:rFonts w:hint="eastAsia" w:ascii="宋体" w:hAnsi="宋体"/>
          <w:b/>
          <w:color w:val="auto"/>
          <w:szCs w:val="21"/>
        </w:rPr>
        <w:t>1</w:t>
      </w:r>
      <w:r>
        <w:rPr>
          <w:rFonts w:ascii="宋体" w:hAnsi="宋体"/>
          <w:b/>
          <w:color w:val="auto"/>
          <w:szCs w:val="21"/>
        </w:rPr>
        <w:t>1</w:t>
      </w:r>
      <w:r>
        <w:rPr>
          <w:rFonts w:hint="eastAsia" w:ascii="宋体" w:hAnsi="宋体"/>
          <w:b/>
          <w:color w:val="auto"/>
          <w:szCs w:val="21"/>
        </w:rPr>
        <w:t>、税费</w:t>
      </w:r>
    </w:p>
    <w:p>
      <w:pPr>
        <w:spacing w:line="360" w:lineRule="auto"/>
        <w:ind w:firstLine="420" w:firstLineChars="200"/>
        <w:rPr>
          <w:rFonts w:ascii="宋体" w:hAnsi="宋体"/>
          <w:color w:val="auto"/>
          <w:szCs w:val="21"/>
        </w:rPr>
      </w:pPr>
      <w:r>
        <w:rPr>
          <w:rFonts w:hint="eastAsia" w:ascii="宋体" w:hAnsi="宋体"/>
          <w:color w:val="auto"/>
          <w:szCs w:val="21"/>
        </w:rPr>
        <w:t>本合同执行中相关的一切税费均由乙方负担。</w:t>
      </w:r>
    </w:p>
    <w:p>
      <w:pPr>
        <w:spacing w:line="360" w:lineRule="auto"/>
        <w:ind w:firstLine="422" w:firstLineChars="200"/>
        <w:rPr>
          <w:rFonts w:ascii="宋体" w:hAnsi="宋体"/>
          <w:b/>
          <w:color w:val="auto"/>
          <w:szCs w:val="21"/>
        </w:rPr>
      </w:pPr>
      <w:r>
        <w:rPr>
          <w:rFonts w:hint="eastAsia" w:ascii="宋体" w:hAnsi="宋体"/>
          <w:b/>
          <w:color w:val="auto"/>
          <w:szCs w:val="21"/>
        </w:rPr>
        <w:t>1</w:t>
      </w:r>
      <w:r>
        <w:rPr>
          <w:rFonts w:ascii="宋体" w:hAnsi="宋体"/>
          <w:b/>
          <w:color w:val="auto"/>
          <w:szCs w:val="21"/>
        </w:rPr>
        <w:t>2</w:t>
      </w:r>
      <w:r>
        <w:rPr>
          <w:rFonts w:hint="eastAsia" w:ascii="宋体" w:hAnsi="宋体"/>
          <w:b/>
          <w:color w:val="auto"/>
          <w:szCs w:val="21"/>
        </w:rPr>
        <w:t>、质量保证</w:t>
      </w:r>
    </w:p>
    <w:p>
      <w:pPr>
        <w:spacing w:line="360" w:lineRule="auto"/>
        <w:ind w:firstLine="420" w:firstLineChars="200"/>
        <w:rPr>
          <w:rFonts w:ascii="宋体" w:hAnsi="宋体"/>
          <w:b/>
          <w:color w:val="auto"/>
          <w:szCs w:val="21"/>
        </w:rPr>
      </w:pPr>
      <w:r>
        <w:rPr>
          <w:rFonts w:hint="eastAsia" w:ascii="宋体" w:hAnsi="宋体"/>
          <w:color w:val="auto"/>
          <w:szCs w:val="21"/>
        </w:rPr>
        <w:t>乙方应按照宁波市财政局全国会计专业技术资格无纸化考试宁波考区考务服务项目（项目编号：</w:t>
      </w:r>
      <w:r>
        <w:rPr>
          <w:rFonts w:ascii="宋体" w:hAnsi="宋体"/>
          <w:color w:val="auto"/>
          <w:szCs w:val="21"/>
        </w:rPr>
        <w:t>NBMC-20242037G</w:t>
      </w:r>
      <w:r>
        <w:rPr>
          <w:rFonts w:hint="eastAsia" w:ascii="宋体" w:hAnsi="宋体"/>
          <w:color w:val="auto"/>
          <w:szCs w:val="21"/>
        </w:rPr>
        <w:t>）投标文件承诺本合同约定，向甲方提供考试考务服务。</w:t>
      </w:r>
    </w:p>
    <w:p>
      <w:pPr>
        <w:spacing w:line="360" w:lineRule="auto"/>
        <w:ind w:firstLine="422" w:firstLineChars="200"/>
        <w:rPr>
          <w:rFonts w:ascii="宋体" w:hAnsi="宋体"/>
          <w:b/>
          <w:bCs/>
          <w:color w:val="auto"/>
          <w:szCs w:val="21"/>
        </w:rPr>
      </w:pPr>
      <w:r>
        <w:rPr>
          <w:rFonts w:hint="eastAsia" w:ascii="宋体" w:hAnsi="宋体"/>
          <w:b/>
          <w:bCs/>
          <w:color w:val="auto"/>
          <w:szCs w:val="21"/>
        </w:rPr>
        <w:t>1</w:t>
      </w:r>
      <w:r>
        <w:rPr>
          <w:rFonts w:ascii="宋体" w:hAnsi="宋体"/>
          <w:b/>
          <w:bCs/>
          <w:color w:val="auto"/>
          <w:szCs w:val="21"/>
        </w:rPr>
        <w:t>3</w:t>
      </w:r>
      <w:r>
        <w:rPr>
          <w:rFonts w:hint="eastAsia" w:ascii="宋体" w:hAnsi="宋体"/>
          <w:b/>
          <w:bCs/>
          <w:color w:val="auto"/>
          <w:szCs w:val="21"/>
        </w:rPr>
        <w:t>、不可抗力事件处理</w:t>
      </w:r>
    </w:p>
    <w:p>
      <w:pPr>
        <w:spacing w:line="360" w:lineRule="auto"/>
        <w:ind w:firstLine="420" w:firstLineChars="200"/>
        <w:rPr>
          <w:rFonts w:ascii="宋体" w:hAnsi="宋体"/>
          <w:b/>
          <w:bCs/>
          <w:color w:val="auto"/>
          <w:szCs w:val="21"/>
        </w:rPr>
      </w:pPr>
      <w:r>
        <w:rPr>
          <w:rFonts w:hint="eastAsia" w:ascii="宋体" w:hAnsi="宋体"/>
          <w:color w:val="auto"/>
          <w:szCs w:val="21"/>
        </w:rPr>
        <w:t>1</w:t>
      </w:r>
      <w:r>
        <w:rPr>
          <w:rFonts w:ascii="宋体" w:hAnsi="宋体"/>
          <w:color w:val="auto"/>
          <w:szCs w:val="21"/>
        </w:rPr>
        <w:t>3</w:t>
      </w:r>
      <w:r>
        <w:rPr>
          <w:rFonts w:hint="eastAsia" w:ascii="宋体" w:hAnsi="宋体"/>
          <w:color w:val="auto"/>
          <w:szCs w:val="21"/>
        </w:rPr>
        <w:t>.1在合同有效期内，任何一方因不可抗力事件导致不能履行合同，则合同履行期可延长，其延长期与不可抗力影响期相同。</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3</w:t>
      </w:r>
      <w:r>
        <w:rPr>
          <w:rFonts w:hint="eastAsia" w:ascii="宋体" w:hAnsi="宋体"/>
          <w:color w:val="auto"/>
          <w:szCs w:val="21"/>
        </w:rPr>
        <w:t>.2不可抗力事件发生后，应立即通知对方，并寄送有关权威机构出具的证明。</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3</w:t>
      </w:r>
      <w:r>
        <w:rPr>
          <w:rFonts w:hint="eastAsia" w:ascii="宋体" w:hAnsi="宋体"/>
          <w:color w:val="auto"/>
          <w:szCs w:val="21"/>
        </w:rPr>
        <w:t>.3不可抗力事件延续120天以上，双方应通过友好协商，确定是否继续履行合同。</w:t>
      </w:r>
    </w:p>
    <w:p>
      <w:pPr>
        <w:spacing w:line="360" w:lineRule="auto"/>
        <w:ind w:firstLine="422" w:firstLineChars="200"/>
        <w:rPr>
          <w:rFonts w:ascii="宋体" w:hAnsi="宋体"/>
          <w:b/>
          <w:bCs/>
          <w:color w:val="auto"/>
          <w:szCs w:val="21"/>
        </w:rPr>
      </w:pPr>
      <w:r>
        <w:rPr>
          <w:rFonts w:hint="eastAsia" w:ascii="宋体" w:hAnsi="宋体"/>
          <w:b/>
          <w:bCs/>
          <w:color w:val="auto"/>
          <w:szCs w:val="21"/>
        </w:rPr>
        <w:t>1</w:t>
      </w:r>
      <w:r>
        <w:rPr>
          <w:rFonts w:ascii="宋体" w:hAnsi="宋体"/>
          <w:b/>
          <w:bCs/>
          <w:color w:val="auto"/>
          <w:szCs w:val="21"/>
        </w:rPr>
        <w:t>4</w:t>
      </w:r>
      <w:r>
        <w:rPr>
          <w:rFonts w:hint="eastAsia" w:ascii="宋体" w:hAnsi="宋体"/>
          <w:b/>
          <w:bCs/>
          <w:color w:val="auto"/>
          <w:szCs w:val="21"/>
        </w:rPr>
        <w:t>、争议解决方法</w:t>
      </w:r>
    </w:p>
    <w:p>
      <w:pPr>
        <w:spacing w:line="360" w:lineRule="auto"/>
        <w:ind w:firstLine="420" w:firstLineChars="200"/>
        <w:rPr>
          <w:rFonts w:ascii="宋体" w:hAnsi="宋体"/>
          <w:color w:val="auto"/>
          <w:szCs w:val="21"/>
        </w:rPr>
      </w:pPr>
      <w:r>
        <w:rPr>
          <w:rFonts w:hint="eastAsia" w:ascii="宋体" w:hAnsi="宋体"/>
          <w:color w:val="auto"/>
          <w:szCs w:val="21"/>
        </w:rPr>
        <w:t>双方在执行合同中所发生的一切争议，应通过友好协商解决,如不能达成一致的，任何一方可向宁波仲裁委员会提请仲裁。</w:t>
      </w:r>
    </w:p>
    <w:p>
      <w:pPr>
        <w:spacing w:line="360" w:lineRule="auto"/>
        <w:ind w:firstLine="422" w:firstLineChars="200"/>
        <w:rPr>
          <w:rFonts w:ascii="宋体" w:hAnsi="宋体"/>
          <w:b/>
          <w:bCs/>
          <w:color w:val="auto"/>
          <w:szCs w:val="21"/>
        </w:rPr>
      </w:pPr>
      <w:r>
        <w:rPr>
          <w:rFonts w:hint="eastAsia" w:ascii="宋体" w:hAnsi="宋体"/>
          <w:b/>
          <w:bCs/>
          <w:color w:val="auto"/>
          <w:szCs w:val="21"/>
        </w:rPr>
        <w:t>1</w:t>
      </w:r>
      <w:r>
        <w:rPr>
          <w:rFonts w:ascii="宋体" w:hAnsi="宋体"/>
          <w:b/>
          <w:bCs/>
          <w:color w:val="auto"/>
          <w:szCs w:val="21"/>
        </w:rPr>
        <w:t>5</w:t>
      </w:r>
      <w:r>
        <w:rPr>
          <w:rFonts w:hint="eastAsia" w:ascii="宋体" w:hAnsi="宋体"/>
          <w:b/>
          <w:bCs/>
          <w:color w:val="auto"/>
          <w:szCs w:val="21"/>
        </w:rPr>
        <w:t>、合同生效及其它</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.1合同经双方法定代表人或授权代表签字并加盖单位公章或合同专用章后生效。</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.2本合同未尽事宜，遵照《中华人民共和国民法典》有关条文执行。</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.3本合同一式</w:t>
      </w:r>
      <w:r>
        <w:rPr>
          <w:rFonts w:hint="eastAsia" w:ascii="宋体" w:hAnsi="宋体"/>
          <w:color w:val="auto"/>
          <w:szCs w:val="21"/>
          <w:u w:val="single"/>
        </w:rPr>
        <w:t xml:space="preserve">    </w:t>
      </w:r>
      <w:r>
        <w:rPr>
          <w:rFonts w:hint="eastAsia" w:ascii="宋体" w:hAnsi="宋体"/>
          <w:color w:val="auto"/>
          <w:szCs w:val="21"/>
        </w:rPr>
        <w:t>份，具有同等法律效力,甲乙双方各执</w:t>
      </w:r>
      <w:r>
        <w:rPr>
          <w:rFonts w:hint="eastAsia" w:ascii="宋体" w:hAnsi="宋体"/>
          <w:color w:val="auto"/>
          <w:szCs w:val="21"/>
          <w:u w:val="single"/>
        </w:rPr>
        <w:t xml:space="preserve">    </w:t>
      </w:r>
      <w:r>
        <w:rPr>
          <w:rFonts w:hint="eastAsia" w:ascii="宋体" w:hAnsi="宋体"/>
          <w:color w:val="auto"/>
          <w:szCs w:val="21"/>
        </w:rPr>
        <w:t>份。</w:t>
      </w:r>
    </w:p>
    <w:p>
      <w:pPr>
        <w:spacing w:line="360" w:lineRule="auto"/>
        <w:ind w:firstLine="422" w:firstLineChars="200"/>
        <w:rPr>
          <w:rFonts w:ascii="宋体" w:hAnsi="宋体"/>
          <w:color w:val="auto"/>
          <w:szCs w:val="21"/>
        </w:rPr>
      </w:pPr>
      <w:r>
        <w:rPr>
          <w:rFonts w:hint="eastAsia" w:ascii="宋体" w:hAnsi="宋体"/>
          <w:b/>
          <w:bCs/>
          <w:color w:val="auto"/>
          <w:szCs w:val="21"/>
        </w:rPr>
        <w:t>（以下无正文）</w:t>
      </w:r>
    </w:p>
    <w:p>
      <w:pPr>
        <w:spacing w:line="360" w:lineRule="auto"/>
        <w:ind w:firstLine="420" w:firstLineChars="200"/>
        <w:rPr>
          <w:rFonts w:ascii="宋体" w:hAnsi="宋体"/>
          <w:color w:val="auto"/>
          <w:szCs w:val="21"/>
        </w:rPr>
      </w:pPr>
    </w:p>
    <w:p>
      <w:pPr>
        <w:autoSpaceDE w:val="0"/>
        <w:autoSpaceDN w:val="0"/>
        <w:spacing w:line="360" w:lineRule="auto"/>
        <w:rPr>
          <w:rFonts w:ascii="宋体" w:hAnsi="宋体" w:cs="宋体"/>
          <w:color w:val="auto"/>
          <w:szCs w:val="21"/>
        </w:rPr>
      </w:pPr>
      <w:r>
        <w:rPr>
          <w:rFonts w:hint="eastAsia" w:ascii="宋体" w:hAnsi="宋体" w:cs="宋体"/>
          <w:b/>
          <w:color w:val="auto"/>
          <w:szCs w:val="21"/>
          <w:lang w:val="zh-CN"/>
        </w:rPr>
        <w:t>甲方（盖章）</w:t>
      </w:r>
      <w:r>
        <w:rPr>
          <w:rFonts w:hint="eastAsia" w:ascii="宋体" w:hAnsi="宋体" w:cs="宋体"/>
          <w:color w:val="auto"/>
          <w:szCs w:val="21"/>
        </w:rPr>
        <w:t>：</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b/>
          <w:color w:val="auto"/>
          <w:szCs w:val="21"/>
          <w:lang w:val="zh-CN"/>
        </w:rPr>
        <w:t>乙方</w:t>
      </w:r>
      <w:r>
        <w:rPr>
          <w:rFonts w:hint="eastAsia" w:ascii="宋体" w:hAnsi="宋体" w:cs="宋体"/>
          <w:color w:val="auto"/>
          <w:szCs w:val="21"/>
        </w:rPr>
        <w:t>：</w:t>
      </w:r>
      <w:r>
        <w:rPr>
          <w:rFonts w:hint="eastAsia" w:ascii="宋体" w:hAnsi="宋体" w:cs="宋体"/>
          <w:b/>
          <w:color w:val="auto"/>
          <w:szCs w:val="21"/>
          <w:lang w:val="zh-CN"/>
        </w:rPr>
        <w:t>（盖章）</w:t>
      </w:r>
      <w:r>
        <w:rPr>
          <w:rFonts w:hint="eastAsia" w:ascii="宋体" w:hAnsi="宋体" w:cs="宋体"/>
          <w:color w:val="auto"/>
          <w:szCs w:val="21"/>
        </w:rPr>
        <w:t>：</w:t>
      </w:r>
    </w:p>
    <w:p>
      <w:pPr>
        <w:autoSpaceDE w:val="0"/>
        <w:autoSpaceDN w:val="0"/>
        <w:spacing w:line="360" w:lineRule="auto"/>
        <w:rPr>
          <w:rFonts w:ascii="宋体" w:hAnsi="宋体" w:cs="宋体"/>
          <w:color w:val="auto"/>
          <w:szCs w:val="21"/>
        </w:rPr>
      </w:pPr>
      <w:r>
        <w:rPr>
          <w:rFonts w:hint="eastAsia" w:ascii="宋体" w:hAnsi="宋体" w:cs="宋体"/>
          <w:color w:val="auto"/>
          <w:szCs w:val="21"/>
          <w:lang w:val="zh-CN"/>
        </w:rPr>
        <w:t>法定代表人</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lang w:val="zh-CN"/>
        </w:rPr>
        <w:t>法定代表人</w:t>
      </w:r>
    </w:p>
    <w:p>
      <w:pPr>
        <w:autoSpaceDE w:val="0"/>
        <w:autoSpaceDN w:val="0"/>
        <w:spacing w:line="360" w:lineRule="auto"/>
        <w:rPr>
          <w:rFonts w:ascii="宋体" w:hAnsi="宋体" w:cs="宋体"/>
          <w:color w:val="auto"/>
          <w:szCs w:val="21"/>
          <w:lang w:val="zh-CN"/>
        </w:rPr>
      </w:pPr>
      <w:r>
        <w:rPr>
          <w:rFonts w:hint="eastAsia" w:ascii="宋体" w:hAnsi="宋体" w:cs="宋体"/>
          <w:color w:val="auto"/>
          <w:szCs w:val="21"/>
          <w:lang w:val="zh-CN"/>
        </w:rPr>
        <w:t>或授权代表（签字）：</w:t>
      </w:r>
      <w:r>
        <w:rPr>
          <w:rFonts w:hint="eastAsia" w:ascii="宋体" w:hAnsi="宋体" w:cs="宋体"/>
          <w:color w:val="auto"/>
          <w:szCs w:val="21"/>
          <w:lang w:val="zh-CN"/>
        </w:rPr>
        <w:tab/>
      </w:r>
      <w:r>
        <w:rPr>
          <w:rFonts w:hint="eastAsia" w:ascii="宋体" w:hAnsi="宋体" w:cs="宋体"/>
          <w:color w:val="auto"/>
          <w:szCs w:val="21"/>
          <w:lang w:val="zh-CN"/>
        </w:rPr>
        <w:tab/>
      </w:r>
      <w:r>
        <w:rPr>
          <w:rFonts w:hint="eastAsia" w:ascii="宋体" w:hAnsi="宋体" w:cs="宋体"/>
          <w:color w:val="auto"/>
          <w:szCs w:val="21"/>
          <w:lang w:val="zh-CN"/>
        </w:rPr>
        <w:tab/>
      </w:r>
      <w:r>
        <w:rPr>
          <w:rFonts w:hint="eastAsia" w:ascii="宋体" w:hAnsi="宋体" w:cs="宋体"/>
          <w:color w:val="auto"/>
          <w:szCs w:val="21"/>
          <w:lang w:val="zh-CN"/>
        </w:rPr>
        <w:tab/>
      </w:r>
      <w:r>
        <w:rPr>
          <w:rFonts w:hint="eastAsia" w:ascii="宋体" w:hAnsi="宋体" w:cs="宋体"/>
          <w:color w:val="auto"/>
          <w:szCs w:val="21"/>
          <w:lang w:val="zh-CN"/>
        </w:rPr>
        <w:tab/>
      </w:r>
      <w:r>
        <w:rPr>
          <w:rFonts w:hint="eastAsia" w:ascii="宋体" w:hAnsi="宋体" w:cs="宋体"/>
          <w:color w:val="auto"/>
          <w:szCs w:val="21"/>
          <w:lang w:val="zh-CN"/>
        </w:rPr>
        <w:tab/>
      </w:r>
      <w:r>
        <w:rPr>
          <w:rFonts w:hint="eastAsia" w:ascii="宋体" w:hAnsi="宋体" w:cs="宋体"/>
          <w:color w:val="auto"/>
          <w:szCs w:val="21"/>
          <w:lang w:val="zh-CN"/>
        </w:rPr>
        <w:t>或授权代表（签字）：</w:t>
      </w:r>
    </w:p>
    <w:p>
      <w:pPr>
        <w:autoSpaceDE w:val="0"/>
        <w:autoSpaceDN w:val="0"/>
        <w:spacing w:line="360" w:lineRule="auto"/>
        <w:rPr>
          <w:rFonts w:ascii="宋体" w:hAnsi="宋体" w:cs="宋体"/>
          <w:color w:val="auto"/>
          <w:szCs w:val="21"/>
          <w:lang w:val="zh-CN"/>
        </w:rPr>
      </w:pPr>
      <w:r>
        <w:rPr>
          <w:rFonts w:hint="eastAsia" w:ascii="宋体" w:hAnsi="宋体" w:cs="宋体"/>
          <w:color w:val="auto"/>
          <w:szCs w:val="21"/>
          <w:lang w:val="zh-CN"/>
        </w:rPr>
        <w:t>联系人：</w:t>
      </w:r>
      <w:r>
        <w:rPr>
          <w:rFonts w:hint="eastAsia" w:ascii="宋体" w:hAnsi="宋体" w:cs="宋体"/>
          <w:color w:val="auto"/>
          <w:szCs w:val="21"/>
          <w:lang w:val="zh-CN"/>
        </w:rPr>
        <w:tab/>
      </w:r>
      <w:r>
        <w:rPr>
          <w:rFonts w:hint="eastAsia" w:ascii="宋体" w:hAnsi="宋体" w:cs="宋体"/>
          <w:color w:val="auto"/>
          <w:szCs w:val="21"/>
          <w:lang w:val="zh-CN"/>
        </w:rPr>
        <w:tab/>
      </w:r>
      <w:r>
        <w:rPr>
          <w:rFonts w:hint="eastAsia" w:ascii="宋体" w:hAnsi="宋体" w:cs="宋体"/>
          <w:color w:val="auto"/>
          <w:szCs w:val="21"/>
          <w:lang w:val="zh-CN"/>
        </w:rPr>
        <w:tab/>
      </w:r>
      <w:r>
        <w:rPr>
          <w:rFonts w:hint="eastAsia" w:ascii="宋体" w:hAnsi="宋体" w:cs="宋体"/>
          <w:color w:val="auto"/>
          <w:szCs w:val="21"/>
          <w:lang w:val="zh-CN"/>
        </w:rPr>
        <w:tab/>
      </w:r>
      <w:r>
        <w:rPr>
          <w:rFonts w:hint="eastAsia" w:ascii="宋体" w:hAnsi="宋体" w:cs="宋体"/>
          <w:color w:val="auto"/>
          <w:szCs w:val="21"/>
          <w:lang w:val="zh-CN"/>
        </w:rPr>
        <w:tab/>
      </w:r>
      <w:r>
        <w:rPr>
          <w:rFonts w:hint="eastAsia" w:ascii="宋体" w:hAnsi="宋体" w:cs="宋体"/>
          <w:color w:val="auto"/>
          <w:szCs w:val="21"/>
          <w:lang w:val="zh-CN"/>
        </w:rPr>
        <w:tab/>
      </w:r>
      <w:r>
        <w:rPr>
          <w:rFonts w:hint="eastAsia" w:ascii="宋体" w:hAnsi="宋体" w:cs="宋体"/>
          <w:color w:val="auto"/>
          <w:szCs w:val="21"/>
          <w:lang w:val="zh-CN"/>
        </w:rPr>
        <w:tab/>
      </w:r>
      <w:r>
        <w:rPr>
          <w:rFonts w:hint="eastAsia" w:ascii="宋体" w:hAnsi="宋体" w:cs="宋体"/>
          <w:color w:val="auto"/>
          <w:szCs w:val="21"/>
          <w:lang w:val="zh-CN"/>
        </w:rPr>
        <w:tab/>
      </w:r>
      <w:r>
        <w:rPr>
          <w:rFonts w:hint="eastAsia" w:ascii="宋体" w:hAnsi="宋体" w:cs="宋体"/>
          <w:color w:val="auto"/>
          <w:szCs w:val="21"/>
          <w:lang w:val="zh-CN"/>
        </w:rPr>
        <w:t>联系人：</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签订日期：2024年  月  日             </w:t>
      </w:r>
      <w:r>
        <w:rPr>
          <w:rFonts w:ascii="宋体" w:hAnsi="宋体" w:cs="宋体"/>
          <w:color w:val="auto"/>
          <w:szCs w:val="21"/>
        </w:rPr>
        <w:t xml:space="preserve">  </w:t>
      </w:r>
      <w:r>
        <w:rPr>
          <w:rFonts w:hint="eastAsia" w:ascii="宋体" w:hAnsi="宋体" w:cs="宋体"/>
          <w:color w:val="auto"/>
          <w:szCs w:val="21"/>
        </w:rPr>
        <w:t>签订日期：2024年  月  日</w:t>
      </w:r>
    </w:p>
    <w:p>
      <w:pPr>
        <w:autoSpaceDE w:val="0"/>
        <w:autoSpaceDN w:val="0"/>
        <w:spacing w:line="360" w:lineRule="auto"/>
        <w:rPr>
          <w:rFonts w:ascii="宋体" w:hAnsi="宋体" w:cs="宋体"/>
          <w:b/>
          <w:bCs/>
          <w:color w:val="auto"/>
          <w:sz w:val="24"/>
        </w:rPr>
      </w:pPr>
    </w:p>
    <w:p>
      <w:pPr>
        <w:autoSpaceDE w:val="0"/>
        <w:autoSpaceDN w:val="0"/>
        <w:spacing w:line="360" w:lineRule="auto"/>
        <w:rPr>
          <w:rFonts w:ascii="宋体" w:hAnsi="宋体" w:cs="宋体"/>
          <w:b/>
          <w:bCs/>
          <w:color w:val="auto"/>
          <w:w w:val="90"/>
          <w:kern w:val="0"/>
          <w:sz w:val="24"/>
          <w:szCs w:val="32"/>
        </w:rPr>
      </w:pPr>
      <w:r>
        <w:rPr>
          <w:rFonts w:hint="eastAsia" w:ascii="宋体" w:hAnsi="宋体" w:cs="宋体"/>
          <w:bCs/>
          <w:color w:val="auto"/>
          <w:sz w:val="24"/>
          <w:szCs w:val="32"/>
        </w:rPr>
        <w:br w:type="page"/>
      </w:r>
      <w:r>
        <w:rPr>
          <w:rFonts w:hint="eastAsia" w:ascii="宋体" w:hAnsi="宋体" w:cs="宋体"/>
          <w:b/>
          <w:bCs/>
          <w:color w:val="auto"/>
          <w:w w:val="90"/>
          <w:sz w:val="24"/>
        </w:rPr>
        <w:t>合同附件：《宁波市会计专业技术资格无纸化考试考务服务供应商履约考核验收评价办法</w:t>
      </w:r>
      <w:r>
        <w:rPr>
          <w:rFonts w:hint="eastAsia" w:ascii="宋体" w:hAnsi="宋体" w:cs="宋体"/>
          <w:b/>
          <w:bCs/>
          <w:color w:val="auto"/>
          <w:w w:val="90"/>
          <w:kern w:val="0"/>
          <w:sz w:val="24"/>
        </w:rPr>
        <w:t>》</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before="120" w:beforeLines="50" w:line="360" w:lineRule="auto"/>
              <w:jc w:val="center"/>
              <w:rPr>
                <w:rFonts w:ascii="宋体" w:hAnsi="宋体"/>
                <w:b/>
                <w:color w:val="auto"/>
                <w:sz w:val="24"/>
                <w:szCs w:val="32"/>
                <w:lang w:val="zh-CN"/>
              </w:rPr>
            </w:pPr>
            <w:r>
              <w:rPr>
                <w:rFonts w:hint="eastAsia" w:ascii="宋体" w:hAnsi="宋体"/>
                <w:b/>
                <w:color w:val="auto"/>
                <w:sz w:val="24"/>
                <w:szCs w:val="32"/>
                <w:lang w:val="zh-CN"/>
              </w:rPr>
              <w:t>宁波市会计专业技术资格无纸化考试考务服务供应商</w:t>
            </w:r>
          </w:p>
          <w:p>
            <w:pPr>
              <w:spacing w:line="360" w:lineRule="auto"/>
              <w:jc w:val="center"/>
              <w:rPr>
                <w:rFonts w:ascii="宋体" w:hAnsi="宋体"/>
                <w:b/>
                <w:color w:val="auto"/>
                <w:sz w:val="24"/>
                <w:szCs w:val="32"/>
                <w:lang w:val="zh-CN"/>
              </w:rPr>
            </w:pPr>
            <w:r>
              <w:rPr>
                <w:rFonts w:hint="eastAsia" w:ascii="宋体" w:hAnsi="宋体"/>
                <w:b/>
                <w:color w:val="auto"/>
                <w:sz w:val="24"/>
                <w:szCs w:val="32"/>
                <w:lang w:val="zh-CN"/>
              </w:rPr>
              <w:t>履约考核验收评价办法</w:t>
            </w:r>
          </w:p>
          <w:p>
            <w:pPr>
              <w:spacing w:line="360" w:lineRule="auto"/>
              <w:ind w:firstLine="420" w:firstLineChars="200"/>
              <w:rPr>
                <w:rFonts w:ascii="宋体" w:hAnsi="宋体" w:cs="宋体"/>
                <w:color w:val="auto"/>
              </w:rPr>
            </w:pPr>
            <w:r>
              <w:rPr>
                <w:rFonts w:hint="eastAsia" w:ascii="宋体" w:hAnsi="宋体" w:cs="宋体"/>
                <w:color w:val="auto"/>
              </w:rPr>
              <w:t>第一条  为规范对宁波市</w:t>
            </w:r>
            <w:r>
              <w:rPr>
                <w:rFonts w:hint="eastAsia" w:ascii="宋体" w:hAnsi="宋体"/>
                <w:color w:val="auto"/>
                <w:szCs w:val="21"/>
              </w:rPr>
              <w:t>会计</w:t>
            </w:r>
            <w:r>
              <w:rPr>
                <w:rFonts w:hint="eastAsia" w:ascii="宋体" w:hAnsi="宋体" w:cs="宋体"/>
                <w:color w:val="auto"/>
              </w:rPr>
              <w:t>专业技术资格无纸化考务服务供应商（以下简称“考务服务商”）的管理，提高服务水平和质量，确保考试（以下简称“会计资格考试”）顺利开展，结合宁波市会计专业技术资格考试工作实际，制定本办法。</w:t>
            </w:r>
          </w:p>
          <w:p>
            <w:pPr>
              <w:spacing w:line="360" w:lineRule="auto"/>
              <w:ind w:firstLine="420" w:firstLineChars="200"/>
              <w:rPr>
                <w:rFonts w:ascii="宋体" w:hAnsi="宋体" w:cs="宋体"/>
                <w:color w:val="auto"/>
                <w:sz w:val="28"/>
              </w:rPr>
            </w:pPr>
            <w:r>
              <w:rPr>
                <w:rFonts w:hint="eastAsia" w:ascii="宋体" w:hAnsi="宋体" w:cs="宋体"/>
                <w:color w:val="auto"/>
              </w:rPr>
              <w:t>第二条  本办法所称的履约考核验收评价是指宁波市财政局根据与考务服务商签订的服务合同及相关制度规定，对考务服务商提供考务服务各项工作进行的履约考核验收评价。</w:t>
            </w:r>
          </w:p>
          <w:p>
            <w:pPr>
              <w:spacing w:line="360" w:lineRule="auto"/>
              <w:ind w:firstLine="420" w:firstLineChars="200"/>
              <w:rPr>
                <w:rFonts w:ascii="宋体" w:hAnsi="宋体" w:cs="宋体"/>
                <w:color w:val="auto"/>
              </w:rPr>
            </w:pPr>
            <w:r>
              <w:rPr>
                <w:rFonts w:hint="eastAsia" w:ascii="宋体" w:hAnsi="宋体" w:cs="宋体"/>
                <w:color w:val="auto"/>
              </w:rPr>
              <w:t>第三条  履约考核验收评价遵循科学、</w:t>
            </w:r>
            <w:r>
              <w:rPr>
                <w:rFonts w:hint="eastAsia" w:ascii="宋体" w:hAnsi="宋体"/>
                <w:color w:val="auto"/>
                <w:szCs w:val="21"/>
              </w:rPr>
              <w:t>规范</w:t>
            </w:r>
            <w:r>
              <w:rPr>
                <w:rFonts w:hint="eastAsia" w:ascii="宋体" w:hAnsi="宋体" w:cs="宋体"/>
                <w:color w:val="auto"/>
              </w:rPr>
              <w:t>、公平、公正的原则。</w:t>
            </w:r>
          </w:p>
          <w:p>
            <w:pPr>
              <w:spacing w:line="360" w:lineRule="auto"/>
              <w:ind w:firstLine="420" w:firstLineChars="200"/>
              <w:rPr>
                <w:rFonts w:ascii="宋体" w:hAnsi="宋体" w:cs="宋体"/>
                <w:color w:val="auto"/>
              </w:rPr>
            </w:pPr>
            <w:r>
              <w:rPr>
                <w:rFonts w:hint="eastAsia" w:ascii="宋体" w:hAnsi="宋体" w:cs="宋体"/>
                <w:color w:val="auto"/>
              </w:rPr>
              <w:t>第四条  宁波市会计资格考试考务服务履约考核验收评价满分为100分，采取量化评分的方法。</w:t>
            </w:r>
          </w:p>
          <w:p>
            <w:pPr>
              <w:spacing w:line="360" w:lineRule="auto"/>
              <w:ind w:firstLine="420" w:firstLineChars="200"/>
              <w:rPr>
                <w:rFonts w:ascii="宋体" w:hAnsi="宋体" w:cs="宋体"/>
                <w:color w:val="auto"/>
              </w:rPr>
            </w:pPr>
            <w:r>
              <w:rPr>
                <w:rFonts w:hint="eastAsia" w:ascii="宋体" w:hAnsi="宋体" w:cs="宋体"/>
                <w:color w:val="auto"/>
              </w:rPr>
              <w:t>第五条  履约考核验收评价工作由</w:t>
            </w:r>
            <w:r>
              <w:rPr>
                <w:rFonts w:hint="eastAsia" w:ascii="宋体" w:hAnsi="宋体"/>
                <w:color w:val="auto"/>
                <w:szCs w:val="21"/>
              </w:rPr>
              <w:t>宁波</w:t>
            </w:r>
            <w:r>
              <w:rPr>
                <w:rFonts w:hint="eastAsia" w:ascii="宋体" w:hAnsi="宋体" w:cs="宋体"/>
                <w:color w:val="auto"/>
              </w:rPr>
              <w:t>市财政局组织实施。</w:t>
            </w:r>
          </w:p>
          <w:p>
            <w:pPr>
              <w:spacing w:line="360" w:lineRule="auto"/>
              <w:ind w:firstLine="420" w:firstLineChars="200"/>
              <w:rPr>
                <w:rFonts w:ascii="宋体" w:hAnsi="宋体" w:cs="宋体"/>
                <w:color w:val="auto"/>
              </w:rPr>
            </w:pPr>
            <w:r>
              <w:rPr>
                <w:rFonts w:hint="eastAsia" w:ascii="宋体" w:hAnsi="宋体" w:cs="宋体"/>
                <w:color w:val="auto"/>
              </w:rPr>
              <w:t>第六条  履约考核验收评价内容包括</w:t>
            </w:r>
            <w:r>
              <w:rPr>
                <w:rFonts w:hint="eastAsia" w:ascii="宋体" w:hAnsi="宋体"/>
                <w:color w:val="auto"/>
                <w:szCs w:val="21"/>
              </w:rPr>
              <w:t>合同</w:t>
            </w:r>
            <w:r>
              <w:rPr>
                <w:rFonts w:hint="eastAsia" w:ascii="宋体" w:hAnsi="宋体" w:cs="宋体"/>
                <w:color w:val="auto"/>
              </w:rPr>
              <w:t>签订的所有条款，具体评价内容、分值详见附表：</w:t>
            </w:r>
            <w:r>
              <w:rPr>
                <w:rFonts w:hint="eastAsia" w:ascii="宋体" w:hAnsi="宋体"/>
                <w:color w:val="auto"/>
                <w:szCs w:val="21"/>
              </w:rPr>
              <w:t>《宁波市会计专业技术资格无纸化考试考务服务供应商履约考核验收评价表》</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第七条  履约考核验收评价采取扣分法，由宁波市财政局对考务服务供应商进行合同综合评价，对未按合同要求履约的行为，经核实后扣分，直至该项分值扣完为止。</w:t>
            </w:r>
          </w:p>
          <w:p>
            <w:pPr>
              <w:spacing w:line="360" w:lineRule="auto"/>
              <w:ind w:firstLine="420" w:firstLineChars="200"/>
              <w:rPr>
                <w:rFonts w:ascii="宋体" w:hAnsi="宋体" w:cs="宋体"/>
                <w:color w:val="auto"/>
              </w:rPr>
            </w:pPr>
            <w:r>
              <w:rPr>
                <w:rFonts w:hint="eastAsia" w:ascii="宋体" w:hAnsi="宋体" w:cs="宋体"/>
                <w:color w:val="auto"/>
              </w:rPr>
              <w:t>第八条  履约考核验收评价，以每个年度每次考试结束进行一次评价（每次即以省级公布的报名文件划分的考试时段为一次）。</w:t>
            </w:r>
          </w:p>
          <w:p>
            <w:pPr>
              <w:spacing w:line="360" w:lineRule="auto"/>
              <w:ind w:firstLine="420" w:firstLineChars="200"/>
              <w:rPr>
                <w:rFonts w:ascii="宋体" w:hAnsi="宋体" w:cs="宋体"/>
                <w:color w:val="auto"/>
              </w:rPr>
            </w:pPr>
            <w:r>
              <w:rPr>
                <w:rFonts w:hint="eastAsia" w:ascii="宋体" w:hAnsi="宋体" w:cs="宋体"/>
                <w:color w:val="auto"/>
              </w:rPr>
              <w:t>第九条</w:t>
            </w:r>
            <w:r>
              <w:rPr>
                <w:rFonts w:ascii="宋体" w:hAnsi="宋体" w:cs="宋体"/>
                <w:color w:val="auto"/>
              </w:rPr>
              <w:t xml:space="preserve">  </w:t>
            </w:r>
            <w:r>
              <w:rPr>
                <w:rFonts w:hint="eastAsia" w:ascii="宋体" w:hAnsi="宋体" w:cs="宋体"/>
                <w:color w:val="auto"/>
              </w:rPr>
              <w:t>考核结果分为四档：优秀：</w:t>
            </w:r>
            <w:r>
              <w:rPr>
                <w:rFonts w:ascii="宋体" w:hAnsi="宋体" w:cs="宋体"/>
                <w:color w:val="auto"/>
              </w:rPr>
              <w:t>95</w:t>
            </w:r>
            <w:r>
              <w:rPr>
                <w:rFonts w:hint="eastAsia" w:ascii="宋体" w:hAnsi="宋体" w:cs="宋体"/>
                <w:color w:val="auto"/>
              </w:rPr>
              <w:t>分以上（含</w:t>
            </w:r>
            <w:r>
              <w:rPr>
                <w:rFonts w:ascii="宋体" w:hAnsi="宋体" w:cs="宋体"/>
                <w:color w:val="auto"/>
              </w:rPr>
              <w:t>95</w:t>
            </w:r>
            <w:r>
              <w:rPr>
                <w:rFonts w:hint="eastAsia" w:ascii="宋体" w:hAnsi="宋体" w:cs="宋体"/>
                <w:color w:val="auto"/>
              </w:rPr>
              <w:t>分）、良好：</w:t>
            </w:r>
            <w:r>
              <w:rPr>
                <w:rFonts w:ascii="宋体" w:hAnsi="宋体" w:cs="宋体"/>
                <w:color w:val="auto"/>
              </w:rPr>
              <w:t>80分-94</w:t>
            </w:r>
            <w:r>
              <w:rPr>
                <w:rFonts w:hint="eastAsia" w:ascii="宋体" w:hAnsi="宋体" w:cs="宋体"/>
                <w:color w:val="auto"/>
              </w:rPr>
              <w:t>分、合格：</w:t>
            </w:r>
            <w:r>
              <w:rPr>
                <w:rFonts w:ascii="宋体" w:hAnsi="宋体" w:cs="宋体"/>
                <w:color w:val="auto"/>
              </w:rPr>
              <w:t>60分-79</w:t>
            </w:r>
            <w:r>
              <w:rPr>
                <w:rFonts w:hint="eastAsia" w:ascii="宋体" w:hAnsi="宋体" w:cs="宋体"/>
                <w:color w:val="auto"/>
              </w:rPr>
              <w:t>分、不合格：</w:t>
            </w:r>
            <w:r>
              <w:rPr>
                <w:rFonts w:ascii="宋体" w:hAnsi="宋体" w:cs="宋体"/>
                <w:color w:val="auto"/>
              </w:rPr>
              <w:t>60分以下（不含60分），考核结果作为结算考务费用的</w:t>
            </w:r>
            <w:r>
              <w:rPr>
                <w:rFonts w:hint="eastAsia" w:ascii="宋体" w:hAnsi="宋体" w:cs="宋体"/>
                <w:color w:val="auto"/>
              </w:rPr>
              <w:t>依据。</w:t>
            </w:r>
          </w:p>
          <w:p>
            <w:pPr>
              <w:spacing w:line="360" w:lineRule="auto"/>
              <w:ind w:firstLine="420" w:firstLineChars="200"/>
              <w:rPr>
                <w:rFonts w:ascii="宋体" w:hAnsi="宋体" w:cs="宋体"/>
                <w:color w:val="auto"/>
              </w:rPr>
            </w:pPr>
            <w:r>
              <w:rPr>
                <w:rFonts w:hint="eastAsia" w:ascii="宋体" w:hAnsi="宋体" w:cs="宋体"/>
                <w:color w:val="auto"/>
              </w:rPr>
              <w:t>第十条  考务服务商在考务服务过程中发生合同约定的严重影响考试情况的违约情形，考核结果不得评为优秀。</w:t>
            </w:r>
          </w:p>
          <w:p>
            <w:pPr>
              <w:spacing w:line="360" w:lineRule="auto"/>
              <w:ind w:firstLine="420" w:firstLineChars="200"/>
              <w:rPr>
                <w:rFonts w:ascii="宋体" w:hAnsi="宋体" w:cs="宋体"/>
                <w:color w:val="auto"/>
                <w:sz w:val="24"/>
              </w:rPr>
            </w:pPr>
            <w:r>
              <w:rPr>
                <w:rFonts w:hint="eastAsia" w:ascii="宋体" w:hAnsi="宋体" w:cs="宋体"/>
                <w:color w:val="auto"/>
              </w:rPr>
              <w:t>第十一条  本办法由宁波市财政局负责解释。</w:t>
            </w:r>
          </w:p>
          <w:p>
            <w:pPr>
              <w:adjustRightInd w:val="0"/>
              <w:spacing w:line="360" w:lineRule="auto"/>
              <w:rPr>
                <w:rFonts w:ascii="宋体" w:hAnsi="宋体"/>
                <w:color w:val="auto"/>
                <w:lang w:val="zh-CN"/>
              </w:rPr>
            </w:pPr>
          </w:p>
        </w:tc>
      </w:tr>
    </w:tbl>
    <w:p>
      <w:pPr>
        <w:spacing w:line="360" w:lineRule="auto"/>
        <w:rPr>
          <w:rFonts w:ascii="宋体" w:hAnsi="宋体"/>
          <w:color w:val="auto"/>
          <w:lang w:val="zh-CN"/>
        </w:rPr>
      </w:pPr>
    </w:p>
    <w:p>
      <w:pPr>
        <w:spacing w:line="360" w:lineRule="auto"/>
        <w:rPr>
          <w:rFonts w:ascii="宋体" w:hAnsi="宋体"/>
          <w:color w:val="auto"/>
          <w:lang w:val="zh-CN"/>
        </w:rPr>
        <w:sectPr>
          <w:headerReference r:id="rId11" w:type="default"/>
          <w:footerReference r:id="rId12" w:type="default"/>
          <w:footerReference r:id="rId13" w:type="even"/>
          <w:pgSz w:w="11906" w:h="16838"/>
          <w:pgMar w:top="1276" w:right="1558" w:bottom="1276" w:left="1610" w:header="851" w:footer="851" w:gutter="0"/>
          <w:cols w:space="720" w:num="1"/>
          <w:docGrid w:linePitch="312" w:charSpace="0"/>
        </w:sectPr>
      </w:pPr>
    </w:p>
    <w:p>
      <w:pPr>
        <w:autoSpaceDE w:val="0"/>
        <w:autoSpaceDN w:val="0"/>
        <w:spacing w:line="360" w:lineRule="auto"/>
        <w:rPr>
          <w:rFonts w:ascii="宋体" w:hAnsi="宋体" w:cs="宋体"/>
          <w:b/>
          <w:bCs/>
          <w:color w:val="auto"/>
          <w:w w:val="90"/>
          <w:sz w:val="24"/>
        </w:rPr>
      </w:pPr>
      <w:r>
        <w:rPr>
          <w:rFonts w:hint="eastAsia" w:ascii="宋体" w:hAnsi="宋体" w:cs="宋体"/>
          <w:b/>
          <w:bCs/>
          <w:color w:val="auto"/>
          <w:w w:val="90"/>
          <w:sz w:val="24"/>
        </w:rPr>
        <w:t>附表：《宁波市会计专业技术资格无纸化考试考务服务供应商履约考核验收评价表》</w:t>
      </w:r>
    </w:p>
    <w:p>
      <w:pPr>
        <w:pStyle w:val="20"/>
        <w:snapToGrid w:val="0"/>
        <w:spacing w:line="540" w:lineRule="exact"/>
        <w:ind w:left="0" w:leftChars="0"/>
        <w:jc w:val="center"/>
        <w:rPr>
          <w:rFonts w:ascii="宋体" w:hAnsi="宋体"/>
          <w:b/>
          <w:bCs/>
          <w:color w:val="auto"/>
          <w:sz w:val="24"/>
        </w:rPr>
      </w:pPr>
      <w:r>
        <w:rPr>
          <w:rFonts w:hint="eastAsia" w:ascii="宋体" w:hAnsi="宋体"/>
          <w:b/>
          <w:bCs/>
          <w:color w:val="auto"/>
          <w:sz w:val="24"/>
        </w:rPr>
        <w:t>宁波市会计专业技术资格无纸化考试考务服务供应商履约考核验收评价表</w:t>
      </w:r>
    </w:p>
    <w:tbl>
      <w:tblPr>
        <w:tblStyle w:val="44"/>
        <w:tblW w:w="13992" w:type="dxa"/>
        <w:tblInd w:w="0" w:type="dxa"/>
        <w:tblLayout w:type="fixed"/>
        <w:tblCellMar>
          <w:top w:w="0" w:type="dxa"/>
          <w:left w:w="108" w:type="dxa"/>
          <w:bottom w:w="0" w:type="dxa"/>
          <w:right w:w="108" w:type="dxa"/>
        </w:tblCellMar>
      </w:tblPr>
      <w:tblGrid>
        <w:gridCol w:w="817"/>
        <w:gridCol w:w="1276"/>
        <w:gridCol w:w="1276"/>
        <w:gridCol w:w="6268"/>
        <w:gridCol w:w="879"/>
        <w:gridCol w:w="932"/>
        <w:gridCol w:w="2544"/>
      </w:tblGrid>
      <w:tr>
        <w:tblPrEx>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编号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评价项目</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评价指标</w:t>
            </w:r>
          </w:p>
        </w:tc>
        <w:tc>
          <w:tcPr>
            <w:tcW w:w="6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评价标准</w:t>
            </w: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得分值</w:t>
            </w:r>
          </w:p>
        </w:tc>
        <w:tc>
          <w:tcPr>
            <w:tcW w:w="9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扣分值</w:t>
            </w:r>
          </w:p>
        </w:tc>
        <w:tc>
          <w:tcPr>
            <w:tcW w:w="25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备注</w:t>
            </w:r>
          </w:p>
        </w:tc>
      </w:tr>
      <w:tr>
        <w:tblPrEx>
          <w:tblCellMar>
            <w:top w:w="0" w:type="dxa"/>
            <w:left w:w="108" w:type="dxa"/>
            <w:bottom w:w="0" w:type="dxa"/>
            <w:right w:w="108" w:type="dxa"/>
          </w:tblCellMar>
        </w:tblPrEx>
        <w:trPr>
          <w:trHeight w:val="567"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考点考场</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考点、考场要求</w:t>
            </w:r>
          </w:p>
        </w:tc>
        <w:tc>
          <w:tcPr>
            <w:tcW w:w="62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根据甲方要求的考试安排批次及所承担的考生报名人数,落实好考场和考试机位。按考生报名人数1：1编排考试机位的，不扣分。超编率≤10%，扣1分；超编率在10%-20%（含）10%的，扣3分；超编率在20%-30%（含）的，扣5分，不允许超编30%以上。（特殊情况无法避免超编的，协商处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b/>
                <w:bCs/>
                <w:color w:val="auto"/>
                <w:kern w:val="0"/>
                <w:szCs w:val="21"/>
              </w:rPr>
              <w:t>需报备材料要求：</w:t>
            </w:r>
            <w:r>
              <w:rPr>
                <w:rFonts w:hint="eastAsia" w:ascii="宋体" w:hAnsi="宋体" w:cs="宋体"/>
                <w:color w:val="auto"/>
                <w:kern w:val="0"/>
                <w:szCs w:val="21"/>
              </w:rPr>
              <w:br w:type="textWrapping"/>
            </w:r>
            <w:r>
              <w:rPr>
                <w:rFonts w:hint="eastAsia" w:ascii="宋体" w:hAnsi="宋体" w:cs="宋体"/>
                <w:color w:val="auto"/>
                <w:kern w:val="0"/>
                <w:szCs w:val="21"/>
              </w:rPr>
              <w:t>①与考点签订的《考试服务合同》</w:t>
            </w:r>
          </w:p>
          <w:p>
            <w:pPr>
              <w:widowControl/>
              <w:jc w:val="left"/>
              <w:rPr>
                <w:rFonts w:ascii="宋体" w:hAnsi="宋体" w:cs="宋体"/>
                <w:color w:val="auto"/>
                <w:kern w:val="0"/>
                <w:szCs w:val="21"/>
              </w:rPr>
            </w:pPr>
            <w:r>
              <w:rPr>
                <w:rFonts w:hint="eastAsia" w:ascii="宋体" w:hAnsi="宋体" w:cs="宋体"/>
                <w:color w:val="auto"/>
                <w:kern w:val="0"/>
                <w:szCs w:val="21"/>
              </w:rPr>
              <w:t>②与考点签订的《保密协议》</w:t>
            </w:r>
          </w:p>
          <w:p>
            <w:pPr>
              <w:widowControl/>
              <w:jc w:val="left"/>
              <w:rPr>
                <w:rFonts w:ascii="宋体" w:hAnsi="宋体" w:cs="宋体"/>
                <w:color w:val="auto"/>
                <w:kern w:val="0"/>
                <w:szCs w:val="21"/>
              </w:rPr>
            </w:pPr>
            <w:r>
              <w:rPr>
                <w:rFonts w:hint="eastAsia" w:ascii="宋体" w:hAnsi="宋体" w:cs="宋体"/>
                <w:color w:val="auto"/>
                <w:kern w:val="0"/>
                <w:szCs w:val="21"/>
              </w:rPr>
              <w:t>③《考场情况设置表》</w:t>
            </w:r>
          </w:p>
          <w:p>
            <w:pPr>
              <w:widowControl/>
              <w:jc w:val="left"/>
              <w:rPr>
                <w:rFonts w:ascii="宋体" w:hAnsi="宋体" w:cs="宋体"/>
                <w:color w:val="auto"/>
                <w:kern w:val="0"/>
                <w:szCs w:val="21"/>
              </w:rPr>
            </w:pPr>
            <w:r>
              <w:rPr>
                <w:rFonts w:hint="eastAsia" w:ascii="宋体" w:hAnsi="宋体" w:cs="宋体"/>
                <w:color w:val="auto"/>
                <w:kern w:val="0"/>
                <w:szCs w:val="21"/>
              </w:rPr>
              <w:t>④《考点设置信息汇总表》</w:t>
            </w:r>
          </w:p>
          <w:p>
            <w:pPr>
              <w:widowControl/>
              <w:jc w:val="left"/>
              <w:rPr>
                <w:rFonts w:ascii="宋体" w:hAnsi="宋体" w:cs="宋体"/>
                <w:color w:val="auto"/>
                <w:kern w:val="0"/>
                <w:szCs w:val="21"/>
              </w:rPr>
            </w:pPr>
            <w:r>
              <w:rPr>
                <w:rFonts w:hint="eastAsia" w:ascii="宋体" w:hAnsi="宋体" w:cs="宋体"/>
                <w:color w:val="auto"/>
                <w:kern w:val="0"/>
                <w:szCs w:val="21"/>
              </w:rPr>
              <w:t>⑤《考点考场检测安排表》超编率=（应承担各科次考试报名人数/各科次所有考点实际机位安排数）×100%</w:t>
            </w:r>
            <w:r>
              <w:rPr>
                <w:rFonts w:ascii="宋体" w:hAnsi="宋体" w:cs="宋体"/>
                <w:color w:val="auto"/>
                <w:kern w:val="0"/>
                <w:szCs w:val="21"/>
              </w:rPr>
              <w:t>-1</w:t>
            </w:r>
            <w:r>
              <w:rPr>
                <w:rFonts w:hint="eastAsia" w:ascii="宋体" w:hAnsi="宋体" w:cs="宋体"/>
                <w:color w:val="auto"/>
                <w:kern w:val="0"/>
                <w:szCs w:val="21"/>
              </w:rPr>
              <w:t>。机位安排数（不含备用机）。</w:t>
            </w:r>
          </w:p>
        </w:tc>
      </w:tr>
      <w:tr>
        <w:tblPrEx>
          <w:tblCellMar>
            <w:top w:w="0" w:type="dxa"/>
            <w:left w:w="108" w:type="dxa"/>
            <w:bottom w:w="0" w:type="dxa"/>
            <w:right w:w="108" w:type="dxa"/>
          </w:tblCellMar>
        </w:tblPrEx>
        <w:trPr>
          <w:trHeight w:val="56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268" w:type="dxa"/>
            <w:tcBorders>
              <w:top w:val="nil"/>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2.按合同规定，乙方按要求与考点签订服务合同和保密协议，考点原则上为宁波主城区的院校，考点确定须经甲方认可。乙方与考点签订的《考试服务合同》，合同内容必须包含：考试项目、考试时间、考试机位数、合同总价、双方职责（含违约责任）等相关必要因素。未按要求完成的，每发现一例，扣5分；发现两例的，扣10分；发现三例及以上的，扣20分；且甲方有权取消考试服务资格。</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20</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r>
      <w:tr>
        <w:tblPrEx>
          <w:tblCellMar>
            <w:top w:w="0" w:type="dxa"/>
            <w:left w:w="108" w:type="dxa"/>
            <w:bottom w:w="0" w:type="dxa"/>
            <w:right w:w="108" w:type="dxa"/>
          </w:tblCellMar>
        </w:tblPrEx>
        <w:trPr>
          <w:trHeight w:val="56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26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3.按照财政部、浙江省会计专业技术资格考试工作指引要求，设置会计专业技术资格考试考场（点）设备配置及网络环境。未按要求完成的，每发现一例，扣1分；发现两例的，扣3分；发现三例及以上的，扣5分。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r>
      <w:tr>
        <w:tblPrEx>
          <w:tblCellMar>
            <w:top w:w="0" w:type="dxa"/>
            <w:left w:w="108" w:type="dxa"/>
            <w:bottom w:w="0" w:type="dxa"/>
            <w:right w:w="108" w:type="dxa"/>
          </w:tblCellMar>
        </w:tblPrEx>
        <w:trPr>
          <w:trHeight w:val="56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26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4.每个考点应根据考试报名人数和考场数量等实际情况合理设置备用考场，每个考点至少配备</w:t>
            </w:r>
            <w:r>
              <w:rPr>
                <w:rFonts w:ascii="宋体" w:hAnsi="宋体" w:cs="宋体"/>
                <w:color w:val="auto"/>
                <w:kern w:val="0"/>
                <w:szCs w:val="21"/>
              </w:rPr>
              <w:t>1</w:t>
            </w:r>
            <w:r>
              <w:rPr>
                <w:rFonts w:hint="eastAsia" w:ascii="宋体" w:hAnsi="宋体" w:cs="宋体"/>
                <w:color w:val="auto"/>
                <w:kern w:val="0"/>
                <w:szCs w:val="21"/>
              </w:rPr>
              <w:t>个备用考场，备用考场考试机原则上不低于该考点实际编排考试机位数的5%且不少于</w:t>
            </w:r>
            <w:r>
              <w:rPr>
                <w:rFonts w:ascii="宋体" w:hAnsi="宋体" w:cs="宋体"/>
                <w:color w:val="auto"/>
                <w:kern w:val="0"/>
                <w:szCs w:val="21"/>
              </w:rPr>
              <w:t>40</w:t>
            </w:r>
            <w:r>
              <w:rPr>
                <w:rFonts w:hint="eastAsia" w:ascii="宋体" w:hAnsi="宋体" w:cs="宋体"/>
                <w:color w:val="auto"/>
                <w:kern w:val="0"/>
                <w:szCs w:val="21"/>
              </w:rPr>
              <w:t>台，各考场应预留考生数量5%的备用考试机。未按要求完成的，每发现一例，扣1分；发现两例的，扣3分；发现三例及以上的，扣5分。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r>
      <w:tr>
        <w:tblPrEx>
          <w:tblCellMar>
            <w:top w:w="0" w:type="dxa"/>
            <w:left w:w="108" w:type="dxa"/>
            <w:bottom w:w="0" w:type="dxa"/>
            <w:right w:w="108" w:type="dxa"/>
          </w:tblCellMar>
        </w:tblPrEx>
        <w:trPr>
          <w:trHeight w:val="13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前期准备</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考点布置</w:t>
            </w:r>
          </w:p>
        </w:tc>
        <w:tc>
          <w:tcPr>
            <w:tcW w:w="626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1.完成考点、考场环境布置工作。未按要求完成的，每发现一例，扣2分；发现两例及以上的，扣4分。</w:t>
            </w: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3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需报备材料要求：</w:t>
            </w:r>
          </w:p>
          <w:p>
            <w:pPr>
              <w:widowControl/>
              <w:jc w:val="left"/>
              <w:rPr>
                <w:rFonts w:ascii="宋体" w:hAnsi="宋体" w:cs="宋体"/>
                <w:color w:val="auto"/>
                <w:kern w:val="0"/>
                <w:szCs w:val="21"/>
              </w:rPr>
            </w:pPr>
            <w:r>
              <w:rPr>
                <w:rFonts w:hint="eastAsia" w:ascii="宋体" w:hAnsi="宋体" w:cs="宋体"/>
                <w:color w:val="auto"/>
                <w:kern w:val="0"/>
                <w:szCs w:val="21"/>
              </w:rPr>
              <w:t>①考点考务人员培训方案、培训考核内容、《培训人员签到表》</w:t>
            </w:r>
            <w:r>
              <w:rPr>
                <w:rFonts w:hint="eastAsia" w:ascii="宋体" w:hAnsi="宋体" w:cs="宋体"/>
                <w:color w:val="auto"/>
                <w:kern w:val="0"/>
                <w:szCs w:val="21"/>
              </w:rPr>
              <w:br w:type="textWrapping"/>
            </w:r>
            <w:r>
              <w:rPr>
                <w:rFonts w:hint="eastAsia" w:ascii="宋体" w:hAnsi="宋体" w:cs="宋体"/>
                <w:color w:val="auto"/>
                <w:kern w:val="0"/>
                <w:szCs w:val="21"/>
              </w:rPr>
              <w:t>②《考核结果登记表》、保密承诺书</w:t>
            </w: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考前培训</w:t>
            </w:r>
          </w:p>
        </w:tc>
        <w:tc>
          <w:tcPr>
            <w:tcW w:w="6268" w:type="dxa"/>
            <w:tcBorders>
              <w:top w:val="single" w:color="auto" w:sz="4" w:space="0"/>
              <w:left w:val="nil"/>
              <w:bottom w:val="single" w:color="auto" w:sz="4" w:space="0"/>
              <w:right w:val="single" w:color="auto"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2.按要求组织所有考点主考、副主考、技术服务人员等工作人员进行考前培训，并按要求向甲方报备相关材料。未按要求完成的，每发现一例，扣2分；发现两例及以上的，扣4分。</w:t>
            </w: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3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r>
      <w:tr>
        <w:tblPrEx>
          <w:tblCellMar>
            <w:top w:w="0" w:type="dxa"/>
            <w:left w:w="108" w:type="dxa"/>
            <w:bottom w:w="0" w:type="dxa"/>
            <w:right w:w="108" w:type="dxa"/>
          </w:tblCellMar>
        </w:tblPrEx>
        <w:trPr>
          <w:trHeight w:val="56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考点测试工作</w:t>
            </w:r>
          </w:p>
        </w:tc>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两次考点测试、封场工作</w:t>
            </w:r>
          </w:p>
        </w:tc>
        <w:tc>
          <w:tcPr>
            <w:tcW w:w="626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1.乙方按要求完成测试。未按要求完成的，每发现一例，扣1分；发现两例的，扣2分；发现三例及以上的，扣4分。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　</w:t>
            </w:r>
          </w:p>
        </w:tc>
        <w:tc>
          <w:tcPr>
            <w:tcW w:w="2544"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b/>
                <w:bCs/>
                <w:color w:val="auto"/>
                <w:kern w:val="0"/>
                <w:szCs w:val="21"/>
              </w:rPr>
              <w:t>需报备材料要求：</w:t>
            </w:r>
            <w:r>
              <w:rPr>
                <w:rFonts w:hint="eastAsia" w:ascii="宋体" w:hAnsi="宋体" w:cs="宋体"/>
                <w:color w:val="auto"/>
                <w:kern w:val="0"/>
                <w:szCs w:val="21"/>
              </w:rPr>
              <w:br w:type="textWrapping"/>
            </w:r>
            <w:r>
              <w:rPr>
                <w:rFonts w:hint="eastAsia" w:ascii="宋体" w:hAnsi="宋体" w:cs="宋体"/>
                <w:color w:val="auto"/>
                <w:kern w:val="0"/>
                <w:szCs w:val="21"/>
              </w:rPr>
              <w:t>①《考点考场检测结果表》。</w:t>
            </w:r>
          </w:p>
          <w:p>
            <w:pPr>
              <w:widowControl/>
              <w:jc w:val="left"/>
              <w:rPr>
                <w:rFonts w:ascii="宋体" w:hAnsi="宋体" w:cs="宋体"/>
                <w:color w:val="auto"/>
                <w:kern w:val="0"/>
                <w:szCs w:val="21"/>
              </w:rPr>
            </w:pPr>
            <w:r>
              <w:rPr>
                <w:rFonts w:hint="eastAsia" w:ascii="宋体" w:hAnsi="宋体" w:cs="宋体"/>
                <w:color w:val="auto"/>
                <w:kern w:val="0"/>
                <w:szCs w:val="21"/>
              </w:rPr>
              <w:t>②《考试封场时间安排表》</w:t>
            </w:r>
          </w:p>
          <w:p>
            <w:pPr>
              <w:widowControl/>
              <w:jc w:val="left"/>
              <w:rPr>
                <w:rFonts w:ascii="宋体" w:hAnsi="宋体" w:cs="宋体"/>
                <w:color w:val="auto"/>
                <w:kern w:val="0"/>
                <w:szCs w:val="21"/>
              </w:rPr>
            </w:pPr>
            <w:r>
              <w:rPr>
                <w:rFonts w:hint="eastAsia" w:ascii="宋体" w:hAnsi="宋体" w:cs="宋体"/>
                <w:color w:val="auto"/>
                <w:kern w:val="0"/>
                <w:szCs w:val="21"/>
              </w:rPr>
              <w:t>③《考试封场记录表》</w:t>
            </w: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26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2.乙方在规定时间完成封场工作。未按要求完成的，每发现一例，扣2分；发现两例及以上的，扣4分。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　</w:t>
            </w:r>
          </w:p>
        </w:tc>
        <w:tc>
          <w:tcPr>
            <w:tcW w:w="25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Cs w:val="21"/>
              </w:rPr>
            </w:pPr>
          </w:p>
        </w:tc>
      </w:tr>
      <w:tr>
        <w:tblPrEx>
          <w:tblCellMar>
            <w:top w:w="0" w:type="dxa"/>
            <w:left w:w="108" w:type="dxa"/>
            <w:bottom w:w="0" w:type="dxa"/>
            <w:right w:w="108" w:type="dxa"/>
          </w:tblCellMar>
        </w:tblPrEx>
        <w:trPr>
          <w:trHeight w:val="56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技术服务人员</w:t>
            </w:r>
          </w:p>
        </w:tc>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技术服务人员配备</w:t>
            </w:r>
          </w:p>
        </w:tc>
        <w:tc>
          <w:tcPr>
            <w:tcW w:w="626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1.按合同规定，乙方按要求向甲方报备参与宁波考区考务服务的技术服务人员名单。技术服务人员报备材料不符合要求的，每发现一例，扣2分；发现两例及以上的，扣4分。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restart"/>
            <w:tcBorders>
              <w:top w:val="nil"/>
              <w:left w:val="single" w:color="auto" w:sz="4" w:space="0"/>
              <w:bottom w:val="nil"/>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b/>
                <w:bCs/>
                <w:color w:val="auto"/>
                <w:kern w:val="0"/>
                <w:szCs w:val="21"/>
              </w:rPr>
              <w:t>需报备材料要求：</w:t>
            </w:r>
            <w:r>
              <w:rPr>
                <w:rFonts w:hint="eastAsia" w:ascii="宋体" w:hAnsi="宋体" w:cs="宋体"/>
                <w:color w:val="auto"/>
                <w:kern w:val="0"/>
                <w:szCs w:val="21"/>
              </w:rPr>
              <w:br w:type="textWrapping"/>
            </w:r>
            <w:r>
              <w:rPr>
                <w:rFonts w:hint="eastAsia" w:ascii="宋体" w:hAnsi="宋体" w:cs="宋体"/>
                <w:color w:val="auto"/>
                <w:kern w:val="0"/>
                <w:szCs w:val="21"/>
              </w:rPr>
              <w:t>①《技术服务人员名单》</w:t>
            </w:r>
          </w:p>
          <w:p>
            <w:pPr>
              <w:widowControl/>
              <w:jc w:val="left"/>
              <w:rPr>
                <w:rFonts w:ascii="宋体" w:hAnsi="宋体" w:cs="宋体"/>
                <w:b/>
                <w:bCs/>
                <w:color w:val="auto"/>
                <w:kern w:val="0"/>
                <w:szCs w:val="21"/>
              </w:rPr>
            </w:pPr>
            <w:r>
              <w:rPr>
                <w:rFonts w:hint="eastAsia" w:ascii="宋体" w:hAnsi="宋体" w:cs="宋体"/>
                <w:color w:val="auto"/>
                <w:kern w:val="0"/>
                <w:szCs w:val="21"/>
              </w:rPr>
              <w:t>②《技术服务人员考点安排表》</w:t>
            </w: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26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2.实际提供服务的人员不突破乙方向甲方报备的技术服务人员范围。突破报备人员范围的，每发现一例，扣2分；发现两例及以上的，扣4分。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auto"/>
                <w:kern w:val="0"/>
                <w:szCs w:val="21"/>
              </w:rPr>
            </w:pP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26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3.参与封场测试以及考试时现场服务的技术服务人员，各考点均需一致，未经甲方同意，不得随意变更。擅自调整人员的，每发现一例，扣2分；发现两例及以上的。扣4分。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auto"/>
                <w:kern w:val="0"/>
                <w:szCs w:val="21"/>
              </w:rPr>
            </w:pPr>
          </w:p>
        </w:tc>
      </w:tr>
      <w:tr>
        <w:tblPrEx>
          <w:tblCellMar>
            <w:top w:w="0" w:type="dxa"/>
            <w:left w:w="108" w:type="dxa"/>
            <w:bottom w:w="0" w:type="dxa"/>
            <w:right w:w="108" w:type="dxa"/>
          </w:tblCellMar>
        </w:tblPrEx>
        <w:trPr>
          <w:trHeight w:val="56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技术服务工作</w:t>
            </w:r>
          </w:p>
        </w:tc>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技术服务工作要求</w:t>
            </w:r>
          </w:p>
        </w:tc>
        <w:tc>
          <w:tcPr>
            <w:tcW w:w="626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1.做好技术服务人员培训考核工作。未按要求完成的，每发现一例，扣1分；发现两例及以上的，扣2分。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b/>
                <w:bCs/>
                <w:color w:val="auto"/>
                <w:kern w:val="0"/>
                <w:szCs w:val="21"/>
              </w:rPr>
              <w:t>需报备材料要求：</w:t>
            </w:r>
            <w:r>
              <w:rPr>
                <w:rFonts w:hint="eastAsia" w:ascii="宋体" w:hAnsi="宋体" w:cs="宋体"/>
                <w:color w:val="auto"/>
                <w:kern w:val="0"/>
                <w:szCs w:val="21"/>
              </w:rPr>
              <w:br w:type="textWrapping"/>
            </w:r>
            <w:r>
              <w:rPr>
                <w:rFonts w:hint="eastAsia" w:ascii="宋体" w:hAnsi="宋体" w:cs="宋体"/>
                <w:color w:val="auto"/>
                <w:kern w:val="0"/>
                <w:szCs w:val="21"/>
              </w:rPr>
              <w:t>①《技术人员培训签到表》</w:t>
            </w:r>
          </w:p>
          <w:p>
            <w:pPr>
              <w:widowControl/>
              <w:jc w:val="left"/>
              <w:rPr>
                <w:rFonts w:ascii="宋体" w:hAnsi="宋体" w:cs="宋体"/>
                <w:b/>
                <w:bCs/>
                <w:color w:val="auto"/>
                <w:kern w:val="0"/>
                <w:szCs w:val="21"/>
              </w:rPr>
            </w:pPr>
            <w:r>
              <w:rPr>
                <w:rFonts w:hint="eastAsia" w:ascii="宋体" w:hAnsi="宋体" w:cs="宋体"/>
                <w:color w:val="auto"/>
                <w:kern w:val="0"/>
                <w:szCs w:val="21"/>
              </w:rPr>
              <w:t>②《技术人员培训考核登记表》</w:t>
            </w: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26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2.考前90分钟技术服务人员到场，做好各项考前准备工作，不得脱岗或处理与考试无关的事情。未按要求完成的，每发现一例，扣1分；发现两例及以上的，扣2分。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26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3.考前30分钟完成考试数据下载及考场网络环境的再次检测工作。未按要求完成的，每发现一例，扣1分；发现两例及以上的，扣2分。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4.考试结束后，乙方在规定时间内完成数据上传工作。未按要求完成的，每发现一例，扣1分；发现两例及以上的，扣2分。</w:t>
            </w: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3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r>
      <w:tr>
        <w:tblPrEx>
          <w:tblCellMar>
            <w:top w:w="0" w:type="dxa"/>
            <w:left w:w="108" w:type="dxa"/>
            <w:bottom w:w="0" w:type="dxa"/>
            <w:right w:w="108" w:type="dxa"/>
          </w:tblCellMar>
        </w:tblPrEx>
        <w:trPr>
          <w:trHeight w:val="56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突发事件处置</w:t>
            </w:r>
          </w:p>
        </w:tc>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突发事处置情况</w:t>
            </w:r>
          </w:p>
        </w:tc>
        <w:tc>
          <w:tcPr>
            <w:tcW w:w="6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1.乙方必须对考试工作制定应急预案，并按要求向甲方报备《考试应急预案》、《应急预案演练方案》。未按要求完成的，每发现一例，扣2分；发现两例及以上的，扣4分。</w:t>
            </w: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3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b/>
                <w:bCs/>
                <w:color w:val="auto"/>
                <w:kern w:val="0"/>
                <w:szCs w:val="21"/>
              </w:rPr>
              <w:t>需报备材料要求：</w:t>
            </w:r>
            <w:r>
              <w:rPr>
                <w:rFonts w:hint="eastAsia" w:ascii="宋体" w:hAnsi="宋体" w:cs="宋体"/>
                <w:color w:val="auto"/>
                <w:kern w:val="0"/>
                <w:szCs w:val="21"/>
              </w:rPr>
              <w:br w:type="textWrapping"/>
            </w:r>
            <w:r>
              <w:rPr>
                <w:rFonts w:hint="eastAsia" w:ascii="宋体" w:hAnsi="宋体" w:cs="宋体"/>
                <w:color w:val="auto"/>
                <w:kern w:val="0"/>
                <w:szCs w:val="21"/>
              </w:rPr>
              <w:t>①考试应急预案</w:t>
            </w:r>
          </w:p>
          <w:p>
            <w:pPr>
              <w:widowControl/>
              <w:jc w:val="left"/>
              <w:rPr>
                <w:rFonts w:ascii="宋体" w:hAnsi="宋体" w:cs="宋体"/>
                <w:color w:val="auto"/>
                <w:kern w:val="0"/>
                <w:szCs w:val="21"/>
              </w:rPr>
            </w:pPr>
            <w:r>
              <w:rPr>
                <w:rFonts w:hint="eastAsia" w:ascii="宋体" w:hAnsi="宋体" w:cs="宋体"/>
                <w:color w:val="auto"/>
                <w:kern w:val="0"/>
                <w:szCs w:val="21"/>
              </w:rPr>
              <w:t>②应急预案演练方案</w:t>
            </w:r>
          </w:p>
          <w:p>
            <w:pPr>
              <w:widowControl/>
              <w:jc w:val="left"/>
              <w:rPr>
                <w:rFonts w:ascii="宋体" w:hAnsi="宋体" w:cs="宋体"/>
                <w:color w:val="auto"/>
                <w:kern w:val="0"/>
                <w:szCs w:val="21"/>
              </w:rPr>
            </w:pPr>
            <w:r>
              <w:rPr>
                <w:rFonts w:hint="eastAsia" w:ascii="宋体" w:hAnsi="宋体" w:cs="宋体"/>
                <w:color w:val="auto"/>
                <w:kern w:val="0"/>
                <w:szCs w:val="21"/>
              </w:rPr>
              <w:t>③《考试应急预案培训签到表》</w:t>
            </w:r>
          </w:p>
          <w:p>
            <w:pPr>
              <w:widowControl/>
              <w:jc w:val="left"/>
              <w:rPr>
                <w:rFonts w:ascii="宋体" w:hAnsi="宋体" w:cs="宋体"/>
                <w:color w:val="auto"/>
                <w:kern w:val="0"/>
                <w:szCs w:val="21"/>
              </w:rPr>
            </w:pPr>
            <w:r>
              <w:rPr>
                <w:rFonts w:hint="eastAsia" w:ascii="宋体" w:hAnsi="宋体" w:cs="宋体"/>
                <w:color w:val="auto"/>
                <w:kern w:val="0"/>
                <w:szCs w:val="21"/>
              </w:rPr>
              <w:t>④《考试应急预案演练结果表》</w:t>
            </w: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2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2.乙方必须组织所有考点进行应急预案演练，并报送演练结果。未按要求完成的，每发现一例，扣2分；发现两例及以上的，扣4分。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26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3.考试过程中，如有突发情况发生，确定事故原因，提出解决方案并实施。并及时汇报甲方。突发情况应急处理时间不得影响下一场考试正常开考，及时上报并完整记录突发事件经过、处理结果，不得隐瞒不报。按要求处置，但仍影响下一场考试的，每发现一例扣1分；未按要求处置，但未影响下一场考试的，每发现一例扣3分；未按要求处置，但仍影响下一场考试的，每发现一例，扣6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r>
      <w:tr>
        <w:tblPrEx>
          <w:tblCellMar>
            <w:top w:w="0" w:type="dxa"/>
            <w:left w:w="108" w:type="dxa"/>
            <w:bottom w:w="0" w:type="dxa"/>
            <w:right w:w="108" w:type="dxa"/>
          </w:tblCellMar>
        </w:tblPrEx>
        <w:trPr>
          <w:trHeight w:val="56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7</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监考服务</w:t>
            </w:r>
          </w:p>
        </w:tc>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监考服务要求</w:t>
            </w:r>
          </w:p>
        </w:tc>
        <w:tc>
          <w:tcPr>
            <w:tcW w:w="626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1.监考人员原则上应为考点的教职员工，按财政部、浙江省会计专业技术资格考试工作指引要求配备监考工作人员，100人及以下考场，至少配备2名考场监考；100人以上，每增加50人原则上应增配1名考场监考。未按要求完成的，每发现一例，扣1分；发现两例及以上的，扣2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需报备材料要求：</w:t>
            </w:r>
          </w:p>
          <w:p>
            <w:pPr>
              <w:widowControl/>
              <w:jc w:val="left"/>
              <w:rPr>
                <w:rFonts w:ascii="宋体" w:hAnsi="宋体" w:cs="宋体"/>
                <w:color w:val="auto"/>
                <w:kern w:val="0"/>
                <w:szCs w:val="21"/>
              </w:rPr>
            </w:pPr>
            <w:r>
              <w:rPr>
                <w:rFonts w:hint="eastAsia" w:ascii="宋体" w:hAnsi="宋体" w:cs="宋体"/>
                <w:color w:val="auto"/>
                <w:kern w:val="0"/>
                <w:szCs w:val="21"/>
              </w:rPr>
              <w:t xml:space="preserve">《考点监考人员安排表》 </w:t>
            </w:r>
          </w:p>
          <w:p>
            <w:pPr>
              <w:widowControl/>
              <w:jc w:val="left"/>
              <w:rPr>
                <w:rFonts w:ascii="宋体" w:hAnsi="宋体" w:cs="宋体"/>
                <w:b/>
                <w:bCs/>
                <w:color w:val="auto"/>
                <w:kern w:val="0"/>
                <w:szCs w:val="21"/>
              </w:rPr>
            </w:pPr>
            <w:r>
              <w:rPr>
                <w:rFonts w:hint="eastAsia" w:ascii="宋体" w:hAnsi="宋体" w:cs="宋体"/>
                <w:color w:val="auto"/>
                <w:kern w:val="0"/>
                <w:szCs w:val="21"/>
              </w:rPr>
              <w:t>《监考人员工作程序记录表》</w:t>
            </w: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26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2.组织监考人员培训及应急预案演练。未按要求完成的，每发现一例，扣1分；发现两例及以上的，扣2分。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r>
      <w:tr>
        <w:tblPrEx>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26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3.按照《监考人员工作程序记录表》完成各项监考工作。未按要求完成的，每发现一例，扣0.1分。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r>
      <w:tr>
        <w:tblPrEx>
          <w:tblCellMar>
            <w:top w:w="0" w:type="dxa"/>
            <w:left w:w="108" w:type="dxa"/>
            <w:bottom w:w="0" w:type="dxa"/>
            <w:right w:w="108" w:type="dxa"/>
          </w:tblCellMar>
        </w:tblPrEx>
        <w:trPr>
          <w:trHeight w:val="567"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其他</w:t>
            </w:r>
          </w:p>
        </w:tc>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协调配合</w:t>
            </w:r>
          </w:p>
        </w:tc>
        <w:tc>
          <w:tcPr>
            <w:tcW w:w="626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乙方应按要求向甲方报备各项材料，确保报备材料的完整性、及时性、真实性。未按时间要求完成或材料不完整的，每发现一例，扣0.5分；发现报备材料弄虚作假的，发现一例，扣3分。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26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乙方应接受甲方及巡考人员对考试过程的监督和管理，未按要求完成的，每发现一例，扣3分</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93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r>
      <w:tr>
        <w:tblPrEx>
          <w:tblCellMar>
            <w:top w:w="0" w:type="dxa"/>
            <w:left w:w="108" w:type="dxa"/>
            <w:bottom w:w="0" w:type="dxa"/>
            <w:right w:w="108" w:type="dxa"/>
          </w:tblCellMar>
        </w:tblPrEx>
        <w:trPr>
          <w:trHeight w:val="567"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总分</w:t>
            </w:r>
          </w:p>
        </w:tc>
        <w:tc>
          <w:tcPr>
            <w:tcW w:w="754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93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54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67" w:hRule="atLeast"/>
        </w:trPr>
        <w:tc>
          <w:tcPr>
            <w:tcW w:w="13992"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备注：</w:t>
            </w:r>
            <w:r>
              <w:rPr>
                <w:rFonts w:ascii="宋体" w:hAnsi="宋体" w:cs="宋体"/>
                <w:color w:val="auto"/>
                <w:kern w:val="0"/>
                <w:szCs w:val="21"/>
              </w:rPr>
              <w:t>95分（含95</w:t>
            </w:r>
            <w:r>
              <w:rPr>
                <w:rFonts w:hint="eastAsia" w:ascii="宋体" w:hAnsi="宋体" w:cs="宋体"/>
                <w:color w:val="auto"/>
                <w:kern w:val="0"/>
                <w:szCs w:val="21"/>
              </w:rPr>
              <w:t>）以上为优秀；</w:t>
            </w:r>
            <w:r>
              <w:rPr>
                <w:rFonts w:ascii="宋体" w:hAnsi="宋体" w:cs="宋体"/>
                <w:color w:val="auto"/>
                <w:kern w:val="0"/>
                <w:szCs w:val="21"/>
              </w:rPr>
              <w:t>80分-94</w:t>
            </w:r>
            <w:r>
              <w:rPr>
                <w:rFonts w:hint="eastAsia" w:ascii="宋体" w:hAnsi="宋体" w:cs="宋体"/>
                <w:color w:val="auto"/>
                <w:kern w:val="0"/>
                <w:szCs w:val="21"/>
              </w:rPr>
              <w:t>分为良好；</w:t>
            </w:r>
            <w:r>
              <w:rPr>
                <w:rFonts w:ascii="宋体" w:hAnsi="宋体" w:cs="宋体"/>
                <w:color w:val="auto"/>
                <w:kern w:val="0"/>
                <w:szCs w:val="21"/>
              </w:rPr>
              <w:t>60分-79</w:t>
            </w:r>
            <w:r>
              <w:rPr>
                <w:rFonts w:hint="eastAsia" w:ascii="宋体" w:hAnsi="宋体" w:cs="宋体"/>
                <w:color w:val="auto"/>
                <w:kern w:val="0"/>
                <w:szCs w:val="21"/>
              </w:rPr>
              <w:t>分为合格；</w:t>
            </w:r>
            <w:r>
              <w:rPr>
                <w:rFonts w:ascii="宋体" w:hAnsi="宋体" w:cs="宋体"/>
                <w:color w:val="auto"/>
                <w:kern w:val="0"/>
                <w:szCs w:val="21"/>
              </w:rPr>
              <w:t>60分（不含60分）</w:t>
            </w:r>
            <w:r>
              <w:rPr>
                <w:rFonts w:hint="eastAsia" w:ascii="宋体" w:hAnsi="宋体" w:cs="宋体"/>
                <w:color w:val="auto"/>
                <w:kern w:val="0"/>
                <w:szCs w:val="21"/>
              </w:rPr>
              <w:t>以下为不合格。</w:t>
            </w:r>
          </w:p>
          <w:p>
            <w:pPr>
              <w:widowControl/>
              <w:jc w:val="left"/>
              <w:rPr>
                <w:rFonts w:ascii="宋体" w:hAnsi="宋体" w:cs="宋体"/>
                <w:color w:val="auto"/>
                <w:kern w:val="0"/>
                <w:szCs w:val="21"/>
              </w:rPr>
            </w:pPr>
            <w:r>
              <w:rPr>
                <w:rFonts w:hint="eastAsia" w:ascii="宋体" w:hAnsi="宋体" w:cs="宋体"/>
                <w:color w:val="auto"/>
                <w:kern w:val="0"/>
                <w:szCs w:val="21"/>
              </w:rPr>
              <w:t>乙方在考务服务过程中发生合同约定的严重影响考试情况的违约情形，考核评价结果不得评为优秀。</w:t>
            </w:r>
          </w:p>
        </w:tc>
      </w:tr>
    </w:tbl>
    <w:p>
      <w:pPr>
        <w:widowControl/>
        <w:jc w:val="left"/>
        <w:rPr>
          <w:rFonts w:ascii="宋体" w:hAnsi="宋体" w:cs="黑体"/>
          <w:b/>
          <w:color w:val="auto"/>
          <w:sz w:val="32"/>
          <w:szCs w:val="32"/>
        </w:rPr>
      </w:pPr>
    </w:p>
    <w:p>
      <w:pPr>
        <w:rPr>
          <w:color w:val="auto"/>
        </w:rPr>
      </w:pPr>
    </w:p>
    <w:p>
      <w:pPr>
        <w:pStyle w:val="2"/>
        <w:rPr>
          <w:color w:val="auto"/>
        </w:rPr>
        <w:sectPr>
          <w:pgSz w:w="16838" w:h="11906" w:orient="landscape"/>
          <w:pgMar w:top="1610" w:right="1276" w:bottom="1558" w:left="1276" w:header="851" w:footer="851" w:gutter="0"/>
          <w:cols w:space="720" w:num="1"/>
          <w:docGrid w:linePitch="312" w:charSpace="0"/>
        </w:sectPr>
      </w:pPr>
      <w:bookmarkStart w:id="72" w:name="_Toc34844746"/>
      <w:bookmarkStart w:id="73" w:name="_Toc118452538"/>
    </w:p>
    <w:p>
      <w:pPr>
        <w:pStyle w:val="3"/>
        <w:rPr>
          <w:rFonts w:ascii="宋体" w:hAnsi="宋体"/>
          <w:color w:val="auto"/>
        </w:rPr>
      </w:pPr>
      <w:r>
        <w:rPr>
          <w:rFonts w:hint="eastAsia" w:ascii="宋体" w:hAnsi="宋体"/>
          <w:color w:val="auto"/>
        </w:rPr>
        <w:t>第六章  投标文件格式</w:t>
      </w:r>
      <w:bookmarkEnd w:id="72"/>
      <w:bookmarkEnd w:id="73"/>
    </w:p>
    <w:p>
      <w:pPr>
        <w:snapToGrid w:val="0"/>
        <w:spacing w:line="360" w:lineRule="auto"/>
        <w:ind w:left="-23" w:leftChars="-11" w:right="-214" w:rightChars="-102" w:firstLine="21" w:firstLineChars="10"/>
        <w:jc w:val="left"/>
        <w:rPr>
          <w:rFonts w:ascii="宋体" w:hAnsi="宋体"/>
          <w:b/>
          <w:color w:val="auto"/>
        </w:rPr>
      </w:pPr>
      <w:r>
        <w:rPr>
          <w:rFonts w:hint="eastAsia" w:ascii="宋体" w:hAnsi="宋体"/>
          <w:b/>
          <w:color w:val="auto"/>
        </w:rPr>
        <w:t>1.资格要求响应文件的有关格式</w:t>
      </w:r>
    </w:p>
    <w:p>
      <w:pPr>
        <w:pStyle w:val="20"/>
        <w:spacing w:line="360" w:lineRule="auto"/>
        <w:ind w:left="0" w:leftChars="0"/>
        <w:jc w:val="center"/>
        <w:rPr>
          <w:rFonts w:ascii="宋体" w:hAnsi="宋体" w:cs="宋体"/>
          <w:b/>
          <w:color w:val="auto"/>
          <w:kern w:val="1"/>
          <w:szCs w:val="21"/>
        </w:rPr>
      </w:pPr>
      <w:r>
        <w:rPr>
          <w:rFonts w:hint="eastAsia" w:ascii="宋体" w:hAnsi="宋体" w:cs="宋体"/>
          <w:b/>
          <w:color w:val="auto"/>
          <w:sz w:val="21"/>
          <w:szCs w:val="21"/>
        </w:rPr>
        <w:t>（1）</w:t>
      </w:r>
      <w:r>
        <w:rPr>
          <w:rFonts w:ascii="宋体" w:hAnsi="宋体" w:cs="宋体"/>
          <w:b/>
          <w:color w:val="auto"/>
          <w:sz w:val="21"/>
          <w:szCs w:val="21"/>
        </w:rPr>
        <w:t>投标人资格声明函</w:t>
      </w:r>
    </w:p>
    <w:p>
      <w:pPr>
        <w:spacing w:line="360" w:lineRule="auto"/>
        <w:rPr>
          <w:rFonts w:ascii="宋体" w:hAnsi="宋体" w:cs="宋体"/>
          <w:b/>
          <w:color w:val="auto"/>
          <w:kern w:val="1"/>
          <w:szCs w:val="21"/>
        </w:rPr>
      </w:pPr>
      <w:r>
        <w:rPr>
          <w:rFonts w:hint="eastAsia" w:ascii="宋体" w:hAnsi="宋体"/>
          <w:bCs/>
          <w:color w:val="auto"/>
          <w:szCs w:val="21"/>
        </w:rPr>
        <w:t>致：</w:t>
      </w:r>
      <w:r>
        <w:rPr>
          <w:rFonts w:ascii="宋体" w:hAnsi="宋体"/>
          <w:color w:val="auto"/>
          <w:szCs w:val="21"/>
          <w:u w:val="single"/>
        </w:rPr>
        <w:t>宁波市财政局</w:t>
      </w:r>
      <w:r>
        <w:rPr>
          <w:rFonts w:hint="eastAsia" w:ascii="宋体" w:hAnsi="宋体"/>
          <w:color w:val="auto"/>
          <w:szCs w:val="21"/>
          <w:u w:val="single"/>
        </w:rPr>
        <w:t>、宁波名诚招标代理有限公司</w:t>
      </w:r>
    </w:p>
    <w:p>
      <w:pPr>
        <w:spacing w:line="360" w:lineRule="auto"/>
        <w:ind w:firstLine="424"/>
        <w:rPr>
          <w:rFonts w:ascii="宋体" w:hAnsi="宋体" w:cs="Arial"/>
          <w:color w:val="auto"/>
          <w:szCs w:val="21"/>
        </w:rPr>
      </w:pPr>
      <w:r>
        <w:rPr>
          <w:rFonts w:hint="eastAsia" w:ascii="宋体" w:hAnsi="宋体" w:cs="Arial"/>
          <w:color w:val="auto"/>
          <w:szCs w:val="21"/>
        </w:rPr>
        <w:t>我方参与本项目政府采购活动，郑重承诺：</w:t>
      </w:r>
    </w:p>
    <w:p>
      <w:pPr>
        <w:spacing w:line="360" w:lineRule="auto"/>
        <w:ind w:firstLine="424"/>
        <w:rPr>
          <w:rFonts w:ascii="宋体" w:hAnsi="宋体" w:cs="Arial"/>
          <w:color w:val="auto"/>
          <w:szCs w:val="21"/>
        </w:rPr>
      </w:pPr>
      <w:r>
        <w:rPr>
          <w:rFonts w:hint="eastAsia" w:ascii="宋体" w:hAnsi="宋体" w:cs="Arial"/>
          <w:color w:val="auto"/>
          <w:szCs w:val="21"/>
        </w:rPr>
        <w:t>一、具备《中华人民共和国政府采购法》第二十二条第一款规定的条件：</w:t>
      </w:r>
    </w:p>
    <w:p>
      <w:pPr>
        <w:spacing w:line="360" w:lineRule="auto"/>
        <w:ind w:firstLine="424"/>
        <w:rPr>
          <w:rFonts w:ascii="宋体" w:hAnsi="宋体" w:cs="Arial"/>
          <w:color w:val="auto"/>
          <w:szCs w:val="21"/>
        </w:rPr>
      </w:pPr>
      <w:r>
        <w:rPr>
          <w:rFonts w:hint="eastAsia" w:ascii="宋体" w:hAnsi="宋体" w:cs="Arial"/>
          <w:color w:val="auto"/>
          <w:szCs w:val="21"/>
        </w:rPr>
        <w:t>1.具有独立承担民事责任的能力；</w:t>
      </w:r>
    </w:p>
    <w:p>
      <w:pPr>
        <w:spacing w:line="360" w:lineRule="auto"/>
        <w:ind w:firstLine="424"/>
        <w:rPr>
          <w:rFonts w:ascii="宋体" w:hAnsi="宋体" w:cs="Arial"/>
          <w:color w:val="auto"/>
          <w:szCs w:val="21"/>
        </w:rPr>
      </w:pPr>
      <w:r>
        <w:rPr>
          <w:rFonts w:hint="eastAsia" w:ascii="宋体" w:hAnsi="宋体" w:cs="Arial"/>
          <w:color w:val="auto"/>
          <w:szCs w:val="21"/>
        </w:rPr>
        <w:t>2.具有良好的商业信誉和健全的财务会计制度；</w:t>
      </w:r>
    </w:p>
    <w:p>
      <w:pPr>
        <w:spacing w:line="360" w:lineRule="auto"/>
        <w:ind w:firstLine="424"/>
        <w:rPr>
          <w:rFonts w:ascii="宋体" w:hAnsi="宋体" w:cs="Arial"/>
          <w:color w:val="auto"/>
          <w:szCs w:val="21"/>
        </w:rPr>
      </w:pPr>
      <w:r>
        <w:rPr>
          <w:rFonts w:hint="eastAsia" w:ascii="宋体" w:hAnsi="宋体" w:cs="Arial"/>
          <w:color w:val="auto"/>
          <w:szCs w:val="21"/>
        </w:rPr>
        <w:t>3.具有履行本项目合同所必需的设备和专业技术能力；</w:t>
      </w:r>
    </w:p>
    <w:p>
      <w:pPr>
        <w:spacing w:line="360" w:lineRule="auto"/>
        <w:ind w:firstLine="424"/>
        <w:rPr>
          <w:rFonts w:ascii="宋体" w:hAnsi="宋体" w:cs="Arial"/>
          <w:color w:val="auto"/>
          <w:szCs w:val="21"/>
        </w:rPr>
      </w:pPr>
      <w:r>
        <w:rPr>
          <w:rFonts w:hint="eastAsia" w:ascii="宋体" w:hAnsi="宋体" w:cs="Arial"/>
          <w:color w:val="auto"/>
          <w:szCs w:val="21"/>
        </w:rPr>
        <w:t>4.有依法缴纳税收和社会保障资金的良好记录；</w:t>
      </w:r>
    </w:p>
    <w:p>
      <w:pPr>
        <w:spacing w:line="360" w:lineRule="auto"/>
        <w:ind w:firstLine="424"/>
        <w:rPr>
          <w:rFonts w:ascii="宋体" w:hAnsi="宋体" w:cs="Arial"/>
          <w:color w:val="auto"/>
          <w:szCs w:val="21"/>
        </w:rPr>
      </w:pPr>
      <w:r>
        <w:rPr>
          <w:rFonts w:hint="eastAsia" w:ascii="宋体" w:hAnsi="宋体" w:cs="Arial"/>
          <w:color w:val="auto"/>
          <w:szCs w:val="21"/>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ascii="宋体" w:hAnsi="宋体" w:cs="Arial"/>
          <w:color w:val="auto"/>
          <w:szCs w:val="21"/>
        </w:rPr>
      </w:pPr>
      <w:r>
        <w:rPr>
          <w:rFonts w:hint="eastAsia" w:ascii="宋体" w:hAnsi="宋体" w:cs="Arial"/>
          <w:color w:val="auto"/>
          <w:szCs w:val="21"/>
        </w:rPr>
        <w:t>6.具有</w:t>
      </w:r>
      <w:r>
        <w:rPr>
          <w:rFonts w:ascii="宋体" w:hAnsi="宋体" w:cs="Arial"/>
          <w:color w:val="auto"/>
          <w:szCs w:val="21"/>
        </w:rPr>
        <w:t>法律、行政法规规定的其他条件</w:t>
      </w:r>
      <w:r>
        <w:rPr>
          <w:rFonts w:hint="eastAsia" w:ascii="宋体" w:hAnsi="宋体" w:cs="Arial"/>
          <w:color w:val="auto"/>
          <w:szCs w:val="21"/>
        </w:rPr>
        <w:t>。</w:t>
      </w:r>
    </w:p>
    <w:p>
      <w:pPr>
        <w:spacing w:line="360" w:lineRule="auto"/>
        <w:ind w:firstLine="424"/>
        <w:rPr>
          <w:rFonts w:ascii="宋体" w:hAnsi="宋体" w:cs="Arial"/>
          <w:color w:val="auto"/>
          <w:szCs w:val="21"/>
        </w:rPr>
      </w:pPr>
      <w:r>
        <w:rPr>
          <w:rFonts w:hint="eastAsia" w:ascii="宋体" w:hAnsi="宋体" w:cs="Arial"/>
          <w:color w:val="auto"/>
          <w:szCs w:val="21"/>
        </w:rPr>
        <w:t>二、未被“信用中国”（www.creditchina.gov.cn)、中国政府采购网（www.ccgp.gov.cn）列入失信被执行人、重大税收违法失信主体、政府采购严重违法失信行为记录名单。</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napToGrid w:val="0"/>
        <w:spacing w:line="360" w:lineRule="auto"/>
        <w:ind w:firstLine="3685" w:firstLineChars="1755"/>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（填写全称并加盖公章)         </w:t>
      </w:r>
    </w:p>
    <w:p>
      <w:pPr>
        <w:snapToGrid w:val="0"/>
        <w:spacing w:line="360" w:lineRule="auto"/>
        <w:ind w:firstLine="3685" w:firstLineChars="1755"/>
        <w:rPr>
          <w:rFonts w:ascii="宋体" w:hAnsi="宋体"/>
          <w:color w:val="auto"/>
          <w:szCs w:val="21"/>
        </w:rPr>
      </w:pPr>
      <w:r>
        <w:rPr>
          <w:rFonts w:hint="eastAsia" w:ascii="宋体" w:hAnsi="宋体"/>
          <w:color w:val="auto"/>
          <w:szCs w:val="21"/>
        </w:rPr>
        <w:t>日  期：</w:t>
      </w:r>
    </w:p>
    <w:p>
      <w:pPr>
        <w:snapToGrid w:val="0"/>
        <w:spacing w:line="360" w:lineRule="auto"/>
        <w:ind w:firstLine="3685" w:firstLineChars="1755"/>
        <w:rPr>
          <w:rFonts w:ascii="宋体" w:hAnsi="宋体"/>
          <w:color w:val="auto"/>
          <w:szCs w:val="21"/>
        </w:rPr>
      </w:pPr>
    </w:p>
    <w:p>
      <w:pPr>
        <w:widowControl/>
        <w:jc w:val="left"/>
        <w:rPr>
          <w:rFonts w:ascii="宋体" w:hAnsi="宋体"/>
          <w:color w:val="auto"/>
          <w:szCs w:val="21"/>
        </w:rPr>
      </w:pPr>
    </w:p>
    <w:p>
      <w:pPr>
        <w:widowControl/>
        <w:jc w:val="left"/>
        <w:rPr>
          <w:rFonts w:ascii="宋体" w:hAnsi="宋体"/>
          <w:color w:val="auto"/>
          <w:szCs w:val="21"/>
        </w:rPr>
      </w:pPr>
    </w:p>
    <w:p>
      <w:pPr>
        <w:pStyle w:val="18"/>
        <w:rPr>
          <w:rFonts w:ascii="宋体" w:hAnsi="宋体"/>
          <w:color w:val="auto"/>
        </w:rPr>
      </w:pPr>
    </w:p>
    <w:p>
      <w:pPr>
        <w:pStyle w:val="19"/>
        <w:ind w:firstLine="280"/>
        <w:rPr>
          <w:rFonts w:ascii="宋体" w:hAnsi="宋体"/>
          <w:color w:val="auto"/>
        </w:rPr>
      </w:pPr>
    </w:p>
    <w:p>
      <w:pPr>
        <w:rPr>
          <w:rFonts w:ascii="宋体" w:hAnsi="宋体"/>
          <w:color w:val="auto"/>
        </w:rPr>
      </w:pPr>
    </w:p>
    <w:p>
      <w:pPr>
        <w:pStyle w:val="18"/>
        <w:rPr>
          <w:rFonts w:ascii="宋体" w:hAnsi="宋体"/>
          <w:color w:val="auto"/>
        </w:rPr>
      </w:pPr>
    </w:p>
    <w:p>
      <w:pPr>
        <w:widowControl/>
        <w:jc w:val="left"/>
        <w:rPr>
          <w:rFonts w:ascii="宋体" w:hAnsi="宋体"/>
          <w:color w:val="auto"/>
          <w:szCs w:val="21"/>
        </w:rPr>
      </w:pPr>
    </w:p>
    <w:p>
      <w:pPr>
        <w:widowControl/>
        <w:jc w:val="left"/>
        <w:rPr>
          <w:rFonts w:ascii="宋体" w:hAnsi="宋体"/>
          <w:color w:val="auto"/>
          <w:szCs w:val="21"/>
        </w:rPr>
      </w:pPr>
    </w:p>
    <w:p>
      <w:pPr>
        <w:widowControl/>
        <w:jc w:val="left"/>
        <w:rPr>
          <w:rFonts w:ascii="宋体" w:hAnsi="宋体"/>
          <w:color w:val="auto"/>
          <w:szCs w:val="21"/>
        </w:rPr>
      </w:pPr>
      <w:r>
        <w:rPr>
          <w:rFonts w:ascii="宋体" w:hAnsi="宋体"/>
          <w:color w:val="auto"/>
          <w:szCs w:val="21"/>
        </w:rPr>
        <w:br w:type="page"/>
      </w:r>
    </w:p>
    <w:p>
      <w:pPr>
        <w:pStyle w:val="20"/>
        <w:spacing w:line="360" w:lineRule="auto"/>
        <w:ind w:left="0" w:leftChars="0"/>
        <w:jc w:val="center"/>
        <w:rPr>
          <w:rFonts w:ascii="宋体" w:hAnsi="宋体" w:cs="宋体"/>
          <w:b/>
          <w:color w:val="auto"/>
          <w:sz w:val="21"/>
          <w:szCs w:val="21"/>
        </w:rPr>
      </w:pPr>
      <w:r>
        <w:rPr>
          <w:rFonts w:hint="eastAsia" w:ascii="宋体" w:hAnsi="宋体" w:cs="宋体"/>
          <w:b/>
          <w:color w:val="auto"/>
          <w:sz w:val="21"/>
          <w:szCs w:val="21"/>
        </w:rPr>
        <w:t>（2）</w:t>
      </w:r>
      <w:r>
        <w:rPr>
          <w:rFonts w:ascii="宋体" w:hAnsi="宋体" w:cs="宋体"/>
          <w:b/>
          <w:color w:val="auto"/>
          <w:sz w:val="21"/>
          <w:szCs w:val="21"/>
        </w:rPr>
        <w:t>中小企业声明函</w:t>
      </w:r>
    </w:p>
    <w:p>
      <w:pPr>
        <w:spacing w:line="360" w:lineRule="auto"/>
        <w:ind w:firstLine="420" w:firstLineChars="200"/>
        <w:jc w:val="left"/>
        <w:rPr>
          <w:rFonts w:ascii="宋体" w:hAnsi="宋体"/>
          <w:color w:val="auto"/>
        </w:rPr>
      </w:pPr>
      <w:r>
        <w:rPr>
          <w:rFonts w:ascii="宋体" w:hAnsi="宋体"/>
          <w:color w:val="auto"/>
        </w:rPr>
        <w:t>本公司郑重声明，根据《政府采购促进中小企业发展管理办法》（财库﹝2020﹞46号）的规定，本公司参加</w:t>
      </w:r>
      <w:r>
        <w:rPr>
          <w:rFonts w:hint="eastAsia" w:ascii="宋体" w:hAnsi="宋体"/>
          <w:b/>
          <w:color w:val="auto"/>
          <w:u w:val="single"/>
        </w:rPr>
        <w:t>宁波市财政局</w:t>
      </w:r>
      <w:r>
        <w:rPr>
          <w:rFonts w:ascii="宋体" w:hAnsi="宋体"/>
          <w:color w:val="auto"/>
        </w:rPr>
        <w:t>的</w:t>
      </w:r>
      <w:r>
        <w:rPr>
          <w:rFonts w:hint="eastAsia" w:ascii="宋体" w:hAnsi="宋体"/>
          <w:b/>
          <w:color w:val="auto"/>
          <w:u w:val="single"/>
        </w:rPr>
        <w:t>全国会计专业技术资格无纸化考试宁波考区考务服务项目</w:t>
      </w:r>
      <w:r>
        <w:rPr>
          <w:rFonts w:ascii="宋体" w:hAnsi="宋体"/>
          <w:color w:val="auto"/>
        </w:rPr>
        <w:t>采购活动，服务全部由符合政策要求的中小企业承接。相关企业的具体情况如下：</w:t>
      </w:r>
    </w:p>
    <w:p>
      <w:pPr>
        <w:spacing w:line="360" w:lineRule="auto"/>
        <w:ind w:firstLine="420" w:firstLineChars="200"/>
        <w:jc w:val="left"/>
        <w:rPr>
          <w:rFonts w:ascii="宋体" w:hAnsi="宋体"/>
          <w:color w:val="auto"/>
        </w:rPr>
      </w:pPr>
      <w:r>
        <w:rPr>
          <w:rFonts w:ascii="宋体" w:hAnsi="宋体"/>
          <w:color w:val="auto"/>
        </w:rPr>
        <w:t>1.</w:t>
      </w:r>
      <w:r>
        <w:rPr>
          <w:rFonts w:hint="eastAsia" w:ascii="宋体" w:hAnsi="宋体"/>
          <w:b/>
          <w:color w:val="auto"/>
          <w:u w:val="single"/>
        </w:rPr>
        <w:t xml:space="preserve"> 全国会计专业技术资格无纸化考试宁波考区考务服务</w:t>
      </w:r>
      <w:r>
        <w:rPr>
          <w:rFonts w:ascii="宋体" w:hAnsi="宋体"/>
          <w:b/>
          <w:color w:val="auto"/>
          <w:u w:val="single"/>
        </w:rPr>
        <w:t xml:space="preserve"> </w:t>
      </w:r>
      <w:r>
        <w:rPr>
          <w:rFonts w:ascii="宋体" w:hAnsi="宋体"/>
          <w:color w:val="auto"/>
        </w:rPr>
        <w:t>，属于</w:t>
      </w:r>
      <w:r>
        <w:rPr>
          <w:rFonts w:hint="eastAsia" w:ascii="宋体" w:hAnsi="宋体"/>
          <w:color w:val="auto"/>
          <w:u w:val="single"/>
        </w:rPr>
        <w:t xml:space="preserve"> </w:t>
      </w:r>
      <w:r>
        <w:rPr>
          <w:rFonts w:hint="eastAsia" w:ascii="宋体" w:hAnsi="宋体"/>
          <w:b/>
          <w:color w:val="auto"/>
          <w:u w:val="single"/>
        </w:rPr>
        <w:t>其他未列明行业</w:t>
      </w:r>
      <w:r>
        <w:rPr>
          <w:rFonts w:ascii="宋体" w:hAnsi="宋体"/>
          <w:b/>
          <w:color w:val="auto"/>
          <w:u w:val="single"/>
        </w:rPr>
        <w:t xml:space="preserve"> </w:t>
      </w:r>
      <w:r>
        <w:rPr>
          <w:rFonts w:ascii="宋体" w:hAnsi="宋体"/>
          <w:color w:val="auto"/>
        </w:rPr>
        <w:t>；承接企业为</w:t>
      </w:r>
      <w:r>
        <w:rPr>
          <w:rFonts w:hint="eastAsia" w:ascii="宋体" w:hAnsi="宋体"/>
          <w:color w:val="auto"/>
          <w:u w:val="single"/>
        </w:rPr>
        <w:t xml:space="preserve">    </w:t>
      </w:r>
      <w:r>
        <w:rPr>
          <w:rFonts w:ascii="宋体" w:hAnsi="宋体"/>
          <w:color w:val="auto"/>
          <w:u w:val="single"/>
        </w:rPr>
        <w:t>（企业名称）</w:t>
      </w:r>
      <w:r>
        <w:rPr>
          <w:rFonts w:hint="eastAsia" w:ascii="宋体" w:hAnsi="宋体"/>
          <w:color w:val="auto"/>
          <w:u w:val="single"/>
        </w:rPr>
        <w:t xml:space="preserve">    </w:t>
      </w:r>
      <w:r>
        <w:rPr>
          <w:rFonts w:ascii="宋体" w:hAnsi="宋体"/>
          <w:color w:val="auto"/>
        </w:rPr>
        <w:t>，从业人员</w:t>
      </w:r>
      <w:r>
        <w:rPr>
          <w:rFonts w:hint="eastAsia" w:ascii="宋体" w:hAnsi="宋体"/>
          <w:color w:val="auto"/>
          <w:u w:val="single"/>
        </w:rPr>
        <w:t xml:space="preserve">   </w:t>
      </w:r>
      <w:r>
        <w:rPr>
          <w:rFonts w:ascii="宋体" w:hAnsi="宋体"/>
          <w:color w:val="auto"/>
        </w:rPr>
        <w:t>人，营业收入为</w:t>
      </w:r>
      <w:r>
        <w:rPr>
          <w:rFonts w:hint="eastAsia" w:ascii="宋体" w:hAnsi="宋体"/>
          <w:color w:val="auto"/>
          <w:u w:val="single"/>
        </w:rPr>
        <w:t xml:space="preserve">   </w:t>
      </w:r>
      <w:r>
        <w:rPr>
          <w:rFonts w:ascii="宋体" w:hAnsi="宋体"/>
          <w:color w:val="auto"/>
        </w:rPr>
        <w:t>万元，资产总额为</w:t>
      </w:r>
      <w:r>
        <w:rPr>
          <w:rFonts w:hint="eastAsia" w:ascii="宋体" w:hAnsi="宋体"/>
          <w:color w:val="auto"/>
          <w:u w:val="single"/>
        </w:rPr>
        <w:t xml:space="preserve">   </w:t>
      </w:r>
      <w:r>
        <w:rPr>
          <w:rFonts w:ascii="宋体" w:hAnsi="宋体"/>
          <w:color w:val="auto"/>
        </w:rPr>
        <w:t>万元，属于</w:t>
      </w:r>
      <w:r>
        <w:rPr>
          <w:rFonts w:hint="eastAsia" w:ascii="宋体" w:hAnsi="宋体"/>
          <w:color w:val="auto"/>
          <w:u w:val="single"/>
        </w:rPr>
        <w:t xml:space="preserve"> </w:t>
      </w:r>
      <w:r>
        <w:rPr>
          <w:rFonts w:ascii="宋体" w:hAnsi="宋体"/>
          <w:color w:val="auto"/>
          <w:u w:val="single"/>
        </w:rPr>
        <w:t xml:space="preserve">      （中型企业、小型企业、微型企业）</w:t>
      </w:r>
      <w:r>
        <w:rPr>
          <w:rFonts w:ascii="宋体" w:hAnsi="宋体"/>
          <w:color w:val="auto"/>
        </w:rPr>
        <w:t>；</w:t>
      </w:r>
    </w:p>
    <w:p>
      <w:pPr>
        <w:spacing w:line="360" w:lineRule="auto"/>
        <w:ind w:firstLine="420" w:firstLineChars="200"/>
        <w:jc w:val="left"/>
        <w:rPr>
          <w:rFonts w:ascii="宋体" w:hAnsi="宋体"/>
          <w:color w:val="auto"/>
        </w:rPr>
      </w:pPr>
      <w:r>
        <w:rPr>
          <w:rFonts w:ascii="宋体" w:hAnsi="宋体"/>
          <w:color w:val="auto"/>
        </w:rPr>
        <w:t>2.</w:t>
      </w:r>
      <w:r>
        <w:rPr>
          <w:rFonts w:hint="eastAsia" w:ascii="宋体" w:hAnsi="宋体"/>
          <w:b/>
          <w:color w:val="auto"/>
          <w:u w:val="single"/>
        </w:rPr>
        <w:t xml:space="preserve">                </w:t>
      </w:r>
      <w:r>
        <w:rPr>
          <w:rFonts w:ascii="宋体" w:hAnsi="宋体"/>
          <w:color w:val="auto"/>
        </w:rPr>
        <w:t>，属于</w:t>
      </w:r>
      <w:r>
        <w:rPr>
          <w:rFonts w:hint="eastAsia" w:ascii="宋体" w:hAnsi="宋体"/>
          <w:color w:val="auto"/>
          <w:u w:val="single"/>
        </w:rPr>
        <w:t xml:space="preserve">  </w:t>
      </w:r>
      <w:r>
        <w:rPr>
          <w:rFonts w:hint="eastAsia" w:ascii="宋体" w:hAnsi="宋体"/>
          <w:b/>
          <w:color w:val="auto"/>
          <w:u w:val="single"/>
        </w:rPr>
        <w:t xml:space="preserve">              </w:t>
      </w:r>
      <w:r>
        <w:rPr>
          <w:rFonts w:hint="eastAsia" w:ascii="宋体" w:hAnsi="宋体"/>
          <w:color w:val="auto"/>
          <w:u w:val="single"/>
        </w:rPr>
        <w:t xml:space="preserve">  </w:t>
      </w:r>
      <w:r>
        <w:rPr>
          <w:rFonts w:ascii="宋体" w:hAnsi="宋体"/>
          <w:color w:val="auto"/>
        </w:rPr>
        <w:t>；承接企业为</w:t>
      </w:r>
      <w:r>
        <w:rPr>
          <w:rFonts w:hint="eastAsia" w:ascii="宋体" w:hAnsi="宋体"/>
          <w:color w:val="auto"/>
          <w:u w:val="single"/>
        </w:rPr>
        <w:t xml:space="preserve">    </w:t>
      </w:r>
      <w:r>
        <w:rPr>
          <w:rFonts w:ascii="宋体" w:hAnsi="宋体"/>
          <w:color w:val="auto"/>
          <w:u w:val="single"/>
        </w:rPr>
        <w:t>（（企业名称）</w:t>
      </w:r>
      <w:r>
        <w:rPr>
          <w:rFonts w:hint="eastAsia" w:ascii="宋体" w:hAnsi="宋体"/>
          <w:color w:val="auto"/>
          <w:u w:val="single"/>
        </w:rPr>
        <w:t xml:space="preserve">     </w:t>
      </w:r>
      <w:r>
        <w:rPr>
          <w:rFonts w:ascii="宋体" w:hAnsi="宋体"/>
          <w:color w:val="auto"/>
        </w:rPr>
        <w:t>，从业人员</w:t>
      </w:r>
      <w:r>
        <w:rPr>
          <w:rFonts w:hint="eastAsia" w:ascii="宋体" w:hAnsi="宋体"/>
          <w:color w:val="auto"/>
          <w:u w:val="single"/>
        </w:rPr>
        <w:t xml:space="preserve">   </w:t>
      </w:r>
      <w:r>
        <w:rPr>
          <w:rFonts w:ascii="宋体" w:hAnsi="宋体"/>
          <w:color w:val="auto"/>
        </w:rPr>
        <w:t>人，营业收入为</w:t>
      </w:r>
      <w:r>
        <w:rPr>
          <w:rFonts w:hint="eastAsia" w:ascii="宋体" w:hAnsi="宋体"/>
          <w:color w:val="auto"/>
          <w:u w:val="single"/>
        </w:rPr>
        <w:t xml:space="preserve">   </w:t>
      </w:r>
      <w:r>
        <w:rPr>
          <w:rFonts w:ascii="宋体" w:hAnsi="宋体"/>
          <w:color w:val="auto"/>
        </w:rPr>
        <w:t>万元，资产总额为</w:t>
      </w:r>
      <w:r>
        <w:rPr>
          <w:rFonts w:hint="eastAsia" w:ascii="宋体" w:hAnsi="宋体"/>
          <w:color w:val="auto"/>
          <w:u w:val="single"/>
        </w:rPr>
        <w:t xml:space="preserve">   </w:t>
      </w:r>
      <w:r>
        <w:rPr>
          <w:rFonts w:ascii="宋体" w:hAnsi="宋体"/>
          <w:color w:val="auto"/>
        </w:rPr>
        <w:t>万元，属于</w:t>
      </w:r>
      <w:r>
        <w:rPr>
          <w:rFonts w:hint="eastAsia" w:ascii="宋体" w:hAnsi="宋体"/>
          <w:color w:val="auto"/>
          <w:u w:val="single"/>
        </w:rPr>
        <w:t xml:space="preserve"> </w:t>
      </w:r>
      <w:r>
        <w:rPr>
          <w:rFonts w:ascii="宋体" w:hAnsi="宋体"/>
          <w:color w:val="auto"/>
          <w:u w:val="single"/>
        </w:rPr>
        <w:t xml:space="preserve">      （中型企业、 小型企业、微型企业）</w:t>
      </w:r>
      <w:r>
        <w:rPr>
          <w:rFonts w:ascii="宋体" w:hAnsi="宋体"/>
          <w:color w:val="auto"/>
        </w:rPr>
        <w:t>；</w:t>
      </w:r>
    </w:p>
    <w:p>
      <w:pPr>
        <w:spacing w:line="360" w:lineRule="auto"/>
        <w:ind w:firstLine="420" w:firstLineChars="200"/>
        <w:jc w:val="left"/>
        <w:rPr>
          <w:rFonts w:ascii="宋体" w:hAnsi="宋体"/>
          <w:color w:val="auto"/>
        </w:rPr>
      </w:pPr>
      <w:r>
        <w:rPr>
          <w:rFonts w:ascii="宋体" w:hAnsi="宋体"/>
          <w:color w:val="auto"/>
        </w:rPr>
        <w:t>……</w:t>
      </w:r>
    </w:p>
    <w:p>
      <w:pPr>
        <w:spacing w:line="360" w:lineRule="auto"/>
        <w:ind w:firstLine="420" w:firstLineChars="200"/>
        <w:jc w:val="left"/>
        <w:rPr>
          <w:rFonts w:ascii="宋体" w:hAnsi="宋体"/>
          <w:color w:val="auto"/>
        </w:rPr>
      </w:pPr>
      <w:r>
        <w:rPr>
          <w:rFonts w:ascii="宋体" w:hAnsi="宋体"/>
          <w:color w:val="auto"/>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color w:val="auto"/>
        </w:rPr>
      </w:pPr>
      <w:r>
        <w:rPr>
          <w:rFonts w:ascii="宋体" w:hAnsi="宋体"/>
          <w:color w:val="auto"/>
        </w:rPr>
        <w:t>本企业对上述声明内容的真实性负责。如有虚假，将依法承担相应责任。</w:t>
      </w:r>
    </w:p>
    <w:p>
      <w:pPr>
        <w:spacing w:line="360" w:lineRule="auto"/>
        <w:ind w:firstLine="420" w:firstLineChars="200"/>
        <w:jc w:val="left"/>
        <w:rPr>
          <w:rFonts w:ascii="宋体" w:hAnsi="宋体"/>
          <w:color w:val="auto"/>
        </w:rPr>
      </w:pPr>
    </w:p>
    <w:p>
      <w:pPr>
        <w:spacing w:line="360" w:lineRule="auto"/>
        <w:ind w:firstLine="4676" w:firstLineChars="2227"/>
        <w:jc w:val="left"/>
        <w:rPr>
          <w:rFonts w:ascii="宋体" w:hAnsi="宋体"/>
          <w:color w:val="auto"/>
        </w:rPr>
      </w:pPr>
      <w:r>
        <w:rPr>
          <w:rFonts w:ascii="宋体" w:hAnsi="宋体"/>
          <w:color w:val="auto"/>
        </w:rPr>
        <w:t>企业名称（盖章）：</w:t>
      </w:r>
    </w:p>
    <w:p>
      <w:pPr>
        <w:spacing w:line="360" w:lineRule="auto"/>
        <w:ind w:firstLine="4676" w:firstLineChars="2227"/>
        <w:jc w:val="left"/>
        <w:rPr>
          <w:rFonts w:ascii="宋体" w:hAnsi="宋体"/>
          <w:color w:val="auto"/>
        </w:rPr>
      </w:pPr>
      <w:r>
        <w:rPr>
          <w:rFonts w:ascii="宋体" w:hAnsi="宋体"/>
          <w:color w:val="auto"/>
        </w:rPr>
        <w:t>日 期：</w:t>
      </w:r>
    </w:p>
    <w:p>
      <w:pPr>
        <w:snapToGrid w:val="0"/>
        <w:spacing w:line="360" w:lineRule="auto"/>
        <w:ind w:left="-23" w:leftChars="-11" w:right="-214" w:rightChars="-102" w:firstLine="447" w:firstLineChars="213"/>
        <w:jc w:val="left"/>
        <w:rPr>
          <w:rFonts w:ascii="宋体" w:hAnsi="宋体"/>
          <w:color w:val="auto"/>
        </w:rPr>
      </w:pPr>
    </w:p>
    <w:p>
      <w:pPr>
        <w:snapToGrid w:val="0"/>
        <w:spacing w:before="50" w:after="50" w:line="360" w:lineRule="auto"/>
        <w:ind w:left="-23" w:leftChars="-11" w:right="-214" w:rightChars="-102" w:firstLine="447" w:firstLineChars="213"/>
        <w:jc w:val="left"/>
        <w:rPr>
          <w:rFonts w:ascii="宋体" w:hAnsi="宋体"/>
          <w:color w:val="auto"/>
        </w:rPr>
      </w:pPr>
    </w:p>
    <w:p>
      <w:pPr>
        <w:snapToGrid w:val="0"/>
        <w:spacing w:before="50" w:after="50" w:line="360" w:lineRule="auto"/>
        <w:ind w:left="-23" w:leftChars="-11" w:right="-214" w:rightChars="-102" w:firstLine="447" w:firstLineChars="213"/>
        <w:jc w:val="left"/>
        <w:rPr>
          <w:rFonts w:ascii="宋体" w:hAnsi="宋体"/>
          <w:color w:val="auto"/>
        </w:rPr>
      </w:pPr>
    </w:p>
    <w:p>
      <w:pPr>
        <w:snapToGrid w:val="0"/>
        <w:spacing w:before="50" w:after="50" w:line="360" w:lineRule="auto"/>
        <w:ind w:left="-23" w:leftChars="-11" w:right="-214" w:rightChars="-102" w:firstLine="447" w:firstLineChars="213"/>
        <w:jc w:val="left"/>
        <w:rPr>
          <w:rFonts w:ascii="宋体" w:hAnsi="宋体"/>
          <w:color w:val="auto"/>
        </w:rPr>
      </w:pPr>
    </w:p>
    <w:p>
      <w:pPr>
        <w:snapToGrid w:val="0"/>
        <w:spacing w:before="50" w:after="50" w:line="360" w:lineRule="auto"/>
        <w:ind w:left="-23" w:leftChars="-11" w:right="-214" w:rightChars="-102" w:firstLine="24" w:firstLineChars="10"/>
        <w:jc w:val="left"/>
        <w:rPr>
          <w:rFonts w:ascii="宋体" w:hAnsi="宋体"/>
          <w:b/>
          <w:color w:val="auto"/>
          <w:sz w:val="24"/>
        </w:rPr>
      </w:pPr>
      <w:r>
        <w:rPr>
          <w:rFonts w:hint="eastAsia" w:ascii="宋体" w:hAnsi="宋体"/>
          <w:b/>
          <w:color w:val="auto"/>
          <w:sz w:val="24"/>
        </w:rPr>
        <w:t>请投标人仔细阅读填写说明：</w:t>
      </w:r>
    </w:p>
    <w:p>
      <w:pPr>
        <w:snapToGrid w:val="0"/>
        <w:spacing w:before="50" w:after="50" w:line="360" w:lineRule="auto"/>
        <w:ind w:right="-214" w:rightChars="-102"/>
        <w:jc w:val="left"/>
        <w:rPr>
          <w:rFonts w:ascii="宋体" w:hAnsi="宋体"/>
          <w:b/>
          <w:color w:val="auto"/>
        </w:rPr>
      </w:pPr>
      <w:r>
        <w:rPr>
          <w:rFonts w:ascii="宋体" w:hAnsi="宋体"/>
          <w:b/>
          <w:color w:val="auto"/>
        </w:rPr>
        <w:t>1.</w:t>
      </w:r>
      <w:r>
        <w:rPr>
          <w:rFonts w:hint="eastAsia" w:ascii="宋体" w:hAnsi="宋体"/>
          <w:b/>
          <w:color w:val="auto"/>
        </w:rPr>
        <w:t>本项目为服务采购项目，服务由中小企业承接，即提供服务的人员为中小企业依照《中华人民共和国劳动合同法》订立劳动合同的从业人员。</w:t>
      </w:r>
    </w:p>
    <w:p>
      <w:pPr>
        <w:snapToGrid w:val="0"/>
        <w:spacing w:before="50" w:after="50" w:line="360" w:lineRule="auto"/>
        <w:ind w:right="-214" w:rightChars="-102"/>
        <w:jc w:val="left"/>
        <w:rPr>
          <w:rFonts w:ascii="宋体" w:hAnsi="宋体"/>
          <w:b/>
          <w:color w:val="auto"/>
        </w:rPr>
      </w:pPr>
      <w:r>
        <w:rPr>
          <w:rFonts w:ascii="宋体" w:hAnsi="宋体"/>
          <w:b/>
          <w:color w:val="auto"/>
        </w:rPr>
        <w:t>2</w:t>
      </w:r>
      <w:r>
        <w:rPr>
          <w:rFonts w:hint="eastAsia" w:ascii="宋体" w:hAnsi="宋体"/>
          <w:b/>
          <w:color w:val="auto"/>
        </w:rPr>
        <w:t>.从业人员、营业收入、资产总额填报上一年度数据，无上一年度数据的新成立企业可不填报。</w:t>
      </w:r>
    </w:p>
    <w:p>
      <w:pPr>
        <w:snapToGrid w:val="0"/>
        <w:spacing w:before="50" w:after="50" w:line="360" w:lineRule="auto"/>
        <w:ind w:right="-214" w:rightChars="-102"/>
        <w:jc w:val="left"/>
        <w:rPr>
          <w:rFonts w:ascii="宋体" w:hAnsi="宋体"/>
          <w:b/>
          <w:color w:val="auto"/>
        </w:rPr>
      </w:pPr>
      <w:r>
        <w:rPr>
          <w:rFonts w:ascii="宋体" w:hAnsi="宋体"/>
          <w:b/>
          <w:color w:val="auto"/>
        </w:rPr>
        <w:t>3</w:t>
      </w:r>
      <w:r>
        <w:rPr>
          <w:rFonts w:hint="eastAsia" w:ascii="宋体" w:hAnsi="宋体"/>
          <w:b/>
          <w:color w:val="auto"/>
        </w:rPr>
        <w:t>.投标人应当对其出具的《中小企业声明函》真实性负责，出具的《中小企业声明函》内容不实的，属于提供虚假材料。</w:t>
      </w:r>
    </w:p>
    <w:p>
      <w:pPr>
        <w:snapToGrid w:val="0"/>
        <w:spacing w:before="50" w:after="50" w:line="360" w:lineRule="auto"/>
        <w:ind w:right="-214" w:rightChars="-102"/>
        <w:jc w:val="left"/>
        <w:rPr>
          <w:rFonts w:ascii="宋体" w:hAnsi="宋体"/>
          <w:b/>
          <w:color w:val="auto"/>
        </w:rPr>
      </w:pPr>
      <w:r>
        <w:rPr>
          <w:rFonts w:ascii="宋体" w:hAnsi="宋体"/>
          <w:b/>
          <w:color w:val="auto"/>
        </w:rPr>
        <w:t>4</w:t>
      </w:r>
      <w:r>
        <w:rPr>
          <w:rFonts w:hint="eastAsia" w:ascii="宋体" w:hAnsi="宋体"/>
          <w:b/>
          <w:color w:val="auto"/>
        </w:rPr>
        <w:t>.事业单位不属于企业不应提交本声明函，其他组织形式的供应商参与本项目并提交本声明函前请仔细阅读相关政策文件。</w:t>
      </w:r>
    </w:p>
    <w:p>
      <w:pPr>
        <w:snapToGrid w:val="0"/>
        <w:spacing w:before="50" w:after="50" w:line="360" w:lineRule="auto"/>
        <w:ind w:right="-214" w:rightChars="-102"/>
        <w:jc w:val="left"/>
        <w:rPr>
          <w:rFonts w:ascii="宋体" w:hAnsi="宋体"/>
          <w:b/>
          <w:color w:val="auto"/>
        </w:rPr>
      </w:pPr>
      <w:r>
        <w:rPr>
          <w:rFonts w:ascii="宋体" w:hAnsi="宋体"/>
          <w:b/>
          <w:color w:val="auto"/>
        </w:rPr>
        <w:t>5</w:t>
      </w:r>
      <w:r>
        <w:rPr>
          <w:rFonts w:hint="eastAsia" w:ascii="宋体" w:hAnsi="宋体"/>
          <w:b/>
          <w:color w:val="auto"/>
        </w:rPr>
        <w:t>.投标人应当谨慎填写并提供本表。</w:t>
      </w:r>
    </w:p>
    <w:p>
      <w:pPr>
        <w:widowControl/>
        <w:jc w:val="left"/>
        <w:rPr>
          <w:rFonts w:ascii="宋体" w:hAnsi="宋体"/>
          <w:b/>
          <w:color w:val="auto"/>
        </w:rPr>
      </w:pPr>
      <w:r>
        <w:rPr>
          <w:rFonts w:ascii="宋体" w:hAnsi="宋体"/>
          <w:b/>
          <w:color w:val="auto"/>
        </w:rPr>
        <w:br w:type="page"/>
      </w:r>
    </w:p>
    <w:p>
      <w:pPr>
        <w:pStyle w:val="20"/>
        <w:spacing w:line="360" w:lineRule="auto"/>
        <w:ind w:left="0" w:leftChars="0"/>
        <w:jc w:val="center"/>
        <w:rPr>
          <w:rFonts w:ascii="宋体" w:hAnsi="宋体"/>
          <w:b/>
          <w:color w:val="auto"/>
          <w:spacing w:val="6"/>
          <w:szCs w:val="21"/>
        </w:rPr>
      </w:pPr>
      <w:r>
        <w:rPr>
          <w:rFonts w:hint="eastAsia" w:ascii="宋体" w:hAnsi="宋体" w:cs="宋体"/>
          <w:b/>
          <w:color w:val="auto"/>
          <w:sz w:val="21"/>
          <w:szCs w:val="21"/>
        </w:rPr>
        <w:t>（3）残疾人福利性单位声明函</w:t>
      </w:r>
    </w:p>
    <w:p>
      <w:pPr>
        <w:spacing w:line="360" w:lineRule="auto"/>
        <w:ind w:firstLine="444" w:firstLineChars="200"/>
        <w:rPr>
          <w:rFonts w:ascii="宋体" w:hAnsi="宋体"/>
          <w:color w:val="auto"/>
          <w:spacing w:val="6"/>
        </w:rPr>
      </w:pPr>
      <w:r>
        <w:rPr>
          <w:rFonts w:hint="eastAsia" w:ascii="宋体" w:hAnsi="宋体"/>
          <w:color w:val="auto"/>
          <w:spacing w:val="6"/>
        </w:rPr>
        <w:t>本单位郑重声明，根据《财政部 民政部 中国残疾人联合会关于促进残疾人就业政府采购政策的通知》（财库</w:t>
      </w:r>
      <w:r>
        <w:rPr>
          <w:rFonts w:hint="eastAsia" w:ascii="宋体" w:hAnsi="宋体"/>
          <w:color w:val="auto"/>
        </w:rPr>
        <w:t>〔2017〕 141</w:t>
      </w:r>
      <w:r>
        <w:rPr>
          <w:rFonts w:hint="eastAsia" w:ascii="宋体" w:hAnsi="宋体"/>
          <w:color w:val="auto"/>
          <w:spacing w:val="6"/>
        </w:rPr>
        <w:t>号）的规定，本单位为符合条件的残疾人福利性单位，且本单位参加</w:t>
      </w:r>
      <w:r>
        <w:rPr>
          <w:rFonts w:hint="eastAsia" w:ascii="宋体" w:hAnsi="宋体"/>
          <w:color w:val="auto"/>
          <w:spacing w:val="6"/>
          <w:u w:val="single"/>
        </w:rPr>
        <w:t xml:space="preserve"> </w:t>
      </w:r>
      <w:r>
        <w:rPr>
          <w:rFonts w:ascii="宋体" w:hAnsi="宋体"/>
          <w:color w:val="auto"/>
          <w:spacing w:val="6"/>
          <w:u w:val="single"/>
        </w:rPr>
        <w:t xml:space="preserve">     </w:t>
      </w:r>
      <w:r>
        <w:rPr>
          <w:rFonts w:hint="eastAsia" w:ascii="宋体" w:hAnsi="宋体"/>
          <w:color w:val="auto"/>
          <w:spacing w:val="6"/>
          <w:u w:val="single"/>
        </w:rPr>
        <w:t xml:space="preserve">（填采购人名称）    </w:t>
      </w:r>
      <w:r>
        <w:rPr>
          <w:rFonts w:hint="eastAsia" w:ascii="宋体" w:hAnsi="宋体"/>
          <w:color w:val="auto"/>
          <w:spacing w:val="6"/>
        </w:rPr>
        <w:t>单位的</w:t>
      </w:r>
      <w:r>
        <w:rPr>
          <w:rFonts w:hint="eastAsia" w:ascii="宋体" w:hAnsi="宋体"/>
          <w:color w:val="auto"/>
          <w:spacing w:val="6"/>
          <w:u w:val="single"/>
        </w:rPr>
        <w:t xml:space="preserve"> </w:t>
      </w:r>
      <w:r>
        <w:rPr>
          <w:rFonts w:ascii="宋体" w:hAnsi="宋体"/>
          <w:color w:val="auto"/>
          <w:spacing w:val="6"/>
          <w:u w:val="single"/>
        </w:rPr>
        <w:t xml:space="preserve"> </w:t>
      </w:r>
      <w:r>
        <w:rPr>
          <w:rFonts w:hint="eastAsia" w:ascii="宋体" w:hAnsi="宋体"/>
          <w:color w:val="auto"/>
          <w:spacing w:val="6"/>
          <w:u w:val="single"/>
        </w:rPr>
        <w:t xml:space="preserve">（填项目名称）  </w:t>
      </w:r>
      <w:r>
        <w:rPr>
          <w:rFonts w:hint="eastAsia" w:ascii="宋体" w:hAnsi="宋体"/>
          <w:color w:val="auto"/>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rPr>
      </w:pPr>
      <w:r>
        <w:rPr>
          <w:rFonts w:hint="eastAsia" w:ascii="宋体" w:hAnsi="宋体"/>
          <w:color w:val="auto"/>
          <w:spacing w:val="6"/>
        </w:rPr>
        <w:t>本单位对上述声明的真实性负责。如有虚假，将依法承担相应责任。</w:t>
      </w:r>
    </w:p>
    <w:p>
      <w:pPr>
        <w:spacing w:line="360" w:lineRule="auto"/>
        <w:ind w:firstLine="444" w:firstLineChars="200"/>
        <w:rPr>
          <w:rFonts w:ascii="宋体" w:hAnsi="宋体"/>
          <w:color w:val="auto"/>
          <w:spacing w:val="6"/>
        </w:rPr>
      </w:pPr>
    </w:p>
    <w:p>
      <w:pPr>
        <w:spacing w:line="360" w:lineRule="auto"/>
        <w:ind w:firstLine="444" w:firstLineChars="200"/>
        <w:rPr>
          <w:rFonts w:ascii="宋体" w:hAnsi="宋体"/>
          <w:color w:val="auto"/>
          <w:spacing w:val="6"/>
        </w:rPr>
      </w:pPr>
    </w:p>
    <w:p>
      <w:pPr>
        <w:tabs>
          <w:tab w:val="left" w:pos="4860"/>
        </w:tabs>
        <w:spacing w:line="360" w:lineRule="auto"/>
        <w:ind w:right="1560" w:firstLine="444" w:firstLineChars="200"/>
        <w:jc w:val="center"/>
        <w:rPr>
          <w:rFonts w:ascii="宋体" w:hAnsi="宋体"/>
          <w:color w:val="auto"/>
          <w:spacing w:val="6"/>
        </w:rPr>
      </w:pPr>
      <w:r>
        <w:rPr>
          <w:rFonts w:hint="eastAsia" w:ascii="宋体" w:hAnsi="宋体"/>
          <w:color w:val="auto"/>
          <w:spacing w:val="6"/>
        </w:rPr>
        <w:t>单位名称（盖章）：</w:t>
      </w:r>
    </w:p>
    <w:p>
      <w:pPr>
        <w:tabs>
          <w:tab w:val="left" w:pos="4860"/>
        </w:tabs>
        <w:spacing w:line="360" w:lineRule="auto"/>
        <w:ind w:right="1560" w:firstLine="444" w:firstLineChars="200"/>
        <w:jc w:val="center"/>
        <w:rPr>
          <w:rFonts w:ascii="宋体" w:hAnsi="宋体"/>
          <w:color w:val="auto"/>
          <w:spacing w:val="6"/>
        </w:rPr>
      </w:pPr>
      <w:r>
        <w:rPr>
          <w:rFonts w:hint="eastAsia" w:ascii="宋体" w:hAnsi="宋体"/>
          <w:color w:val="auto"/>
          <w:spacing w:val="6"/>
        </w:rPr>
        <w:t>日  期：</w:t>
      </w:r>
    </w:p>
    <w:p>
      <w:pPr>
        <w:pStyle w:val="20"/>
        <w:snapToGrid w:val="0"/>
        <w:spacing w:line="360" w:lineRule="auto"/>
        <w:ind w:firstLine="437" w:firstLineChars="196"/>
        <w:rPr>
          <w:rFonts w:ascii="宋体" w:hAnsi="宋体" w:cs="宋体"/>
          <w:b/>
          <w:color w:val="auto"/>
          <w:spacing w:val="6"/>
          <w:sz w:val="21"/>
          <w:szCs w:val="21"/>
        </w:rPr>
      </w:pPr>
    </w:p>
    <w:p>
      <w:pPr>
        <w:pStyle w:val="20"/>
        <w:snapToGrid w:val="0"/>
        <w:spacing w:line="360" w:lineRule="auto"/>
        <w:ind w:firstLine="437" w:firstLineChars="196"/>
        <w:rPr>
          <w:rFonts w:ascii="宋体" w:hAnsi="宋体" w:cs="宋体"/>
          <w:b/>
          <w:color w:val="auto"/>
          <w:spacing w:val="6"/>
          <w:sz w:val="21"/>
          <w:szCs w:val="21"/>
        </w:rPr>
      </w:pPr>
    </w:p>
    <w:p>
      <w:pPr>
        <w:pStyle w:val="20"/>
        <w:snapToGrid w:val="0"/>
        <w:spacing w:line="360" w:lineRule="auto"/>
        <w:ind w:firstLine="437" w:firstLineChars="196"/>
        <w:rPr>
          <w:rFonts w:ascii="宋体" w:hAnsi="宋体" w:cs="宋体"/>
          <w:b/>
          <w:color w:val="auto"/>
          <w:spacing w:val="6"/>
          <w:sz w:val="21"/>
          <w:szCs w:val="21"/>
        </w:rPr>
      </w:pPr>
    </w:p>
    <w:p>
      <w:pPr>
        <w:pStyle w:val="20"/>
        <w:snapToGrid w:val="0"/>
        <w:spacing w:line="360" w:lineRule="auto"/>
        <w:ind w:firstLine="437" w:firstLineChars="196"/>
        <w:rPr>
          <w:rFonts w:ascii="宋体" w:hAnsi="宋体" w:cs="宋体"/>
          <w:b/>
          <w:color w:val="auto"/>
          <w:spacing w:val="6"/>
          <w:sz w:val="21"/>
          <w:szCs w:val="21"/>
        </w:rPr>
      </w:pPr>
    </w:p>
    <w:p>
      <w:pPr>
        <w:spacing w:line="360" w:lineRule="auto"/>
        <w:rPr>
          <w:rFonts w:ascii="宋体" w:hAnsi="宋体"/>
          <w:b/>
          <w:color w:val="auto"/>
          <w:szCs w:val="21"/>
        </w:rPr>
      </w:pPr>
    </w:p>
    <w:p>
      <w:pPr>
        <w:snapToGrid w:val="0"/>
        <w:spacing w:before="50" w:after="50" w:line="360" w:lineRule="auto"/>
        <w:ind w:left="-23" w:leftChars="-11" w:right="-214" w:rightChars="-102" w:firstLine="21" w:firstLineChars="10"/>
        <w:jc w:val="left"/>
        <w:rPr>
          <w:rFonts w:ascii="宋体" w:hAnsi="宋体"/>
          <w:b/>
          <w:color w:val="auto"/>
        </w:rPr>
      </w:pPr>
      <w:r>
        <w:rPr>
          <w:rFonts w:hint="eastAsia" w:ascii="宋体" w:hAnsi="宋体"/>
          <w:b/>
          <w:color w:val="auto"/>
        </w:rPr>
        <w:t>填写说明：</w:t>
      </w:r>
      <w:r>
        <w:rPr>
          <w:rFonts w:hint="eastAsia" w:ascii="宋体" w:hAnsi="宋体"/>
          <w:b/>
          <w:color w:val="auto"/>
          <w:szCs w:val="21"/>
        </w:rPr>
        <w:t>投标人不属于残疾人福利性单位无需且不应当提供本声明函，否则自行承担相应的责任。</w:t>
      </w:r>
    </w:p>
    <w:p>
      <w:pPr>
        <w:widowControl/>
        <w:jc w:val="left"/>
        <w:rPr>
          <w:rFonts w:ascii="宋体" w:hAnsi="宋体"/>
          <w:color w:val="auto"/>
          <w:szCs w:val="21"/>
        </w:rPr>
      </w:pPr>
    </w:p>
    <w:p>
      <w:pPr>
        <w:widowControl/>
        <w:jc w:val="left"/>
        <w:rPr>
          <w:rFonts w:ascii="宋体" w:hAnsi="宋体"/>
          <w:color w:val="auto"/>
          <w:szCs w:val="21"/>
        </w:rPr>
      </w:pPr>
      <w:r>
        <w:rPr>
          <w:rFonts w:ascii="宋体" w:hAnsi="宋体"/>
          <w:color w:val="auto"/>
          <w:szCs w:val="21"/>
        </w:rPr>
        <w:br w:type="page"/>
      </w:r>
    </w:p>
    <w:p>
      <w:pPr>
        <w:snapToGrid w:val="0"/>
        <w:spacing w:line="360" w:lineRule="auto"/>
        <w:ind w:left="-23" w:leftChars="-11" w:right="-214" w:rightChars="-102" w:firstLine="21" w:firstLineChars="10"/>
        <w:jc w:val="left"/>
        <w:rPr>
          <w:rFonts w:ascii="宋体" w:hAnsi="宋体" w:cs="宋体"/>
          <w:b/>
          <w:color w:val="auto"/>
          <w:szCs w:val="21"/>
        </w:rPr>
      </w:pPr>
      <w:r>
        <w:rPr>
          <w:rFonts w:hint="eastAsia" w:ascii="宋体" w:hAnsi="宋体"/>
          <w:b/>
          <w:color w:val="auto"/>
        </w:rPr>
        <w:t>2.商务技术文件的有关格式</w:t>
      </w:r>
    </w:p>
    <w:p>
      <w:pPr>
        <w:pStyle w:val="20"/>
        <w:spacing w:line="360" w:lineRule="auto"/>
        <w:ind w:left="0" w:leftChars="0"/>
        <w:jc w:val="center"/>
        <w:rPr>
          <w:rFonts w:ascii="宋体" w:hAnsi="宋体" w:cs="宋体"/>
          <w:b/>
          <w:color w:val="auto"/>
          <w:sz w:val="21"/>
          <w:szCs w:val="21"/>
        </w:rPr>
      </w:pPr>
      <w:r>
        <w:rPr>
          <w:rFonts w:hint="eastAsia" w:ascii="宋体" w:hAnsi="宋体" w:cs="宋体"/>
          <w:b/>
          <w:color w:val="auto"/>
          <w:sz w:val="21"/>
          <w:szCs w:val="21"/>
        </w:rPr>
        <w:t>（1）投标函</w:t>
      </w:r>
    </w:p>
    <w:p>
      <w:pPr>
        <w:snapToGrid w:val="0"/>
        <w:spacing w:line="360" w:lineRule="auto"/>
        <w:rPr>
          <w:rFonts w:ascii="宋体" w:hAnsi="宋体"/>
          <w:color w:val="auto"/>
          <w:szCs w:val="21"/>
        </w:rPr>
      </w:pPr>
      <w:r>
        <w:rPr>
          <w:rFonts w:hint="eastAsia" w:ascii="宋体" w:hAnsi="宋体"/>
          <w:color w:val="auto"/>
          <w:szCs w:val="21"/>
        </w:rPr>
        <w:t>致：</w:t>
      </w:r>
      <w:r>
        <w:rPr>
          <w:rFonts w:ascii="宋体" w:hAnsi="宋体"/>
          <w:color w:val="auto"/>
          <w:szCs w:val="21"/>
          <w:u w:val="single"/>
        </w:rPr>
        <w:t>宁波市财政局</w:t>
      </w:r>
      <w:r>
        <w:rPr>
          <w:rFonts w:hint="eastAsia" w:ascii="宋体" w:hAnsi="宋体"/>
          <w:color w:val="auto"/>
          <w:szCs w:val="21"/>
          <w:u w:val="single"/>
        </w:rPr>
        <w:t>、宁波名诚招标代理有限公司</w:t>
      </w:r>
    </w:p>
    <w:p>
      <w:pPr>
        <w:spacing w:line="360" w:lineRule="auto"/>
        <w:ind w:firstLine="435"/>
        <w:rPr>
          <w:rFonts w:ascii="宋体" w:hAnsi="宋体"/>
          <w:color w:val="auto"/>
          <w:szCs w:val="21"/>
        </w:rPr>
      </w:pPr>
      <w:r>
        <w:rPr>
          <w:rFonts w:hint="eastAsia" w:ascii="宋体" w:hAnsi="宋体"/>
          <w:color w:val="auto"/>
          <w:szCs w:val="21"/>
        </w:rPr>
        <w:t>我方参加你方组织的</w:t>
      </w:r>
      <w:r>
        <w:rPr>
          <w:rFonts w:hint="eastAsia" w:ascii="宋体" w:hAnsi="宋体"/>
          <w:color w:val="auto"/>
          <w:szCs w:val="21"/>
          <w:u w:val="single"/>
        </w:rPr>
        <w:t>全国会计专业技术资格无纸化考试宁波考区考务服务项目</w:t>
      </w:r>
      <w:r>
        <w:rPr>
          <w:rFonts w:hint="eastAsia" w:ascii="宋体" w:hAnsi="宋体"/>
          <w:color w:val="auto"/>
          <w:szCs w:val="21"/>
        </w:rPr>
        <w:t>（项目编号：</w:t>
      </w:r>
      <w:r>
        <w:rPr>
          <w:rFonts w:hint="eastAsia" w:ascii="宋体" w:hAnsi="宋体"/>
          <w:color w:val="auto"/>
          <w:szCs w:val="21"/>
          <w:u w:val="single"/>
        </w:rPr>
        <w:t>NBMC-20242037G</w:t>
      </w:r>
      <w:r>
        <w:rPr>
          <w:rFonts w:hint="eastAsia" w:ascii="宋体" w:hAnsi="宋体"/>
          <w:color w:val="auto"/>
          <w:szCs w:val="21"/>
        </w:rPr>
        <w:t>）招标的有关活动，并对此项目进行投标。为此：</w:t>
      </w:r>
    </w:p>
    <w:p>
      <w:pPr>
        <w:spacing w:line="360" w:lineRule="auto"/>
        <w:ind w:firstLine="435"/>
        <w:rPr>
          <w:rFonts w:ascii="宋体" w:hAnsi="宋体"/>
          <w:color w:val="auto"/>
        </w:rPr>
      </w:pPr>
      <w:r>
        <w:rPr>
          <w:rFonts w:hint="eastAsia" w:ascii="宋体" w:hAnsi="宋体"/>
          <w:color w:val="auto"/>
        </w:rPr>
        <w:t>1.按招标文件规定提供的服务（包括伴随的货物）的投标报价见《开标一览表》。</w:t>
      </w:r>
    </w:p>
    <w:p>
      <w:pPr>
        <w:spacing w:line="360" w:lineRule="auto"/>
        <w:ind w:firstLine="435"/>
        <w:rPr>
          <w:rFonts w:ascii="宋体" w:hAnsi="宋体"/>
          <w:color w:val="auto"/>
        </w:rPr>
      </w:pPr>
      <w:r>
        <w:rPr>
          <w:rFonts w:hint="eastAsia" w:ascii="宋体" w:hAnsi="宋体"/>
          <w:color w:val="auto"/>
        </w:rPr>
        <w:t>2.我方将根据招标文件的规定，在合同约定的期限内完成合同规定的全部义务。</w:t>
      </w:r>
    </w:p>
    <w:p>
      <w:pPr>
        <w:spacing w:line="360" w:lineRule="auto"/>
        <w:ind w:firstLine="435"/>
        <w:rPr>
          <w:rFonts w:ascii="宋体" w:hAnsi="宋体"/>
          <w:color w:val="auto"/>
        </w:rPr>
      </w:pPr>
      <w:r>
        <w:rPr>
          <w:rFonts w:hint="eastAsia" w:ascii="宋体" w:hAnsi="宋体"/>
          <w:color w:val="auto"/>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pPr>
        <w:spacing w:line="360" w:lineRule="auto"/>
        <w:ind w:firstLine="435"/>
        <w:rPr>
          <w:rFonts w:ascii="宋体" w:hAnsi="宋体"/>
          <w:color w:val="auto"/>
        </w:rPr>
      </w:pPr>
      <w:r>
        <w:rPr>
          <w:rFonts w:hint="eastAsia" w:ascii="宋体" w:hAnsi="宋体"/>
          <w:color w:val="auto"/>
        </w:rPr>
        <w:t>4.我方的投标文件在招标文件规定的投标有效期之前均对我方具有约束力。</w:t>
      </w:r>
    </w:p>
    <w:p>
      <w:pPr>
        <w:spacing w:line="360" w:lineRule="auto"/>
        <w:ind w:firstLine="435"/>
        <w:rPr>
          <w:rFonts w:ascii="宋体" w:hAnsi="宋体"/>
          <w:color w:val="auto"/>
        </w:rPr>
      </w:pPr>
      <w:r>
        <w:rPr>
          <w:rFonts w:hint="eastAsia" w:ascii="宋体" w:hAnsi="宋体"/>
          <w:color w:val="auto"/>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pPr>
        <w:spacing w:line="360" w:lineRule="auto"/>
        <w:ind w:firstLine="435"/>
        <w:rPr>
          <w:rFonts w:ascii="宋体" w:hAnsi="宋体"/>
          <w:color w:val="auto"/>
        </w:rPr>
      </w:pPr>
      <w:r>
        <w:rPr>
          <w:rFonts w:hint="eastAsia" w:ascii="宋体" w:hAnsi="宋体"/>
          <w:color w:val="auto"/>
        </w:rPr>
        <w:t>6.我方完全理解最低报价并不是中标的唯一标准。</w:t>
      </w:r>
    </w:p>
    <w:p>
      <w:pPr>
        <w:spacing w:line="360" w:lineRule="auto"/>
        <w:ind w:firstLine="435"/>
        <w:rPr>
          <w:rFonts w:ascii="宋体" w:hAnsi="宋体"/>
          <w:color w:val="auto"/>
          <w:szCs w:val="21"/>
        </w:rPr>
      </w:pPr>
      <w:r>
        <w:rPr>
          <w:rFonts w:hint="eastAsia" w:ascii="宋体" w:hAnsi="宋体"/>
          <w:color w:val="auto"/>
        </w:rPr>
        <w:t>7</w:t>
      </w:r>
      <w:r>
        <w:rPr>
          <w:rFonts w:ascii="宋体" w:hAnsi="宋体"/>
          <w:color w:val="auto"/>
        </w:rPr>
        <w:t>.如我方获得中标</w:t>
      </w:r>
      <w:r>
        <w:rPr>
          <w:rFonts w:ascii="宋体" w:hAnsi="宋体"/>
          <w:color w:val="auto"/>
          <w:szCs w:val="21"/>
        </w:rPr>
        <w:t>，承诺按照招标文件规定的金额、时间和方式支付</w:t>
      </w:r>
      <w:r>
        <w:rPr>
          <w:rFonts w:hint="eastAsia" w:ascii="宋体" w:hAnsi="宋体"/>
          <w:color w:val="auto"/>
          <w:szCs w:val="21"/>
        </w:rPr>
        <w:t>采购</w:t>
      </w:r>
      <w:r>
        <w:rPr>
          <w:rFonts w:ascii="宋体" w:hAnsi="宋体"/>
          <w:color w:val="auto"/>
          <w:szCs w:val="21"/>
        </w:rPr>
        <w:t>代理服务费。因我方违约致使</w:t>
      </w:r>
      <w:r>
        <w:rPr>
          <w:rFonts w:hint="eastAsia" w:ascii="宋体" w:hAnsi="宋体"/>
          <w:color w:val="auto"/>
          <w:szCs w:val="21"/>
        </w:rPr>
        <w:t>采购</w:t>
      </w:r>
      <w:r>
        <w:rPr>
          <w:rFonts w:ascii="宋体" w:hAnsi="宋体"/>
          <w:color w:val="auto"/>
          <w:szCs w:val="21"/>
        </w:rPr>
        <w:t>代理机构采取诉讼或仲裁等方式实现债权，为此支付的</w:t>
      </w:r>
      <w:r>
        <w:rPr>
          <w:rFonts w:hint="eastAsia" w:ascii="宋体" w:hAnsi="宋体"/>
          <w:color w:val="auto"/>
          <w:szCs w:val="21"/>
        </w:rPr>
        <w:t>律师费、诉讼费、</w:t>
      </w:r>
      <w:r>
        <w:rPr>
          <w:rFonts w:ascii="宋体" w:hAnsi="宋体"/>
          <w:color w:val="auto"/>
          <w:szCs w:val="21"/>
        </w:rPr>
        <w:t>执行费</w:t>
      </w:r>
      <w:r>
        <w:rPr>
          <w:rFonts w:hint="eastAsia" w:ascii="宋体" w:hAnsi="宋体"/>
          <w:color w:val="auto"/>
          <w:szCs w:val="21"/>
        </w:rPr>
        <w:t>、公证费、认证费、鉴定费、保全费、担保费、差旅费等为</w:t>
      </w:r>
      <w:r>
        <w:rPr>
          <w:rFonts w:ascii="宋体" w:hAnsi="宋体"/>
          <w:color w:val="auto"/>
          <w:szCs w:val="21"/>
        </w:rPr>
        <w:t>实现债权的一切费用由我方承担。</w:t>
      </w:r>
    </w:p>
    <w:p>
      <w:pPr>
        <w:snapToGrid w:val="0"/>
        <w:spacing w:line="360" w:lineRule="auto"/>
        <w:ind w:left="-23" w:leftChars="-11" w:right="-214" w:rightChars="-102" w:firstLine="447" w:firstLineChars="213"/>
        <w:jc w:val="left"/>
        <w:rPr>
          <w:rFonts w:ascii="宋体" w:hAnsi="宋体"/>
          <w:color w:val="auto"/>
          <w:szCs w:val="21"/>
        </w:rPr>
      </w:pPr>
      <w:r>
        <w:rPr>
          <w:rFonts w:hint="eastAsia" w:ascii="宋体" w:hAnsi="宋体"/>
          <w:color w:val="auto"/>
          <w:szCs w:val="21"/>
        </w:rPr>
        <w:t>8.所有有关本次投标的函电请寄：</w:t>
      </w:r>
    </w:p>
    <w:p>
      <w:pPr>
        <w:snapToGrid w:val="0"/>
        <w:spacing w:line="360" w:lineRule="auto"/>
        <w:rPr>
          <w:rFonts w:ascii="宋体" w:hAnsi="宋体"/>
          <w:color w:val="auto"/>
          <w:szCs w:val="21"/>
        </w:rPr>
      </w:pPr>
      <w:r>
        <w:rPr>
          <w:rFonts w:hint="eastAsia" w:ascii="宋体" w:hAnsi="宋体"/>
          <w:color w:val="auto"/>
          <w:szCs w:val="21"/>
        </w:rPr>
        <w:t>电话：</w:t>
      </w:r>
      <w:r>
        <w:rPr>
          <w:rFonts w:hint="eastAsia" w:ascii="宋体" w:hAnsi="宋体"/>
          <w:color w:val="auto"/>
          <w:u w:val="single"/>
        </w:rPr>
        <w:t xml:space="preserve">           </w:t>
      </w:r>
      <w:r>
        <w:rPr>
          <w:rFonts w:hint="eastAsia" w:ascii="宋体" w:hAnsi="宋体"/>
          <w:color w:val="auto"/>
          <w:szCs w:val="21"/>
        </w:rPr>
        <w:t xml:space="preserve">   电子邮箱： </w:t>
      </w:r>
      <w:r>
        <w:rPr>
          <w:rFonts w:hint="eastAsia" w:ascii="宋体" w:hAnsi="宋体"/>
          <w:color w:val="auto"/>
          <w:u w:val="single"/>
        </w:rPr>
        <w:t xml:space="preserve">           </w:t>
      </w:r>
    </w:p>
    <w:p>
      <w:pPr>
        <w:snapToGrid w:val="0"/>
        <w:spacing w:line="360" w:lineRule="auto"/>
        <w:rPr>
          <w:rFonts w:ascii="宋体" w:hAnsi="宋体"/>
          <w:color w:val="auto"/>
          <w:u w:val="single"/>
        </w:rPr>
      </w:pPr>
      <w:r>
        <w:rPr>
          <w:rFonts w:hint="eastAsia" w:ascii="宋体" w:hAnsi="宋体"/>
          <w:color w:val="auto"/>
          <w:szCs w:val="21"/>
        </w:rPr>
        <w:t>地址：</w:t>
      </w:r>
      <w:r>
        <w:rPr>
          <w:rFonts w:hint="eastAsia" w:ascii="宋体" w:hAnsi="宋体"/>
          <w:color w:val="auto"/>
          <w:u w:val="single"/>
        </w:rPr>
        <w:t xml:space="preserve">           </w:t>
      </w:r>
      <w:r>
        <w:rPr>
          <w:rFonts w:hint="eastAsia" w:ascii="宋体" w:hAnsi="宋体"/>
          <w:color w:val="auto"/>
          <w:szCs w:val="21"/>
        </w:rPr>
        <w:t xml:space="preserve">   邮编：</w:t>
      </w:r>
      <w:r>
        <w:rPr>
          <w:rFonts w:hint="eastAsia" w:ascii="宋体" w:hAnsi="宋体"/>
          <w:color w:val="auto"/>
          <w:u w:val="single"/>
        </w:rPr>
        <w:t xml:space="preserve">           </w:t>
      </w:r>
    </w:p>
    <w:p>
      <w:pPr>
        <w:snapToGrid w:val="0"/>
        <w:spacing w:line="360" w:lineRule="auto"/>
        <w:ind w:right="-214" w:rightChars="-102"/>
        <w:jc w:val="left"/>
        <w:rPr>
          <w:rFonts w:ascii="宋体" w:hAnsi="宋体"/>
          <w:color w:val="auto"/>
          <w:szCs w:val="21"/>
        </w:rPr>
      </w:pPr>
    </w:p>
    <w:p>
      <w:pPr>
        <w:snapToGrid w:val="0"/>
        <w:spacing w:line="360" w:lineRule="auto"/>
        <w:rPr>
          <w:rFonts w:ascii="宋体" w:hAnsi="宋体"/>
          <w:color w:val="auto"/>
          <w:szCs w:val="21"/>
        </w:rPr>
      </w:pPr>
    </w:p>
    <w:p>
      <w:pPr>
        <w:snapToGrid w:val="0"/>
        <w:spacing w:line="360" w:lineRule="auto"/>
        <w:ind w:firstLine="4252" w:firstLineChars="2025"/>
        <w:rPr>
          <w:rFonts w:ascii="宋体" w:hAnsi="宋体"/>
          <w:color w:val="auto"/>
          <w:szCs w:val="21"/>
        </w:rPr>
      </w:pPr>
      <w:r>
        <w:rPr>
          <w:rFonts w:hint="eastAsia" w:ascii="宋体" w:hAnsi="宋体"/>
          <w:color w:val="auto"/>
          <w:szCs w:val="21"/>
        </w:rPr>
        <w:t>投标人：</w:t>
      </w:r>
      <w:r>
        <w:rPr>
          <w:rFonts w:ascii="宋体" w:hAnsi="宋体"/>
          <w:color w:val="auto"/>
          <w:szCs w:val="21"/>
          <w:u w:val="single"/>
        </w:rPr>
        <w:t>___</w:t>
      </w:r>
      <w:r>
        <w:rPr>
          <w:rFonts w:hint="eastAsia" w:ascii="宋体" w:hAnsi="宋体"/>
          <w:color w:val="auto"/>
          <w:szCs w:val="21"/>
          <w:u w:val="single"/>
        </w:rPr>
        <w:t xml:space="preserve">    （填写全称并加盖公章)</w:t>
      </w:r>
      <w:r>
        <w:rPr>
          <w:rFonts w:ascii="宋体" w:hAnsi="宋体"/>
          <w:color w:val="auto"/>
          <w:szCs w:val="21"/>
          <w:u w:val="single"/>
        </w:rPr>
        <w:t>________</w:t>
      </w:r>
    </w:p>
    <w:p>
      <w:pPr>
        <w:snapToGrid w:val="0"/>
        <w:spacing w:line="360" w:lineRule="auto"/>
        <w:ind w:firstLine="4252" w:firstLineChars="2025"/>
        <w:rPr>
          <w:rFonts w:ascii="宋体" w:hAnsi="宋体"/>
          <w:color w:val="auto"/>
          <w:szCs w:val="21"/>
        </w:rPr>
      </w:pPr>
      <w:r>
        <w:rPr>
          <w:rFonts w:hint="eastAsia" w:ascii="宋体" w:hAnsi="宋体"/>
          <w:color w:val="auto"/>
          <w:szCs w:val="21"/>
        </w:rPr>
        <w:t>日  期：</w:t>
      </w:r>
    </w:p>
    <w:p>
      <w:pPr>
        <w:pStyle w:val="18"/>
        <w:rPr>
          <w:rFonts w:ascii="宋体" w:hAnsi="宋体"/>
          <w:color w:val="auto"/>
        </w:rPr>
      </w:pPr>
    </w:p>
    <w:p>
      <w:pPr>
        <w:pStyle w:val="19"/>
        <w:ind w:firstLine="280"/>
        <w:rPr>
          <w:rFonts w:ascii="宋体" w:hAnsi="宋体"/>
          <w:color w:val="auto"/>
        </w:rPr>
      </w:pPr>
    </w:p>
    <w:p>
      <w:pPr>
        <w:pStyle w:val="20"/>
        <w:spacing w:line="360" w:lineRule="auto"/>
        <w:ind w:left="0" w:leftChars="0"/>
        <w:jc w:val="center"/>
        <w:rPr>
          <w:rFonts w:ascii="宋体" w:hAnsi="宋体" w:cs="宋体"/>
          <w:b/>
          <w:color w:val="auto"/>
          <w:sz w:val="21"/>
          <w:szCs w:val="21"/>
        </w:rPr>
      </w:pPr>
      <w:r>
        <w:rPr>
          <w:rFonts w:ascii="宋体" w:hAnsi="宋体"/>
          <w:b/>
          <w:color w:val="auto"/>
          <w:szCs w:val="21"/>
        </w:rPr>
        <w:br w:type="page"/>
      </w:r>
      <w:r>
        <w:rPr>
          <w:rFonts w:hint="eastAsia" w:ascii="宋体" w:hAnsi="宋体"/>
          <w:b/>
          <w:color w:val="auto"/>
          <w:sz w:val="21"/>
          <w:szCs w:val="21"/>
        </w:rPr>
        <w:t>（2）</w:t>
      </w:r>
      <w:r>
        <w:rPr>
          <w:rFonts w:ascii="宋体" w:hAnsi="宋体" w:cs="宋体"/>
          <w:b/>
          <w:color w:val="auto"/>
          <w:sz w:val="21"/>
          <w:szCs w:val="21"/>
        </w:rPr>
        <w:t>授权委托书</w:t>
      </w:r>
    </w:p>
    <w:p>
      <w:pPr>
        <w:snapToGrid w:val="0"/>
        <w:spacing w:line="360" w:lineRule="auto"/>
        <w:rPr>
          <w:rFonts w:ascii="宋体" w:hAnsi="宋体"/>
          <w:color w:val="auto"/>
          <w:szCs w:val="21"/>
        </w:rPr>
      </w:pPr>
      <w:r>
        <w:rPr>
          <w:rFonts w:hint="eastAsia" w:ascii="宋体" w:hAnsi="宋体"/>
          <w:color w:val="auto"/>
          <w:szCs w:val="21"/>
        </w:rPr>
        <w:t>致：</w:t>
      </w:r>
      <w:r>
        <w:rPr>
          <w:rFonts w:ascii="宋体" w:hAnsi="宋体"/>
          <w:color w:val="auto"/>
          <w:szCs w:val="21"/>
          <w:u w:val="single"/>
        </w:rPr>
        <w:t>宁波市财政局</w:t>
      </w:r>
      <w:r>
        <w:rPr>
          <w:rFonts w:hint="eastAsia" w:ascii="宋体" w:hAnsi="宋体"/>
          <w:color w:val="auto"/>
          <w:szCs w:val="21"/>
          <w:u w:val="single"/>
        </w:rPr>
        <w:t>、宁波名诚招标代理有限公司</w:t>
      </w:r>
    </w:p>
    <w:p>
      <w:pPr>
        <w:snapToGrid w:val="0"/>
        <w:spacing w:line="360" w:lineRule="auto"/>
        <w:ind w:firstLine="424" w:firstLineChars="202"/>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（姓名）     </w:t>
      </w:r>
      <w:r>
        <w:rPr>
          <w:rFonts w:hint="eastAsia" w:ascii="宋体" w:hAnsi="宋体"/>
          <w:color w:val="auto"/>
          <w:szCs w:val="21"/>
        </w:rPr>
        <w:t>系</w:t>
      </w:r>
      <w:r>
        <w:rPr>
          <w:rFonts w:hint="eastAsia" w:ascii="宋体" w:hAnsi="宋体"/>
          <w:color w:val="auto"/>
          <w:szCs w:val="21"/>
          <w:u w:val="single"/>
        </w:rPr>
        <w:t xml:space="preserve">    （投标人名称）   </w:t>
      </w:r>
      <w:r>
        <w:rPr>
          <w:rFonts w:hint="eastAsia" w:ascii="宋体" w:hAnsi="宋体"/>
          <w:color w:val="auto"/>
          <w:szCs w:val="21"/>
        </w:rPr>
        <w:t>的法定代表人，现授权委托</w:t>
      </w:r>
      <w:r>
        <w:rPr>
          <w:rFonts w:hint="eastAsia" w:ascii="宋体" w:hAnsi="宋体"/>
          <w:color w:val="auto"/>
          <w:szCs w:val="21"/>
          <w:u w:val="single"/>
        </w:rPr>
        <w:t xml:space="preserve">  （姓名）   </w:t>
      </w:r>
      <w:r>
        <w:rPr>
          <w:rFonts w:hint="eastAsia" w:ascii="宋体" w:hAnsi="宋体"/>
          <w:color w:val="auto"/>
          <w:szCs w:val="21"/>
        </w:rPr>
        <w:t>、身份证号：</w:t>
      </w:r>
      <w:r>
        <w:rPr>
          <w:rFonts w:hint="eastAsia" w:ascii="宋体" w:hAnsi="宋体"/>
          <w:color w:val="auto"/>
          <w:szCs w:val="21"/>
          <w:u w:val="single"/>
        </w:rPr>
        <w:t xml:space="preserve">                  </w:t>
      </w:r>
      <w:r>
        <w:rPr>
          <w:rFonts w:hint="eastAsia" w:ascii="宋体" w:hAnsi="宋体"/>
          <w:color w:val="auto"/>
          <w:szCs w:val="21"/>
        </w:rPr>
        <w:t>以我方的名义参加</w:t>
      </w:r>
      <w:r>
        <w:rPr>
          <w:rFonts w:hint="eastAsia" w:ascii="宋体" w:hAnsi="宋体"/>
          <w:color w:val="auto"/>
          <w:szCs w:val="21"/>
          <w:u w:val="single"/>
        </w:rPr>
        <w:t xml:space="preserve">         （项目名称）       </w:t>
      </w:r>
      <w:r>
        <w:rPr>
          <w:rFonts w:hint="eastAsia" w:ascii="宋体" w:hAnsi="宋体" w:cs="仿宋_GB2312"/>
          <w:color w:val="auto"/>
          <w:kern w:val="0"/>
          <w:lang w:val="zh-CN"/>
        </w:rPr>
        <w:t>政府采购投标响应的一切事项，其法律后果由我方承担。</w:t>
      </w:r>
    </w:p>
    <w:p>
      <w:pPr>
        <w:snapToGrid w:val="0"/>
        <w:spacing w:line="360" w:lineRule="auto"/>
        <w:ind w:firstLine="424" w:firstLineChars="202"/>
        <w:rPr>
          <w:rFonts w:ascii="宋体" w:hAnsi="宋体"/>
          <w:color w:val="auto"/>
          <w:szCs w:val="21"/>
        </w:rPr>
      </w:pPr>
      <w:r>
        <w:rPr>
          <w:rFonts w:hint="eastAsia" w:ascii="宋体" w:hAnsi="宋体"/>
          <w:color w:val="auto"/>
          <w:szCs w:val="21"/>
        </w:rPr>
        <w:t>本授权书自出具之日起生效，在撤销授权的书面通知以前，本授权委托书一直有效。授权代表在授权委托书有效期内签署的所有文件不因授权的撤销而失效。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宋体" w:hAnsi="宋体"/>
          <w:color w:val="auto"/>
          <w:szCs w:val="21"/>
        </w:rPr>
      </w:pPr>
      <w:r>
        <w:rPr>
          <w:rFonts w:hint="eastAsia" w:ascii="宋体" w:hAnsi="宋体"/>
          <w:color w:val="auto"/>
          <w:szCs w:val="21"/>
        </w:rPr>
        <w:t>授权代表无转委托权，特此授权。</w:t>
      </w:r>
    </w:p>
    <w:p>
      <w:pPr>
        <w:snapToGrid w:val="0"/>
        <w:spacing w:line="360" w:lineRule="auto"/>
        <w:rPr>
          <w:rFonts w:ascii="宋体" w:hAnsi="宋体"/>
          <w:color w:val="auto"/>
          <w:szCs w:val="21"/>
        </w:rPr>
      </w:pPr>
    </w:p>
    <w:p>
      <w:pPr>
        <w:snapToGrid w:val="0"/>
        <w:spacing w:line="360" w:lineRule="auto"/>
        <w:ind w:firstLine="3685" w:firstLineChars="1755"/>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（填写全称并加盖公章）     </w:t>
      </w:r>
    </w:p>
    <w:p>
      <w:pPr>
        <w:snapToGrid w:val="0"/>
        <w:spacing w:line="360" w:lineRule="auto"/>
        <w:ind w:firstLine="3685" w:firstLineChars="1755"/>
        <w:rPr>
          <w:rFonts w:ascii="宋体" w:hAnsi="宋体"/>
          <w:color w:val="auto"/>
          <w:szCs w:val="21"/>
        </w:rPr>
      </w:pPr>
      <w:r>
        <w:rPr>
          <w:rFonts w:hint="eastAsia" w:ascii="宋体" w:hAnsi="宋体"/>
          <w:color w:val="auto"/>
          <w:szCs w:val="21"/>
        </w:rPr>
        <w:t>授权委托日期：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18"/>
        <w:rPr>
          <w:rFonts w:ascii="宋体" w:hAnsi="宋体"/>
          <w:color w:val="auto"/>
        </w:rPr>
      </w:pPr>
    </w:p>
    <w:p>
      <w:pPr>
        <w:spacing w:line="360" w:lineRule="auto"/>
        <w:rPr>
          <w:rFonts w:ascii="宋体" w:hAnsi="宋体"/>
          <w:b/>
          <w:color w:val="auto"/>
          <w:szCs w:val="21"/>
        </w:rPr>
      </w:pPr>
    </w:p>
    <w:p>
      <w:pPr>
        <w:pStyle w:val="18"/>
        <w:rPr>
          <w:color w:val="auto"/>
        </w:rPr>
      </w:pPr>
    </w:p>
    <w:p>
      <w:pPr>
        <w:pStyle w:val="19"/>
        <w:ind w:firstLine="280"/>
        <w:rPr>
          <w:color w:val="auto"/>
        </w:rPr>
      </w:pPr>
    </w:p>
    <w:p>
      <w:pPr>
        <w:rPr>
          <w:color w:val="auto"/>
        </w:rPr>
      </w:pPr>
    </w:p>
    <w:p>
      <w:pPr>
        <w:pStyle w:val="18"/>
        <w:rPr>
          <w:color w:val="auto"/>
        </w:rPr>
      </w:pPr>
    </w:p>
    <w:p>
      <w:pPr>
        <w:pStyle w:val="19"/>
        <w:ind w:firstLine="280"/>
        <w:rPr>
          <w:color w:val="auto"/>
        </w:rPr>
      </w:pPr>
    </w:p>
    <w:p>
      <w:pPr>
        <w:rPr>
          <w:color w:val="auto"/>
        </w:rPr>
      </w:pPr>
    </w:p>
    <w:p>
      <w:pPr>
        <w:pStyle w:val="18"/>
        <w:rPr>
          <w:color w:val="auto"/>
        </w:rPr>
      </w:pPr>
    </w:p>
    <w:p>
      <w:pPr>
        <w:pStyle w:val="19"/>
        <w:ind w:firstLine="280"/>
        <w:rPr>
          <w:color w:val="auto"/>
        </w:rPr>
      </w:pPr>
    </w:p>
    <w:p>
      <w:pPr>
        <w:rPr>
          <w:color w:val="auto"/>
        </w:rPr>
      </w:pPr>
    </w:p>
    <w:p>
      <w:pPr>
        <w:pStyle w:val="18"/>
        <w:rPr>
          <w:color w:val="auto"/>
        </w:rPr>
      </w:pPr>
    </w:p>
    <w:p>
      <w:pPr>
        <w:pStyle w:val="19"/>
        <w:ind w:firstLine="280"/>
        <w:rPr>
          <w:color w:val="auto"/>
        </w:rPr>
      </w:pPr>
    </w:p>
    <w:p>
      <w:pPr>
        <w:rPr>
          <w:color w:val="auto"/>
        </w:rPr>
      </w:pPr>
    </w:p>
    <w:p>
      <w:pPr>
        <w:pStyle w:val="18"/>
        <w:rPr>
          <w:color w:val="auto"/>
        </w:rPr>
      </w:pPr>
    </w:p>
    <w:p>
      <w:pPr>
        <w:pStyle w:val="19"/>
        <w:ind w:firstLine="280"/>
        <w:rPr>
          <w:color w:val="auto"/>
        </w:rPr>
      </w:pPr>
    </w:p>
    <w:p>
      <w:pPr>
        <w:rPr>
          <w:color w:val="auto"/>
        </w:rPr>
      </w:pPr>
    </w:p>
    <w:p>
      <w:pPr>
        <w:pStyle w:val="18"/>
        <w:rPr>
          <w:color w:val="auto"/>
        </w:rPr>
      </w:pPr>
    </w:p>
    <w:p>
      <w:pPr>
        <w:pStyle w:val="19"/>
        <w:ind w:firstLine="280"/>
        <w:rPr>
          <w:color w:val="auto"/>
        </w:rPr>
      </w:pPr>
    </w:p>
    <w:p>
      <w:pPr>
        <w:spacing w:line="360" w:lineRule="auto"/>
        <w:rPr>
          <w:rFonts w:ascii="宋体" w:hAnsi="宋体"/>
          <w:b/>
          <w:color w:val="auto"/>
          <w:szCs w:val="21"/>
        </w:rPr>
      </w:pPr>
      <w:r>
        <w:rPr>
          <w:rFonts w:hint="eastAsia" w:ascii="宋体" w:hAnsi="宋体"/>
          <w:b/>
          <w:color w:val="auto"/>
          <w:szCs w:val="21"/>
        </w:rPr>
        <w:t>注：本项目只允许有唯一的投标人授权代表，后附投标人的法定代表人和授权代表身份证正反面复印件。</w:t>
      </w:r>
    </w:p>
    <w:p>
      <w:pPr>
        <w:pStyle w:val="20"/>
        <w:spacing w:line="360" w:lineRule="auto"/>
        <w:ind w:left="0" w:leftChars="0"/>
        <w:jc w:val="center"/>
        <w:rPr>
          <w:rFonts w:ascii="宋体" w:hAnsi="宋体"/>
          <w:color w:val="auto"/>
          <w:szCs w:val="21"/>
        </w:rPr>
      </w:pPr>
      <w:r>
        <w:rPr>
          <w:rFonts w:ascii="宋体" w:hAnsi="宋体"/>
          <w:color w:val="auto"/>
          <w:szCs w:val="21"/>
        </w:rPr>
        <w:br w:type="page"/>
      </w:r>
      <w:r>
        <w:rPr>
          <w:rFonts w:hint="eastAsia" w:ascii="宋体" w:hAnsi="宋体"/>
          <w:b/>
          <w:color w:val="auto"/>
          <w:sz w:val="21"/>
          <w:szCs w:val="21"/>
        </w:rPr>
        <w:t>（3）</w:t>
      </w:r>
      <w:r>
        <w:rPr>
          <w:rFonts w:hint="eastAsia" w:ascii="宋体" w:hAnsi="宋体" w:cs="宋体"/>
          <w:b/>
          <w:color w:val="auto"/>
          <w:sz w:val="21"/>
          <w:szCs w:val="21"/>
        </w:rPr>
        <w:t>评委打分</w:t>
      </w:r>
      <w:r>
        <w:rPr>
          <w:rFonts w:hint="eastAsia" w:ascii="宋体" w:hAnsi="宋体"/>
          <w:b/>
          <w:color w:val="auto"/>
          <w:sz w:val="21"/>
          <w:szCs w:val="21"/>
        </w:rPr>
        <w:t>索引表</w:t>
      </w:r>
    </w:p>
    <w:tbl>
      <w:tblPr>
        <w:tblStyle w:val="4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345"/>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rPr>
            </w:pPr>
            <w:r>
              <w:rPr>
                <w:rFonts w:hint="eastAsia" w:ascii="宋体" w:hAnsi="宋体"/>
                <w:color w:val="auto"/>
                <w:szCs w:val="21"/>
              </w:rPr>
              <w:t>序号</w:t>
            </w:r>
          </w:p>
        </w:tc>
        <w:tc>
          <w:tcPr>
            <w:tcW w:w="3345" w:type="dxa"/>
            <w:vAlign w:val="center"/>
          </w:tcPr>
          <w:p>
            <w:pPr>
              <w:spacing w:line="300" w:lineRule="exact"/>
              <w:jc w:val="center"/>
              <w:rPr>
                <w:rFonts w:ascii="宋体" w:hAnsi="宋体"/>
                <w:color w:val="auto"/>
                <w:szCs w:val="21"/>
              </w:rPr>
            </w:pPr>
            <w:r>
              <w:rPr>
                <w:rFonts w:hint="eastAsia" w:ascii="宋体" w:hAnsi="宋体"/>
                <w:color w:val="auto"/>
              </w:rPr>
              <w:t>评审因素</w:t>
            </w:r>
          </w:p>
        </w:tc>
        <w:tc>
          <w:tcPr>
            <w:tcW w:w="1701" w:type="dxa"/>
            <w:vAlign w:val="center"/>
          </w:tcPr>
          <w:p>
            <w:pPr>
              <w:spacing w:line="300" w:lineRule="exact"/>
              <w:jc w:val="center"/>
              <w:rPr>
                <w:rFonts w:ascii="宋体" w:hAnsi="宋体"/>
                <w:color w:val="auto"/>
                <w:szCs w:val="21"/>
              </w:rPr>
            </w:pPr>
            <w:r>
              <w:rPr>
                <w:rFonts w:hint="eastAsia" w:ascii="宋体" w:hAnsi="宋体"/>
                <w:color w:val="auto"/>
                <w:szCs w:val="21"/>
              </w:rPr>
              <w:t>文件或证明材料所在页码区间</w:t>
            </w:r>
          </w:p>
        </w:tc>
        <w:tc>
          <w:tcPr>
            <w:tcW w:w="2835" w:type="dxa"/>
            <w:vAlign w:val="center"/>
          </w:tcPr>
          <w:p>
            <w:pPr>
              <w:spacing w:line="300" w:lineRule="exact"/>
              <w:jc w:val="center"/>
              <w:rPr>
                <w:rFonts w:ascii="宋体" w:hAnsi="宋体"/>
                <w:color w:val="auto"/>
                <w:szCs w:val="21"/>
              </w:rPr>
            </w:pPr>
            <w:r>
              <w:rPr>
                <w:rFonts w:hint="eastAsia" w:ascii="宋体" w:hAnsi="宋体"/>
                <w:color w:val="auto"/>
                <w:szCs w:val="21"/>
              </w:rPr>
              <w:t>自评得分（由评委进行主观评审的不用填写自评得分）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rPr>
            </w:pPr>
            <w:r>
              <w:rPr>
                <w:rFonts w:hint="eastAsia" w:ascii="宋体" w:hAnsi="宋体"/>
                <w:color w:val="auto"/>
                <w:szCs w:val="21"/>
              </w:rPr>
              <w:t>1</w:t>
            </w:r>
          </w:p>
        </w:tc>
        <w:tc>
          <w:tcPr>
            <w:tcW w:w="3345" w:type="dxa"/>
            <w:vAlign w:val="center"/>
          </w:tcPr>
          <w:p>
            <w:pPr>
              <w:spacing w:line="300" w:lineRule="exact"/>
              <w:jc w:val="center"/>
              <w:rPr>
                <w:rFonts w:ascii="宋体" w:hAnsi="宋体"/>
                <w:color w:val="auto"/>
                <w:szCs w:val="21"/>
              </w:rPr>
            </w:pPr>
          </w:p>
        </w:tc>
        <w:tc>
          <w:tcPr>
            <w:tcW w:w="1701" w:type="dxa"/>
            <w:vAlign w:val="center"/>
          </w:tcPr>
          <w:p>
            <w:pPr>
              <w:spacing w:line="300" w:lineRule="exact"/>
              <w:jc w:val="center"/>
              <w:rPr>
                <w:rFonts w:ascii="宋体" w:hAnsi="宋体"/>
                <w:color w:val="auto"/>
                <w:szCs w:val="21"/>
              </w:rPr>
            </w:pPr>
          </w:p>
        </w:tc>
        <w:tc>
          <w:tcPr>
            <w:tcW w:w="2835"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rPr>
            </w:pPr>
            <w:r>
              <w:rPr>
                <w:rFonts w:hint="eastAsia" w:ascii="宋体" w:hAnsi="宋体"/>
                <w:color w:val="auto"/>
                <w:szCs w:val="21"/>
              </w:rPr>
              <w:t>2</w:t>
            </w:r>
          </w:p>
        </w:tc>
        <w:tc>
          <w:tcPr>
            <w:tcW w:w="3345" w:type="dxa"/>
            <w:vAlign w:val="center"/>
          </w:tcPr>
          <w:p>
            <w:pPr>
              <w:spacing w:line="300" w:lineRule="exact"/>
              <w:jc w:val="center"/>
              <w:rPr>
                <w:rFonts w:ascii="宋体" w:hAnsi="宋体"/>
                <w:color w:val="auto"/>
                <w:szCs w:val="21"/>
              </w:rPr>
            </w:pPr>
          </w:p>
        </w:tc>
        <w:tc>
          <w:tcPr>
            <w:tcW w:w="1701" w:type="dxa"/>
            <w:vAlign w:val="center"/>
          </w:tcPr>
          <w:p>
            <w:pPr>
              <w:spacing w:line="300" w:lineRule="exact"/>
              <w:jc w:val="center"/>
              <w:rPr>
                <w:rFonts w:ascii="宋体" w:hAnsi="宋体"/>
                <w:color w:val="auto"/>
                <w:szCs w:val="21"/>
              </w:rPr>
            </w:pPr>
          </w:p>
        </w:tc>
        <w:tc>
          <w:tcPr>
            <w:tcW w:w="2835"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rPr>
            </w:pPr>
            <w:r>
              <w:rPr>
                <w:rFonts w:hint="eastAsia" w:ascii="宋体" w:hAnsi="宋体"/>
                <w:color w:val="auto"/>
                <w:szCs w:val="21"/>
              </w:rPr>
              <w:t>3</w:t>
            </w:r>
          </w:p>
        </w:tc>
        <w:tc>
          <w:tcPr>
            <w:tcW w:w="3345" w:type="dxa"/>
            <w:vAlign w:val="center"/>
          </w:tcPr>
          <w:p>
            <w:pPr>
              <w:spacing w:line="300" w:lineRule="exact"/>
              <w:jc w:val="center"/>
              <w:rPr>
                <w:rFonts w:ascii="宋体" w:hAnsi="宋体"/>
                <w:color w:val="auto"/>
                <w:szCs w:val="21"/>
              </w:rPr>
            </w:pPr>
          </w:p>
        </w:tc>
        <w:tc>
          <w:tcPr>
            <w:tcW w:w="1701" w:type="dxa"/>
            <w:vAlign w:val="center"/>
          </w:tcPr>
          <w:p>
            <w:pPr>
              <w:spacing w:line="300" w:lineRule="exact"/>
              <w:jc w:val="center"/>
              <w:rPr>
                <w:rFonts w:ascii="宋体" w:hAnsi="宋体"/>
                <w:color w:val="auto"/>
                <w:szCs w:val="21"/>
              </w:rPr>
            </w:pPr>
          </w:p>
        </w:tc>
        <w:tc>
          <w:tcPr>
            <w:tcW w:w="2835"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rPr>
            </w:pPr>
            <w:r>
              <w:rPr>
                <w:rFonts w:hint="eastAsia" w:ascii="宋体" w:hAnsi="宋体"/>
                <w:color w:val="auto"/>
                <w:szCs w:val="21"/>
              </w:rPr>
              <w:t>4</w:t>
            </w:r>
          </w:p>
        </w:tc>
        <w:tc>
          <w:tcPr>
            <w:tcW w:w="3345" w:type="dxa"/>
            <w:vAlign w:val="center"/>
          </w:tcPr>
          <w:p>
            <w:pPr>
              <w:spacing w:line="300" w:lineRule="exact"/>
              <w:jc w:val="center"/>
              <w:rPr>
                <w:rFonts w:ascii="宋体" w:hAnsi="宋体"/>
                <w:color w:val="auto"/>
                <w:szCs w:val="21"/>
              </w:rPr>
            </w:pPr>
          </w:p>
        </w:tc>
        <w:tc>
          <w:tcPr>
            <w:tcW w:w="1701" w:type="dxa"/>
            <w:vAlign w:val="center"/>
          </w:tcPr>
          <w:p>
            <w:pPr>
              <w:spacing w:line="300" w:lineRule="exact"/>
              <w:jc w:val="center"/>
              <w:rPr>
                <w:rFonts w:ascii="宋体" w:hAnsi="宋体"/>
                <w:color w:val="auto"/>
                <w:szCs w:val="21"/>
              </w:rPr>
            </w:pPr>
          </w:p>
        </w:tc>
        <w:tc>
          <w:tcPr>
            <w:tcW w:w="2835"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rPr>
            </w:pPr>
            <w:r>
              <w:rPr>
                <w:rFonts w:hint="eastAsia" w:ascii="宋体" w:hAnsi="宋体"/>
                <w:color w:val="auto"/>
                <w:szCs w:val="21"/>
              </w:rPr>
              <w:t>5</w:t>
            </w:r>
          </w:p>
        </w:tc>
        <w:tc>
          <w:tcPr>
            <w:tcW w:w="3345" w:type="dxa"/>
            <w:vAlign w:val="center"/>
          </w:tcPr>
          <w:p>
            <w:pPr>
              <w:spacing w:line="300" w:lineRule="exact"/>
              <w:jc w:val="center"/>
              <w:rPr>
                <w:rFonts w:ascii="宋体" w:hAnsi="宋体"/>
                <w:color w:val="auto"/>
                <w:szCs w:val="21"/>
              </w:rPr>
            </w:pPr>
          </w:p>
        </w:tc>
        <w:tc>
          <w:tcPr>
            <w:tcW w:w="1701" w:type="dxa"/>
            <w:vAlign w:val="center"/>
          </w:tcPr>
          <w:p>
            <w:pPr>
              <w:spacing w:line="300" w:lineRule="exact"/>
              <w:jc w:val="center"/>
              <w:rPr>
                <w:rFonts w:ascii="宋体" w:hAnsi="宋体"/>
                <w:color w:val="auto"/>
                <w:szCs w:val="21"/>
              </w:rPr>
            </w:pPr>
          </w:p>
        </w:tc>
        <w:tc>
          <w:tcPr>
            <w:tcW w:w="2835"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rPr>
            </w:pPr>
            <w:r>
              <w:rPr>
                <w:rFonts w:hint="eastAsia" w:ascii="宋体" w:hAnsi="宋体"/>
                <w:color w:val="auto"/>
                <w:szCs w:val="21"/>
              </w:rPr>
              <w:t>...</w:t>
            </w:r>
          </w:p>
        </w:tc>
        <w:tc>
          <w:tcPr>
            <w:tcW w:w="3345" w:type="dxa"/>
            <w:vAlign w:val="center"/>
          </w:tcPr>
          <w:p>
            <w:pPr>
              <w:spacing w:line="300" w:lineRule="exact"/>
              <w:jc w:val="center"/>
              <w:rPr>
                <w:rFonts w:ascii="宋体" w:hAnsi="宋体"/>
                <w:color w:val="auto"/>
                <w:szCs w:val="21"/>
              </w:rPr>
            </w:pPr>
          </w:p>
        </w:tc>
        <w:tc>
          <w:tcPr>
            <w:tcW w:w="1701" w:type="dxa"/>
            <w:vAlign w:val="center"/>
          </w:tcPr>
          <w:p>
            <w:pPr>
              <w:spacing w:line="300" w:lineRule="exact"/>
              <w:jc w:val="center"/>
              <w:rPr>
                <w:rFonts w:ascii="宋体" w:hAnsi="宋体"/>
                <w:color w:val="auto"/>
                <w:szCs w:val="21"/>
              </w:rPr>
            </w:pPr>
          </w:p>
        </w:tc>
        <w:tc>
          <w:tcPr>
            <w:tcW w:w="2835" w:type="dxa"/>
            <w:vAlign w:val="center"/>
          </w:tcPr>
          <w:p>
            <w:pPr>
              <w:spacing w:line="300" w:lineRule="exact"/>
              <w:jc w:val="center"/>
              <w:rPr>
                <w:rFonts w:ascii="宋体" w:hAnsi="宋体"/>
                <w:color w:val="auto"/>
                <w:szCs w:val="21"/>
              </w:rPr>
            </w:pPr>
          </w:p>
        </w:tc>
      </w:tr>
    </w:tbl>
    <w:p>
      <w:pPr>
        <w:pStyle w:val="20"/>
        <w:spacing w:before="120" w:beforeLines="50" w:line="360" w:lineRule="auto"/>
        <w:ind w:left="141" w:leftChars="67"/>
        <w:rPr>
          <w:rFonts w:ascii="宋体" w:hAnsi="宋体"/>
          <w:color w:val="auto"/>
          <w:sz w:val="21"/>
          <w:szCs w:val="21"/>
        </w:rPr>
      </w:pPr>
      <w:r>
        <w:rPr>
          <w:rFonts w:hint="eastAsia" w:ascii="宋体" w:hAnsi="宋体"/>
          <w:color w:val="auto"/>
          <w:sz w:val="21"/>
          <w:szCs w:val="21"/>
        </w:rPr>
        <w:t>注：按照评委打分表内容逐项填写，报价部分无需列入。</w:t>
      </w:r>
    </w:p>
    <w:p>
      <w:pPr>
        <w:pStyle w:val="20"/>
        <w:spacing w:line="360" w:lineRule="auto"/>
        <w:rPr>
          <w:rFonts w:ascii="宋体" w:hAnsi="宋体"/>
          <w:b/>
          <w:color w:val="auto"/>
          <w:sz w:val="21"/>
          <w:szCs w:val="21"/>
        </w:rPr>
      </w:pPr>
    </w:p>
    <w:p>
      <w:pPr>
        <w:widowControl/>
        <w:jc w:val="left"/>
        <w:rPr>
          <w:rFonts w:ascii="宋体" w:hAnsi="宋体" w:cs="宋体"/>
          <w:b/>
          <w:color w:val="auto"/>
          <w:szCs w:val="21"/>
        </w:rPr>
      </w:pPr>
      <w:r>
        <w:rPr>
          <w:rFonts w:ascii="宋体" w:hAnsi="宋体" w:cs="宋体"/>
          <w:b/>
          <w:color w:val="auto"/>
          <w:szCs w:val="21"/>
        </w:rPr>
        <w:br w:type="page"/>
      </w:r>
    </w:p>
    <w:p>
      <w:pPr>
        <w:pStyle w:val="20"/>
        <w:spacing w:line="360" w:lineRule="auto"/>
        <w:ind w:left="0" w:leftChars="0"/>
        <w:jc w:val="center"/>
        <w:rPr>
          <w:rFonts w:ascii="宋体" w:hAnsi="宋体" w:cs="宋体"/>
          <w:b/>
          <w:color w:val="auto"/>
          <w:sz w:val="21"/>
          <w:szCs w:val="21"/>
        </w:rPr>
      </w:pPr>
      <w:r>
        <w:rPr>
          <w:rFonts w:hint="eastAsia" w:ascii="宋体" w:hAnsi="宋体" w:cs="宋体"/>
          <w:b/>
          <w:color w:val="auto"/>
          <w:sz w:val="21"/>
          <w:szCs w:val="21"/>
        </w:rPr>
        <w:t>（</w:t>
      </w:r>
      <w:r>
        <w:rPr>
          <w:rFonts w:ascii="宋体" w:hAnsi="宋体" w:cs="宋体"/>
          <w:b/>
          <w:color w:val="auto"/>
          <w:sz w:val="21"/>
          <w:szCs w:val="21"/>
        </w:rPr>
        <w:t>4</w:t>
      </w:r>
      <w:r>
        <w:rPr>
          <w:rFonts w:hint="eastAsia" w:ascii="宋体" w:hAnsi="宋体" w:cs="宋体"/>
          <w:b/>
          <w:color w:val="auto"/>
          <w:sz w:val="21"/>
          <w:szCs w:val="21"/>
        </w:rPr>
        <w:t>）采购需求响应表</w:t>
      </w:r>
    </w:p>
    <w:tbl>
      <w:tblPr>
        <w:tblStyle w:val="44"/>
        <w:tblW w:w="88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34"/>
        <w:gridCol w:w="4253"/>
        <w:gridCol w:w="1276"/>
        <w:gridCol w:w="15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r>
              <w:rPr>
                <w:rFonts w:ascii="宋体" w:hAnsi="宋体"/>
                <w:color w:val="auto"/>
                <w:kern w:val="1"/>
                <w:szCs w:val="21"/>
              </w:rPr>
              <w:t>项目</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r>
              <w:rPr>
                <w:rFonts w:ascii="宋体" w:hAnsi="宋体"/>
                <w:color w:val="auto"/>
                <w:szCs w:val="21"/>
              </w:rPr>
              <w:t>招标文件</w:t>
            </w:r>
            <w:r>
              <w:rPr>
                <w:rFonts w:hint="eastAsia" w:ascii="宋体" w:hAnsi="宋体"/>
                <w:color w:val="auto"/>
                <w:szCs w:val="21"/>
              </w:rPr>
              <w:t>的采购要求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投标响应</w:t>
            </w:r>
          </w:p>
        </w:tc>
        <w:tc>
          <w:tcPr>
            <w:tcW w:w="15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偏离</w:t>
            </w:r>
            <w:r>
              <w:rPr>
                <w:rFonts w:hint="eastAsia" w:ascii="宋体" w:hAnsi="宋体"/>
                <w:color w:val="auto"/>
                <w:szCs w:val="22"/>
              </w:rPr>
              <w:t>情况</w:t>
            </w:r>
            <w:r>
              <w:rPr>
                <w:rFonts w:hint="eastAsia" w:ascii="宋体" w:hAnsi="宋体"/>
                <w:color w:val="auto"/>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rPr>
            </w:pPr>
          </w:p>
        </w:tc>
        <w:tc>
          <w:tcPr>
            <w:tcW w:w="42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rPr>
            </w:pPr>
          </w:p>
        </w:tc>
        <w:tc>
          <w:tcPr>
            <w:tcW w:w="42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rPr>
            </w:pPr>
          </w:p>
        </w:tc>
        <w:tc>
          <w:tcPr>
            <w:tcW w:w="42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rPr>
            </w:pPr>
          </w:p>
        </w:tc>
        <w:tc>
          <w:tcPr>
            <w:tcW w:w="42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rPr>
            </w:pPr>
          </w:p>
        </w:tc>
        <w:tc>
          <w:tcPr>
            <w:tcW w:w="42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rPr>
            </w:pPr>
            <w:r>
              <w:rPr>
                <w:rFonts w:ascii="宋体" w:hAnsi="宋体"/>
                <w:color w:val="auto"/>
                <w:szCs w:val="21"/>
              </w:rPr>
              <w:t>…</w:t>
            </w:r>
          </w:p>
        </w:tc>
        <w:tc>
          <w:tcPr>
            <w:tcW w:w="1134" w:type="dxa"/>
            <w:tcBorders>
              <w:top w:val="single" w:color="auto" w:sz="4" w:space="0"/>
              <w:left w:val="single" w:color="auto" w:sz="4" w:space="0"/>
              <w:right w:val="single" w:color="auto" w:sz="4" w:space="0"/>
            </w:tcBorders>
            <w:vAlign w:val="center"/>
          </w:tcPr>
          <w:p>
            <w:pPr>
              <w:jc w:val="left"/>
              <w:rPr>
                <w:rFonts w:ascii="宋体" w:hAnsi="宋体"/>
                <w:color w:val="auto"/>
              </w:rPr>
            </w:pPr>
          </w:p>
        </w:tc>
        <w:tc>
          <w:tcPr>
            <w:tcW w:w="4253" w:type="dxa"/>
            <w:tcBorders>
              <w:top w:val="single" w:color="auto" w:sz="4" w:space="0"/>
              <w:left w:val="single" w:color="auto" w:sz="4" w:space="0"/>
              <w:right w:val="single" w:color="auto" w:sz="4" w:space="0"/>
            </w:tcBorders>
            <w:vAlign w:val="center"/>
          </w:tcPr>
          <w:p>
            <w:pPr>
              <w:rPr>
                <w:rFonts w:ascii="宋体" w:hAnsi="宋体"/>
                <w:color w:val="auto"/>
              </w:rPr>
            </w:pP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rPr>
            </w:pPr>
          </w:p>
        </w:tc>
        <w:tc>
          <w:tcPr>
            <w:tcW w:w="1531"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rPr>
            </w:pPr>
          </w:p>
        </w:tc>
      </w:tr>
    </w:tbl>
    <w:p>
      <w:pPr>
        <w:snapToGrid w:val="0"/>
        <w:spacing w:line="360" w:lineRule="auto"/>
        <w:ind w:left="-23" w:leftChars="-11" w:right="-57" w:rightChars="-27" w:firstLine="21" w:firstLineChars="10"/>
        <w:rPr>
          <w:rFonts w:ascii="宋体" w:hAnsi="宋体"/>
          <w:color w:val="auto"/>
          <w:szCs w:val="22"/>
        </w:rPr>
      </w:pPr>
      <w:r>
        <w:rPr>
          <w:rFonts w:hint="eastAsia" w:ascii="宋体" w:hAnsi="宋体"/>
          <w:color w:val="auto"/>
          <w:szCs w:val="22"/>
        </w:rPr>
        <w:t>注：</w:t>
      </w:r>
    </w:p>
    <w:p>
      <w:pPr>
        <w:snapToGrid w:val="0"/>
        <w:spacing w:line="360" w:lineRule="auto"/>
        <w:ind w:left="-23" w:leftChars="-11" w:right="-57" w:rightChars="-27" w:firstLine="21" w:firstLineChars="10"/>
        <w:rPr>
          <w:rFonts w:ascii="宋体" w:hAnsi="宋体"/>
          <w:color w:val="auto"/>
          <w:szCs w:val="22"/>
        </w:rPr>
      </w:pPr>
      <w:r>
        <w:rPr>
          <w:rFonts w:hint="eastAsia" w:ascii="宋体" w:hAnsi="宋体"/>
          <w:color w:val="auto"/>
          <w:szCs w:val="22"/>
        </w:rPr>
        <w:t>1.投标人保证：除本表列出的偏离外，响应招标文件《第二章  采购需求》列明的其他要求。</w:t>
      </w:r>
    </w:p>
    <w:p>
      <w:pPr>
        <w:snapToGrid w:val="0"/>
        <w:spacing w:line="360" w:lineRule="auto"/>
        <w:ind w:left="-23" w:leftChars="-11" w:right="-57" w:rightChars="-27" w:firstLine="21" w:firstLineChars="10"/>
        <w:rPr>
          <w:rFonts w:ascii="宋体" w:hAnsi="宋体"/>
          <w:color w:val="auto"/>
          <w:szCs w:val="22"/>
        </w:rPr>
      </w:pPr>
      <w:r>
        <w:rPr>
          <w:rFonts w:hint="eastAsia" w:ascii="宋体" w:hAnsi="宋体"/>
          <w:color w:val="auto"/>
          <w:szCs w:val="22"/>
        </w:rPr>
        <w:t>2</w:t>
      </w:r>
      <w:r>
        <w:rPr>
          <w:rFonts w:ascii="宋体" w:hAnsi="宋体"/>
          <w:color w:val="auto"/>
          <w:szCs w:val="22"/>
        </w:rPr>
        <w:t>.</w:t>
      </w:r>
      <w:r>
        <w:rPr>
          <w:rFonts w:hint="eastAsia" w:ascii="宋体" w:hAnsi="宋体"/>
          <w:color w:val="auto"/>
          <w:szCs w:val="22"/>
        </w:rPr>
        <w:t>投标人</w:t>
      </w:r>
      <w:r>
        <w:rPr>
          <w:rFonts w:hint="eastAsia" w:ascii="宋体" w:hAnsi="宋体"/>
          <w:color w:val="auto"/>
        </w:rPr>
        <w:t>应当</w:t>
      </w:r>
      <w:r>
        <w:rPr>
          <w:rFonts w:hint="eastAsia" w:ascii="宋体" w:hAnsi="宋体"/>
          <w:color w:val="auto"/>
          <w:szCs w:val="22"/>
        </w:rPr>
        <w:t>与招标文件《第二章  采购需求》的所有要求逐项比较，如有偏离（不满足或优于）的，须在本表中列明，并填写偏离情况说明。如投标人未在本表中列出偏离项并填写偏离情况说明，即使其在投标文件的其他部分说明与招标文件要求有所不同或回避不答，亦视为响应招标文件《第二章  采购需求》所提出的要求并签署合同。若中标人以上述事项为借口而不履行合同签订手续及履行合同，则按照政府采购法律法规的规定处理，响应情况由评标委员会认定。</w:t>
      </w:r>
    </w:p>
    <w:p>
      <w:pPr>
        <w:snapToGrid w:val="0"/>
        <w:spacing w:line="360" w:lineRule="auto"/>
        <w:ind w:left="-23" w:leftChars="-11" w:right="-57" w:rightChars="-27" w:firstLine="21" w:firstLineChars="10"/>
        <w:rPr>
          <w:rFonts w:ascii="宋体" w:hAnsi="宋体"/>
          <w:color w:val="auto"/>
          <w:szCs w:val="22"/>
        </w:rPr>
      </w:pPr>
      <w:r>
        <w:rPr>
          <w:rFonts w:hint="eastAsia" w:ascii="宋体" w:hAnsi="宋体"/>
          <w:color w:val="auto"/>
          <w:szCs w:val="22"/>
        </w:rPr>
        <w:t>3.投标人无论对《第二章  采购需求》有无偏离（不满足或优于）都应当将本表盖章后作为投标文件的一部分提交，未在投标文件中提供本表的按照</w:t>
      </w:r>
      <w:r>
        <w:rPr>
          <w:rFonts w:hint="eastAsia" w:ascii="宋体" w:hAnsi="宋体"/>
          <w:color w:val="auto"/>
        </w:rPr>
        <w:t>投标无效</w:t>
      </w:r>
      <w:r>
        <w:rPr>
          <w:rFonts w:hint="eastAsia" w:ascii="宋体" w:hAnsi="宋体"/>
          <w:color w:val="auto"/>
          <w:szCs w:val="22"/>
        </w:rPr>
        <w:t>处理。</w:t>
      </w:r>
    </w:p>
    <w:p>
      <w:pPr>
        <w:snapToGrid w:val="0"/>
        <w:spacing w:before="50" w:after="50" w:line="360" w:lineRule="auto"/>
        <w:ind w:left="-23" w:leftChars="-11" w:right="-57" w:rightChars="-27" w:firstLine="21" w:firstLineChars="10"/>
        <w:rPr>
          <w:rFonts w:ascii="宋体" w:hAnsi="宋体"/>
          <w:b/>
          <w:color w:val="auto"/>
          <w:szCs w:val="21"/>
        </w:rPr>
      </w:pPr>
    </w:p>
    <w:p>
      <w:pPr>
        <w:pStyle w:val="18"/>
        <w:rPr>
          <w:rFonts w:ascii="宋体" w:hAnsi="宋体"/>
          <w:color w:val="auto"/>
        </w:rPr>
      </w:pPr>
    </w:p>
    <w:p>
      <w:pPr>
        <w:snapToGrid w:val="0"/>
        <w:spacing w:line="360" w:lineRule="auto"/>
        <w:ind w:firstLine="3685" w:firstLineChars="1755"/>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填写全称并加盖公章     </w:t>
      </w:r>
    </w:p>
    <w:p>
      <w:pPr>
        <w:snapToGrid w:val="0"/>
        <w:spacing w:line="360" w:lineRule="auto"/>
        <w:ind w:firstLine="3685" w:firstLineChars="1755"/>
        <w:rPr>
          <w:rFonts w:ascii="宋体" w:hAnsi="宋体"/>
          <w:color w:val="auto"/>
          <w:szCs w:val="21"/>
        </w:rPr>
      </w:pPr>
      <w:r>
        <w:rPr>
          <w:rFonts w:hint="eastAsia" w:ascii="宋体" w:hAnsi="宋体"/>
          <w:color w:val="auto"/>
          <w:szCs w:val="21"/>
        </w:rPr>
        <w:t>日  期：</w:t>
      </w:r>
    </w:p>
    <w:p>
      <w:pPr>
        <w:widowControl/>
        <w:jc w:val="left"/>
        <w:rPr>
          <w:rFonts w:ascii="宋体" w:hAnsi="宋体" w:cs="宋体"/>
          <w:b/>
          <w:color w:val="auto"/>
          <w:szCs w:val="21"/>
        </w:rPr>
      </w:pPr>
      <w:r>
        <w:rPr>
          <w:rFonts w:ascii="宋体" w:hAnsi="宋体" w:cs="宋体"/>
          <w:b/>
          <w:color w:val="auto"/>
          <w:szCs w:val="21"/>
        </w:rPr>
        <w:br w:type="page"/>
      </w:r>
    </w:p>
    <w:p>
      <w:pPr>
        <w:pStyle w:val="20"/>
        <w:spacing w:line="360" w:lineRule="auto"/>
        <w:ind w:left="0" w:leftChars="0"/>
        <w:jc w:val="center"/>
        <w:rPr>
          <w:rFonts w:ascii="宋体" w:hAnsi="宋体"/>
          <w:b/>
          <w:color w:val="auto"/>
        </w:rPr>
      </w:pPr>
      <w:r>
        <w:rPr>
          <w:rFonts w:hint="eastAsia" w:ascii="宋体" w:hAnsi="宋体" w:cs="宋体"/>
          <w:b/>
          <w:color w:val="auto"/>
          <w:sz w:val="21"/>
          <w:szCs w:val="21"/>
        </w:rPr>
        <w:t>（5）项目实施人员情况表</w:t>
      </w:r>
    </w:p>
    <w:tbl>
      <w:tblPr>
        <w:tblStyle w:val="4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875"/>
        <w:gridCol w:w="851"/>
        <w:gridCol w:w="850"/>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bCs/>
                <w:color w:val="auto"/>
                <w:szCs w:val="21"/>
              </w:rPr>
            </w:pPr>
            <w:r>
              <w:rPr>
                <w:rFonts w:hint="eastAsia" w:ascii="宋体" w:hAnsi="宋体"/>
                <w:bCs/>
                <w:color w:val="auto"/>
                <w:szCs w:val="21"/>
              </w:rPr>
              <w:t>序号</w:t>
            </w:r>
          </w:p>
        </w:tc>
        <w:tc>
          <w:tcPr>
            <w:tcW w:w="1527" w:type="dxa"/>
            <w:vAlign w:val="center"/>
          </w:tcPr>
          <w:p>
            <w:pPr>
              <w:jc w:val="center"/>
              <w:rPr>
                <w:rFonts w:ascii="宋体" w:hAnsi="宋体"/>
                <w:bCs/>
                <w:color w:val="auto"/>
                <w:szCs w:val="21"/>
              </w:rPr>
            </w:pPr>
            <w:r>
              <w:rPr>
                <w:rFonts w:hint="eastAsia" w:ascii="宋体" w:hAnsi="宋体"/>
                <w:bCs/>
                <w:color w:val="auto"/>
                <w:szCs w:val="21"/>
              </w:rPr>
              <w:t>姓名</w:t>
            </w:r>
          </w:p>
        </w:tc>
        <w:tc>
          <w:tcPr>
            <w:tcW w:w="1875" w:type="dxa"/>
            <w:vAlign w:val="center"/>
          </w:tcPr>
          <w:p>
            <w:pPr>
              <w:jc w:val="center"/>
              <w:rPr>
                <w:rFonts w:ascii="宋体" w:hAnsi="宋体"/>
                <w:bCs/>
                <w:color w:val="auto"/>
                <w:szCs w:val="21"/>
              </w:rPr>
            </w:pPr>
            <w:r>
              <w:rPr>
                <w:rFonts w:hint="eastAsia" w:ascii="宋体" w:hAnsi="宋体"/>
                <w:bCs/>
                <w:color w:val="auto"/>
                <w:szCs w:val="21"/>
              </w:rPr>
              <w:t>本项目主要工作内容</w:t>
            </w:r>
          </w:p>
        </w:tc>
        <w:tc>
          <w:tcPr>
            <w:tcW w:w="851" w:type="dxa"/>
            <w:vAlign w:val="center"/>
          </w:tcPr>
          <w:p>
            <w:pPr>
              <w:jc w:val="center"/>
              <w:rPr>
                <w:rFonts w:ascii="宋体" w:hAnsi="宋体"/>
                <w:bCs/>
                <w:color w:val="auto"/>
                <w:szCs w:val="21"/>
              </w:rPr>
            </w:pPr>
            <w:r>
              <w:rPr>
                <w:rFonts w:hint="eastAsia" w:ascii="宋体" w:hAnsi="宋体"/>
                <w:bCs/>
                <w:color w:val="auto"/>
                <w:szCs w:val="21"/>
              </w:rPr>
              <w:t>年龄</w:t>
            </w:r>
          </w:p>
        </w:tc>
        <w:tc>
          <w:tcPr>
            <w:tcW w:w="850" w:type="dxa"/>
            <w:vAlign w:val="center"/>
          </w:tcPr>
          <w:p>
            <w:pPr>
              <w:jc w:val="center"/>
              <w:rPr>
                <w:rFonts w:ascii="宋体" w:hAnsi="宋体"/>
                <w:bCs/>
                <w:color w:val="auto"/>
                <w:szCs w:val="21"/>
              </w:rPr>
            </w:pPr>
            <w:r>
              <w:rPr>
                <w:rFonts w:hint="eastAsia" w:ascii="宋体" w:hAnsi="宋体"/>
                <w:bCs/>
                <w:color w:val="auto"/>
                <w:szCs w:val="21"/>
              </w:rPr>
              <w:t>性别</w:t>
            </w:r>
          </w:p>
        </w:tc>
        <w:tc>
          <w:tcPr>
            <w:tcW w:w="3119" w:type="dxa"/>
            <w:vAlign w:val="center"/>
          </w:tcPr>
          <w:p>
            <w:pPr>
              <w:jc w:val="center"/>
              <w:rPr>
                <w:rFonts w:ascii="宋体" w:hAnsi="宋体"/>
                <w:bCs/>
                <w:color w:val="auto"/>
                <w:szCs w:val="21"/>
              </w:rPr>
            </w:pPr>
            <w:r>
              <w:rPr>
                <w:rFonts w:hint="eastAsia" w:ascii="宋体" w:hAnsi="宋体"/>
                <w:bCs/>
                <w:color w:val="auto"/>
                <w:szCs w:val="21"/>
              </w:rPr>
              <w:t>学历、职称、执业资格等个人能力情况说明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rPr>
            </w:pPr>
            <w:r>
              <w:rPr>
                <w:rFonts w:hint="eastAsia" w:ascii="宋体" w:hAnsi="宋体"/>
                <w:color w:val="auto"/>
                <w:szCs w:val="21"/>
              </w:rPr>
              <w:t>1</w:t>
            </w:r>
          </w:p>
        </w:tc>
        <w:tc>
          <w:tcPr>
            <w:tcW w:w="1527" w:type="dxa"/>
            <w:vAlign w:val="center"/>
          </w:tcPr>
          <w:p>
            <w:pPr>
              <w:rPr>
                <w:rFonts w:ascii="宋体" w:hAnsi="宋体"/>
                <w:color w:val="auto"/>
                <w:szCs w:val="21"/>
              </w:rPr>
            </w:pPr>
          </w:p>
        </w:tc>
        <w:tc>
          <w:tcPr>
            <w:tcW w:w="1875" w:type="dxa"/>
            <w:vAlign w:val="center"/>
          </w:tcPr>
          <w:p>
            <w:pPr>
              <w:rPr>
                <w:rFonts w:ascii="宋体" w:hAnsi="宋体"/>
                <w:color w:val="auto"/>
                <w:szCs w:val="21"/>
              </w:rPr>
            </w:pPr>
          </w:p>
        </w:tc>
        <w:tc>
          <w:tcPr>
            <w:tcW w:w="851" w:type="dxa"/>
            <w:vAlign w:val="center"/>
          </w:tcPr>
          <w:p>
            <w:pPr>
              <w:rPr>
                <w:rFonts w:ascii="宋体" w:hAnsi="宋体"/>
                <w:color w:val="auto"/>
                <w:szCs w:val="21"/>
              </w:rPr>
            </w:pPr>
          </w:p>
        </w:tc>
        <w:tc>
          <w:tcPr>
            <w:tcW w:w="850" w:type="dxa"/>
            <w:vAlign w:val="center"/>
          </w:tcPr>
          <w:p>
            <w:pPr>
              <w:rPr>
                <w:rFonts w:ascii="宋体" w:hAnsi="宋体"/>
                <w:color w:val="auto"/>
                <w:szCs w:val="21"/>
              </w:rPr>
            </w:pPr>
          </w:p>
        </w:tc>
        <w:tc>
          <w:tcPr>
            <w:tcW w:w="3119"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rPr>
            </w:pPr>
            <w:r>
              <w:rPr>
                <w:rFonts w:hint="eastAsia" w:ascii="宋体" w:hAnsi="宋体"/>
                <w:color w:val="auto"/>
                <w:szCs w:val="21"/>
              </w:rPr>
              <w:t>2</w:t>
            </w:r>
          </w:p>
        </w:tc>
        <w:tc>
          <w:tcPr>
            <w:tcW w:w="1527" w:type="dxa"/>
            <w:vAlign w:val="center"/>
          </w:tcPr>
          <w:p>
            <w:pPr>
              <w:rPr>
                <w:rFonts w:ascii="宋体" w:hAnsi="宋体"/>
                <w:color w:val="auto"/>
                <w:szCs w:val="21"/>
              </w:rPr>
            </w:pPr>
          </w:p>
        </w:tc>
        <w:tc>
          <w:tcPr>
            <w:tcW w:w="1875" w:type="dxa"/>
            <w:vAlign w:val="center"/>
          </w:tcPr>
          <w:p>
            <w:pPr>
              <w:rPr>
                <w:rFonts w:ascii="宋体" w:hAnsi="宋体"/>
                <w:color w:val="auto"/>
                <w:szCs w:val="21"/>
              </w:rPr>
            </w:pPr>
          </w:p>
        </w:tc>
        <w:tc>
          <w:tcPr>
            <w:tcW w:w="851" w:type="dxa"/>
            <w:vAlign w:val="center"/>
          </w:tcPr>
          <w:p>
            <w:pPr>
              <w:rPr>
                <w:rFonts w:ascii="宋体" w:hAnsi="宋体"/>
                <w:color w:val="auto"/>
                <w:szCs w:val="21"/>
              </w:rPr>
            </w:pPr>
          </w:p>
        </w:tc>
        <w:tc>
          <w:tcPr>
            <w:tcW w:w="850" w:type="dxa"/>
            <w:vAlign w:val="center"/>
          </w:tcPr>
          <w:p>
            <w:pPr>
              <w:rPr>
                <w:rFonts w:ascii="宋体" w:hAnsi="宋体"/>
                <w:color w:val="auto"/>
                <w:szCs w:val="21"/>
              </w:rPr>
            </w:pPr>
          </w:p>
        </w:tc>
        <w:tc>
          <w:tcPr>
            <w:tcW w:w="3119"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rPr>
            </w:pPr>
            <w:r>
              <w:rPr>
                <w:rFonts w:hint="eastAsia" w:ascii="宋体" w:hAnsi="宋体"/>
                <w:color w:val="auto"/>
                <w:szCs w:val="21"/>
              </w:rPr>
              <w:t>3</w:t>
            </w:r>
          </w:p>
        </w:tc>
        <w:tc>
          <w:tcPr>
            <w:tcW w:w="1527" w:type="dxa"/>
            <w:vAlign w:val="center"/>
          </w:tcPr>
          <w:p>
            <w:pPr>
              <w:rPr>
                <w:rFonts w:ascii="宋体" w:hAnsi="宋体"/>
                <w:color w:val="auto"/>
                <w:szCs w:val="21"/>
              </w:rPr>
            </w:pPr>
          </w:p>
        </w:tc>
        <w:tc>
          <w:tcPr>
            <w:tcW w:w="1875" w:type="dxa"/>
            <w:vAlign w:val="center"/>
          </w:tcPr>
          <w:p>
            <w:pPr>
              <w:rPr>
                <w:rFonts w:ascii="宋体" w:hAnsi="宋体"/>
                <w:color w:val="auto"/>
                <w:szCs w:val="21"/>
              </w:rPr>
            </w:pPr>
          </w:p>
        </w:tc>
        <w:tc>
          <w:tcPr>
            <w:tcW w:w="851" w:type="dxa"/>
            <w:vAlign w:val="center"/>
          </w:tcPr>
          <w:p>
            <w:pPr>
              <w:rPr>
                <w:rFonts w:ascii="宋体" w:hAnsi="宋体"/>
                <w:color w:val="auto"/>
                <w:szCs w:val="21"/>
              </w:rPr>
            </w:pPr>
          </w:p>
        </w:tc>
        <w:tc>
          <w:tcPr>
            <w:tcW w:w="850" w:type="dxa"/>
            <w:vAlign w:val="center"/>
          </w:tcPr>
          <w:p>
            <w:pPr>
              <w:rPr>
                <w:rFonts w:ascii="宋体" w:hAnsi="宋体"/>
                <w:color w:val="auto"/>
                <w:szCs w:val="21"/>
              </w:rPr>
            </w:pPr>
          </w:p>
        </w:tc>
        <w:tc>
          <w:tcPr>
            <w:tcW w:w="3119"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rPr>
            </w:pPr>
            <w:r>
              <w:rPr>
                <w:rFonts w:hint="eastAsia" w:ascii="宋体" w:hAnsi="宋体"/>
                <w:color w:val="auto"/>
                <w:szCs w:val="21"/>
              </w:rPr>
              <w:t>4</w:t>
            </w:r>
          </w:p>
        </w:tc>
        <w:tc>
          <w:tcPr>
            <w:tcW w:w="1527" w:type="dxa"/>
            <w:vAlign w:val="center"/>
          </w:tcPr>
          <w:p>
            <w:pPr>
              <w:rPr>
                <w:rFonts w:ascii="宋体" w:hAnsi="宋体"/>
                <w:color w:val="auto"/>
                <w:szCs w:val="21"/>
              </w:rPr>
            </w:pPr>
          </w:p>
        </w:tc>
        <w:tc>
          <w:tcPr>
            <w:tcW w:w="1875" w:type="dxa"/>
            <w:vAlign w:val="center"/>
          </w:tcPr>
          <w:p>
            <w:pPr>
              <w:rPr>
                <w:rFonts w:ascii="宋体" w:hAnsi="宋体"/>
                <w:color w:val="auto"/>
                <w:szCs w:val="21"/>
              </w:rPr>
            </w:pPr>
          </w:p>
        </w:tc>
        <w:tc>
          <w:tcPr>
            <w:tcW w:w="851" w:type="dxa"/>
            <w:vAlign w:val="center"/>
          </w:tcPr>
          <w:p>
            <w:pPr>
              <w:rPr>
                <w:rFonts w:ascii="宋体" w:hAnsi="宋体"/>
                <w:color w:val="auto"/>
                <w:szCs w:val="21"/>
              </w:rPr>
            </w:pPr>
          </w:p>
        </w:tc>
        <w:tc>
          <w:tcPr>
            <w:tcW w:w="850" w:type="dxa"/>
            <w:vAlign w:val="center"/>
          </w:tcPr>
          <w:p>
            <w:pPr>
              <w:rPr>
                <w:rFonts w:ascii="宋体" w:hAnsi="宋体"/>
                <w:color w:val="auto"/>
                <w:szCs w:val="21"/>
              </w:rPr>
            </w:pPr>
          </w:p>
        </w:tc>
        <w:tc>
          <w:tcPr>
            <w:tcW w:w="3119"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rPr>
            </w:pPr>
            <w:r>
              <w:rPr>
                <w:rFonts w:hint="eastAsia" w:ascii="宋体" w:hAnsi="宋体"/>
                <w:color w:val="auto"/>
                <w:szCs w:val="21"/>
              </w:rPr>
              <w:t>5</w:t>
            </w:r>
          </w:p>
        </w:tc>
        <w:tc>
          <w:tcPr>
            <w:tcW w:w="1527" w:type="dxa"/>
            <w:vAlign w:val="center"/>
          </w:tcPr>
          <w:p>
            <w:pPr>
              <w:rPr>
                <w:rFonts w:ascii="宋体" w:hAnsi="宋体"/>
                <w:color w:val="auto"/>
                <w:szCs w:val="21"/>
              </w:rPr>
            </w:pPr>
          </w:p>
        </w:tc>
        <w:tc>
          <w:tcPr>
            <w:tcW w:w="1875" w:type="dxa"/>
            <w:vAlign w:val="center"/>
          </w:tcPr>
          <w:p>
            <w:pPr>
              <w:rPr>
                <w:rFonts w:ascii="宋体" w:hAnsi="宋体"/>
                <w:color w:val="auto"/>
                <w:szCs w:val="21"/>
              </w:rPr>
            </w:pPr>
          </w:p>
        </w:tc>
        <w:tc>
          <w:tcPr>
            <w:tcW w:w="851" w:type="dxa"/>
            <w:vAlign w:val="center"/>
          </w:tcPr>
          <w:p>
            <w:pPr>
              <w:rPr>
                <w:rFonts w:ascii="宋体" w:hAnsi="宋体"/>
                <w:color w:val="auto"/>
                <w:szCs w:val="21"/>
              </w:rPr>
            </w:pPr>
          </w:p>
        </w:tc>
        <w:tc>
          <w:tcPr>
            <w:tcW w:w="850" w:type="dxa"/>
            <w:vAlign w:val="center"/>
          </w:tcPr>
          <w:p>
            <w:pPr>
              <w:rPr>
                <w:rFonts w:ascii="宋体" w:hAnsi="宋体"/>
                <w:color w:val="auto"/>
                <w:szCs w:val="21"/>
              </w:rPr>
            </w:pPr>
          </w:p>
        </w:tc>
        <w:tc>
          <w:tcPr>
            <w:tcW w:w="3119"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rPr>
            </w:pPr>
            <w:r>
              <w:rPr>
                <w:rFonts w:hint="eastAsia" w:ascii="宋体" w:hAnsi="宋体"/>
                <w:color w:val="auto"/>
                <w:szCs w:val="21"/>
              </w:rPr>
              <w:t>...</w:t>
            </w:r>
          </w:p>
        </w:tc>
        <w:tc>
          <w:tcPr>
            <w:tcW w:w="1527" w:type="dxa"/>
            <w:vAlign w:val="center"/>
          </w:tcPr>
          <w:p>
            <w:pPr>
              <w:rPr>
                <w:rFonts w:ascii="宋体" w:hAnsi="宋体"/>
                <w:color w:val="auto"/>
                <w:szCs w:val="21"/>
              </w:rPr>
            </w:pPr>
          </w:p>
        </w:tc>
        <w:tc>
          <w:tcPr>
            <w:tcW w:w="1875" w:type="dxa"/>
            <w:vAlign w:val="center"/>
          </w:tcPr>
          <w:p>
            <w:pPr>
              <w:rPr>
                <w:rFonts w:ascii="宋体" w:hAnsi="宋体"/>
                <w:color w:val="auto"/>
                <w:szCs w:val="21"/>
              </w:rPr>
            </w:pPr>
          </w:p>
        </w:tc>
        <w:tc>
          <w:tcPr>
            <w:tcW w:w="851" w:type="dxa"/>
            <w:vAlign w:val="center"/>
          </w:tcPr>
          <w:p>
            <w:pPr>
              <w:rPr>
                <w:rFonts w:ascii="宋体" w:hAnsi="宋体"/>
                <w:color w:val="auto"/>
                <w:szCs w:val="21"/>
              </w:rPr>
            </w:pPr>
          </w:p>
        </w:tc>
        <w:tc>
          <w:tcPr>
            <w:tcW w:w="850" w:type="dxa"/>
            <w:vAlign w:val="center"/>
          </w:tcPr>
          <w:p>
            <w:pPr>
              <w:rPr>
                <w:rFonts w:ascii="宋体" w:hAnsi="宋体"/>
                <w:color w:val="auto"/>
                <w:szCs w:val="21"/>
              </w:rPr>
            </w:pPr>
          </w:p>
        </w:tc>
        <w:tc>
          <w:tcPr>
            <w:tcW w:w="3119" w:type="dxa"/>
            <w:vAlign w:val="center"/>
          </w:tcPr>
          <w:p>
            <w:pPr>
              <w:rPr>
                <w:rFonts w:ascii="宋体" w:hAnsi="宋体"/>
                <w:color w:val="auto"/>
                <w:szCs w:val="21"/>
              </w:rPr>
            </w:pPr>
          </w:p>
        </w:tc>
      </w:tr>
    </w:tbl>
    <w:p>
      <w:pPr>
        <w:snapToGrid w:val="0"/>
        <w:spacing w:before="50" w:after="50" w:line="360" w:lineRule="auto"/>
        <w:ind w:left="-23" w:leftChars="-11" w:right="-57" w:rightChars="-27" w:firstLine="21" w:firstLineChars="10"/>
        <w:rPr>
          <w:rFonts w:ascii="宋体" w:hAnsi="宋体" w:cs="宋体"/>
          <w:color w:val="auto"/>
        </w:rPr>
      </w:pPr>
      <w:r>
        <w:rPr>
          <w:rFonts w:hint="eastAsia" w:ascii="宋体" w:hAnsi="宋体" w:cs="宋体"/>
          <w:color w:val="auto"/>
        </w:rPr>
        <w:t>注：</w:t>
      </w:r>
    </w:p>
    <w:p>
      <w:pPr>
        <w:snapToGrid w:val="0"/>
        <w:spacing w:before="50" w:after="50" w:line="360" w:lineRule="auto"/>
        <w:ind w:left="-23" w:leftChars="-11" w:right="-57" w:rightChars="-27" w:firstLine="21" w:firstLineChars="10"/>
        <w:rPr>
          <w:rFonts w:ascii="宋体" w:hAnsi="宋体" w:cs="宋体"/>
          <w:color w:val="auto"/>
        </w:rPr>
      </w:pPr>
      <w:r>
        <w:rPr>
          <w:rFonts w:hint="eastAsia" w:ascii="宋体" w:hAnsi="宋体" w:cs="宋体"/>
          <w:color w:val="auto"/>
        </w:rPr>
        <w:t>1.项目负责人应当列入本表并明确，否则在评审中不予认可，项目负责人仅限一名。</w:t>
      </w:r>
    </w:p>
    <w:p>
      <w:pPr>
        <w:snapToGrid w:val="0"/>
        <w:spacing w:before="50" w:after="50" w:line="360" w:lineRule="auto"/>
        <w:ind w:left="-23" w:leftChars="-11" w:right="-57" w:rightChars="-27" w:firstLine="21" w:firstLineChars="10"/>
        <w:rPr>
          <w:rFonts w:ascii="宋体" w:hAnsi="宋体" w:cs="宋体"/>
          <w:color w:val="auto"/>
        </w:rPr>
      </w:pPr>
      <w:r>
        <w:rPr>
          <w:rFonts w:hint="eastAsia" w:ascii="宋体" w:hAnsi="宋体" w:cs="宋体"/>
          <w:color w:val="auto"/>
        </w:rPr>
        <w:t>2.列入本表</w:t>
      </w:r>
      <w:r>
        <w:rPr>
          <w:rFonts w:hint="eastAsia" w:ascii="宋体" w:hAnsi="宋体"/>
          <w:color w:val="auto"/>
        </w:rPr>
        <w:t>的人员</w:t>
      </w:r>
      <w:r>
        <w:rPr>
          <w:rFonts w:hint="eastAsia" w:ascii="宋体" w:hAnsi="宋体" w:cs="宋体"/>
          <w:color w:val="auto"/>
        </w:rPr>
        <w:t>如要更换，需经采购人同意，擅自更换或不到位属于违约行为。</w:t>
      </w:r>
    </w:p>
    <w:p>
      <w:pPr>
        <w:spacing w:line="360" w:lineRule="auto"/>
        <w:ind w:left="924" w:hanging="924" w:hangingChars="440"/>
        <w:rPr>
          <w:rFonts w:ascii="宋体" w:hAnsi="宋体" w:cs="宋体"/>
          <w:color w:val="auto"/>
        </w:rPr>
      </w:pPr>
      <w:r>
        <w:rPr>
          <w:rFonts w:hint="eastAsia" w:ascii="宋体" w:hAnsi="宋体" w:cs="宋体"/>
          <w:color w:val="auto"/>
        </w:rPr>
        <w:t>3.学历、职称、执业资格等个人能力证明材料的复印件后附（如有）。</w:t>
      </w:r>
    </w:p>
    <w:p>
      <w:pPr>
        <w:spacing w:line="360" w:lineRule="auto"/>
        <w:ind w:left="924" w:hanging="924" w:hangingChars="440"/>
        <w:rPr>
          <w:rFonts w:ascii="宋体" w:hAnsi="宋体" w:cs="宋体"/>
          <w:color w:val="auto"/>
        </w:rPr>
      </w:pPr>
      <w:r>
        <w:rPr>
          <w:rFonts w:hint="eastAsia" w:ascii="宋体" w:hAnsi="宋体" w:cs="宋体"/>
          <w:color w:val="auto"/>
        </w:rPr>
        <w:t>4.投标文件内提供评分标准要求的证明材料，未提供佐证能力等的证书证件复印件的将不被认定。</w:t>
      </w:r>
    </w:p>
    <w:p>
      <w:pPr>
        <w:snapToGrid w:val="0"/>
        <w:spacing w:line="360" w:lineRule="auto"/>
        <w:rPr>
          <w:rFonts w:ascii="宋体" w:hAnsi="宋体"/>
          <w:color w:val="auto"/>
          <w:szCs w:val="21"/>
        </w:rPr>
      </w:pPr>
    </w:p>
    <w:p>
      <w:pPr>
        <w:pStyle w:val="20"/>
        <w:spacing w:line="360" w:lineRule="auto"/>
        <w:jc w:val="center"/>
        <w:rPr>
          <w:rFonts w:ascii="宋体" w:hAnsi="宋体"/>
          <w:color w:val="auto"/>
          <w:sz w:val="21"/>
          <w:szCs w:val="21"/>
        </w:rPr>
      </w:pPr>
    </w:p>
    <w:p>
      <w:pPr>
        <w:pStyle w:val="20"/>
        <w:spacing w:line="360" w:lineRule="auto"/>
        <w:ind w:left="0" w:leftChars="0"/>
        <w:jc w:val="center"/>
        <w:rPr>
          <w:rFonts w:ascii="宋体" w:hAnsi="宋体"/>
          <w:color w:val="auto"/>
          <w:szCs w:val="21"/>
        </w:rPr>
      </w:pPr>
      <w:r>
        <w:rPr>
          <w:rFonts w:ascii="宋体" w:hAnsi="宋体"/>
          <w:color w:val="auto"/>
          <w:szCs w:val="21"/>
        </w:rPr>
        <w:br w:type="page"/>
      </w:r>
      <w:r>
        <w:rPr>
          <w:rFonts w:hint="eastAsia" w:ascii="宋体" w:hAnsi="宋体" w:cs="宋体"/>
          <w:b/>
          <w:color w:val="auto"/>
          <w:sz w:val="21"/>
          <w:szCs w:val="21"/>
        </w:rPr>
        <w:t>（6）类似项目业绩一览表</w:t>
      </w:r>
    </w:p>
    <w:tbl>
      <w:tblPr>
        <w:tblStyle w:val="44"/>
        <w:tblW w:w="8969"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418"/>
        <w:gridCol w:w="3005"/>
        <w:gridCol w:w="1134"/>
        <w:gridCol w:w="26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rPr>
            </w:pPr>
            <w:r>
              <w:rPr>
                <w:rFonts w:hint="eastAsia" w:ascii="宋体" w:hAnsi="宋体"/>
                <w:bCs/>
                <w:color w:val="auto"/>
                <w:szCs w:val="21"/>
              </w:rPr>
              <w:t>序号</w:t>
            </w:r>
          </w:p>
        </w:tc>
        <w:tc>
          <w:tcPr>
            <w:tcW w:w="1418" w:type="dxa"/>
            <w:vAlign w:val="center"/>
          </w:tcPr>
          <w:p>
            <w:pPr>
              <w:spacing w:line="300" w:lineRule="exact"/>
              <w:jc w:val="center"/>
              <w:rPr>
                <w:rFonts w:ascii="宋体" w:hAnsi="宋体"/>
                <w:bCs/>
                <w:color w:val="auto"/>
                <w:szCs w:val="21"/>
              </w:rPr>
            </w:pPr>
            <w:r>
              <w:rPr>
                <w:rFonts w:hint="eastAsia" w:ascii="宋体" w:hAnsi="宋体"/>
                <w:bCs/>
                <w:color w:val="auto"/>
                <w:szCs w:val="21"/>
              </w:rPr>
              <w:t>项目名称</w:t>
            </w:r>
          </w:p>
        </w:tc>
        <w:tc>
          <w:tcPr>
            <w:tcW w:w="3005" w:type="dxa"/>
            <w:tcBorders>
              <w:right w:val="single" w:color="auto" w:sz="4" w:space="0"/>
            </w:tcBorders>
            <w:vAlign w:val="center"/>
          </w:tcPr>
          <w:p>
            <w:pPr>
              <w:spacing w:line="300" w:lineRule="exact"/>
              <w:jc w:val="center"/>
              <w:rPr>
                <w:rFonts w:ascii="宋体" w:hAnsi="宋体"/>
                <w:bCs/>
                <w:color w:val="auto"/>
                <w:szCs w:val="21"/>
              </w:rPr>
            </w:pPr>
            <w:r>
              <w:rPr>
                <w:rFonts w:hint="eastAsia" w:ascii="宋体" w:hAnsi="宋体"/>
                <w:bCs/>
                <w:color w:val="auto"/>
                <w:szCs w:val="21"/>
              </w:rPr>
              <w:t>合同内容范围（主要服务内容）</w:t>
            </w:r>
          </w:p>
        </w:tc>
        <w:tc>
          <w:tcPr>
            <w:tcW w:w="1134" w:type="dxa"/>
            <w:tcBorders>
              <w:left w:val="single" w:color="auto" w:sz="4" w:space="0"/>
            </w:tcBorders>
            <w:vAlign w:val="center"/>
          </w:tcPr>
          <w:p>
            <w:pPr>
              <w:spacing w:line="300" w:lineRule="exact"/>
              <w:jc w:val="center"/>
              <w:rPr>
                <w:rFonts w:ascii="宋体" w:hAnsi="宋体"/>
                <w:bCs/>
                <w:color w:val="auto"/>
                <w:szCs w:val="21"/>
              </w:rPr>
            </w:pPr>
            <w:r>
              <w:rPr>
                <w:rFonts w:hint="eastAsia" w:ascii="宋体" w:hAnsi="宋体"/>
                <w:bCs/>
                <w:color w:val="auto"/>
                <w:szCs w:val="21"/>
              </w:rPr>
              <w:t>合同金额（元）</w:t>
            </w:r>
          </w:p>
        </w:tc>
        <w:tc>
          <w:tcPr>
            <w:tcW w:w="2665" w:type="dxa"/>
            <w:tcBorders>
              <w:right w:val="single" w:color="auto" w:sz="4" w:space="0"/>
            </w:tcBorders>
            <w:vAlign w:val="center"/>
          </w:tcPr>
          <w:p>
            <w:pPr>
              <w:spacing w:line="300" w:lineRule="exact"/>
              <w:jc w:val="center"/>
              <w:rPr>
                <w:rFonts w:ascii="宋体" w:hAnsi="宋体"/>
                <w:bCs/>
                <w:color w:val="auto"/>
                <w:szCs w:val="21"/>
              </w:rPr>
            </w:pPr>
            <w:r>
              <w:rPr>
                <w:rFonts w:hint="eastAsia" w:ascii="宋体" w:hAnsi="宋体"/>
                <w:bCs/>
                <w:color w:val="auto"/>
                <w:szCs w:val="21"/>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rPr>
            </w:pPr>
            <w:r>
              <w:rPr>
                <w:rFonts w:hint="eastAsia" w:ascii="宋体" w:hAnsi="宋体"/>
                <w:bCs/>
                <w:color w:val="auto"/>
                <w:szCs w:val="21"/>
              </w:rPr>
              <w:t>1</w:t>
            </w:r>
          </w:p>
        </w:tc>
        <w:tc>
          <w:tcPr>
            <w:tcW w:w="1418" w:type="dxa"/>
            <w:vAlign w:val="center"/>
          </w:tcPr>
          <w:p>
            <w:pPr>
              <w:jc w:val="center"/>
              <w:rPr>
                <w:rFonts w:ascii="宋体" w:hAnsi="宋体"/>
                <w:color w:val="auto"/>
                <w:szCs w:val="21"/>
              </w:rPr>
            </w:pPr>
          </w:p>
        </w:tc>
        <w:tc>
          <w:tcPr>
            <w:tcW w:w="3005" w:type="dxa"/>
            <w:tcBorders>
              <w:right w:val="single" w:color="auto" w:sz="4" w:space="0"/>
            </w:tcBorders>
            <w:vAlign w:val="center"/>
          </w:tcPr>
          <w:p>
            <w:pPr>
              <w:jc w:val="center"/>
              <w:rPr>
                <w:rFonts w:ascii="宋体" w:hAnsi="宋体"/>
                <w:color w:val="auto"/>
                <w:szCs w:val="21"/>
              </w:rPr>
            </w:pPr>
          </w:p>
        </w:tc>
        <w:tc>
          <w:tcPr>
            <w:tcW w:w="1134" w:type="dxa"/>
            <w:tcBorders>
              <w:left w:val="single" w:color="auto" w:sz="4" w:space="0"/>
            </w:tcBorders>
            <w:vAlign w:val="center"/>
          </w:tcPr>
          <w:p>
            <w:pPr>
              <w:jc w:val="center"/>
              <w:rPr>
                <w:rFonts w:ascii="宋体" w:hAnsi="宋体"/>
                <w:color w:val="auto"/>
                <w:szCs w:val="21"/>
              </w:rPr>
            </w:pPr>
          </w:p>
        </w:tc>
        <w:tc>
          <w:tcPr>
            <w:tcW w:w="2665"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rPr>
            </w:pPr>
            <w:r>
              <w:rPr>
                <w:rFonts w:hint="eastAsia" w:ascii="宋体" w:hAnsi="宋体"/>
                <w:bCs/>
                <w:color w:val="auto"/>
                <w:szCs w:val="21"/>
              </w:rPr>
              <w:t>2</w:t>
            </w:r>
          </w:p>
        </w:tc>
        <w:tc>
          <w:tcPr>
            <w:tcW w:w="1418" w:type="dxa"/>
            <w:vAlign w:val="center"/>
          </w:tcPr>
          <w:p>
            <w:pPr>
              <w:jc w:val="center"/>
              <w:rPr>
                <w:rFonts w:ascii="宋体" w:hAnsi="宋体"/>
                <w:color w:val="auto"/>
                <w:szCs w:val="21"/>
              </w:rPr>
            </w:pPr>
          </w:p>
        </w:tc>
        <w:tc>
          <w:tcPr>
            <w:tcW w:w="3005" w:type="dxa"/>
            <w:tcBorders>
              <w:right w:val="single" w:color="auto" w:sz="4" w:space="0"/>
            </w:tcBorders>
            <w:vAlign w:val="center"/>
          </w:tcPr>
          <w:p>
            <w:pPr>
              <w:jc w:val="center"/>
              <w:rPr>
                <w:rFonts w:ascii="宋体" w:hAnsi="宋体"/>
                <w:color w:val="auto"/>
                <w:szCs w:val="21"/>
              </w:rPr>
            </w:pPr>
          </w:p>
        </w:tc>
        <w:tc>
          <w:tcPr>
            <w:tcW w:w="1134" w:type="dxa"/>
            <w:tcBorders>
              <w:left w:val="single" w:color="auto" w:sz="4" w:space="0"/>
            </w:tcBorders>
            <w:vAlign w:val="center"/>
          </w:tcPr>
          <w:p>
            <w:pPr>
              <w:jc w:val="center"/>
              <w:rPr>
                <w:rFonts w:ascii="宋体" w:hAnsi="宋体"/>
                <w:color w:val="auto"/>
                <w:szCs w:val="21"/>
              </w:rPr>
            </w:pPr>
          </w:p>
        </w:tc>
        <w:tc>
          <w:tcPr>
            <w:tcW w:w="2665"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rPr>
            </w:pPr>
            <w:r>
              <w:rPr>
                <w:rFonts w:hint="eastAsia" w:ascii="宋体" w:hAnsi="宋体"/>
                <w:bCs/>
                <w:color w:val="auto"/>
                <w:szCs w:val="21"/>
              </w:rPr>
              <w:t>3</w:t>
            </w:r>
          </w:p>
        </w:tc>
        <w:tc>
          <w:tcPr>
            <w:tcW w:w="1418" w:type="dxa"/>
            <w:vAlign w:val="center"/>
          </w:tcPr>
          <w:p>
            <w:pPr>
              <w:jc w:val="center"/>
              <w:rPr>
                <w:rFonts w:ascii="宋体" w:hAnsi="宋体"/>
                <w:color w:val="auto"/>
                <w:szCs w:val="21"/>
              </w:rPr>
            </w:pPr>
          </w:p>
        </w:tc>
        <w:tc>
          <w:tcPr>
            <w:tcW w:w="3005" w:type="dxa"/>
            <w:tcBorders>
              <w:right w:val="single" w:color="auto" w:sz="4" w:space="0"/>
            </w:tcBorders>
            <w:vAlign w:val="center"/>
          </w:tcPr>
          <w:p>
            <w:pPr>
              <w:jc w:val="center"/>
              <w:rPr>
                <w:rFonts w:ascii="宋体" w:hAnsi="宋体"/>
                <w:color w:val="auto"/>
                <w:szCs w:val="21"/>
              </w:rPr>
            </w:pPr>
          </w:p>
        </w:tc>
        <w:tc>
          <w:tcPr>
            <w:tcW w:w="1134" w:type="dxa"/>
            <w:tcBorders>
              <w:left w:val="single" w:color="auto" w:sz="4" w:space="0"/>
            </w:tcBorders>
            <w:vAlign w:val="center"/>
          </w:tcPr>
          <w:p>
            <w:pPr>
              <w:jc w:val="center"/>
              <w:rPr>
                <w:rFonts w:ascii="宋体" w:hAnsi="宋体"/>
                <w:color w:val="auto"/>
                <w:szCs w:val="21"/>
              </w:rPr>
            </w:pPr>
          </w:p>
        </w:tc>
        <w:tc>
          <w:tcPr>
            <w:tcW w:w="2665"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rPr>
            </w:pPr>
            <w:r>
              <w:rPr>
                <w:rFonts w:hint="eastAsia" w:ascii="宋体" w:hAnsi="宋体"/>
                <w:bCs/>
                <w:color w:val="auto"/>
                <w:szCs w:val="21"/>
              </w:rPr>
              <w:t>4</w:t>
            </w:r>
          </w:p>
        </w:tc>
        <w:tc>
          <w:tcPr>
            <w:tcW w:w="1418" w:type="dxa"/>
            <w:vAlign w:val="center"/>
          </w:tcPr>
          <w:p>
            <w:pPr>
              <w:jc w:val="center"/>
              <w:rPr>
                <w:rFonts w:ascii="宋体" w:hAnsi="宋体"/>
                <w:color w:val="auto"/>
                <w:szCs w:val="21"/>
              </w:rPr>
            </w:pPr>
          </w:p>
        </w:tc>
        <w:tc>
          <w:tcPr>
            <w:tcW w:w="3005" w:type="dxa"/>
            <w:tcBorders>
              <w:right w:val="single" w:color="auto" w:sz="4" w:space="0"/>
            </w:tcBorders>
            <w:vAlign w:val="center"/>
          </w:tcPr>
          <w:p>
            <w:pPr>
              <w:jc w:val="center"/>
              <w:rPr>
                <w:rFonts w:ascii="宋体" w:hAnsi="宋体"/>
                <w:color w:val="auto"/>
                <w:szCs w:val="21"/>
              </w:rPr>
            </w:pPr>
          </w:p>
        </w:tc>
        <w:tc>
          <w:tcPr>
            <w:tcW w:w="1134" w:type="dxa"/>
            <w:tcBorders>
              <w:left w:val="single" w:color="auto" w:sz="4" w:space="0"/>
            </w:tcBorders>
            <w:vAlign w:val="center"/>
          </w:tcPr>
          <w:p>
            <w:pPr>
              <w:jc w:val="center"/>
              <w:rPr>
                <w:rFonts w:ascii="宋体" w:hAnsi="宋体"/>
                <w:color w:val="auto"/>
                <w:szCs w:val="21"/>
              </w:rPr>
            </w:pPr>
          </w:p>
        </w:tc>
        <w:tc>
          <w:tcPr>
            <w:tcW w:w="2665"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rPr>
            </w:pPr>
            <w:r>
              <w:rPr>
                <w:rFonts w:hint="eastAsia" w:ascii="宋体" w:hAnsi="宋体"/>
                <w:bCs/>
                <w:color w:val="auto"/>
                <w:szCs w:val="21"/>
              </w:rPr>
              <w:t>5</w:t>
            </w:r>
          </w:p>
        </w:tc>
        <w:tc>
          <w:tcPr>
            <w:tcW w:w="1418" w:type="dxa"/>
            <w:vAlign w:val="center"/>
          </w:tcPr>
          <w:p>
            <w:pPr>
              <w:jc w:val="center"/>
              <w:rPr>
                <w:rFonts w:ascii="宋体" w:hAnsi="宋体"/>
                <w:color w:val="auto"/>
                <w:szCs w:val="21"/>
              </w:rPr>
            </w:pPr>
          </w:p>
        </w:tc>
        <w:tc>
          <w:tcPr>
            <w:tcW w:w="3005" w:type="dxa"/>
            <w:tcBorders>
              <w:right w:val="single" w:color="auto" w:sz="4" w:space="0"/>
            </w:tcBorders>
            <w:vAlign w:val="center"/>
          </w:tcPr>
          <w:p>
            <w:pPr>
              <w:jc w:val="center"/>
              <w:rPr>
                <w:rFonts w:ascii="宋体" w:hAnsi="宋体"/>
                <w:color w:val="auto"/>
                <w:szCs w:val="21"/>
              </w:rPr>
            </w:pPr>
          </w:p>
        </w:tc>
        <w:tc>
          <w:tcPr>
            <w:tcW w:w="1134" w:type="dxa"/>
            <w:tcBorders>
              <w:left w:val="single" w:color="auto" w:sz="4" w:space="0"/>
            </w:tcBorders>
            <w:vAlign w:val="center"/>
          </w:tcPr>
          <w:p>
            <w:pPr>
              <w:jc w:val="center"/>
              <w:rPr>
                <w:rFonts w:ascii="宋体" w:hAnsi="宋体"/>
                <w:color w:val="auto"/>
                <w:szCs w:val="21"/>
              </w:rPr>
            </w:pPr>
          </w:p>
        </w:tc>
        <w:tc>
          <w:tcPr>
            <w:tcW w:w="2665"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rPr>
            </w:pPr>
            <w:r>
              <w:rPr>
                <w:rFonts w:hint="eastAsia" w:ascii="宋体" w:hAnsi="宋体"/>
                <w:bCs/>
                <w:color w:val="auto"/>
                <w:szCs w:val="21"/>
              </w:rPr>
              <w:t>...</w:t>
            </w:r>
          </w:p>
        </w:tc>
        <w:tc>
          <w:tcPr>
            <w:tcW w:w="1418" w:type="dxa"/>
            <w:vAlign w:val="center"/>
          </w:tcPr>
          <w:p>
            <w:pPr>
              <w:jc w:val="center"/>
              <w:rPr>
                <w:rFonts w:ascii="宋体" w:hAnsi="宋体"/>
                <w:color w:val="auto"/>
                <w:szCs w:val="21"/>
              </w:rPr>
            </w:pPr>
          </w:p>
        </w:tc>
        <w:tc>
          <w:tcPr>
            <w:tcW w:w="3005" w:type="dxa"/>
            <w:tcBorders>
              <w:right w:val="single" w:color="auto" w:sz="4" w:space="0"/>
            </w:tcBorders>
            <w:vAlign w:val="center"/>
          </w:tcPr>
          <w:p>
            <w:pPr>
              <w:jc w:val="center"/>
              <w:rPr>
                <w:rFonts w:ascii="宋体" w:hAnsi="宋体"/>
                <w:color w:val="auto"/>
                <w:szCs w:val="21"/>
              </w:rPr>
            </w:pPr>
          </w:p>
        </w:tc>
        <w:tc>
          <w:tcPr>
            <w:tcW w:w="1134" w:type="dxa"/>
            <w:tcBorders>
              <w:left w:val="single" w:color="auto" w:sz="4" w:space="0"/>
            </w:tcBorders>
            <w:vAlign w:val="center"/>
          </w:tcPr>
          <w:p>
            <w:pPr>
              <w:jc w:val="center"/>
              <w:rPr>
                <w:rFonts w:ascii="宋体" w:hAnsi="宋体"/>
                <w:color w:val="auto"/>
                <w:szCs w:val="21"/>
              </w:rPr>
            </w:pPr>
          </w:p>
        </w:tc>
        <w:tc>
          <w:tcPr>
            <w:tcW w:w="2665" w:type="dxa"/>
            <w:tcBorders>
              <w:right w:val="single" w:color="auto" w:sz="4" w:space="0"/>
            </w:tcBorders>
            <w:vAlign w:val="center"/>
          </w:tcPr>
          <w:p>
            <w:pPr>
              <w:jc w:val="center"/>
              <w:rPr>
                <w:rFonts w:ascii="宋体" w:hAnsi="宋体"/>
                <w:color w:val="auto"/>
                <w:szCs w:val="21"/>
              </w:rPr>
            </w:pPr>
          </w:p>
        </w:tc>
      </w:tr>
    </w:tbl>
    <w:p>
      <w:pPr>
        <w:spacing w:line="360" w:lineRule="auto"/>
        <w:ind w:left="924" w:hanging="924" w:hangingChars="440"/>
        <w:rPr>
          <w:rFonts w:ascii="宋体" w:hAnsi="宋体" w:cs="宋体"/>
          <w:color w:val="auto"/>
        </w:rPr>
      </w:pPr>
      <w:r>
        <w:rPr>
          <w:rFonts w:hint="eastAsia" w:ascii="宋体" w:hAnsi="宋体" w:cs="宋体"/>
          <w:bCs/>
          <w:color w:val="auto"/>
          <w:szCs w:val="21"/>
        </w:rPr>
        <w:t>注：根据评委打分表的要求提供证明材料</w:t>
      </w:r>
      <w:r>
        <w:rPr>
          <w:rFonts w:hint="eastAsia" w:ascii="宋体" w:hAnsi="宋体"/>
          <w:color w:val="auto"/>
          <w:szCs w:val="21"/>
        </w:rPr>
        <w:t>。</w:t>
      </w:r>
    </w:p>
    <w:p>
      <w:pPr>
        <w:snapToGrid w:val="0"/>
        <w:spacing w:before="50" w:after="50" w:line="360" w:lineRule="auto"/>
        <w:ind w:left="-23" w:leftChars="-11" w:right="27" w:rightChars="13" w:firstLine="21" w:firstLineChars="10"/>
        <w:rPr>
          <w:rFonts w:ascii="宋体" w:hAnsi="宋体" w:cs="宋体"/>
          <w:bCs/>
          <w:color w:val="auto"/>
          <w:szCs w:val="21"/>
        </w:rPr>
      </w:pPr>
    </w:p>
    <w:p>
      <w:pPr>
        <w:widowControl/>
        <w:jc w:val="left"/>
        <w:rPr>
          <w:rFonts w:ascii="宋体" w:hAnsi="宋体" w:cs="宋体"/>
          <w:color w:val="auto"/>
          <w:szCs w:val="21"/>
        </w:rPr>
      </w:pPr>
      <w:r>
        <w:rPr>
          <w:rFonts w:ascii="宋体" w:hAnsi="宋体" w:cs="宋体"/>
          <w:color w:val="auto"/>
          <w:szCs w:val="21"/>
        </w:rPr>
        <w:br w:type="page"/>
      </w:r>
    </w:p>
    <w:p>
      <w:pPr>
        <w:snapToGrid w:val="0"/>
        <w:spacing w:line="360" w:lineRule="auto"/>
        <w:ind w:left="-23" w:leftChars="-11" w:right="-214" w:rightChars="-102" w:firstLine="21" w:firstLineChars="10"/>
        <w:jc w:val="left"/>
        <w:rPr>
          <w:rFonts w:ascii="宋体" w:hAnsi="宋体"/>
          <w:b/>
          <w:color w:val="auto"/>
        </w:rPr>
      </w:pPr>
      <w:r>
        <w:rPr>
          <w:rFonts w:hint="eastAsia" w:ascii="宋体" w:hAnsi="宋体"/>
          <w:b/>
          <w:color w:val="auto"/>
        </w:rPr>
        <w:t>3.报价要求响应文件的有关格式</w:t>
      </w:r>
    </w:p>
    <w:p>
      <w:pPr>
        <w:pStyle w:val="20"/>
        <w:spacing w:line="360" w:lineRule="auto"/>
        <w:ind w:left="0" w:leftChars="0"/>
        <w:jc w:val="center"/>
        <w:rPr>
          <w:rFonts w:ascii="宋体" w:hAnsi="宋体"/>
          <w:color w:val="auto"/>
          <w:kern w:val="1"/>
          <w:szCs w:val="21"/>
        </w:rPr>
      </w:pPr>
      <w:r>
        <w:rPr>
          <w:rFonts w:hint="eastAsia" w:ascii="宋体" w:hAnsi="宋体" w:cs="宋体"/>
          <w:b/>
          <w:color w:val="auto"/>
          <w:sz w:val="21"/>
          <w:szCs w:val="21"/>
        </w:rPr>
        <w:t>（1）开标一览表</w:t>
      </w:r>
    </w:p>
    <w:tbl>
      <w:tblPr>
        <w:tblStyle w:val="4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268"/>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20"/>
              <w:spacing w:after="0"/>
              <w:ind w:left="457" w:leftChars="0" w:hanging="457" w:hangingChars="218"/>
              <w:jc w:val="center"/>
              <w:rPr>
                <w:rFonts w:ascii="宋体" w:hAnsi="宋体"/>
                <w:color w:val="auto"/>
                <w:kern w:val="2"/>
                <w:sz w:val="21"/>
                <w:szCs w:val="21"/>
              </w:rPr>
            </w:pPr>
            <w:r>
              <w:rPr>
                <w:rFonts w:ascii="宋体" w:hAnsi="宋体"/>
                <w:color w:val="auto"/>
                <w:kern w:val="2"/>
                <w:sz w:val="21"/>
                <w:szCs w:val="21"/>
              </w:rPr>
              <w:t>项目名称</w:t>
            </w:r>
          </w:p>
        </w:tc>
        <w:tc>
          <w:tcPr>
            <w:tcW w:w="6975" w:type="dxa"/>
            <w:gridSpan w:val="2"/>
            <w:tcBorders>
              <w:top w:val="single" w:color="auto" w:sz="4" w:space="0"/>
              <w:left w:val="single" w:color="auto" w:sz="4" w:space="0"/>
              <w:bottom w:val="single" w:color="auto" w:sz="4" w:space="0"/>
              <w:right w:val="single" w:color="auto" w:sz="4" w:space="0"/>
            </w:tcBorders>
            <w:vAlign w:val="center"/>
          </w:tcPr>
          <w:p>
            <w:pPr>
              <w:pStyle w:val="20"/>
              <w:spacing w:after="0"/>
              <w:ind w:left="36" w:leftChars="17"/>
              <w:jc w:val="center"/>
              <w:rPr>
                <w:rFonts w:ascii="宋体" w:hAnsi="宋体"/>
                <w:color w:val="auto"/>
                <w:kern w:val="2"/>
                <w:sz w:val="21"/>
                <w:szCs w:val="21"/>
              </w:rPr>
            </w:pPr>
            <w:r>
              <w:rPr>
                <w:rFonts w:hint="eastAsia" w:ascii="宋体" w:hAnsi="宋体"/>
                <w:color w:val="auto"/>
                <w:kern w:val="2"/>
                <w:sz w:val="21"/>
                <w:szCs w:val="21"/>
              </w:rPr>
              <w:t>全国会计专业技术资格无纸化考试宁波考区考务服务项目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809"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color w:val="auto"/>
                <w:sz w:val="21"/>
                <w:szCs w:val="21"/>
              </w:rPr>
            </w:pPr>
            <w:r>
              <w:rPr>
                <w:rFonts w:hint="eastAsia" w:ascii="宋体" w:hAnsi="宋体"/>
                <w:color w:val="auto"/>
                <w:kern w:val="2"/>
                <w:sz w:val="21"/>
                <w:szCs w:val="21"/>
              </w:rPr>
              <w:t>项目编号</w:t>
            </w:r>
          </w:p>
        </w:tc>
        <w:tc>
          <w:tcPr>
            <w:tcW w:w="6975" w:type="dxa"/>
            <w:gridSpan w:val="2"/>
            <w:tcBorders>
              <w:top w:val="single" w:color="auto" w:sz="4" w:space="0"/>
              <w:left w:val="single" w:color="auto" w:sz="4" w:space="0"/>
              <w:right w:val="single" w:color="auto" w:sz="4" w:space="0"/>
            </w:tcBorders>
            <w:vAlign w:val="center"/>
          </w:tcPr>
          <w:p>
            <w:pPr>
              <w:pStyle w:val="20"/>
              <w:spacing w:after="0"/>
              <w:ind w:left="36" w:leftChars="17"/>
              <w:jc w:val="center"/>
              <w:rPr>
                <w:rFonts w:ascii="宋体" w:hAnsi="宋体"/>
                <w:color w:val="auto"/>
                <w:kern w:val="2"/>
                <w:sz w:val="21"/>
                <w:szCs w:val="21"/>
              </w:rPr>
            </w:pPr>
            <w:r>
              <w:rPr>
                <w:rFonts w:ascii="宋体" w:hAnsi="宋体"/>
                <w:color w:val="auto"/>
                <w:kern w:val="2"/>
                <w:sz w:val="21"/>
                <w:szCs w:val="21"/>
              </w:rPr>
              <w:t>NBMC-20242037G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09" w:type="dxa"/>
            <w:vMerge w:val="restart"/>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color w:val="auto"/>
                <w:sz w:val="21"/>
                <w:szCs w:val="21"/>
              </w:rPr>
            </w:pPr>
            <w:r>
              <w:rPr>
                <w:rFonts w:hint="eastAsia" w:ascii="宋体" w:hAnsi="宋体"/>
                <w:color w:val="auto"/>
                <w:kern w:val="2"/>
                <w:sz w:val="21"/>
                <w:szCs w:val="21"/>
              </w:rPr>
              <w:t>投标报价（元）</w:t>
            </w:r>
          </w:p>
        </w:tc>
        <w:tc>
          <w:tcPr>
            <w:tcW w:w="2268" w:type="dxa"/>
            <w:tcBorders>
              <w:top w:val="single" w:color="auto" w:sz="4" w:space="0"/>
              <w:left w:val="single" w:color="auto" w:sz="4" w:space="0"/>
              <w:bottom w:val="single" w:color="auto" w:sz="4" w:space="0"/>
              <w:right w:val="single" w:color="auto" w:sz="4" w:space="0"/>
            </w:tcBorders>
            <w:vAlign w:val="center"/>
          </w:tcPr>
          <w:p>
            <w:pPr>
              <w:pStyle w:val="20"/>
              <w:spacing w:after="0"/>
              <w:ind w:left="457" w:leftChars="0" w:hanging="457" w:hangingChars="218"/>
              <w:jc w:val="left"/>
              <w:rPr>
                <w:rFonts w:ascii="宋体" w:hAnsi="宋体"/>
                <w:color w:val="auto"/>
                <w:kern w:val="2"/>
                <w:sz w:val="21"/>
                <w:szCs w:val="21"/>
              </w:rPr>
            </w:pPr>
            <w:r>
              <w:rPr>
                <w:rFonts w:hint="eastAsia" w:ascii="宋体" w:hAnsi="宋体"/>
                <w:color w:val="auto"/>
                <w:kern w:val="2"/>
                <w:sz w:val="21"/>
                <w:szCs w:val="21"/>
              </w:rPr>
              <w:t>初级每报名科次</w:t>
            </w:r>
          </w:p>
        </w:tc>
        <w:tc>
          <w:tcPr>
            <w:tcW w:w="4707" w:type="dxa"/>
            <w:tcBorders>
              <w:top w:val="single" w:color="auto" w:sz="4" w:space="0"/>
              <w:left w:val="single" w:color="auto" w:sz="4" w:space="0"/>
              <w:bottom w:val="single" w:color="auto" w:sz="4" w:space="0"/>
              <w:right w:val="single" w:color="auto" w:sz="4" w:space="0"/>
            </w:tcBorders>
            <w:vAlign w:val="center"/>
          </w:tcPr>
          <w:p>
            <w:pPr>
              <w:pStyle w:val="20"/>
              <w:spacing w:after="0"/>
              <w:ind w:left="457" w:leftChars="0" w:hanging="457" w:hangingChars="218"/>
              <w:jc w:val="left"/>
              <w:rPr>
                <w:rFonts w:ascii="宋体" w:hAnsi="宋体"/>
                <w:color w:val="auto"/>
                <w:kern w:val="2"/>
                <w:sz w:val="21"/>
                <w:szCs w:val="21"/>
              </w:rPr>
            </w:pPr>
            <w:r>
              <w:rPr>
                <w:rFonts w:hint="eastAsia" w:ascii="宋体" w:hAnsi="宋体"/>
                <w:color w:val="auto"/>
                <w:kern w:val="2"/>
                <w:sz w:val="21"/>
                <w:szCs w:val="21"/>
              </w:rPr>
              <w:t>小写：</w:t>
            </w:r>
          </w:p>
          <w:p>
            <w:pPr>
              <w:pStyle w:val="20"/>
              <w:spacing w:before="120" w:beforeLines="50" w:after="0"/>
              <w:ind w:left="457" w:leftChars="0" w:hanging="457" w:hangingChars="218"/>
              <w:jc w:val="left"/>
              <w:rPr>
                <w:rFonts w:ascii="宋体" w:hAnsi="宋体"/>
                <w:color w:val="auto"/>
                <w:kern w:val="2"/>
                <w:sz w:val="21"/>
                <w:szCs w:val="21"/>
              </w:rPr>
            </w:pPr>
            <w:r>
              <w:rPr>
                <w:rFonts w:hint="eastAsia" w:ascii="宋体" w:hAnsi="宋体"/>
                <w:color w:val="auto"/>
                <w:kern w:val="2"/>
                <w:sz w:val="21"/>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09" w:type="dxa"/>
            <w:vMerge w:val="continue"/>
            <w:tcBorders>
              <w:left w:val="single" w:color="auto" w:sz="4" w:space="0"/>
              <w:right w:val="single" w:color="auto" w:sz="4" w:space="0"/>
            </w:tcBorders>
            <w:vAlign w:val="center"/>
          </w:tcPr>
          <w:p>
            <w:pPr>
              <w:pStyle w:val="20"/>
              <w:spacing w:after="0"/>
              <w:ind w:left="457" w:leftChars="0" w:hanging="457" w:hangingChars="218"/>
              <w:jc w:val="center"/>
              <w:rPr>
                <w:rFonts w:ascii="宋体" w:hAnsi="宋体"/>
                <w:color w:val="auto"/>
                <w:kern w:val="2"/>
                <w:sz w:val="21"/>
                <w:szCs w:val="21"/>
              </w:rPr>
            </w:pPr>
          </w:p>
        </w:tc>
        <w:tc>
          <w:tcPr>
            <w:tcW w:w="2268" w:type="dxa"/>
            <w:tcBorders>
              <w:top w:val="single" w:color="auto" w:sz="4" w:space="0"/>
              <w:left w:val="single" w:color="auto" w:sz="4" w:space="0"/>
              <w:right w:val="single" w:color="auto" w:sz="4" w:space="0"/>
            </w:tcBorders>
            <w:vAlign w:val="center"/>
          </w:tcPr>
          <w:p>
            <w:pPr>
              <w:pStyle w:val="20"/>
              <w:spacing w:after="0"/>
              <w:ind w:left="0" w:leftChars="0"/>
              <w:jc w:val="left"/>
              <w:rPr>
                <w:rFonts w:ascii="宋体" w:hAnsi="宋体"/>
                <w:color w:val="auto"/>
                <w:kern w:val="2"/>
                <w:sz w:val="21"/>
                <w:szCs w:val="21"/>
              </w:rPr>
            </w:pPr>
            <w:r>
              <w:rPr>
                <w:rFonts w:hint="eastAsia" w:ascii="宋体" w:hAnsi="宋体"/>
                <w:color w:val="auto"/>
                <w:kern w:val="2"/>
                <w:sz w:val="21"/>
                <w:szCs w:val="21"/>
              </w:rPr>
              <w:t>中级、高级每报名科次</w:t>
            </w:r>
          </w:p>
        </w:tc>
        <w:tc>
          <w:tcPr>
            <w:tcW w:w="4707"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left"/>
              <w:rPr>
                <w:rFonts w:ascii="宋体" w:hAnsi="宋体"/>
                <w:color w:val="auto"/>
                <w:kern w:val="2"/>
                <w:sz w:val="21"/>
                <w:szCs w:val="21"/>
              </w:rPr>
            </w:pPr>
            <w:r>
              <w:rPr>
                <w:rFonts w:hint="eastAsia" w:ascii="宋体" w:hAnsi="宋体"/>
                <w:color w:val="auto"/>
                <w:kern w:val="2"/>
                <w:sz w:val="21"/>
                <w:szCs w:val="21"/>
              </w:rPr>
              <w:t>小写：</w:t>
            </w:r>
          </w:p>
          <w:p>
            <w:pPr>
              <w:pStyle w:val="20"/>
              <w:spacing w:before="120" w:beforeLines="50" w:after="0"/>
              <w:ind w:left="457" w:leftChars="0" w:hanging="457" w:hangingChars="218"/>
              <w:jc w:val="left"/>
              <w:rPr>
                <w:rFonts w:ascii="宋体" w:hAnsi="宋体"/>
                <w:color w:val="auto"/>
                <w:kern w:val="2"/>
                <w:sz w:val="21"/>
                <w:szCs w:val="21"/>
              </w:rPr>
            </w:pPr>
            <w:r>
              <w:rPr>
                <w:rFonts w:hint="eastAsia" w:ascii="宋体" w:hAnsi="宋体"/>
                <w:color w:val="auto"/>
                <w:kern w:val="2"/>
                <w:sz w:val="21"/>
                <w:szCs w:val="21"/>
              </w:rPr>
              <w:t>大写：</w:t>
            </w:r>
          </w:p>
        </w:tc>
      </w:tr>
    </w:tbl>
    <w:p>
      <w:pPr>
        <w:snapToGrid w:val="0"/>
        <w:spacing w:before="50" w:after="50" w:line="360" w:lineRule="auto"/>
        <w:ind w:left="-23" w:leftChars="-11" w:right="27" w:rightChars="13" w:firstLine="21" w:firstLineChars="10"/>
        <w:rPr>
          <w:rFonts w:ascii="宋体" w:hAnsi="宋体" w:cs="宋体"/>
          <w:bCs/>
          <w:color w:val="auto"/>
          <w:szCs w:val="21"/>
        </w:rPr>
      </w:pPr>
      <w:r>
        <w:rPr>
          <w:rFonts w:hint="eastAsia" w:ascii="宋体" w:hAnsi="宋体" w:cs="宋体"/>
          <w:bCs/>
          <w:color w:val="auto"/>
          <w:szCs w:val="21"/>
        </w:rPr>
        <w:t>注</w:t>
      </w:r>
      <w:r>
        <w:rPr>
          <w:rFonts w:ascii="宋体" w:hAnsi="宋体" w:cs="宋体"/>
          <w:bCs/>
          <w:color w:val="auto"/>
          <w:szCs w:val="21"/>
        </w:rPr>
        <w:t>：</w:t>
      </w:r>
    </w:p>
    <w:p>
      <w:pPr>
        <w:snapToGrid w:val="0"/>
        <w:spacing w:before="50" w:after="50" w:line="360" w:lineRule="auto"/>
        <w:ind w:left="-23" w:leftChars="-11" w:right="27" w:rightChars="13" w:firstLine="21" w:firstLineChars="10"/>
        <w:rPr>
          <w:rFonts w:ascii="宋体" w:hAnsi="宋体" w:cs="宋体"/>
          <w:bCs/>
          <w:color w:val="auto"/>
          <w:szCs w:val="21"/>
        </w:rPr>
      </w:pPr>
      <w:r>
        <w:rPr>
          <w:rFonts w:hint="eastAsia" w:ascii="宋体" w:hAnsi="宋体" w:cs="宋体"/>
          <w:bCs/>
          <w:color w:val="auto"/>
          <w:szCs w:val="21"/>
        </w:rPr>
        <w:t>1</w:t>
      </w:r>
      <w:r>
        <w:rPr>
          <w:rFonts w:ascii="宋体" w:hAnsi="宋体" w:cs="宋体"/>
          <w:bCs/>
          <w:color w:val="auto"/>
          <w:szCs w:val="21"/>
        </w:rPr>
        <w:t>.</w:t>
      </w:r>
      <w:r>
        <w:rPr>
          <w:rFonts w:hint="eastAsia" w:ascii="宋体" w:hAnsi="宋体" w:cs="宋体"/>
          <w:bCs/>
          <w:color w:val="auto"/>
          <w:szCs w:val="21"/>
        </w:rPr>
        <w:t>报价一经涂改，应在涂改处加盖单位公章或由法定代表人或其授权代表签字，否则评标委员会将不接受该修改内容。</w:t>
      </w:r>
    </w:p>
    <w:p>
      <w:pPr>
        <w:snapToGrid w:val="0"/>
        <w:spacing w:before="50" w:after="50" w:line="360" w:lineRule="auto"/>
        <w:ind w:left="-23" w:leftChars="-11" w:right="27" w:rightChars="13" w:firstLine="21" w:firstLineChars="10"/>
        <w:rPr>
          <w:rFonts w:ascii="宋体" w:hAnsi="宋体"/>
          <w:color w:val="auto"/>
        </w:rPr>
      </w:pPr>
      <w:r>
        <w:rPr>
          <w:rFonts w:hint="eastAsia" w:ascii="宋体" w:hAnsi="宋体" w:cs="宋体"/>
          <w:bCs/>
          <w:color w:val="auto"/>
          <w:szCs w:val="21"/>
        </w:rPr>
        <w:t>2</w:t>
      </w:r>
      <w:r>
        <w:rPr>
          <w:rFonts w:ascii="宋体" w:hAnsi="宋体" w:cs="宋体"/>
          <w:bCs/>
          <w:color w:val="auto"/>
          <w:szCs w:val="21"/>
        </w:rPr>
        <w:t>.</w:t>
      </w:r>
      <w:r>
        <w:rPr>
          <w:rFonts w:hint="eastAsia" w:ascii="宋体" w:hAnsi="宋体" w:cs="宋体"/>
          <w:bCs/>
          <w:color w:val="auto"/>
          <w:szCs w:val="21"/>
        </w:rPr>
        <w:t>评标委员会认为投标人的报价明显低于其他通过符合性审查投标人的报价，有可能影响产品质量或者不能诚信履约的，评标</w:t>
      </w:r>
      <w:r>
        <w:rPr>
          <w:rFonts w:hint="eastAsia" w:ascii="宋体" w:hAnsi="宋体"/>
          <w:color w:val="auto"/>
        </w:rPr>
        <w:t>委员会有权要求其在评审现场合理的时间内提供书面说明，必要时提交相关证明材料。投标人不能证明报价合理性的，评标委员会有权将其作为无效投标处理。为此，</w:t>
      </w:r>
      <w:r>
        <w:rPr>
          <w:rFonts w:hint="eastAsia" w:ascii="宋体" w:hAnsi="宋体" w:cs="宋体"/>
          <w:bCs/>
          <w:color w:val="auto"/>
          <w:szCs w:val="21"/>
        </w:rPr>
        <w:t>请投标人在投标前提前充分测算完成本项目所需的费用成本情况</w:t>
      </w:r>
      <w:r>
        <w:rPr>
          <w:rFonts w:hint="eastAsia" w:ascii="宋体" w:hAnsi="宋体"/>
          <w:color w:val="auto"/>
        </w:rPr>
        <w:t>，评审现场给予提供说明及证明材料的时间不超过35分钟，如投标人在评审现场以时间不足等各种理由推脱或在规定的时间内提供的说明及材料不能充分证明其报价合理性或拒绝提交说明及材料而被认定为无效投标的后果均由投标人自行承担。</w:t>
      </w:r>
    </w:p>
    <w:p>
      <w:pPr>
        <w:spacing w:line="360" w:lineRule="auto"/>
        <w:ind w:firstLine="422" w:firstLineChars="200"/>
        <w:rPr>
          <w:rFonts w:ascii="宋体" w:hAnsi="宋体" w:cs="宋体"/>
          <w:b/>
          <w:color w:val="auto"/>
          <w:szCs w:val="21"/>
        </w:rPr>
      </w:pPr>
    </w:p>
    <w:p>
      <w:pPr>
        <w:spacing w:line="360" w:lineRule="auto"/>
        <w:ind w:firstLine="420" w:firstLineChars="200"/>
        <w:rPr>
          <w:rFonts w:ascii="宋体" w:hAnsi="宋体" w:cs="宋体"/>
          <w:color w:val="auto"/>
          <w:szCs w:val="21"/>
        </w:rPr>
      </w:pPr>
    </w:p>
    <w:p>
      <w:pPr>
        <w:snapToGrid w:val="0"/>
        <w:spacing w:line="360" w:lineRule="auto"/>
        <w:ind w:firstLine="3685" w:firstLineChars="1755"/>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填写全称并加盖公章     </w:t>
      </w:r>
    </w:p>
    <w:p>
      <w:pPr>
        <w:snapToGrid w:val="0"/>
        <w:spacing w:line="360" w:lineRule="auto"/>
        <w:ind w:firstLine="3685" w:firstLineChars="1755"/>
        <w:rPr>
          <w:rFonts w:ascii="宋体" w:hAnsi="宋体"/>
          <w:color w:val="auto"/>
          <w:szCs w:val="21"/>
        </w:rPr>
      </w:pPr>
      <w:r>
        <w:rPr>
          <w:rFonts w:hint="eastAsia" w:ascii="宋体" w:hAnsi="宋体"/>
          <w:color w:val="auto"/>
          <w:szCs w:val="21"/>
        </w:rPr>
        <w:t>日  期：</w:t>
      </w:r>
    </w:p>
    <w:p>
      <w:pPr>
        <w:pStyle w:val="20"/>
        <w:spacing w:line="360" w:lineRule="auto"/>
        <w:ind w:left="0" w:leftChars="0"/>
        <w:jc w:val="center"/>
        <w:rPr>
          <w:rFonts w:ascii="宋体" w:hAnsi="宋体" w:cs="宋体"/>
          <w:b/>
          <w:color w:val="auto"/>
          <w:sz w:val="21"/>
          <w:szCs w:val="21"/>
        </w:rPr>
      </w:pPr>
      <w:r>
        <w:rPr>
          <w:rFonts w:ascii="宋体" w:hAnsi="宋体"/>
          <w:b/>
          <w:color w:val="auto"/>
          <w:szCs w:val="21"/>
        </w:rPr>
        <w:br w:type="page"/>
      </w:r>
      <w:r>
        <w:rPr>
          <w:rFonts w:hint="eastAsia" w:ascii="宋体" w:hAnsi="宋体" w:cs="宋体"/>
          <w:b/>
          <w:color w:val="auto"/>
          <w:sz w:val="21"/>
          <w:szCs w:val="21"/>
        </w:rPr>
        <w:t>（2）投标报价组成明细表</w:t>
      </w:r>
    </w:p>
    <w:p>
      <w:pPr>
        <w:pStyle w:val="18"/>
        <w:rPr>
          <w:rFonts w:ascii="宋体" w:hAnsi="宋体" w:cs="宋体"/>
          <w:b/>
          <w:color w:val="auto"/>
          <w:sz w:val="21"/>
          <w:szCs w:val="21"/>
        </w:rPr>
      </w:pPr>
      <w:r>
        <w:rPr>
          <w:rFonts w:hint="eastAsia" w:ascii="宋体" w:hAnsi="宋体"/>
          <w:b/>
          <w:color w:val="auto"/>
          <w:kern w:val="2"/>
          <w:sz w:val="21"/>
          <w:szCs w:val="21"/>
        </w:rPr>
        <w:t>1.初级每报名科次</w:t>
      </w:r>
    </w:p>
    <w:tbl>
      <w:tblPr>
        <w:tblStyle w:val="44"/>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59"/>
        <w:gridCol w:w="992"/>
        <w:gridCol w:w="1761"/>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vAlign w:val="center"/>
          </w:tcPr>
          <w:p>
            <w:pPr>
              <w:jc w:val="center"/>
              <w:rPr>
                <w:rFonts w:ascii="宋体" w:hAnsi="宋体"/>
                <w:color w:val="auto"/>
              </w:rPr>
            </w:pPr>
            <w:r>
              <w:rPr>
                <w:rFonts w:hint="eastAsia" w:ascii="宋体" w:hAnsi="宋体"/>
                <w:color w:val="auto"/>
              </w:rPr>
              <w:t>序号</w:t>
            </w:r>
          </w:p>
        </w:tc>
        <w:tc>
          <w:tcPr>
            <w:tcW w:w="2259" w:type="dxa"/>
            <w:vAlign w:val="center"/>
          </w:tcPr>
          <w:p>
            <w:pPr>
              <w:jc w:val="center"/>
              <w:rPr>
                <w:rFonts w:ascii="宋体" w:hAnsi="宋体"/>
                <w:color w:val="auto"/>
              </w:rPr>
            </w:pPr>
            <w:r>
              <w:rPr>
                <w:rFonts w:hint="eastAsia" w:ascii="宋体" w:hAnsi="宋体"/>
                <w:color w:val="auto"/>
              </w:rPr>
              <w:t>费用内容</w:t>
            </w:r>
          </w:p>
        </w:tc>
        <w:tc>
          <w:tcPr>
            <w:tcW w:w="992" w:type="dxa"/>
            <w:vAlign w:val="center"/>
          </w:tcPr>
          <w:p>
            <w:pPr>
              <w:jc w:val="center"/>
              <w:rPr>
                <w:rFonts w:ascii="宋体" w:hAnsi="宋体"/>
                <w:color w:val="auto"/>
              </w:rPr>
            </w:pPr>
            <w:r>
              <w:rPr>
                <w:rFonts w:hint="eastAsia" w:ascii="宋体" w:hAnsi="宋体"/>
                <w:color w:val="auto"/>
              </w:rPr>
              <w:t>单位</w:t>
            </w:r>
          </w:p>
        </w:tc>
        <w:tc>
          <w:tcPr>
            <w:tcW w:w="1761" w:type="dxa"/>
            <w:vAlign w:val="center"/>
          </w:tcPr>
          <w:p>
            <w:pPr>
              <w:jc w:val="center"/>
              <w:rPr>
                <w:rFonts w:ascii="宋体" w:hAnsi="宋体"/>
                <w:color w:val="auto"/>
              </w:rPr>
            </w:pPr>
            <w:r>
              <w:rPr>
                <w:rFonts w:ascii="宋体" w:hAnsi="宋体"/>
                <w:bCs/>
                <w:color w:val="auto"/>
              </w:rPr>
              <w:t>数量</w:t>
            </w:r>
          </w:p>
        </w:tc>
        <w:tc>
          <w:tcPr>
            <w:tcW w:w="1134" w:type="dxa"/>
            <w:vAlign w:val="center"/>
          </w:tcPr>
          <w:p>
            <w:pPr>
              <w:jc w:val="center"/>
              <w:rPr>
                <w:rFonts w:ascii="宋体" w:hAnsi="宋体"/>
                <w:color w:val="auto"/>
              </w:rPr>
            </w:pPr>
            <w:r>
              <w:rPr>
                <w:rFonts w:hint="eastAsia" w:ascii="宋体" w:hAnsi="宋体"/>
                <w:color w:val="auto"/>
              </w:rPr>
              <w:t>单价（元）</w:t>
            </w:r>
          </w:p>
        </w:tc>
        <w:tc>
          <w:tcPr>
            <w:tcW w:w="1842" w:type="dxa"/>
            <w:vAlign w:val="center"/>
          </w:tcPr>
          <w:p>
            <w:pPr>
              <w:jc w:val="center"/>
              <w:rPr>
                <w:rFonts w:ascii="宋体" w:hAnsi="宋体"/>
                <w:color w:val="auto"/>
              </w:rPr>
            </w:pPr>
            <w:r>
              <w:rPr>
                <w:rFonts w:hint="eastAsia" w:ascii="宋体" w:hAnsi="宋体"/>
                <w:color w:val="auto"/>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pPr>
              <w:jc w:val="center"/>
              <w:rPr>
                <w:rFonts w:ascii="宋体" w:hAnsi="宋体"/>
                <w:color w:val="auto"/>
              </w:rPr>
            </w:pPr>
            <w:r>
              <w:rPr>
                <w:rFonts w:hint="eastAsia" w:ascii="宋体" w:hAnsi="宋体"/>
                <w:color w:val="auto"/>
              </w:rPr>
              <w:t>1</w:t>
            </w:r>
          </w:p>
        </w:tc>
        <w:tc>
          <w:tcPr>
            <w:tcW w:w="2259" w:type="dxa"/>
            <w:vAlign w:val="center"/>
          </w:tcPr>
          <w:p>
            <w:pPr>
              <w:jc w:val="center"/>
              <w:rPr>
                <w:rFonts w:ascii="宋体" w:hAnsi="宋体"/>
                <w:color w:val="auto"/>
              </w:rPr>
            </w:pPr>
          </w:p>
        </w:tc>
        <w:tc>
          <w:tcPr>
            <w:tcW w:w="992" w:type="dxa"/>
            <w:vAlign w:val="center"/>
          </w:tcPr>
          <w:p>
            <w:pPr>
              <w:jc w:val="center"/>
              <w:rPr>
                <w:rFonts w:ascii="宋体" w:hAnsi="宋体"/>
                <w:color w:val="auto"/>
              </w:rPr>
            </w:pPr>
          </w:p>
        </w:tc>
        <w:tc>
          <w:tcPr>
            <w:tcW w:w="1761" w:type="dxa"/>
            <w:vAlign w:val="center"/>
          </w:tcPr>
          <w:p>
            <w:pPr>
              <w:jc w:val="center"/>
              <w:rPr>
                <w:rFonts w:ascii="宋体" w:hAnsi="宋体"/>
                <w:color w:val="auto"/>
              </w:rPr>
            </w:pPr>
          </w:p>
        </w:tc>
        <w:tc>
          <w:tcPr>
            <w:tcW w:w="1134" w:type="dxa"/>
            <w:vAlign w:val="center"/>
          </w:tcPr>
          <w:p>
            <w:pPr>
              <w:jc w:val="center"/>
              <w:rPr>
                <w:rFonts w:ascii="宋体" w:hAnsi="宋体"/>
                <w:color w:val="auto"/>
              </w:rPr>
            </w:pPr>
          </w:p>
        </w:tc>
        <w:tc>
          <w:tcPr>
            <w:tcW w:w="1842"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pPr>
              <w:jc w:val="center"/>
              <w:rPr>
                <w:rFonts w:ascii="宋体" w:hAnsi="宋体"/>
                <w:color w:val="auto"/>
              </w:rPr>
            </w:pPr>
            <w:r>
              <w:rPr>
                <w:rFonts w:hint="eastAsia" w:ascii="宋体" w:hAnsi="宋体"/>
                <w:color w:val="auto"/>
              </w:rPr>
              <w:t>2</w:t>
            </w:r>
          </w:p>
        </w:tc>
        <w:tc>
          <w:tcPr>
            <w:tcW w:w="2259" w:type="dxa"/>
            <w:vAlign w:val="center"/>
          </w:tcPr>
          <w:p>
            <w:pPr>
              <w:jc w:val="center"/>
              <w:rPr>
                <w:rFonts w:ascii="宋体" w:hAnsi="宋体"/>
                <w:color w:val="auto"/>
              </w:rPr>
            </w:pPr>
          </w:p>
        </w:tc>
        <w:tc>
          <w:tcPr>
            <w:tcW w:w="992" w:type="dxa"/>
            <w:vAlign w:val="center"/>
          </w:tcPr>
          <w:p>
            <w:pPr>
              <w:jc w:val="center"/>
              <w:rPr>
                <w:rFonts w:ascii="宋体" w:hAnsi="宋体"/>
                <w:color w:val="auto"/>
              </w:rPr>
            </w:pPr>
          </w:p>
        </w:tc>
        <w:tc>
          <w:tcPr>
            <w:tcW w:w="1761" w:type="dxa"/>
            <w:vAlign w:val="center"/>
          </w:tcPr>
          <w:p>
            <w:pPr>
              <w:jc w:val="center"/>
              <w:rPr>
                <w:rFonts w:ascii="宋体" w:hAnsi="宋体"/>
                <w:color w:val="auto"/>
              </w:rPr>
            </w:pPr>
          </w:p>
        </w:tc>
        <w:tc>
          <w:tcPr>
            <w:tcW w:w="1134" w:type="dxa"/>
            <w:vAlign w:val="center"/>
          </w:tcPr>
          <w:p>
            <w:pPr>
              <w:jc w:val="center"/>
              <w:rPr>
                <w:rFonts w:ascii="宋体" w:hAnsi="宋体"/>
                <w:color w:val="auto"/>
              </w:rPr>
            </w:pPr>
          </w:p>
        </w:tc>
        <w:tc>
          <w:tcPr>
            <w:tcW w:w="1842"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pPr>
              <w:jc w:val="center"/>
              <w:rPr>
                <w:rFonts w:ascii="宋体" w:hAnsi="宋体"/>
                <w:color w:val="auto"/>
              </w:rPr>
            </w:pPr>
            <w:r>
              <w:rPr>
                <w:rFonts w:ascii="宋体" w:hAnsi="宋体"/>
                <w:color w:val="auto"/>
              </w:rPr>
              <w:t>…</w:t>
            </w:r>
          </w:p>
        </w:tc>
        <w:tc>
          <w:tcPr>
            <w:tcW w:w="2259" w:type="dxa"/>
            <w:vAlign w:val="center"/>
          </w:tcPr>
          <w:p>
            <w:pPr>
              <w:jc w:val="left"/>
              <w:rPr>
                <w:rFonts w:ascii="宋体" w:hAnsi="宋体"/>
                <w:color w:val="auto"/>
              </w:rPr>
            </w:pPr>
          </w:p>
        </w:tc>
        <w:tc>
          <w:tcPr>
            <w:tcW w:w="992" w:type="dxa"/>
            <w:vAlign w:val="center"/>
          </w:tcPr>
          <w:p>
            <w:pPr>
              <w:jc w:val="center"/>
              <w:rPr>
                <w:rFonts w:ascii="宋体" w:hAnsi="宋体"/>
                <w:color w:val="auto"/>
              </w:rPr>
            </w:pPr>
          </w:p>
        </w:tc>
        <w:tc>
          <w:tcPr>
            <w:tcW w:w="1761" w:type="dxa"/>
            <w:vAlign w:val="center"/>
          </w:tcPr>
          <w:p>
            <w:pPr>
              <w:jc w:val="center"/>
              <w:rPr>
                <w:rFonts w:ascii="宋体" w:hAnsi="宋体"/>
                <w:color w:val="auto"/>
              </w:rPr>
            </w:pPr>
          </w:p>
        </w:tc>
        <w:tc>
          <w:tcPr>
            <w:tcW w:w="1134" w:type="dxa"/>
            <w:vAlign w:val="center"/>
          </w:tcPr>
          <w:p>
            <w:pPr>
              <w:jc w:val="center"/>
              <w:rPr>
                <w:rFonts w:ascii="宋体" w:hAnsi="宋体"/>
                <w:color w:val="auto"/>
              </w:rPr>
            </w:pPr>
          </w:p>
        </w:tc>
        <w:tc>
          <w:tcPr>
            <w:tcW w:w="1842"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52" w:type="dxa"/>
            <w:gridSpan w:val="4"/>
            <w:vAlign w:val="center"/>
          </w:tcPr>
          <w:p>
            <w:pPr>
              <w:jc w:val="center"/>
              <w:rPr>
                <w:rFonts w:ascii="宋体" w:hAnsi="宋体"/>
                <w:color w:val="auto"/>
              </w:rPr>
            </w:pPr>
            <w:r>
              <w:rPr>
                <w:rFonts w:hint="eastAsia" w:ascii="宋体" w:hAnsi="宋体"/>
                <w:b/>
                <w:color w:val="auto"/>
              </w:rPr>
              <w:t>合计金额（元）</w:t>
            </w:r>
          </w:p>
        </w:tc>
        <w:tc>
          <w:tcPr>
            <w:tcW w:w="2976" w:type="dxa"/>
            <w:gridSpan w:val="2"/>
            <w:vAlign w:val="center"/>
          </w:tcPr>
          <w:p>
            <w:pPr>
              <w:jc w:val="left"/>
              <w:rPr>
                <w:rFonts w:ascii="宋体" w:hAnsi="宋体"/>
                <w:color w:val="auto"/>
              </w:rPr>
            </w:pPr>
            <w:r>
              <w:rPr>
                <w:rFonts w:hint="eastAsia" w:ascii="宋体" w:hAnsi="宋体"/>
                <w:color w:val="auto"/>
                <w:szCs w:val="21"/>
              </w:rPr>
              <w:t>小写：</w:t>
            </w:r>
          </w:p>
        </w:tc>
      </w:tr>
    </w:tbl>
    <w:p>
      <w:pPr>
        <w:spacing w:line="360" w:lineRule="auto"/>
        <w:rPr>
          <w:rFonts w:ascii="宋体" w:hAnsi="宋体" w:cs="宋体"/>
          <w:color w:val="auto"/>
          <w:szCs w:val="21"/>
        </w:rPr>
      </w:pPr>
    </w:p>
    <w:p>
      <w:pPr>
        <w:pStyle w:val="18"/>
        <w:rPr>
          <w:rFonts w:ascii="宋体" w:hAnsi="宋体"/>
          <w:b/>
          <w:color w:val="auto"/>
          <w:kern w:val="2"/>
          <w:sz w:val="21"/>
          <w:szCs w:val="21"/>
        </w:rPr>
      </w:pPr>
      <w:r>
        <w:rPr>
          <w:rFonts w:hint="eastAsia" w:ascii="宋体" w:hAnsi="宋体"/>
          <w:b/>
          <w:color w:val="auto"/>
          <w:kern w:val="2"/>
          <w:sz w:val="21"/>
          <w:szCs w:val="21"/>
        </w:rPr>
        <w:t>2.中级、高级每报名科次</w:t>
      </w:r>
    </w:p>
    <w:tbl>
      <w:tblPr>
        <w:tblStyle w:val="44"/>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59"/>
        <w:gridCol w:w="992"/>
        <w:gridCol w:w="1761"/>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vAlign w:val="center"/>
          </w:tcPr>
          <w:p>
            <w:pPr>
              <w:jc w:val="center"/>
              <w:rPr>
                <w:rFonts w:ascii="宋体" w:hAnsi="宋体"/>
                <w:color w:val="auto"/>
              </w:rPr>
            </w:pPr>
            <w:r>
              <w:rPr>
                <w:rFonts w:hint="eastAsia" w:ascii="宋体" w:hAnsi="宋体"/>
                <w:color w:val="auto"/>
              </w:rPr>
              <w:t>序号</w:t>
            </w:r>
          </w:p>
        </w:tc>
        <w:tc>
          <w:tcPr>
            <w:tcW w:w="2259" w:type="dxa"/>
            <w:vAlign w:val="center"/>
          </w:tcPr>
          <w:p>
            <w:pPr>
              <w:jc w:val="center"/>
              <w:rPr>
                <w:rFonts w:ascii="宋体" w:hAnsi="宋体"/>
                <w:color w:val="auto"/>
              </w:rPr>
            </w:pPr>
            <w:r>
              <w:rPr>
                <w:rFonts w:hint="eastAsia" w:ascii="宋体" w:hAnsi="宋体"/>
                <w:color w:val="auto"/>
              </w:rPr>
              <w:t>费用内容</w:t>
            </w:r>
          </w:p>
        </w:tc>
        <w:tc>
          <w:tcPr>
            <w:tcW w:w="992" w:type="dxa"/>
            <w:vAlign w:val="center"/>
          </w:tcPr>
          <w:p>
            <w:pPr>
              <w:jc w:val="center"/>
              <w:rPr>
                <w:rFonts w:ascii="宋体" w:hAnsi="宋体"/>
                <w:color w:val="auto"/>
              </w:rPr>
            </w:pPr>
            <w:r>
              <w:rPr>
                <w:rFonts w:hint="eastAsia" w:ascii="宋体" w:hAnsi="宋体"/>
                <w:color w:val="auto"/>
              </w:rPr>
              <w:t>单位</w:t>
            </w:r>
          </w:p>
        </w:tc>
        <w:tc>
          <w:tcPr>
            <w:tcW w:w="1761" w:type="dxa"/>
            <w:vAlign w:val="center"/>
          </w:tcPr>
          <w:p>
            <w:pPr>
              <w:jc w:val="center"/>
              <w:rPr>
                <w:rFonts w:ascii="宋体" w:hAnsi="宋体"/>
                <w:color w:val="auto"/>
              </w:rPr>
            </w:pPr>
            <w:r>
              <w:rPr>
                <w:rFonts w:ascii="宋体" w:hAnsi="宋体"/>
                <w:bCs/>
                <w:color w:val="auto"/>
              </w:rPr>
              <w:t>数量</w:t>
            </w:r>
          </w:p>
        </w:tc>
        <w:tc>
          <w:tcPr>
            <w:tcW w:w="1134" w:type="dxa"/>
            <w:vAlign w:val="center"/>
          </w:tcPr>
          <w:p>
            <w:pPr>
              <w:jc w:val="center"/>
              <w:rPr>
                <w:rFonts w:ascii="宋体" w:hAnsi="宋体"/>
                <w:color w:val="auto"/>
              </w:rPr>
            </w:pPr>
            <w:r>
              <w:rPr>
                <w:rFonts w:hint="eastAsia" w:ascii="宋体" w:hAnsi="宋体"/>
                <w:color w:val="auto"/>
              </w:rPr>
              <w:t>单价（元）</w:t>
            </w:r>
          </w:p>
        </w:tc>
        <w:tc>
          <w:tcPr>
            <w:tcW w:w="1842" w:type="dxa"/>
            <w:vAlign w:val="center"/>
          </w:tcPr>
          <w:p>
            <w:pPr>
              <w:jc w:val="center"/>
              <w:rPr>
                <w:rFonts w:ascii="宋体" w:hAnsi="宋体"/>
                <w:color w:val="auto"/>
              </w:rPr>
            </w:pPr>
            <w:r>
              <w:rPr>
                <w:rFonts w:hint="eastAsia" w:ascii="宋体" w:hAnsi="宋体"/>
                <w:color w:val="auto"/>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pPr>
              <w:jc w:val="center"/>
              <w:rPr>
                <w:rFonts w:ascii="宋体" w:hAnsi="宋体"/>
                <w:color w:val="auto"/>
              </w:rPr>
            </w:pPr>
            <w:r>
              <w:rPr>
                <w:rFonts w:hint="eastAsia" w:ascii="宋体" w:hAnsi="宋体"/>
                <w:color w:val="auto"/>
              </w:rPr>
              <w:t>1</w:t>
            </w:r>
          </w:p>
        </w:tc>
        <w:tc>
          <w:tcPr>
            <w:tcW w:w="2259" w:type="dxa"/>
            <w:vAlign w:val="center"/>
          </w:tcPr>
          <w:p>
            <w:pPr>
              <w:jc w:val="center"/>
              <w:rPr>
                <w:rFonts w:ascii="宋体" w:hAnsi="宋体"/>
                <w:color w:val="auto"/>
              </w:rPr>
            </w:pPr>
          </w:p>
        </w:tc>
        <w:tc>
          <w:tcPr>
            <w:tcW w:w="992" w:type="dxa"/>
            <w:vAlign w:val="center"/>
          </w:tcPr>
          <w:p>
            <w:pPr>
              <w:jc w:val="center"/>
              <w:rPr>
                <w:rFonts w:ascii="宋体" w:hAnsi="宋体"/>
                <w:color w:val="auto"/>
              </w:rPr>
            </w:pPr>
          </w:p>
        </w:tc>
        <w:tc>
          <w:tcPr>
            <w:tcW w:w="1761" w:type="dxa"/>
            <w:vAlign w:val="center"/>
          </w:tcPr>
          <w:p>
            <w:pPr>
              <w:jc w:val="center"/>
              <w:rPr>
                <w:rFonts w:ascii="宋体" w:hAnsi="宋体"/>
                <w:color w:val="auto"/>
              </w:rPr>
            </w:pPr>
          </w:p>
        </w:tc>
        <w:tc>
          <w:tcPr>
            <w:tcW w:w="1134" w:type="dxa"/>
            <w:vAlign w:val="center"/>
          </w:tcPr>
          <w:p>
            <w:pPr>
              <w:jc w:val="center"/>
              <w:rPr>
                <w:rFonts w:ascii="宋体" w:hAnsi="宋体"/>
                <w:color w:val="auto"/>
              </w:rPr>
            </w:pPr>
          </w:p>
        </w:tc>
        <w:tc>
          <w:tcPr>
            <w:tcW w:w="1842"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pPr>
              <w:jc w:val="center"/>
              <w:rPr>
                <w:rFonts w:ascii="宋体" w:hAnsi="宋体"/>
                <w:color w:val="auto"/>
              </w:rPr>
            </w:pPr>
            <w:r>
              <w:rPr>
                <w:rFonts w:hint="eastAsia" w:ascii="宋体" w:hAnsi="宋体"/>
                <w:color w:val="auto"/>
              </w:rPr>
              <w:t>2</w:t>
            </w:r>
          </w:p>
        </w:tc>
        <w:tc>
          <w:tcPr>
            <w:tcW w:w="2259" w:type="dxa"/>
            <w:vAlign w:val="center"/>
          </w:tcPr>
          <w:p>
            <w:pPr>
              <w:jc w:val="center"/>
              <w:rPr>
                <w:rFonts w:ascii="宋体" w:hAnsi="宋体"/>
                <w:color w:val="auto"/>
              </w:rPr>
            </w:pPr>
          </w:p>
        </w:tc>
        <w:tc>
          <w:tcPr>
            <w:tcW w:w="992" w:type="dxa"/>
            <w:vAlign w:val="center"/>
          </w:tcPr>
          <w:p>
            <w:pPr>
              <w:jc w:val="center"/>
              <w:rPr>
                <w:rFonts w:ascii="宋体" w:hAnsi="宋体"/>
                <w:color w:val="auto"/>
              </w:rPr>
            </w:pPr>
          </w:p>
        </w:tc>
        <w:tc>
          <w:tcPr>
            <w:tcW w:w="1761" w:type="dxa"/>
            <w:vAlign w:val="center"/>
          </w:tcPr>
          <w:p>
            <w:pPr>
              <w:jc w:val="center"/>
              <w:rPr>
                <w:rFonts w:ascii="宋体" w:hAnsi="宋体"/>
                <w:color w:val="auto"/>
              </w:rPr>
            </w:pPr>
          </w:p>
        </w:tc>
        <w:tc>
          <w:tcPr>
            <w:tcW w:w="1134" w:type="dxa"/>
            <w:vAlign w:val="center"/>
          </w:tcPr>
          <w:p>
            <w:pPr>
              <w:jc w:val="center"/>
              <w:rPr>
                <w:rFonts w:ascii="宋体" w:hAnsi="宋体"/>
                <w:color w:val="auto"/>
              </w:rPr>
            </w:pPr>
          </w:p>
        </w:tc>
        <w:tc>
          <w:tcPr>
            <w:tcW w:w="1842"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pPr>
              <w:jc w:val="center"/>
              <w:rPr>
                <w:rFonts w:ascii="宋体" w:hAnsi="宋体"/>
                <w:color w:val="auto"/>
              </w:rPr>
            </w:pPr>
            <w:r>
              <w:rPr>
                <w:rFonts w:ascii="宋体" w:hAnsi="宋体"/>
                <w:color w:val="auto"/>
              </w:rPr>
              <w:t>…</w:t>
            </w:r>
          </w:p>
        </w:tc>
        <w:tc>
          <w:tcPr>
            <w:tcW w:w="2259" w:type="dxa"/>
            <w:vAlign w:val="center"/>
          </w:tcPr>
          <w:p>
            <w:pPr>
              <w:jc w:val="left"/>
              <w:rPr>
                <w:rFonts w:ascii="宋体" w:hAnsi="宋体"/>
                <w:color w:val="auto"/>
              </w:rPr>
            </w:pPr>
          </w:p>
        </w:tc>
        <w:tc>
          <w:tcPr>
            <w:tcW w:w="992" w:type="dxa"/>
            <w:vAlign w:val="center"/>
          </w:tcPr>
          <w:p>
            <w:pPr>
              <w:jc w:val="center"/>
              <w:rPr>
                <w:rFonts w:ascii="宋体" w:hAnsi="宋体"/>
                <w:color w:val="auto"/>
              </w:rPr>
            </w:pPr>
          </w:p>
        </w:tc>
        <w:tc>
          <w:tcPr>
            <w:tcW w:w="1761" w:type="dxa"/>
            <w:vAlign w:val="center"/>
          </w:tcPr>
          <w:p>
            <w:pPr>
              <w:jc w:val="center"/>
              <w:rPr>
                <w:rFonts w:ascii="宋体" w:hAnsi="宋体"/>
                <w:color w:val="auto"/>
              </w:rPr>
            </w:pPr>
          </w:p>
        </w:tc>
        <w:tc>
          <w:tcPr>
            <w:tcW w:w="1134" w:type="dxa"/>
            <w:vAlign w:val="center"/>
          </w:tcPr>
          <w:p>
            <w:pPr>
              <w:jc w:val="center"/>
              <w:rPr>
                <w:rFonts w:ascii="宋体" w:hAnsi="宋体"/>
                <w:color w:val="auto"/>
              </w:rPr>
            </w:pPr>
          </w:p>
        </w:tc>
        <w:tc>
          <w:tcPr>
            <w:tcW w:w="1842"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52" w:type="dxa"/>
            <w:gridSpan w:val="4"/>
            <w:vAlign w:val="center"/>
          </w:tcPr>
          <w:p>
            <w:pPr>
              <w:jc w:val="center"/>
              <w:rPr>
                <w:rFonts w:ascii="宋体" w:hAnsi="宋体"/>
                <w:color w:val="auto"/>
              </w:rPr>
            </w:pPr>
            <w:r>
              <w:rPr>
                <w:rFonts w:hint="eastAsia" w:ascii="宋体" w:hAnsi="宋体"/>
                <w:b/>
                <w:color w:val="auto"/>
              </w:rPr>
              <w:t>合计金额（元）</w:t>
            </w:r>
          </w:p>
        </w:tc>
        <w:tc>
          <w:tcPr>
            <w:tcW w:w="2976" w:type="dxa"/>
            <w:gridSpan w:val="2"/>
            <w:vAlign w:val="center"/>
          </w:tcPr>
          <w:p>
            <w:pPr>
              <w:jc w:val="left"/>
              <w:rPr>
                <w:rFonts w:ascii="宋体" w:hAnsi="宋体"/>
                <w:color w:val="auto"/>
              </w:rPr>
            </w:pPr>
            <w:r>
              <w:rPr>
                <w:rFonts w:hint="eastAsia" w:ascii="宋体" w:hAnsi="宋体"/>
                <w:color w:val="auto"/>
                <w:szCs w:val="21"/>
              </w:rPr>
              <w:t>小写：</w:t>
            </w:r>
          </w:p>
        </w:tc>
      </w:tr>
    </w:tbl>
    <w:p>
      <w:pPr>
        <w:adjustRightInd w:val="0"/>
        <w:snapToGrid w:val="0"/>
        <w:spacing w:line="360" w:lineRule="auto"/>
        <w:rPr>
          <w:rFonts w:ascii="宋体" w:hAnsi="宋体"/>
          <w:color w:val="auto"/>
        </w:rPr>
      </w:pPr>
      <w:r>
        <w:rPr>
          <w:rFonts w:hint="eastAsia" w:ascii="宋体" w:hAnsi="宋体"/>
          <w:b/>
          <w:bCs/>
          <w:color w:val="auto"/>
          <w:szCs w:val="28"/>
        </w:rPr>
        <w:t>注：</w:t>
      </w:r>
      <w:r>
        <w:rPr>
          <w:rFonts w:hint="eastAsia" w:ascii="宋体" w:hAnsi="宋体"/>
          <w:color w:val="auto"/>
        </w:rPr>
        <w:t>所列费用为对应本项目需求的全部服务及相关货物内容，如有漏项或缺项，投标人承担全部责任。</w:t>
      </w:r>
    </w:p>
    <w:p>
      <w:pPr>
        <w:pStyle w:val="19"/>
        <w:ind w:firstLine="280"/>
        <w:rPr>
          <w:rFonts w:ascii="宋体" w:hAnsi="宋体"/>
          <w:color w:val="auto"/>
        </w:rPr>
      </w:pPr>
    </w:p>
    <w:p>
      <w:pPr>
        <w:snapToGrid w:val="0"/>
        <w:spacing w:line="360" w:lineRule="auto"/>
        <w:ind w:firstLine="3685" w:firstLineChars="1755"/>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填写全称并加盖公章     </w:t>
      </w:r>
    </w:p>
    <w:p>
      <w:pPr>
        <w:snapToGrid w:val="0"/>
        <w:spacing w:line="360" w:lineRule="auto"/>
        <w:ind w:firstLine="3685" w:firstLineChars="1755"/>
        <w:rPr>
          <w:rFonts w:ascii="宋体" w:hAnsi="宋体"/>
          <w:color w:val="auto"/>
          <w:szCs w:val="21"/>
        </w:rPr>
      </w:pPr>
      <w:r>
        <w:rPr>
          <w:rFonts w:hint="eastAsia" w:ascii="宋体" w:hAnsi="宋体"/>
          <w:color w:val="auto"/>
          <w:szCs w:val="21"/>
        </w:rPr>
        <w:t>日  期：</w:t>
      </w:r>
    </w:p>
    <w:p>
      <w:pPr>
        <w:widowControl/>
        <w:jc w:val="left"/>
        <w:rPr>
          <w:rFonts w:ascii="宋体" w:hAnsi="宋体"/>
          <w:b/>
          <w:color w:val="auto"/>
          <w:kern w:val="0"/>
          <w:sz w:val="20"/>
        </w:rPr>
      </w:pPr>
    </w:p>
    <w:p>
      <w:pPr>
        <w:widowControl/>
        <w:jc w:val="left"/>
        <w:rPr>
          <w:rFonts w:ascii="宋体" w:hAnsi="宋体"/>
          <w:b/>
          <w:color w:val="auto"/>
          <w:szCs w:val="21"/>
        </w:rPr>
      </w:pPr>
      <w:r>
        <w:rPr>
          <w:rFonts w:ascii="宋体" w:hAnsi="宋体"/>
          <w:b/>
          <w:color w:val="auto"/>
          <w:szCs w:val="21"/>
        </w:rPr>
        <w:br w:type="page"/>
      </w:r>
    </w:p>
    <w:p>
      <w:pPr>
        <w:pStyle w:val="3"/>
        <w:rPr>
          <w:rFonts w:ascii="宋体" w:hAnsi="宋体"/>
          <w:color w:val="auto"/>
          <w:sz w:val="44"/>
        </w:rPr>
      </w:pPr>
      <w:bookmarkStart w:id="74" w:name="_Toc60582631"/>
      <w:bookmarkStart w:id="75" w:name="_Toc118452539"/>
      <w:r>
        <w:rPr>
          <w:rFonts w:hint="eastAsia" w:ascii="宋体" w:hAnsi="宋体"/>
          <w:color w:val="auto"/>
        </w:rPr>
        <w:t>第七章  政府采购供应商质疑函及投诉书</w:t>
      </w:r>
      <w:bookmarkEnd w:id="74"/>
      <w:r>
        <w:rPr>
          <w:rFonts w:hint="eastAsia" w:ascii="宋体" w:hAnsi="宋体"/>
          <w:color w:val="auto"/>
        </w:rPr>
        <w:t>范本</w:t>
      </w:r>
      <w:bookmarkEnd w:id="75"/>
    </w:p>
    <w:p>
      <w:pPr>
        <w:jc w:val="center"/>
        <w:rPr>
          <w:rFonts w:ascii="宋体" w:hAnsi="宋体" w:cs="宋体"/>
          <w:b/>
          <w:bCs/>
          <w:color w:val="auto"/>
          <w:sz w:val="28"/>
          <w:szCs w:val="44"/>
        </w:rPr>
      </w:pPr>
      <w:r>
        <w:rPr>
          <w:rFonts w:hint="eastAsia" w:ascii="宋体" w:hAnsi="宋体" w:cs="宋体"/>
          <w:b/>
          <w:bCs/>
          <w:color w:val="auto"/>
          <w:sz w:val="28"/>
          <w:szCs w:val="44"/>
        </w:rPr>
        <w:t>质疑函</w:t>
      </w:r>
    </w:p>
    <w:p>
      <w:pPr>
        <w:adjustRightInd w:val="0"/>
        <w:snapToGrid w:val="0"/>
        <w:spacing w:line="360" w:lineRule="auto"/>
        <w:rPr>
          <w:rFonts w:ascii="宋体" w:hAnsi="宋体" w:cs="仿宋"/>
          <w:bCs/>
          <w:color w:val="auto"/>
          <w:sz w:val="22"/>
        </w:rPr>
      </w:pPr>
      <w:r>
        <w:rPr>
          <w:rFonts w:hint="eastAsia" w:ascii="宋体" w:hAnsi="宋体" w:cs="仿宋"/>
          <w:bCs/>
          <w:color w:val="auto"/>
          <w:sz w:val="22"/>
        </w:rPr>
        <w:t>一、质疑供应商基本信息</w:t>
      </w:r>
    </w:p>
    <w:p>
      <w:pPr>
        <w:adjustRightInd w:val="0"/>
        <w:snapToGrid w:val="0"/>
        <w:spacing w:line="360" w:lineRule="auto"/>
        <w:rPr>
          <w:rFonts w:ascii="宋体" w:hAnsi="宋体" w:cs="仿宋"/>
          <w:color w:val="auto"/>
          <w:sz w:val="22"/>
          <w:u w:val="dotted"/>
        </w:rPr>
      </w:pPr>
      <w:r>
        <w:rPr>
          <w:rFonts w:hint="eastAsia" w:ascii="宋体" w:hAnsi="宋体" w:cs="仿宋"/>
          <w:color w:val="auto"/>
          <w:sz w:val="22"/>
        </w:rPr>
        <w:t>质疑供应商：</w:t>
      </w:r>
      <w:r>
        <w:rPr>
          <w:rFonts w:hint="eastAsia" w:ascii="宋体" w:hAnsi="宋体" w:cs="仿宋"/>
          <w:color w:val="auto"/>
          <w:sz w:val="22"/>
          <w:u w:val="dotted"/>
        </w:rPr>
        <w:t xml:space="preserve">                                        </w:t>
      </w:r>
    </w:p>
    <w:p>
      <w:pPr>
        <w:adjustRightInd w:val="0"/>
        <w:snapToGrid w:val="0"/>
        <w:spacing w:line="360" w:lineRule="auto"/>
        <w:rPr>
          <w:rFonts w:ascii="宋体" w:hAnsi="宋体" w:cs="仿宋"/>
          <w:color w:val="auto"/>
          <w:sz w:val="22"/>
        </w:rPr>
      </w:pPr>
      <w:r>
        <w:rPr>
          <w:rFonts w:hint="eastAsia" w:ascii="宋体" w:hAnsi="宋体" w:cs="仿宋"/>
          <w:color w:val="auto"/>
          <w:sz w:val="22"/>
        </w:rPr>
        <w:t>地址：</w:t>
      </w:r>
      <w:r>
        <w:rPr>
          <w:rFonts w:hint="eastAsia" w:ascii="宋体" w:hAnsi="宋体" w:cs="仿宋"/>
          <w:color w:val="auto"/>
          <w:sz w:val="22"/>
          <w:u w:val="dotted"/>
        </w:rPr>
        <w:t xml:space="preserve">                          </w:t>
      </w:r>
      <w:r>
        <w:rPr>
          <w:rFonts w:hint="eastAsia" w:ascii="宋体" w:hAnsi="宋体" w:cs="仿宋"/>
          <w:color w:val="auto"/>
          <w:sz w:val="22"/>
        </w:rPr>
        <w:t>邮编：</w:t>
      </w:r>
      <w:r>
        <w:rPr>
          <w:rFonts w:hint="eastAsia" w:ascii="宋体" w:hAnsi="宋体" w:cs="仿宋"/>
          <w:color w:val="auto"/>
          <w:sz w:val="22"/>
          <w:u w:val="dotted"/>
        </w:rPr>
        <w:t xml:space="preserve">                          </w:t>
      </w:r>
    </w:p>
    <w:p>
      <w:pPr>
        <w:adjustRightInd w:val="0"/>
        <w:snapToGrid w:val="0"/>
        <w:spacing w:line="360" w:lineRule="auto"/>
        <w:rPr>
          <w:rFonts w:ascii="宋体" w:hAnsi="宋体" w:cs="仿宋"/>
          <w:color w:val="auto"/>
          <w:sz w:val="22"/>
        </w:rPr>
      </w:pPr>
      <w:r>
        <w:rPr>
          <w:rFonts w:hint="eastAsia" w:ascii="宋体" w:hAnsi="宋体" w:cs="仿宋"/>
          <w:color w:val="auto"/>
          <w:sz w:val="22"/>
        </w:rPr>
        <w:t>联系人：</w:t>
      </w:r>
      <w:r>
        <w:rPr>
          <w:rFonts w:hint="eastAsia" w:ascii="宋体" w:hAnsi="宋体" w:cs="仿宋"/>
          <w:color w:val="auto"/>
          <w:sz w:val="22"/>
          <w:u w:val="dotted"/>
        </w:rPr>
        <w:t xml:space="preserve">                      </w:t>
      </w:r>
      <w:r>
        <w:rPr>
          <w:rFonts w:hint="eastAsia" w:ascii="宋体" w:hAnsi="宋体" w:cs="仿宋"/>
          <w:color w:val="auto"/>
          <w:sz w:val="22"/>
        </w:rPr>
        <w:t>联系电话：</w:t>
      </w:r>
      <w:r>
        <w:rPr>
          <w:rFonts w:hint="eastAsia" w:ascii="宋体" w:hAnsi="宋体" w:cs="仿宋"/>
          <w:color w:val="auto"/>
          <w:sz w:val="22"/>
          <w:u w:val="dotted"/>
        </w:rPr>
        <w:t xml:space="preserve">                        </w:t>
      </w:r>
    </w:p>
    <w:p>
      <w:pPr>
        <w:adjustRightInd w:val="0"/>
        <w:snapToGrid w:val="0"/>
        <w:spacing w:line="360" w:lineRule="auto"/>
        <w:rPr>
          <w:rFonts w:ascii="宋体" w:hAnsi="宋体" w:cs="仿宋"/>
          <w:color w:val="auto"/>
          <w:sz w:val="22"/>
          <w:u w:val="dotted"/>
        </w:rPr>
      </w:pPr>
      <w:r>
        <w:rPr>
          <w:rFonts w:hint="eastAsia" w:ascii="宋体" w:hAnsi="宋体" w:cs="仿宋"/>
          <w:color w:val="auto"/>
          <w:sz w:val="22"/>
        </w:rPr>
        <w:t>授权代表：</w:t>
      </w:r>
      <w:r>
        <w:rPr>
          <w:rFonts w:hint="eastAsia" w:ascii="宋体" w:hAnsi="宋体" w:cs="仿宋"/>
          <w:color w:val="auto"/>
          <w:sz w:val="22"/>
          <w:u w:val="dotted"/>
        </w:rPr>
        <w:t xml:space="preserve">                                          </w:t>
      </w:r>
    </w:p>
    <w:p>
      <w:pPr>
        <w:adjustRightInd w:val="0"/>
        <w:snapToGrid w:val="0"/>
        <w:spacing w:line="360" w:lineRule="auto"/>
        <w:rPr>
          <w:rFonts w:ascii="宋体" w:hAnsi="宋体" w:cs="仿宋"/>
          <w:color w:val="auto"/>
          <w:sz w:val="22"/>
        </w:rPr>
      </w:pPr>
      <w:r>
        <w:rPr>
          <w:rFonts w:hint="eastAsia" w:ascii="宋体" w:hAnsi="宋体" w:cs="仿宋"/>
          <w:color w:val="auto"/>
          <w:sz w:val="22"/>
        </w:rPr>
        <w:t>联系电话：</w:t>
      </w:r>
      <w:r>
        <w:rPr>
          <w:rFonts w:hint="eastAsia" w:ascii="宋体" w:hAnsi="宋体" w:cs="仿宋"/>
          <w:color w:val="auto"/>
          <w:sz w:val="22"/>
          <w:u w:val="dotted"/>
        </w:rPr>
        <w:t xml:space="preserve">                                           </w:t>
      </w:r>
      <w:r>
        <w:rPr>
          <w:rFonts w:ascii="宋体" w:hAnsi="宋体" w:cs="仿宋"/>
          <w:color w:val="auto"/>
          <w:sz w:val="22"/>
        </w:rPr>
        <w:t xml:space="preserve"> </w:t>
      </w:r>
    </w:p>
    <w:p>
      <w:pPr>
        <w:adjustRightInd w:val="0"/>
        <w:snapToGrid w:val="0"/>
        <w:spacing w:line="360" w:lineRule="auto"/>
        <w:rPr>
          <w:rFonts w:ascii="宋体" w:hAnsi="宋体" w:cs="仿宋"/>
          <w:color w:val="auto"/>
          <w:sz w:val="22"/>
          <w:u w:val="dotted"/>
        </w:rPr>
      </w:pPr>
      <w:r>
        <w:rPr>
          <w:rFonts w:hint="eastAsia" w:ascii="宋体" w:hAnsi="宋体" w:cs="仿宋"/>
          <w:color w:val="auto"/>
          <w:sz w:val="22"/>
        </w:rPr>
        <w:t>地址：</w:t>
      </w:r>
      <w:r>
        <w:rPr>
          <w:rFonts w:ascii="宋体" w:hAnsi="宋体" w:cs="仿宋"/>
          <w:color w:val="auto"/>
          <w:sz w:val="22"/>
        </w:rPr>
        <w:t xml:space="preserve"> </w:t>
      </w:r>
      <w:r>
        <w:rPr>
          <w:rFonts w:hint="eastAsia" w:ascii="宋体" w:hAnsi="宋体" w:cs="仿宋"/>
          <w:color w:val="auto"/>
          <w:sz w:val="22"/>
          <w:u w:val="dotted"/>
        </w:rPr>
        <w:t xml:space="preserve">                        </w:t>
      </w:r>
      <w:r>
        <w:rPr>
          <w:rFonts w:hint="eastAsia" w:ascii="宋体" w:hAnsi="宋体" w:cs="仿宋"/>
          <w:color w:val="auto"/>
          <w:sz w:val="22"/>
        </w:rPr>
        <w:t>邮编：</w:t>
      </w:r>
      <w:r>
        <w:rPr>
          <w:rFonts w:hint="eastAsia" w:ascii="宋体" w:hAnsi="宋体" w:cs="仿宋"/>
          <w:color w:val="auto"/>
          <w:sz w:val="22"/>
          <w:u w:val="dotted"/>
        </w:rPr>
        <w:t xml:space="preserve">                           </w:t>
      </w:r>
    </w:p>
    <w:p>
      <w:pPr>
        <w:adjustRightInd w:val="0"/>
        <w:snapToGrid w:val="0"/>
        <w:spacing w:line="360" w:lineRule="auto"/>
        <w:rPr>
          <w:rFonts w:ascii="宋体" w:hAnsi="宋体" w:cs="仿宋"/>
          <w:b/>
          <w:color w:val="auto"/>
          <w:sz w:val="22"/>
        </w:rPr>
      </w:pPr>
      <w:r>
        <w:rPr>
          <w:rFonts w:hint="eastAsia" w:ascii="宋体" w:hAnsi="宋体" w:cs="仿宋"/>
          <w:b/>
          <w:color w:val="auto"/>
          <w:sz w:val="22"/>
        </w:rPr>
        <w:t>质疑函补正文书、质疑回复送达方式确认，按质疑供应商确认的送达方式进行文书送达视同送达。</w:t>
      </w:r>
    </w:p>
    <w:p>
      <w:pPr>
        <w:adjustRightInd w:val="0"/>
        <w:snapToGrid w:val="0"/>
        <w:spacing w:line="360" w:lineRule="auto"/>
        <w:rPr>
          <w:rFonts w:ascii="宋体" w:hAnsi="宋体" w:cs="仿宋"/>
          <w:color w:val="auto"/>
          <w:sz w:val="22"/>
        </w:rPr>
      </w:pPr>
      <w:r>
        <w:rPr>
          <w:rFonts w:hint="eastAsia" w:ascii="宋体" w:hAnsi="宋体" w:cs="仿宋"/>
          <w:color w:val="auto"/>
          <w:sz w:val="22"/>
        </w:rPr>
        <w:t>确认电子邮件送达：</w:t>
      </w:r>
      <w:r>
        <w:rPr>
          <w:rFonts w:ascii="宋体" w:hAnsi="宋体" w:cs="仿宋"/>
          <w:color w:val="auto"/>
          <w:sz w:val="22"/>
        </w:rPr>
        <w:t xml:space="preserve"> </w:t>
      </w:r>
      <w:r>
        <w:rPr>
          <w:rFonts w:hint="eastAsia" w:ascii="宋体" w:hAnsi="宋体" w:cs="仿宋"/>
          <w:color w:val="auto"/>
          <w:sz w:val="22"/>
          <w:u w:val="dotted"/>
        </w:rPr>
        <w:t xml:space="preserve">                        </w:t>
      </w:r>
      <w:r>
        <w:rPr>
          <w:rFonts w:hint="eastAsia" w:ascii="宋体" w:hAnsi="宋体" w:cs="仿宋"/>
          <w:color w:val="auto"/>
          <w:sz w:val="22"/>
        </w:rPr>
        <w:t>或</w:t>
      </w:r>
    </w:p>
    <w:p>
      <w:pPr>
        <w:adjustRightInd w:val="0"/>
        <w:snapToGrid w:val="0"/>
        <w:spacing w:line="360" w:lineRule="auto"/>
        <w:rPr>
          <w:rFonts w:ascii="宋体" w:hAnsi="宋体" w:cs="仿宋"/>
          <w:color w:val="auto"/>
          <w:sz w:val="22"/>
          <w:u w:val="dotted"/>
        </w:rPr>
      </w:pPr>
      <w:r>
        <w:rPr>
          <w:rFonts w:hint="eastAsia" w:ascii="宋体" w:hAnsi="宋体" w:cs="仿宋"/>
          <w:color w:val="auto"/>
          <w:sz w:val="22"/>
        </w:rPr>
        <w:t>确认传真送达：</w:t>
      </w:r>
      <w:r>
        <w:rPr>
          <w:rFonts w:ascii="宋体" w:hAnsi="宋体" w:cs="仿宋"/>
          <w:color w:val="auto"/>
          <w:sz w:val="22"/>
        </w:rPr>
        <w:t xml:space="preserve"> </w:t>
      </w:r>
      <w:r>
        <w:rPr>
          <w:rFonts w:hint="eastAsia" w:ascii="宋体" w:hAnsi="宋体" w:cs="仿宋"/>
          <w:color w:val="auto"/>
          <w:sz w:val="22"/>
          <w:u w:val="dotted"/>
        </w:rPr>
        <w:t xml:space="preserve">                            </w:t>
      </w:r>
      <w:r>
        <w:rPr>
          <w:rFonts w:hint="eastAsia" w:ascii="宋体" w:hAnsi="宋体" w:cs="仿宋"/>
          <w:color w:val="auto"/>
          <w:sz w:val="22"/>
        </w:rPr>
        <w:t>或</w:t>
      </w:r>
    </w:p>
    <w:p>
      <w:pPr>
        <w:adjustRightInd w:val="0"/>
        <w:snapToGrid w:val="0"/>
        <w:spacing w:line="360" w:lineRule="auto"/>
        <w:rPr>
          <w:rFonts w:ascii="宋体" w:hAnsi="宋体" w:cs="仿宋"/>
          <w:color w:val="auto"/>
          <w:sz w:val="22"/>
        </w:rPr>
      </w:pPr>
      <w:r>
        <w:rPr>
          <w:rFonts w:hint="eastAsia" w:ascii="宋体" w:hAnsi="宋体" w:cs="仿宋"/>
          <w:color w:val="auto"/>
          <w:sz w:val="22"/>
        </w:rPr>
        <w:t>其他方式：</w:t>
      </w:r>
      <w:r>
        <w:rPr>
          <w:rFonts w:hint="eastAsia" w:ascii="宋体" w:hAnsi="宋体" w:cs="仿宋"/>
          <w:color w:val="auto"/>
          <w:sz w:val="22"/>
          <w:u w:val="dotted"/>
        </w:rPr>
        <w:t xml:space="preserve">                            </w:t>
      </w:r>
    </w:p>
    <w:p>
      <w:pPr>
        <w:adjustRightInd w:val="0"/>
        <w:snapToGrid w:val="0"/>
        <w:spacing w:line="360" w:lineRule="auto"/>
        <w:rPr>
          <w:rFonts w:ascii="宋体" w:hAnsi="宋体" w:cs="仿宋"/>
          <w:bCs/>
          <w:color w:val="auto"/>
          <w:sz w:val="22"/>
        </w:rPr>
      </w:pPr>
      <w:r>
        <w:rPr>
          <w:rFonts w:hint="eastAsia" w:ascii="宋体" w:hAnsi="宋体" w:cs="仿宋"/>
          <w:bCs/>
          <w:color w:val="auto"/>
          <w:sz w:val="22"/>
        </w:rPr>
        <w:t>二、质疑项目基本情况</w:t>
      </w:r>
    </w:p>
    <w:p>
      <w:pPr>
        <w:adjustRightInd w:val="0"/>
        <w:snapToGrid w:val="0"/>
        <w:spacing w:line="360" w:lineRule="auto"/>
        <w:rPr>
          <w:rFonts w:ascii="宋体" w:hAnsi="宋体" w:cs="仿宋"/>
          <w:color w:val="auto"/>
          <w:sz w:val="22"/>
        </w:rPr>
      </w:pPr>
      <w:r>
        <w:rPr>
          <w:rFonts w:hint="eastAsia" w:ascii="宋体" w:hAnsi="宋体" w:cs="仿宋"/>
          <w:color w:val="auto"/>
          <w:sz w:val="22"/>
        </w:rPr>
        <w:t>质疑项目的名称：</w:t>
      </w:r>
      <w:r>
        <w:rPr>
          <w:rFonts w:hint="eastAsia" w:ascii="宋体" w:hAnsi="宋体" w:cs="仿宋"/>
          <w:color w:val="auto"/>
          <w:sz w:val="22"/>
          <w:u w:val="dotted"/>
        </w:rPr>
        <w:t xml:space="preserve">                                      </w:t>
      </w:r>
    </w:p>
    <w:p>
      <w:pPr>
        <w:adjustRightInd w:val="0"/>
        <w:snapToGrid w:val="0"/>
        <w:spacing w:line="360" w:lineRule="auto"/>
        <w:rPr>
          <w:rFonts w:ascii="宋体" w:hAnsi="宋体" w:cs="仿宋"/>
          <w:color w:val="auto"/>
          <w:sz w:val="22"/>
        </w:rPr>
      </w:pPr>
      <w:r>
        <w:rPr>
          <w:rFonts w:hint="eastAsia" w:ascii="宋体" w:hAnsi="宋体" w:cs="仿宋"/>
          <w:color w:val="auto"/>
          <w:sz w:val="22"/>
        </w:rPr>
        <w:t>质疑项目的编号：</w:t>
      </w:r>
      <w:r>
        <w:rPr>
          <w:rFonts w:hint="eastAsia" w:ascii="宋体" w:hAnsi="宋体" w:cs="仿宋"/>
          <w:color w:val="auto"/>
          <w:sz w:val="22"/>
          <w:u w:val="dotted"/>
        </w:rPr>
        <w:t xml:space="preserve">               </w:t>
      </w:r>
      <w:r>
        <w:rPr>
          <w:rFonts w:hint="eastAsia" w:ascii="宋体" w:hAnsi="宋体" w:cs="仿宋"/>
          <w:color w:val="auto"/>
          <w:sz w:val="22"/>
        </w:rPr>
        <w:t>包号：</w:t>
      </w:r>
      <w:r>
        <w:rPr>
          <w:rFonts w:hint="eastAsia" w:ascii="宋体" w:hAnsi="宋体" w:cs="仿宋"/>
          <w:color w:val="auto"/>
          <w:sz w:val="22"/>
          <w:u w:val="dotted"/>
        </w:rPr>
        <w:t xml:space="preserve">                 </w:t>
      </w:r>
    </w:p>
    <w:p>
      <w:pPr>
        <w:adjustRightInd w:val="0"/>
        <w:snapToGrid w:val="0"/>
        <w:spacing w:line="360" w:lineRule="auto"/>
        <w:rPr>
          <w:rFonts w:ascii="宋体" w:hAnsi="宋体" w:cs="仿宋"/>
          <w:color w:val="auto"/>
          <w:sz w:val="22"/>
          <w:u w:val="dotted"/>
        </w:rPr>
      </w:pPr>
      <w:r>
        <w:rPr>
          <w:rFonts w:hint="eastAsia" w:ascii="宋体" w:hAnsi="宋体" w:cs="仿宋"/>
          <w:color w:val="auto"/>
          <w:sz w:val="22"/>
        </w:rPr>
        <w:t>采购人名称：</w:t>
      </w:r>
      <w:r>
        <w:rPr>
          <w:rFonts w:hint="eastAsia" w:ascii="宋体" w:hAnsi="宋体" w:cs="仿宋"/>
          <w:color w:val="auto"/>
          <w:sz w:val="22"/>
          <w:u w:val="dotted"/>
        </w:rPr>
        <w:t xml:space="preserve">                                         </w:t>
      </w:r>
    </w:p>
    <w:p>
      <w:pPr>
        <w:adjustRightInd w:val="0"/>
        <w:snapToGrid w:val="0"/>
        <w:spacing w:line="360" w:lineRule="auto"/>
        <w:rPr>
          <w:rFonts w:ascii="宋体" w:hAnsi="宋体" w:cs="仿宋"/>
          <w:color w:val="auto"/>
          <w:sz w:val="22"/>
        </w:rPr>
      </w:pPr>
      <w:r>
        <w:rPr>
          <w:rFonts w:hint="eastAsia" w:ascii="宋体" w:hAnsi="宋体" w:cs="仿宋"/>
          <w:color w:val="auto"/>
          <w:sz w:val="22"/>
        </w:rPr>
        <w:t>采购文件获取日期：</w:t>
      </w:r>
      <w:r>
        <w:rPr>
          <w:rFonts w:hint="eastAsia" w:ascii="宋体" w:hAnsi="宋体" w:cs="仿宋"/>
          <w:color w:val="auto"/>
          <w:sz w:val="22"/>
          <w:u w:val="dotted"/>
        </w:rPr>
        <w:t xml:space="preserve">                                           </w:t>
      </w:r>
    </w:p>
    <w:p>
      <w:pPr>
        <w:adjustRightInd w:val="0"/>
        <w:snapToGrid w:val="0"/>
        <w:spacing w:line="360" w:lineRule="auto"/>
        <w:rPr>
          <w:rFonts w:ascii="宋体" w:hAnsi="宋体" w:cs="仿宋"/>
          <w:bCs/>
          <w:color w:val="auto"/>
          <w:sz w:val="22"/>
        </w:rPr>
      </w:pPr>
      <w:r>
        <w:rPr>
          <w:rFonts w:hint="eastAsia" w:ascii="宋体" w:hAnsi="宋体" w:cs="仿宋"/>
          <w:bCs/>
          <w:color w:val="auto"/>
          <w:sz w:val="22"/>
        </w:rPr>
        <w:t>三、质疑事项具体内容</w:t>
      </w:r>
    </w:p>
    <w:p>
      <w:pPr>
        <w:adjustRightInd w:val="0"/>
        <w:snapToGrid w:val="0"/>
        <w:spacing w:line="360" w:lineRule="auto"/>
        <w:rPr>
          <w:rFonts w:ascii="宋体" w:hAnsi="宋体" w:cs="仿宋"/>
          <w:color w:val="auto"/>
          <w:sz w:val="22"/>
          <w:u w:val="dotted"/>
        </w:rPr>
      </w:pPr>
      <w:r>
        <w:rPr>
          <w:rFonts w:hint="eastAsia" w:ascii="宋体" w:hAnsi="宋体" w:cs="仿宋"/>
          <w:color w:val="auto"/>
          <w:sz w:val="22"/>
        </w:rPr>
        <w:t>质疑事项1：</w:t>
      </w:r>
      <w:r>
        <w:rPr>
          <w:rFonts w:hint="eastAsia" w:ascii="宋体" w:hAnsi="宋体" w:cs="仿宋"/>
          <w:color w:val="auto"/>
          <w:sz w:val="22"/>
          <w:u w:val="dotted"/>
        </w:rPr>
        <w:t xml:space="preserve">                                         </w:t>
      </w:r>
    </w:p>
    <w:p>
      <w:pPr>
        <w:adjustRightInd w:val="0"/>
        <w:snapToGrid w:val="0"/>
        <w:spacing w:line="360" w:lineRule="auto"/>
        <w:rPr>
          <w:rFonts w:ascii="宋体" w:hAnsi="宋体" w:cs="仿宋"/>
          <w:color w:val="auto"/>
          <w:sz w:val="22"/>
          <w:u w:val="dotted"/>
        </w:rPr>
      </w:pPr>
      <w:r>
        <w:rPr>
          <w:rFonts w:hint="eastAsia" w:ascii="宋体" w:hAnsi="宋体" w:cs="仿宋"/>
          <w:color w:val="auto"/>
          <w:sz w:val="22"/>
        </w:rPr>
        <w:t>事实依据：</w:t>
      </w:r>
      <w:r>
        <w:rPr>
          <w:rFonts w:hint="eastAsia" w:ascii="宋体" w:hAnsi="宋体" w:cs="仿宋"/>
          <w:color w:val="auto"/>
          <w:sz w:val="22"/>
          <w:u w:val="dotted"/>
        </w:rPr>
        <w:t xml:space="preserve">                                          </w:t>
      </w:r>
    </w:p>
    <w:p>
      <w:pPr>
        <w:adjustRightInd w:val="0"/>
        <w:snapToGrid w:val="0"/>
        <w:spacing w:line="360" w:lineRule="auto"/>
        <w:rPr>
          <w:rFonts w:ascii="宋体" w:hAnsi="宋体" w:cs="仿宋"/>
          <w:color w:val="auto"/>
          <w:sz w:val="22"/>
        </w:rPr>
      </w:pPr>
      <w:r>
        <w:rPr>
          <w:rFonts w:hint="eastAsia" w:ascii="宋体" w:hAnsi="宋体" w:cs="仿宋"/>
          <w:color w:val="auto"/>
          <w:sz w:val="22"/>
          <w:u w:val="dotted"/>
        </w:rPr>
        <w:t xml:space="preserve">                                                       </w:t>
      </w:r>
    </w:p>
    <w:p>
      <w:pPr>
        <w:adjustRightInd w:val="0"/>
        <w:snapToGrid w:val="0"/>
        <w:spacing w:line="360" w:lineRule="auto"/>
        <w:rPr>
          <w:rFonts w:ascii="宋体" w:hAnsi="宋体" w:cs="仿宋"/>
          <w:color w:val="auto"/>
          <w:sz w:val="22"/>
          <w:u w:val="dotted"/>
        </w:rPr>
      </w:pPr>
      <w:r>
        <w:rPr>
          <w:rFonts w:hint="eastAsia" w:ascii="宋体" w:hAnsi="宋体" w:cs="仿宋"/>
          <w:color w:val="auto"/>
          <w:sz w:val="22"/>
        </w:rPr>
        <w:t>法律依据：</w:t>
      </w:r>
      <w:r>
        <w:rPr>
          <w:rFonts w:hint="eastAsia" w:ascii="宋体" w:hAnsi="宋体" w:cs="仿宋"/>
          <w:color w:val="auto"/>
          <w:sz w:val="22"/>
          <w:u w:val="dotted"/>
        </w:rPr>
        <w:t xml:space="preserve">                                          </w:t>
      </w:r>
    </w:p>
    <w:p>
      <w:pPr>
        <w:adjustRightInd w:val="0"/>
        <w:snapToGrid w:val="0"/>
        <w:spacing w:line="360" w:lineRule="auto"/>
        <w:rPr>
          <w:rFonts w:ascii="宋体" w:hAnsi="宋体" w:cs="仿宋"/>
          <w:color w:val="auto"/>
          <w:sz w:val="22"/>
          <w:u w:val="dotted"/>
        </w:rPr>
      </w:pPr>
      <w:r>
        <w:rPr>
          <w:rFonts w:hint="eastAsia" w:ascii="宋体" w:hAnsi="宋体" w:cs="仿宋"/>
          <w:color w:val="auto"/>
          <w:sz w:val="22"/>
          <w:u w:val="dotted"/>
        </w:rPr>
        <w:t xml:space="preserve">                                                     </w:t>
      </w:r>
    </w:p>
    <w:p>
      <w:pPr>
        <w:adjustRightInd w:val="0"/>
        <w:snapToGrid w:val="0"/>
        <w:spacing w:line="360" w:lineRule="auto"/>
        <w:rPr>
          <w:rFonts w:ascii="宋体" w:hAnsi="宋体" w:cs="仿宋"/>
          <w:color w:val="auto"/>
          <w:sz w:val="22"/>
          <w:u w:val="dotted"/>
        </w:rPr>
      </w:pPr>
      <w:r>
        <w:rPr>
          <w:rFonts w:hint="eastAsia" w:ascii="宋体" w:hAnsi="宋体" w:cs="仿宋"/>
          <w:color w:val="auto"/>
          <w:sz w:val="22"/>
        </w:rPr>
        <w:t>质疑事项2</w:t>
      </w:r>
    </w:p>
    <w:p>
      <w:pPr>
        <w:adjustRightInd w:val="0"/>
        <w:snapToGrid w:val="0"/>
        <w:spacing w:line="360" w:lineRule="auto"/>
        <w:rPr>
          <w:rFonts w:ascii="宋体" w:hAnsi="宋体" w:cs="仿宋"/>
          <w:color w:val="auto"/>
          <w:sz w:val="22"/>
        </w:rPr>
      </w:pPr>
      <w:r>
        <w:rPr>
          <w:rFonts w:hint="eastAsia" w:ascii="宋体" w:hAnsi="宋体" w:cs="仿宋"/>
          <w:color w:val="auto"/>
          <w:sz w:val="22"/>
        </w:rPr>
        <w:t>……</w:t>
      </w:r>
    </w:p>
    <w:p>
      <w:pPr>
        <w:adjustRightInd w:val="0"/>
        <w:snapToGrid w:val="0"/>
        <w:spacing w:line="360" w:lineRule="auto"/>
        <w:rPr>
          <w:rFonts w:ascii="宋体" w:hAnsi="宋体" w:cs="仿宋"/>
          <w:bCs/>
          <w:color w:val="auto"/>
          <w:sz w:val="22"/>
        </w:rPr>
      </w:pPr>
    </w:p>
    <w:p>
      <w:pPr>
        <w:adjustRightInd w:val="0"/>
        <w:snapToGrid w:val="0"/>
        <w:spacing w:line="360" w:lineRule="auto"/>
        <w:rPr>
          <w:rFonts w:ascii="宋体" w:hAnsi="宋体" w:cs="仿宋"/>
          <w:bCs/>
          <w:color w:val="auto"/>
          <w:sz w:val="22"/>
        </w:rPr>
      </w:pPr>
      <w:r>
        <w:rPr>
          <w:rFonts w:hint="eastAsia" w:ascii="宋体" w:hAnsi="宋体" w:cs="仿宋"/>
          <w:bCs/>
          <w:color w:val="auto"/>
          <w:sz w:val="22"/>
        </w:rPr>
        <w:t>四、与质疑事项相关的质疑请求</w:t>
      </w:r>
    </w:p>
    <w:p>
      <w:pPr>
        <w:adjustRightInd w:val="0"/>
        <w:snapToGrid w:val="0"/>
        <w:spacing w:line="360" w:lineRule="auto"/>
        <w:rPr>
          <w:rFonts w:ascii="宋体" w:hAnsi="宋体" w:cs="仿宋"/>
          <w:color w:val="auto"/>
          <w:sz w:val="22"/>
          <w:u w:val="dotted"/>
        </w:rPr>
      </w:pPr>
      <w:r>
        <w:rPr>
          <w:rFonts w:hint="eastAsia" w:ascii="宋体" w:hAnsi="宋体" w:cs="仿宋"/>
          <w:color w:val="auto"/>
          <w:sz w:val="22"/>
        </w:rPr>
        <w:t>请求：</w:t>
      </w:r>
      <w:r>
        <w:rPr>
          <w:rFonts w:hint="eastAsia" w:ascii="宋体" w:hAnsi="宋体" w:cs="仿宋"/>
          <w:color w:val="auto"/>
          <w:sz w:val="22"/>
          <w:u w:val="dotted"/>
        </w:rPr>
        <w:t xml:space="preserve">                                               </w:t>
      </w:r>
    </w:p>
    <w:p>
      <w:pPr>
        <w:spacing w:line="360" w:lineRule="auto"/>
        <w:rPr>
          <w:rFonts w:ascii="宋体" w:hAnsi="宋体"/>
          <w:color w:val="auto"/>
          <w:sz w:val="22"/>
        </w:rPr>
      </w:pPr>
      <w:r>
        <w:rPr>
          <w:rFonts w:hint="eastAsia" w:ascii="宋体" w:hAnsi="宋体"/>
          <w:color w:val="auto"/>
          <w:sz w:val="22"/>
        </w:rPr>
        <w:t xml:space="preserve">签字(签章)：                   公章：                      </w:t>
      </w:r>
    </w:p>
    <w:p>
      <w:pPr>
        <w:spacing w:line="360" w:lineRule="auto"/>
        <w:rPr>
          <w:rFonts w:ascii="宋体" w:hAnsi="宋体"/>
          <w:color w:val="auto"/>
          <w:sz w:val="22"/>
        </w:rPr>
      </w:pPr>
      <w:r>
        <w:rPr>
          <w:rFonts w:hint="eastAsia" w:ascii="宋体" w:hAnsi="宋体"/>
          <w:color w:val="auto"/>
          <w:sz w:val="22"/>
        </w:rPr>
        <w:t xml:space="preserve">日期：    </w:t>
      </w:r>
    </w:p>
    <w:p>
      <w:pPr>
        <w:adjustRightInd w:val="0"/>
        <w:snapToGrid w:val="0"/>
        <w:spacing w:line="360" w:lineRule="auto"/>
        <w:rPr>
          <w:rFonts w:ascii="宋体" w:hAnsi="宋体" w:cs="仿宋"/>
          <w:color w:val="auto"/>
          <w:sz w:val="24"/>
        </w:rPr>
      </w:pPr>
    </w:p>
    <w:p>
      <w:pPr>
        <w:spacing w:line="360" w:lineRule="auto"/>
        <w:rPr>
          <w:rFonts w:ascii="宋体" w:hAnsi="宋体"/>
          <w:b/>
          <w:color w:val="auto"/>
        </w:rPr>
      </w:pPr>
      <w:r>
        <w:rPr>
          <w:rFonts w:hint="eastAsia" w:ascii="宋体" w:hAnsi="宋体"/>
          <w:b/>
          <w:color w:val="auto"/>
        </w:rPr>
        <w:t>质疑函制作说明：</w:t>
      </w:r>
    </w:p>
    <w:p>
      <w:pPr>
        <w:widowControl/>
        <w:spacing w:line="360" w:lineRule="auto"/>
        <w:ind w:firstLine="420" w:firstLineChars="200"/>
        <w:jc w:val="left"/>
        <w:rPr>
          <w:rFonts w:ascii="宋体" w:hAnsi="宋体"/>
          <w:color w:val="auto"/>
        </w:rPr>
      </w:pPr>
      <w:r>
        <w:rPr>
          <w:rFonts w:hint="eastAsia" w:ascii="宋体" w:hAnsi="宋体"/>
          <w:color w:val="auto"/>
        </w:rPr>
        <w:t>1.供应商提出质疑时，应提交质疑函及质疑函电子文档和必要的证明材料。</w:t>
      </w:r>
    </w:p>
    <w:p>
      <w:pPr>
        <w:widowControl/>
        <w:spacing w:line="360" w:lineRule="auto"/>
        <w:ind w:firstLine="420" w:firstLineChars="200"/>
        <w:jc w:val="left"/>
        <w:rPr>
          <w:rFonts w:ascii="宋体" w:hAnsi="宋体"/>
          <w:color w:val="auto"/>
        </w:rPr>
      </w:pPr>
      <w:r>
        <w:rPr>
          <w:rFonts w:hint="eastAsia" w:ascii="宋体" w:hAnsi="宋体"/>
          <w:color w:val="auto"/>
        </w:rPr>
        <w:t>2.质疑供应商若委托代理人进行质疑的，质疑函应按要求列明“授权代表”的有关内容，并在附件中提交由质疑</w:t>
      </w:r>
      <w:r>
        <w:rPr>
          <w:rFonts w:hint="eastAsia" w:ascii="宋体" w:hAnsi="宋体" w:cs="宋体"/>
          <w:color w:val="auto"/>
          <w:kern w:val="0"/>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olor w:val="auto"/>
        </w:rPr>
      </w:pPr>
      <w:r>
        <w:rPr>
          <w:rFonts w:hint="eastAsia" w:ascii="宋体" w:hAnsi="宋体"/>
          <w:color w:val="auto"/>
        </w:rPr>
        <w:t>3.质疑供应商若对项目的某一分包进行质疑，质疑函中应列明具体分包号。</w:t>
      </w:r>
    </w:p>
    <w:p>
      <w:pPr>
        <w:widowControl/>
        <w:spacing w:line="360" w:lineRule="auto"/>
        <w:ind w:firstLine="420" w:firstLineChars="200"/>
        <w:jc w:val="left"/>
        <w:rPr>
          <w:rFonts w:ascii="宋体" w:hAnsi="宋体"/>
          <w:color w:val="auto"/>
        </w:rPr>
      </w:pPr>
      <w:r>
        <w:rPr>
          <w:rFonts w:hint="eastAsia" w:ascii="宋体" w:hAnsi="宋体"/>
          <w:color w:val="auto"/>
        </w:rPr>
        <w:t>4.质疑函的质疑事项应具体、明确，并有必要的事实依据和法律依据。</w:t>
      </w:r>
    </w:p>
    <w:p>
      <w:pPr>
        <w:widowControl/>
        <w:spacing w:line="360" w:lineRule="auto"/>
        <w:ind w:firstLine="420" w:firstLineChars="200"/>
        <w:jc w:val="left"/>
        <w:rPr>
          <w:rFonts w:ascii="宋体" w:hAnsi="宋体"/>
          <w:color w:val="auto"/>
        </w:rPr>
      </w:pPr>
      <w:r>
        <w:rPr>
          <w:rFonts w:hint="eastAsia" w:ascii="宋体" w:hAnsi="宋体"/>
          <w:color w:val="auto"/>
        </w:rPr>
        <w:t>5.质疑函的质疑请求应与质疑事项相关。</w:t>
      </w:r>
    </w:p>
    <w:p>
      <w:pPr>
        <w:widowControl/>
        <w:spacing w:line="360" w:lineRule="auto"/>
        <w:ind w:firstLine="420" w:firstLineChars="200"/>
        <w:jc w:val="left"/>
        <w:rPr>
          <w:rFonts w:ascii="宋体" w:hAnsi="宋体"/>
          <w:color w:val="auto"/>
        </w:rPr>
      </w:pPr>
      <w:r>
        <w:rPr>
          <w:rFonts w:hint="eastAsia" w:ascii="宋体" w:hAnsi="宋体"/>
          <w:color w:val="auto"/>
        </w:rPr>
        <w:t>6.质疑供应商为自然人的，质疑函应由本人签字；质疑供应商为法人或者其他组织的，质疑函应由法定代表人、主要负责人，或者其授权代表签字或者盖章，并加盖公章。</w:t>
      </w:r>
    </w:p>
    <w:p>
      <w:pPr>
        <w:spacing w:line="360" w:lineRule="auto"/>
        <w:rPr>
          <w:rFonts w:ascii="宋体" w:hAnsi="宋体"/>
          <w:b/>
          <w:color w:val="auto"/>
          <w:szCs w:val="21"/>
        </w:rPr>
      </w:pPr>
    </w:p>
    <w:p>
      <w:pPr>
        <w:spacing w:line="360" w:lineRule="auto"/>
        <w:rPr>
          <w:rFonts w:ascii="宋体" w:hAnsi="宋体"/>
          <w:b/>
          <w:color w:val="auto"/>
          <w:szCs w:val="21"/>
        </w:rPr>
      </w:pPr>
    </w:p>
    <w:p>
      <w:pPr>
        <w:widowControl/>
        <w:jc w:val="left"/>
        <w:rPr>
          <w:rFonts w:ascii="宋体" w:hAnsi="宋体"/>
          <w:b/>
          <w:color w:val="auto"/>
          <w:szCs w:val="21"/>
        </w:rPr>
      </w:pPr>
      <w:r>
        <w:rPr>
          <w:rFonts w:ascii="宋体" w:hAnsi="宋体"/>
          <w:b/>
          <w:color w:val="auto"/>
          <w:szCs w:val="21"/>
        </w:rPr>
        <w:br w:type="page"/>
      </w:r>
    </w:p>
    <w:p>
      <w:pPr>
        <w:jc w:val="center"/>
        <w:rPr>
          <w:rFonts w:ascii="宋体" w:hAnsi="宋体" w:cs="宋体"/>
          <w:b/>
          <w:bCs/>
          <w:color w:val="auto"/>
          <w:sz w:val="28"/>
          <w:szCs w:val="44"/>
        </w:rPr>
      </w:pPr>
      <w:r>
        <w:rPr>
          <w:rFonts w:hint="eastAsia" w:ascii="宋体" w:hAnsi="宋体" w:cs="宋体"/>
          <w:b/>
          <w:bCs/>
          <w:color w:val="auto"/>
          <w:sz w:val="28"/>
          <w:szCs w:val="44"/>
        </w:rPr>
        <w:t>投诉书</w:t>
      </w:r>
    </w:p>
    <w:p>
      <w:pPr>
        <w:rPr>
          <w:rFonts w:ascii="宋体" w:hAnsi="宋体"/>
          <w:color w:val="auto"/>
          <w:sz w:val="22"/>
        </w:rPr>
      </w:pPr>
      <w:r>
        <w:rPr>
          <w:rFonts w:hint="eastAsia" w:ascii="宋体" w:hAnsi="宋体"/>
          <w:color w:val="auto"/>
          <w:sz w:val="22"/>
        </w:rPr>
        <w:t>一、投诉相关主体基本情况</w:t>
      </w:r>
    </w:p>
    <w:p>
      <w:pPr>
        <w:rPr>
          <w:rFonts w:ascii="宋体" w:hAnsi="宋体"/>
          <w:color w:val="auto"/>
          <w:sz w:val="22"/>
          <w:u w:val="dotted"/>
        </w:rPr>
      </w:pPr>
      <w:r>
        <w:rPr>
          <w:rFonts w:hint="eastAsia" w:ascii="宋体" w:hAnsi="宋体"/>
          <w:color w:val="auto"/>
          <w:sz w:val="22"/>
        </w:rPr>
        <w:t>投诉人：</w:t>
      </w:r>
      <w:r>
        <w:rPr>
          <w:rFonts w:hint="eastAsia" w:ascii="宋体" w:hAnsi="宋体"/>
          <w:color w:val="auto"/>
          <w:sz w:val="22"/>
          <w:u w:val="dotted"/>
        </w:rPr>
        <w:t xml:space="preserve">                                              </w:t>
      </w:r>
    </w:p>
    <w:p>
      <w:pPr>
        <w:rPr>
          <w:rFonts w:ascii="宋体" w:hAnsi="宋体"/>
          <w:color w:val="auto"/>
          <w:sz w:val="22"/>
          <w:u w:val="single"/>
        </w:rPr>
      </w:pPr>
      <w:r>
        <w:rPr>
          <w:rFonts w:hint="eastAsia" w:ascii="宋体" w:hAnsi="宋体"/>
          <w:color w:val="auto"/>
          <w:sz w:val="22"/>
        </w:rPr>
        <w:t>地     址：</w:t>
      </w:r>
      <w:r>
        <w:rPr>
          <w:rFonts w:hint="eastAsia" w:ascii="宋体" w:hAnsi="宋体"/>
          <w:color w:val="auto"/>
          <w:sz w:val="22"/>
          <w:u w:val="dotted"/>
        </w:rPr>
        <w:t xml:space="preserve">                             </w:t>
      </w:r>
      <w:r>
        <w:rPr>
          <w:rFonts w:hint="eastAsia" w:ascii="宋体" w:hAnsi="宋体"/>
          <w:color w:val="auto"/>
          <w:sz w:val="22"/>
        </w:rPr>
        <w:t>邮编：</w:t>
      </w:r>
      <w:r>
        <w:rPr>
          <w:rFonts w:hint="eastAsia" w:ascii="宋体" w:hAnsi="宋体"/>
          <w:color w:val="auto"/>
          <w:sz w:val="22"/>
          <w:u w:val="dotted"/>
        </w:rPr>
        <w:t xml:space="preserve">        </w:t>
      </w:r>
    </w:p>
    <w:p>
      <w:pPr>
        <w:tabs>
          <w:tab w:val="left" w:pos="6510"/>
        </w:tabs>
        <w:jc w:val="left"/>
        <w:rPr>
          <w:rFonts w:ascii="宋体" w:hAnsi="宋体"/>
          <w:color w:val="auto"/>
          <w:sz w:val="22"/>
        </w:rPr>
      </w:pPr>
      <w:r>
        <w:rPr>
          <w:rFonts w:hint="eastAsia" w:ascii="宋体" w:hAnsi="宋体"/>
          <w:color w:val="auto"/>
          <w:sz w:val="22"/>
        </w:rPr>
        <w:t>法定代表人/主要负责人：</w:t>
      </w:r>
      <w:r>
        <w:rPr>
          <w:rFonts w:hint="eastAsia" w:ascii="宋体" w:hAnsi="宋体"/>
          <w:color w:val="auto"/>
          <w:sz w:val="22"/>
          <w:u w:val="dotted"/>
        </w:rPr>
        <w:t xml:space="preserve">                               </w:t>
      </w:r>
    </w:p>
    <w:p>
      <w:pPr>
        <w:tabs>
          <w:tab w:val="left" w:pos="6510"/>
        </w:tabs>
        <w:rPr>
          <w:rFonts w:ascii="宋体" w:hAnsi="宋体"/>
          <w:color w:val="auto"/>
          <w:sz w:val="22"/>
          <w:u w:val="dotted"/>
        </w:rPr>
      </w:pPr>
      <w:r>
        <w:rPr>
          <w:rFonts w:hint="eastAsia" w:ascii="宋体" w:hAnsi="宋体"/>
          <w:color w:val="auto"/>
          <w:sz w:val="22"/>
        </w:rPr>
        <w:t>联系电话：</w:t>
      </w:r>
      <w:r>
        <w:rPr>
          <w:rFonts w:hint="eastAsia" w:ascii="宋体" w:hAnsi="宋体"/>
          <w:color w:val="auto"/>
          <w:sz w:val="22"/>
          <w:u w:val="dotted"/>
        </w:rPr>
        <w:t xml:space="preserve">                                            </w:t>
      </w:r>
    </w:p>
    <w:p>
      <w:pPr>
        <w:rPr>
          <w:rFonts w:ascii="宋体" w:hAnsi="宋体"/>
          <w:color w:val="auto"/>
          <w:sz w:val="22"/>
          <w:u w:val="dotted"/>
        </w:rPr>
      </w:pPr>
      <w:r>
        <w:rPr>
          <w:rFonts w:hint="eastAsia" w:ascii="宋体" w:hAnsi="宋体"/>
          <w:color w:val="auto"/>
          <w:sz w:val="22"/>
        </w:rPr>
        <w:t>授权代表：</w:t>
      </w:r>
      <w:r>
        <w:rPr>
          <w:rFonts w:hint="eastAsia" w:ascii="宋体" w:hAnsi="宋体"/>
          <w:color w:val="auto"/>
          <w:sz w:val="22"/>
          <w:u w:val="dotted"/>
        </w:rPr>
        <w:t xml:space="preserve">             </w:t>
      </w:r>
      <w:r>
        <w:rPr>
          <w:rFonts w:hint="eastAsia" w:ascii="宋体" w:hAnsi="宋体"/>
          <w:color w:val="auto"/>
          <w:sz w:val="22"/>
        </w:rPr>
        <w:t>联系电话</w:t>
      </w:r>
      <w:r>
        <w:rPr>
          <w:rFonts w:hint="eastAsia" w:ascii="宋体" w:hAnsi="宋体"/>
          <w:color w:val="auto"/>
          <w:sz w:val="22"/>
          <w:u w:val="dotted"/>
        </w:rPr>
        <w:t xml:space="preserve">：                  </w:t>
      </w:r>
    </w:p>
    <w:p>
      <w:pPr>
        <w:rPr>
          <w:rFonts w:ascii="宋体" w:hAnsi="宋体"/>
          <w:color w:val="auto"/>
          <w:sz w:val="22"/>
          <w:u w:val="dotted"/>
        </w:rPr>
      </w:pPr>
      <w:r>
        <w:rPr>
          <w:rFonts w:hint="eastAsia" w:ascii="宋体" w:hAnsi="宋体"/>
          <w:color w:val="auto"/>
          <w:sz w:val="22"/>
        </w:rPr>
        <w:t>地     址：</w:t>
      </w:r>
      <w:r>
        <w:rPr>
          <w:rFonts w:hint="eastAsia" w:ascii="宋体" w:hAnsi="宋体"/>
          <w:color w:val="auto"/>
          <w:sz w:val="22"/>
          <w:u w:val="dotted"/>
        </w:rPr>
        <w:t xml:space="preserve">                             </w:t>
      </w:r>
      <w:r>
        <w:rPr>
          <w:rFonts w:hint="eastAsia" w:ascii="宋体" w:hAnsi="宋体"/>
          <w:color w:val="auto"/>
          <w:sz w:val="22"/>
        </w:rPr>
        <w:t>邮编：</w:t>
      </w:r>
      <w:r>
        <w:rPr>
          <w:rFonts w:hint="eastAsia" w:ascii="宋体" w:hAnsi="宋体"/>
          <w:color w:val="auto"/>
          <w:sz w:val="22"/>
          <w:u w:val="dotted"/>
        </w:rPr>
        <w:t xml:space="preserve">         </w:t>
      </w:r>
      <w:r>
        <w:rPr>
          <w:rFonts w:hint="eastAsia" w:ascii="宋体" w:hAnsi="宋体"/>
          <w:color w:val="auto"/>
          <w:sz w:val="22"/>
          <w:u w:val="single"/>
        </w:rPr>
        <w:t xml:space="preserve"> </w:t>
      </w:r>
      <w:r>
        <w:rPr>
          <w:rFonts w:hint="eastAsia" w:ascii="宋体" w:hAnsi="宋体"/>
          <w:color w:val="auto"/>
          <w:sz w:val="22"/>
          <w:u w:val="dotted"/>
        </w:rPr>
        <w:t xml:space="preserve">      </w:t>
      </w:r>
    </w:p>
    <w:p>
      <w:pPr>
        <w:rPr>
          <w:rFonts w:ascii="宋体" w:hAnsi="宋体" w:cs="仿宋"/>
          <w:b/>
          <w:color w:val="auto"/>
          <w:sz w:val="22"/>
        </w:rPr>
      </w:pPr>
      <w:r>
        <w:rPr>
          <w:rFonts w:hint="eastAsia" w:ascii="宋体" w:hAnsi="宋体"/>
          <w:b/>
          <w:color w:val="auto"/>
          <w:sz w:val="22"/>
        </w:rPr>
        <w:t>投诉补正通知书、投诉受理通知书、投诉不予受理通知书、投诉调查函的送达方式确认，</w:t>
      </w:r>
      <w:r>
        <w:rPr>
          <w:rFonts w:hint="eastAsia" w:ascii="宋体" w:hAnsi="宋体" w:cs="仿宋"/>
          <w:b/>
          <w:color w:val="auto"/>
          <w:sz w:val="22"/>
        </w:rPr>
        <w:t>按投诉供应商确认的送达方式进行上述文书送达视同送达。</w:t>
      </w:r>
    </w:p>
    <w:p>
      <w:pPr>
        <w:adjustRightInd w:val="0"/>
        <w:snapToGrid w:val="0"/>
        <w:spacing w:line="360" w:lineRule="auto"/>
        <w:rPr>
          <w:rFonts w:ascii="宋体" w:hAnsi="宋体" w:cs="仿宋"/>
          <w:color w:val="auto"/>
          <w:sz w:val="22"/>
        </w:rPr>
      </w:pPr>
      <w:r>
        <w:rPr>
          <w:rFonts w:hint="eastAsia" w:ascii="宋体" w:hAnsi="宋体" w:cs="仿宋"/>
          <w:color w:val="auto"/>
          <w:sz w:val="22"/>
        </w:rPr>
        <w:t>确认电子邮件送达：</w:t>
      </w:r>
      <w:r>
        <w:rPr>
          <w:rFonts w:ascii="宋体" w:hAnsi="宋体" w:cs="仿宋"/>
          <w:color w:val="auto"/>
          <w:sz w:val="22"/>
        </w:rPr>
        <w:t xml:space="preserve"> </w:t>
      </w:r>
      <w:r>
        <w:rPr>
          <w:rFonts w:hint="eastAsia" w:ascii="宋体" w:hAnsi="宋体" w:cs="仿宋"/>
          <w:color w:val="auto"/>
          <w:sz w:val="22"/>
          <w:u w:val="dotted"/>
        </w:rPr>
        <w:t xml:space="preserve">                        </w:t>
      </w:r>
      <w:r>
        <w:rPr>
          <w:rFonts w:hint="eastAsia" w:ascii="宋体" w:hAnsi="宋体" w:cs="仿宋"/>
          <w:color w:val="auto"/>
          <w:sz w:val="22"/>
        </w:rPr>
        <w:t>或</w:t>
      </w:r>
    </w:p>
    <w:p>
      <w:pPr>
        <w:adjustRightInd w:val="0"/>
        <w:snapToGrid w:val="0"/>
        <w:spacing w:line="360" w:lineRule="auto"/>
        <w:rPr>
          <w:rFonts w:ascii="宋体" w:hAnsi="宋体" w:cs="仿宋"/>
          <w:color w:val="auto"/>
          <w:sz w:val="22"/>
          <w:u w:val="dotted"/>
        </w:rPr>
      </w:pPr>
      <w:r>
        <w:rPr>
          <w:rFonts w:hint="eastAsia" w:ascii="宋体" w:hAnsi="宋体" w:cs="仿宋"/>
          <w:color w:val="auto"/>
          <w:sz w:val="22"/>
        </w:rPr>
        <w:t>确认传真送达：</w:t>
      </w:r>
      <w:r>
        <w:rPr>
          <w:rFonts w:ascii="宋体" w:hAnsi="宋体" w:cs="仿宋"/>
          <w:color w:val="auto"/>
          <w:sz w:val="22"/>
        </w:rPr>
        <w:t xml:space="preserve"> </w:t>
      </w:r>
      <w:r>
        <w:rPr>
          <w:rFonts w:hint="eastAsia" w:ascii="宋体" w:hAnsi="宋体" w:cs="仿宋"/>
          <w:color w:val="auto"/>
          <w:sz w:val="22"/>
          <w:u w:val="dotted"/>
        </w:rPr>
        <w:t xml:space="preserve">                            </w:t>
      </w:r>
      <w:r>
        <w:rPr>
          <w:rFonts w:hint="eastAsia" w:ascii="宋体" w:hAnsi="宋体" w:cs="仿宋"/>
          <w:color w:val="auto"/>
          <w:sz w:val="22"/>
        </w:rPr>
        <w:t>或</w:t>
      </w:r>
    </w:p>
    <w:p>
      <w:pPr>
        <w:adjustRightInd w:val="0"/>
        <w:snapToGrid w:val="0"/>
        <w:spacing w:line="360" w:lineRule="auto"/>
        <w:rPr>
          <w:rFonts w:ascii="宋体" w:hAnsi="宋体" w:cs="仿宋"/>
          <w:color w:val="auto"/>
          <w:sz w:val="22"/>
        </w:rPr>
      </w:pPr>
      <w:r>
        <w:rPr>
          <w:rFonts w:hint="eastAsia" w:ascii="宋体" w:hAnsi="宋体" w:cs="仿宋"/>
          <w:color w:val="auto"/>
          <w:sz w:val="22"/>
        </w:rPr>
        <w:t>其他方式：</w:t>
      </w:r>
      <w:r>
        <w:rPr>
          <w:rFonts w:hint="eastAsia" w:ascii="宋体" w:hAnsi="宋体" w:cs="仿宋"/>
          <w:color w:val="auto"/>
          <w:sz w:val="22"/>
          <w:u w:val="dotted"/>
        </w:rPr>
        <w:t xml:space="preserve">                            </w:t>
      </w:r>
    </w:p>
    <w:p>
      <w:pPr>
        <w:rPr>
          <w:rFonts w:ascii="宋体" w:hAnsi="宋体"/>
          <w:color w:val="auto"/>
          <w:sz w:val="22"/>
        </w:rPr>
      </w:pPr>
    </w:p>
    <w:p>
      <w:pPr>
        <w:rPr>
          <w:rFonts w:ascii="宋体" w:hAnsi="宋体"/>
          <w:color w:val="auto"/>
          <w:sz w:val="22"/>
          <w:u w:val="single"/>
        </w:rPr>
      </w:pPr>
      <w:r>
        <w:rPr>
          <w:rFonts w:hint="eastAsia" w:ascii="宋体" w:hAnsi="宋体"/>
          <w:color w:val="auto"/>
          <w:sz w:val="22"/>
        </w:rPr>
        <w:t>被投诉人1：</w:t>
      </w:r>
      <w:r>
        <w:rPr>
          <w:rFonts w:hint="eastAsia" w:ascii="宋体" w:hAnsi="宋体"/>
          <w:color w:val="auto"/>
          <w:sz w:val="22"/>
          <w:u w:val="dotted"/>
        </w:rPr>
        <w:t xml:space="preserve">                                          </w:t>
      </w:r>
    </w:p>
    <w:p>
      <w:pPr>
        <w:rPr>
          <w:rFonts w:ascii="宋体" w:hAnsi="宋体"/>
          <w:color w:val="auto"/>
          <w:sz w:val="22"/>
          <w:u w:val="single"/>
        </w:rPr>
      </w:pPr>
      <w:r>
        <w:rPr>
          <w:rFonts w:hint="eastAsia" w:ascii="宋体" w:hAnsi="宋体"/>
          <w:color w:val="auto"/>
          <w:sz w:val="22"/>
        </w:rPr>
        <w:t>地     址：</w:t>
      </w:r>
      <w:r>
        <w:rPr>
          <w:rFonts w:hint="eastAsia" w:ascii="宋体" w:hAnsi="宋体"/>
          <w:color w:val="auto"/>
          <w:sz w:val="22"/>
          <w:u w:val="dotted"/>
        </w:rPr>
        <w:t xml:space="preserve">                             </w:t>
      </w:r>
      <w:r>
        <w:rPr>
          <w:rFonts w:hint="eastAsia" w:ascii="宋体" w:hAnsi="宋体"/>
          <w:color w:val="auto"/>
          <w:sz w:val="22"/>
        </w:rPr>
        <w:t>邮编：</w:t>
      </w:r>
      <w:r>
        <w:rPr>
          <w:rFonts w:hint="eastAsia" w:ascii="宋体" w:hAnsi="宋体"/>
          <w:color w:val="auto"/>
          <w:sz w:val="22"/>
          <w:u w:val="dotted"/>
        </w:rPr>
        <w:t xml:space="preserve">        </w:t>
      </w:r>
    </w:p>
    <w:p>
      <w:pPr>
        <w:rPr>
          <w:rFonts w:ascii="宋体" w:hAnsi="宋体"/>
          <w:color w:val="auto"/>
          <w:sz w:val="22"/>
          <w:u w:val="single"/>
        </w:rPr>
      </w:pPr>
      <w:r>
        <w:rPr>
          <w:rFonts w:hint="eastAsia" w:ascii="宋体" w:hAnsi="宋体"/>
          <w:color w:val="auto"/>
          <w:sz w:val="22"/>
        </w:rPr>
        <w:t>联系人：</w:t>
      </w:r>
      <w:r>
        <w:rPr>
          <w:rFonts w:hint="eastAsia" w:ascii="宋体" w:hAnsi="宋体"/>
          <w:color w:val="auto"/>
          <w:sz w:val="22"/>
          <w:u w:val="dotted"/>
        </w:rPr>
        <w:t xml:space="preserve">               </w:t>
      </w:r>
      <w:r>
        <w:rPr>
          <w:rFonts w:hint="eastAsia" w:ascii="宋体" w:hAnsi="宋体"/>
          <w:color w:val="auto"/>
          <w:sz w:val="22"/>
        </w:rPr>
        <w:t>联系电话：</w:t>
      </w:r>
      <w:r>
        <w:rPr>
          <w:rFonts w:hint="eastAsia" w:ascii="宋体" w:hAnsi="宋体"/>
          <w:color w:val="auto"/>
          <w:sz w:val="22"/>
          <w:u w:val="dotted"/>
        </w:rPr>
        <w:t xml:space="preserve">                     </w:t>
      </w:r>
    </w:p>
    <w:p>
      <w:pPr>
        <w:rPr>
          <w:rFonts w:ascii="宋体" w:hAnsi="宋体"/>
          <w:color w:val="auto"/>
          <w:sz w:val="22"/>
        </w:rPr>
      </w:pPr>
      <w:r>
        <w:rPr>
          <w:rFonts w:hint="eastAsia" w:ascii="宋体" w:hAnsi="宋体"/>
          <w:color w:val="auto"/>
          <w:sz w:val="22"/>
        </w:rPr>
        <w:t>被投诉人2</w:t>
      </w:r>
    </w:p>
    <w:p>
      <w:pPr>
        <w:rPr>
          <w:rFonts w:ascii="宋体" w:hAnsi="宋体"/>
          <w:color w:val="auto"/>
          <w:sz w:val="22"/>
          <w:u w:val="dotted"/>
        </w:rPr>
      </w:pPr>
      <w:r>
        <w:rPr>
          <w:rFonts w:hint="eastAsia" w:ascii="宋体" w:hAnsi="宋体"/>
          <w:color w:val="auto"/>
          <w:sz w:val="22"/>
        </w:rPr>
        <w:t>……</w:t>
      </w:r>
    </w:p>
    <w:p>
      <w:pPr>
        <w:rPr>
          <w:rFonts w:ascii="宋体" w:hAnsi="宋体"/>
          <w:color w:val="auto"/>
          <w:sz w:val="22"/>
          <w:u w:val="single"/>
        </w:rPr>
      </w:pPr>
      <w:r>
        <w:rPr>
          <w:rFonts w:hint="eastAsia" w:ascii="宋体" w:hAnsi="宋体"/>
          <w:color w:val="auto"/>
          <w:sz w:val="22"/>
        </w:rPr>
        <w:t>相关供应商（或其他第三人）：</w:t>
      </w:r>
      <w:r>
        <w:rPr>
          <w:rFonts w:hint="eastAsia" w:ascii="宋体" w:hAnsi="宋体"/>
          <w:color w:val="auto"/>
          <w:sz w:val="22"/>
          <w:u w:val="dotted"/>
        </w:rPr>
        <w:t xml:space="preserve">                             </w:t>
      </w:r>
    </w:p>
    <w:p>
      <w:pPr>
        <w:rPr>
          <w:rFonts w:ascii="宋体" w:hAnsi="宋体"/>
          <w:color w:val="auto"/>
          <w:sz w:val="22"/>
          <w:u w:val="single"/>
        </w:rPr>
      </w:pPr>
      <w:r>
        <w:rPr>
          <w:rFonts w:hint="eastAsia" w:ascii="宋体" w:hAnsi="宋体"/>
          <w:color w:val="auto"/>
          <w:sz w:val="22"/>
        </w:rPr>
        <w:t>地     址：</w:t>
      </w:r>
      <w:r>
        <w:rPr>
          <w:rFonts w:hint="eastAsia" w:ascii="宋体" w:hAnsi="宋体"/>
          <w:color w:val="auto"/>
          <w:sz w:val="22"/>
          <w:u w:val="dotted"/>
        </w:rPr>
        <w:t xml:space="preserve">                             </w:t>
      </w:r>
      <w:r>
        <w:rPr>
          <w:rFonts w:hint="eastAsia" w:ascii="宋体" w:hAnsi="宋体"/>
          <w:color w:val="auto"/>
          <w:sz w:val="22"/>
        </w:rPr>
        <w:t>邮编：</w:t>
      </w:r>
      <w:r>
        <w:rPr>
          <w:rFonts w:hint="eastAsia" w:ascii="宋体" w:hAnsi="宋体"/>
          <w:color w:val="auto"/>
          <w:sz w:val="22"/>
          <w:u w:val="dotted"/>
        </w:rPr>
        <w:t xml:space="preserve">          </w:t>
      </w:r>
    </w:p>
    <w:p>
      <w:pPr>
        <w:rPr>
          <w:rFonts w:ascii="宋体" w:hAnsi="宋体"/>
          <w:color w:val="auto"/>
          <w:sz w:val="22"/>
          <w:u w:val="single"/>
        </w:rPr>
      </w:pPr>
      <w:r>
        <w:rPr>
          <w:rFonts w:hint="eastAsia" w:ascii="宋体" w:hAnsi="宋体"/>
          <w:color w:val="auto"/>
          <w:sz w:val="22"/>
        </w:rPr>
        <w:t>联系人：</w:t>
      </w:r>
      <w:r>
        <w:rPr>
          <w:rFonts w:hint="eastAsia" w:ascii="宋体" w:hAnsi="宋体"/>
          <w:color w:val="auto"/>
          <w:sz w:val="22"/>
          <w:u w:val="dotted"/>
        </w:rPr>
        <w:t xml:space="preserve">               </w:t>
      </w:r>
      <w:r>
        <w:rPr>
          <w:rFonts w:hint="eastAsia" w:ascii="宋体" w:hAnsi="宋体"/>
          <w:color w:val="auto"/>
          <w:sz w:val="22"/>
        </w:rPr>
        <w:t>联系电话：</w:t>
      </w:r>
      <w:r>
        <w:rPr>
          <w:rFonts w:hint="eastAsia" w:ascii="宋体" w:hAnsi="宋体"/>
          <w:color w:val="auto"/>
          <w:sz w:val="22"/>
          <w:u w:val="dotted"/>
        </w:rPr>
        <w:t xml:space="preserve">                     </w:t>
      </w:r>
    </w:p>
    <w:p>
      <w:pPr>
        <w:rPr>
          <w:rFonts w:ascii="宋体" w:hAnsi="宋体"/>
          <w:color w:val="auto"/>
          <w:sz w:val="22"/>
        </w:rPr>
      </w:pPr>
      <w:r>
        <w:rPr>
          <w:rFonts w:hint="eastAsia" w:ascii="宋体" w:hAnsi="宋体"/>
          <w:color w:val="auto"/>
          <w:sz w:val="22"/>
        </w:rPr>
        <w:t>二、投诉项目基本情况</w:t>
      </w:r>
    </w:p>
    <w:p>
      <w:pPr>
        <w:rPr>
          <w:rFonts w:ascii="宋体" w:hAnsi="宋体"/>
          <w:color w:val="auto"/>
          <w:sz w:val="22"/>
          <w:u w:val="dotted"/>
        </w:rPr>
      </w:pPr>
      <w:r>
        <w:rPr>
          <w:rFonts w:hint="eastAsia" w:ascii="宋体" w:hAnsi="宋体"/>
          <w:color w:val="auto"/>
          <w:sz w:val="22"/>
        </w:rPr>
        <w:t>采购项目名称：</w:t>
      </w:r>
      <w:r>
        <w:rPr>
          <w:rFonts w:hint="eastAsia" w:ascii="宋体" w:hAnsi="宋体"/>
          <w:color w:val="auto"/>
          <w:sz w:val="22"/>
          <w:u w:val="dotted"/>
        </w:rPr>
        <w:t xml:space="preserve">                                        </w:t>
      </w:r>
    </w:p>
    <w:p>
      <w:pPr>
        <w:rPr>
          <w:rFonts w:ascii="宋体" w:hAnsi="宋体"/>
          <w:color w:val="auto"/>
          <w:sz w:val="22"/>
          <w:u w:val="single"/>
        </w:rPr>
      </w:pPr>
      <w:r>
        <w:rPr>
          <w:rFonts w:hint="eastAsia" w:ascii="宋体" w:hAnsi="宋体"/>
          <w:color w:val="auto"/>
          <w:sz w:val="22"/>
        </w:rPr>
        <w:t>采购项目编号：</w:t>
      </w:r>
      <w:r>
        <w:rPr>
          <w:rFonts w:hint="eastAsia" w:ascii="宋体" w:hAnsi="宋体"/>
          <w:color w:val="auto"/>
          <w:sz w:val="22"/>
          <w:u w:val="dotted"/>
        </w:rPr>
        <w:t xml:space="preserve">                 </w:t>
      </w:r>
      <w:r>
        <w:rPr>
          <w:rFonts w:hint="eastAsia" w:ascii="宋体" w:hAnsi="宋体"/>
          <w:color w:val="auto"/>
          <w:sz w:val="22"/>
        </w:rPr>
        <w:t>包号：</w:t>
      </w:r>
      <w:r>
        <w:rPr>
          <w:rFonts w:hint="eastAsia" w:ascii="宋体" w:hAnsi="宋体"/>
          <w:color w:val="auto"/>
          <w:sz w:val="22"/>
          <w:u w:val="dotted"/>
        </w:rPr>
        <w:t xml:space="preserve">              </w:t>
      </w:r>
    </w:p>
    <w:p>
      <w:pPr>
        <w:rPr>
          <w:rFonts w:ascii="宋体" w:hAnsi="宋体"/>
          <w:color w:val="auto"/>
          <w:sz w:val="22"/>
        </w:rPr>
      </w:pPr>
      <w:r>
        <w:rPr>
          <w:rFonts w:hint="eastAsia" w:ascii="宋体" w:hAnsi="宋体"/>
          <w:color w:val="auto"/>
          <w:sz w:val="22"/>
        </w:rPr>
        <w:t>采购人名称：</w:t>
      </w:r>
      <w:r>
        <w:rPr>
          <w:rFonts w:hint="eastAsia" w:ascii="宋体" w:hAnsi="宋体"/>
          <w:color w:val="auto"/>
          <w:sz w:val="22"/>
          <w:u w:val="dotted"/>
        </w:rPr>
        <w:t xml:space="preserve">                                         </w:t>
      </w:r>
    </w:p>
    <w:p>
      <w:pPr>
        <w:rPr>
          <w:rFonts w:ascii="宋体" w:hAnsi="宋体"/>
          <w:color w:val="auto"/>
          <w:sz w:val="22"/>
          <w:u w:val="single"/>
        </w:rPr>
      </w:pPr>
      <w:r>
        <w:rPr>
          <w:rFonts w:hint="eastAsia" w:ascii="宋体" w:hAnsi="宋体"/>
          <w:color w:val="auto"/>
          <w:sz w:val="22"/>
        </w:rPr>
        <w:t>代理机构名称：</w:t>
      </w:r>
      <w:r>
        <w:rPr>
          <w:rFonts w:hint="eastAsia" w:ascii="宋体" w:hAnsi="宋体"/>
          <w:color w:val="auto"/>
          <w:sz w:val="22"/>
          <w:u w:val="dotted"/>
        </w:rPr>
        <w:t xml:space="preserve">                                       </w:t>
      </w:r>
    </w:p>
    <w:p>
      <w:pPr>
        <w:rPr>
          <w:rFonts w:ascii="宋体" w:hAnsi="宋体"/>
          <w:color w:val="auto"/>
          <w:sz w:val="22"/>
          <w:u w:val="dotted"/>
        </w:rPr>
      </w:pPr>
      <w:r>
        <w:rPr>
          <w:rFonts w:hint="eastAsia" w:ascii="宋体" w:hAnsi="宋体"/>
          <w:color w:val="auto"/>
          <w:sz w:val="22"/>
        </w:rPr>
        <w:t>采购文件公告：</w:t>
      </w:r>
      <w:r>
        <w:rPr>
          <w:rFonts w:hint="eastAsia" w:ascii="宋体" w:hAnsi="宋体"/>
          <w:color w:val="auto"/>
          <w:sz w:val="22"/>
          <w:u w:val="dotted"/>
        </w:rPr>
        <w:t xml:space="preserve">是/否 </w:t>
      </w:r>
      <w:r>
        <w:rPr>
          <w:rFonts w:hint="eastAsia" w:ascii="宋体" w:hAnsi="宋体"/>
          <w:color w:val="auto"/>
          <w:sz w:val="22"/>
        </w:rPr>
        <w:t>公告期限：</w:t>
      </w:r>
      <w:r>
        <w:rPr>
          <w:rFonts w:hint="eastAsia" w:ascii="宋体" w:hAnsi="宋体"/>
          <w:color w:val="auto"/>
          <w:sz w:val="22"/>
          <w:u w:val="dotted"/>
        </w:rPr>
        <w:t xml:space="preserve">                        </w:t>
      </w:r>
    </w:p>
    <w:p>
      <w:pPr>
        <w:rPr>
          <w:rFonts w:ascii="宋体" w:hAnsi="宋体"/>
          <w:color w:val="auto"/>
          <w:sz w:val="22"/>
          <w:u w:val="single"/>
        </w:rPr>
      </w:pPr>
      <w:r>
        <w:rPr>
          <w:rFonts w:hint="eastAsia" w:ascii="宋体" w:hAnsi="宋体"/>
          <w:color w:val="auto"/>
          <w:sz w:val="22"/>
        </w:rPr>
        <w:t>采购结果公告：</w:t>
      </w:r>
      <w:r>
        <w:rPr>
          <w:rFonts w:hint="eastAsia" w:ascii="宋体" w:hAnsi="宋体"/>
          <w:color w:val="auto"/>
          <w:sz w:val="22"/>
          <w:u w:val="dotted"/>
        </w:rPr>
        <w:t xml:space="preserve">是/否 </w:t>
      </w:r>
      <w:r>
        <w:rPr>
          <w:rFonts w:hint="eastAsia" w:ascii="宋体" w:hAnsi="宋体"/>
          <w:color w:val="auto"/>
          <w:sz w:val="22"/>
        </w:rPr>
        <w:t>公告期限：</w:t>
      </w:r>
      <w:r>
        <w:rPr>
          <w:rFonts w:hint="eastAsia" w:ascii="宋体" w:hAnsi="宋体"/>
          <w:color w:val="auto"/>
          <w:sz w:val="22"/>
          <w:u w:val="dotted"/>
        </w:rPr>
        <w:t xml:space="preserve">                        </w:t>
      </w:r>
    </w:p>
    <w:p>
      <w:pPr>
        <w:rPr>
          <w:rFonts w:ascii="宋体" w:hAnsi="宋体"/>
          <w:color w:val="auto"/>
          <w:sz w:val="22"/>
        </w:rPr>
      </w:pPr>
      <w:r>
        <w:rPr>
          <w:rFonts w:hint="eastAsia" w:ascii="宋体" w:hAnsi="宋体"/>
          <w:color w:val="auto"/>
          <w:sz w:val="22"/>
        </w:rPr>
        <w:t>三、质疑基本情况</w:t>
      </w:r>
    </w:p>
    <w:p>
      <w:pPr>
        <w:ind w:firstLine="440" w:firstLineChars="200"/>
        <w:rPr>
          <w:rFonts w:ascii="宋体" w:hAnsi="宋体"/>
          <w:color w:val="auto"/>
          <w:sz w:val="22"/>
          <w:u w:val="dotted"/>
        </w:rPr>
      </w:pPr>
      <w:r>
        <w:rPr>
          <w:rFonts w:hint="eastAsia" w:ascii="宋体" w:hAnsi="宋体"/>
          <w:color w:val="auto"/>
          <w:sz w:val="22"/>
        </w:rPr>
        <w:t>投诉人于</w:t>
      </w:r>
      <w:r>
        <w:rPr>
          <w:rFonts w:hint="eastAsia" w:ascii="宋体" w:hAnsi="宋体"/>
          <w:color w:val="auto"/>
          <w:sz w:val="22"/>
          <w:u w:val="dotted"/>
        </w:rPr>
        <w:t xml:space="preserve">   </w:t>
      </w:r>
      <w:r>
        <w:rPr>
          <w:rFonts w:hint="eastAsia" w:ascii="宋体" w:hAnsi="宋体"/>
          <w:color w:val="auto"/>
          <w:sz w:val="22"/>
        </w:rPr>
        <w:t>年</w:t>
      </w:r>
      <w:r>
        <w:rPr>
          <w:rFonts w:hint="eastAsia" w:ascii="宋体" w:hAnsi="宋体"/>
          <w:color w:val="auto"/>
          <w:sz w:val="22"/>
          <w:u w:val="dotted"/>
        </w:rPr>
        <w:t xml:space="preserve">   </w:t>
      </w:r>
      <w:r>
        <w:rPr>
          <w:rFonts w:hint="eastAsia" w:ascii="宋体" w:hAnsi="宋体"/>
          <w:color w:val="auto"/>
          <w:sz w:val="22"/>
        </w:rPr>
        <w:t>月</w:t>
      </w:r>
      <w:r>
        <w:rPr>
          <w:rFonts w:hint="eastAsia" w:ascii="宋体" w:hAnsi="宋体"/>
          <w:color w:val="auto"/>
          <w:sz w:val="22"/>
          <w:u w:val="dotted"/>
        </w:rPr>
        <w:t xml:space="preserve">  </w:t>
      </w:r>
      <w:r>
        <w:rPr>
          <w:rFonts w:hint="eastAsia" w:ascii="宋体" w:hAnsi="宋体"/>
          <w:color w:val="auto"/>
          <w:sz w:val="22"/>
        </w:rPr>
        <w:t>日,向</w:t>
      </w:r>
      <w:r>
        <w:rPr>
          <w:rFonts w:hint="eastAsia" w:ascii="宋体" w:hAnsi="宋体"/>
          <w:color w:val="auto"/>
          <w:sz w:val="22"/>
          <w:u w:val="dotted"/>
        </w:rPr>
        <w:t xml:space="preserve">               </w:t>
      </w:r>
      <w:r>
        <w:rPr>
          <w:rFonts w:hint="eastAsia" w:ascii="宋体" w:hAnsi="宋体"/>
          <w:color w:val="auto"/>
          <w:sz w:val="22"/>
        </w:rPr>
        <w:t>提出质疑，质疑事项为：</w:t>
      </w:r>
      <w:r>
        <w:rPr>
          <w:rFonts w:hint="eastAsia" w:ascii="宋体" w:hAnsi="宋体"/>
          <w:color w:val="auto"/>
          <w:sz w:val="22"/>
          <w:u w:val="dotted"/>
        </w:rPr>
        <w:t xml:space="preserve">      </w:t>
      </w:r>
    </w:p>
    <w:p>
      <w:pPr>
        <w:rPr>
          <w:rFonts w:ascii="宋体" w:hAnsi="宋体"/>
          <w:color w:val="auto"/>
          <w:sz w:val="22"/>
          <w:u w:val="dotted"/>
        </w:rPr>
      </w:pPr>
      <w:r>
        <w:rPr>
          <w:rFonts w:hint="eastAsia" w:ascii="宋体" w:hAnsi="宋体"/>
          <w:color w:val="auto"/>
          <w:sz w:val="22"/>
          <w:u w:val="dotted"/>
        </w:rPr>
        <w:t xml:space="preserve">                                                     </w:t>
      </w:r>
      <w:r>
        <w:rPr>
          <w:rFonts w:hint="eastAsia" w:ascii="宋体" w:hAnsi="宋体"/>
          <w:color w:val="auto"/>
          <w:sz w:val="22"/>
        </w:rPr>
        <w:t xml:space="preserve">  </w:t>
      </w:r>
    </w:p>
    <w:p>
      <w:pPr>
        <w:ind w:firstLine="330" w:firstLineChars="150"/>
        <w:rPr>
          <w:rFonts w:ascii="宋体" w:hAnsi="宋体"/>
          <w:color w:val="auto"/>
          <w:sz w:val="22"/>
        </w:rPr>
      </w:pPr>
      <w:r>
        <w:rPr>
          <w:rFonts w:hint="eastAsia" w:ascii="宋体" w:hAnsi="宋体"/>
          <w:color w:val="auto"/>
          <w:sz w:val="22"/>
          <w:u w:val="dotted"/>
        </w:rPr>
        <w:t>采购人/代理机构</w:t>
      </w:r>
      <w:r>
        <w:rPr>
          <w:rFonts w:hint="eastAsia" w:ascii="宋体" w:hAnsi="宋体"/>
          <w:color w:val="auto"/>
          <w:sz w:val="22"/>
        </w:rPr>
        <w:t>于</w:t>
      </w:r>
      <w:r>
        <w:rPr>
          <w:rFonts w:hint="eastAsia" w:ascii="宋体" w:hAnsi="宋体"/>
          <w:color w:val="auto"/>
          <w:sz w:val="22"/>
          <w:u w:val="dotted"/>
        </w:rPr>
        <w:t xml:space="preserve">   </w:t>
      </w:r>
      <w:r>
        <w:rPr>
          <w:rFonts w:hint="eastAsia" w:ascii="宋体" w:hAnsi="宋体"/>
          <w:color w:val="auto"/>
          <w:sz w:val="22"/>
        </w:rPr>
        <w:t>年</w:t>
      </w:r>
      <w:r>
        <w:rPr>
          <w:rFonts w:hint="eastAsia" w:ascii="宋体" w:hAnsi="宋体"/>
          <w:color w:val="auto"/>
          <w:sz w:val="22"/>
          <w:u w:val="dotted"/>
        </w:rPr>
        <w:t xml:space="preserve">   </w:t>
      </w:r>
      <w:r>
        <w:rPr>
          <w:rFonts w:hint="eastAsia" w:ascii="宋体" w:hAnsi="宋体"/>
          <w:color w:val="auto"/>
          <w:sz w:val="22"/>
        </w:rPr>
        <w:t>月</w:t>
      </w:r>
      <w:r>
        <w:rPr>
          <w:rFonts w:hint="eastAsia" w:ascii="宋体" w:hAnsi="宋体"/>
          <w:color w:val="auto"/>
          <w:sz w:val="22"/>
          <w:u w:val="dotted"/>
        </w:rPr>
        <w:t xml:space="preserve">   </w:t>
      </w:r>
      <w:r>
        <w:rPr>
          <w:rFonts w:hint="eastAsia" w:ascii="宋体" w:hAnsi="宋体"/>
          <w:color w:val="auto"/>
          <w:sz w:val="22"/>
        </w:rPr>
        <w:t>日,就质疑事项作出了答复/没有在法定期限内作出答复。</w:t>
      </w:r>
    </w:p>
    <w:p>
      <w:pPr>
        <w:rPr>
          <w:rFonts w:ascii="宋体" w:hAnsi="宋体"/>
          <w:color w:val="auto"/>
          <w:sz w:val="22"/>
        </w:rPr>
      </w:pPr>
      <w:r>
        <w:rPr>
          <w:rFonts w:hint="eastAsia" w:ascii="宋体" w:hAnsi="宋体"/>
          <w:color w:val="auto"/>
          <w:sz w:val="22"/>
        </w:rPr>
        <w:t>四、投诉事项具体内容</w:t>
      </w:r>
    </w:p>
    <w:p>
      <w:pPr>
        <w:rPr>
          <w:rFonts w:ascii="宋体" w:hAnsi="宋体"/>
          <w:color w:val="auto"/>
          <w:sz w:val="22"/>
          <w:u w:val="single"/>
        </w:rPr>
      </w:pPr>
      <w:r>
        <w:rPr>
          <w:rFonts w:hint="eastAsia" w:ascii="宋体" w:hAnsi="宋体"/>
          <w:color w:val="auto"/>
          <w:sz w:val="22"/>
        </w:rPr>
        <w:t>投诉事项 1：</w:t>
      </w:r>
      <w:r>
        <w:rPr>
          <w:rFonts w:hint="eastAsia" w:ascii="宋体" w:hAnsi="宋体"/>
          <w:color w:val="auto"/>
          <w:sz w:val="22"/>
          <w:u w:val="dotted"/>
        </w:rPr>
        <w:t xml:space="preserve">                                       </w:t>
      </w:r>
    </w:p>
    <w:p>
      <w:pPr>
        <w:rPr>
          <w:rFonts w:ascii="宋体" w:hAnsi="宋体"/>
          <w:color w:val="auto"/>
          <w:sz w:val="22"/>
        </w:rPr>
      </w:pPr>
      <w:r>
        <w:rPr>
          <w:rFonts w:hint="eastAsia" w:ascii="宋体" w:hAnsi="宋体"/>
          <w:color w:val="auto"/>
          <w:sz w:val="22"/>
        </w:rPr>
        <w:t>事实依据：</w:t>
      </w:r>
      <w:r>
        <w:rPr>
          <w:rFonts w:hint="eastAsia" w:ascii="宋体" w:hAnsi="宋体"/>
          <w:color w:val="auto"/>
          <w:sz w:val="22"/>
          <w:u w:val="dotted"/>
        </w:rPr>
        <w:t xml:space="preserve">                                         </w:t>
      </w:r>
    </w:p>
    <w:p>
      <w:pPr>
        <w:rPr>
          <w:rFonts w:ascii="宋体" w:hAnsi="宋体"/>
          <w:color w:val="auto"/>
          <w:sz w:val="22"/>
          <w:u w:val="dotted"/>
        </w:rPr>
      </w:pPr>
      <w:r>
        <w:rPr>
          <w:rFonts w:hint="eastAsia" w:ascii="宋体" w:hAnsi="宋体"/>
          <w:color w:val="auto"/>
          <w:sz w:val="22"/>
          <w:u w:val="dotted"/>
        </w:rPr>
        <w:t xml:space="preserve">                                                      </w:t>
      </w:r>
    </w:p>
    <w:p>
      <w:pPr>
        <w:rPr>
          <w:rFonts w:ascii="宋体" w:hAnsi="宋体"/>
          <w:color w:val="auto"/>
          <w:sz w:val="22"/>
          <w:u w:val="single"/>
        </w:rPr>
      </w:pPr>
      <w:r>
        <w:rPr>
          <w:rFonts w:hint="eastAsia" w:ascii="宋体" w:hAnsi="宋体"/>
          <w:color w:val="auto"/>
          <w:sz w:val="22"/>
        </w:rPr>
        <w:t>法律依据：</w:t>
      </w:r>
      <w:r>
        <w:rPr>
          <w:rFonts w:hint="eastAsia" w:ascii="宋体" w:hAnsi="宋体"/>
          <w:color w:val="auto"/>
          <w:sz w:val="22"/>
          <w:u w:val="dotted"/>
        </w:rPr>
        <w:t xml:space="preserve">                                          </w:t>
      </w:r>
    </w:p>
    <w:p>
      <w:pPr>
        <w:rPr>
          <w:rFonts w:ascii="宋体" w:hAnsi="宋体"/>
          <w:color w:val="auto"/>
          <w:sz w:val="22"/>
          <w:u w:val="dotted"/>
        </w:rPr>
      </w:pPr>
      <w:r>
        <w:rPr>
          <w:rFonts w:hint="eastAsia" w:ascii="宋体" w:hAnsi="宋体"/>
          <w:color w:val="auto"/>
          <w:sz w:val="22"/>
          <w:u w:val="dotted"/>
        </w:rPr>
        <w:t xml:space="preserve">                                                      </w:t>
      </w:r>
    </w:p>
    <w:p>
      <w:pPr>
        <w:rPr>
          <w:rFonts w:ascii="宋体" w:hAnsi="宋体"/>
          <w:color w:val="auto"/>
          <w:sz w:val="22"/>
        </w:rPr>
      </w:pPr>
      <w:r>
        <w:rPr>
          <w:rFonts w:hint="eastAsia" w:ascii="宋体" w:hAnsi="宋体"/>
          <w:color w:val="auto"/>
          <w:sz w:val="22"/>
        </w:rPr>
        <w:t>投诉事项2</w:t>
      </w:r>
    </w:p>
    <w:p>
      <w:pPr>
        <w:rPr>
          <w:rFonts w:ascii="宋体" w:hAnsi="宋体"/>
          <w:color w:val="auto"/>
          <w:sz w:val="22"/>
          <w:u w:val="dotted"/>
        </w:rPr>
      </w:pPr>
      <w:r>
        <w:rPr>
          <w:rFonts w:hint="eastAsia" w:ascii="宋体" w:hAnsi="宋体"/>
          <w:color w:val="auto"/>
          <w:sz w:val="22"/>
        </w:rPr>
        <w:t>……</w:t>
      </w:r>
    </w:p>
    <w:p>
      <w:pPr>
        <w:rPr>
          <w:rFonts w:ascii="宋体" w:hAnsi="宋体"/>
          <w:color w:val="auto"/>
          <w:sz w:val="22"/>
        </w:rPr>
      </w:pPr>
      <w:r>
        <w:rPr>
          <w:rFonts w:hint="eastAsia" w:ascii="宋体" w:hAnsi="宋体"/>
          <w:color w:val="auto"/>
          <w:sz w:val="22"/>
        </w:rPr>
        <w:t>五、与投诉事项相关的投诉请求</w:t>
      </w:r>
    </w:p>
    <w:p>
      <w:pPr>
        <w:rPr>
          <w:rFonts w:ascii="宋体" w:hAnsi="宋体"/>
          <w:color w:val="auto"/>
          <w:sz w:val="22"/>
        </w:rPr>
      </w:pPr>
      <w:r>
        <w:rPr>
          <w:rFonts w:hint="eastAsia" w:ascii="宋体" w:hAnsi="宋体"/>
          <w:color w:val="auto"/>
          <w:sz w:val="22"/>
        </w:rPr>
        <w:t>请求：</w:t>
      </w:r>
      <w:r>
        <w:rPr>
          <w:rFonts w:hint="eastAsia" w:ascii="宋体" w:hAnsi="宋体"/>
          <w:color w:val="auto"/>
          <w:sz w:val="22"/>
          <w:u w:val="dotted"/>
        </w:rPr>
        <w:t xml:space="preserve">                                              </w:t>
      </w:r>
      <w:r>
        <w:rPr>
          <w:rFonts w:hint="eastAsia" w:ascii="宋体" w:hAnsi="宋体"/>
          <w:color w:val="auto"/>
          <w:sz w:val="22"/>
        </w:rPr>
        <w:t xml:space="preserve"> </w:t>
      </w:r>
    </w:p>
    <w:p>
      <w:pPr>
        <w:rPr>
          <w:rFonts w:ascii="宋体" w:hAnsi="宋体"/>
          <w:color w:val="auto"/>
          <w:sz w:val="22"/>
          <w:u w:val="single"/>
        </w:rPr>
      </w:pPr>
      <w:r>
        <w:rPr>
          <w:rFonts w:hint="eastAsia" w:ascii="宋体" w:hAnsi="宋体"/>
          <w:color w:val="auto"/>
          <w:sz w:val="22"/>
        </w:rPr>
        <w:t xml:space="preserve">                                                   </w:t>
      </w:r>
    </w:p>
    <w:p>
      <w:pPr>
        <w:rPr>
          <w:rFonts w:ascii="宋体" w:hAnsi="宋体"/>
          <w:color w:val="auto"/>
          <w:sz w:val="22"/>
        </w:rPr>
      </w:pPr>
      <w:r>
        <w:rPr>
          <w:rFonts w:hint="eastAsia" w:ascii="宋体" w:hAnsi="宋体"/>
          <w:color w:val="auto"/>
          <w:sz w:val="22"/>
        </w:rPr>
        <w:t>签字(签章)：                   公章：</w:t>
      </w:r>
    </w:p>
    <w:p>
      <w:pPr>
        <w:rPr>
          <w:rFonts w:ascii="宋体" w:hAnsi="宋体"/>
          <w:color w:val="auto"/>
          <w:sz w:val="22"/>
        </w:rPr>
      </w:pPr>
      <w:r>
        <w:rPr>
          <w:rFonts w:hint="eastAsia" w:ascii="宋体" w:hAnsi="宋体"/>
          <w:color w:val="auto"/>
          <w:sz w:val="22"/>
        </w:rPr>
        <w:t>日期：</w:t>
      </w:r>
    </w:p>
    <w:p>
      <w:pPr>
        <w:rPr>
          <w:rFonts w:ascii="宋体" w:hAnsi="宋体"/>
          <w:b/>
          <w:color w:val="auto"/>
          <w:sz w:val="24"/>
        </w:rPr>
      </w:pPr>
    </w:p>
    <w:p>
      <w:pPr>
        <w:rPr>
          <w:rFonts w:ascii="宋体" w:hAnsi="宋体"/>
          <w:b/>
          <w:color w:val="auto"/>
          <w:sz w:val="24"/>
        </w:rPr>
      </w:pPr>
    </w:p>
    <w:p>
      <w:pPr>
        <w:spacing w:line="360" w:lineRule="auto"/>
        <w:rPr>
          <w:rFonts w:ascii="宋体" w:hAnsi="宋体"/>
          <w:b/>
          <w:color w:val="auto"/>
        </w:rPr>
      </w:pPr>
      <w:r>
        <w:rPr>
          <w:rFonts w:hint="eastAsia" w:ascii="宋体" w:hAnsi="宋体"/>
          <w:b/>
          <w:color w:val="auto"/>
        </w:rPr>
        <w:t>投诉书制作说明：</w:t>
      </w:r>
    </w:p>
    <w:p>
      <w:pPr>
        <w:widowControl/>
        <w:spacing w:line="360" w:lineRule="auto"/>
        <w:ind w:firstLine="420" w:firstLineChars="200"/>
        <w:rPr>
          <w:rFonts w:ascii="宋体" w:hAnsi="宋体" w:cs="宋体"/>
          <w:color w:val="auto"/>
          <w:kern w:val="0"/>
        </w:rPr>
      </w:pPr>
      <w:r>
        <w:rPr>
          <w:rFonts w:hint="eastAsia" w:ascii="宋体" w:hAnsi="宋体"/>
          <w:color w:val="auto"/>
        </w:rPr>
        <w:t>1.投诉人提起投诉时，应当提交投诉书及投诉书电子文档和必要的证明材料，并按照被投诉人和与投诉事项有关的供应商数量提供投诉书副本。</w:t>
      </w:r>
    </w:p>
    <w:p>
      <w:pPr>
        <w:widowControl/>
        <w:spacing w:line="360" w:lineRule="auto"/>
        <w:ind w:firstLine="420" w:firstLineChars="200"/>
        <w:jc w:val="left"/>
        <w:rPr>
          <w:rFonts w:ascii="宋体" w:hAnsi="宋体" w:cs="宋体"/>
          <w:color w:val="auto"/>
          <w:kern w:val="0"/>
        </w:rPr>
      </w:pPr>
      <w:r>
        <w:rPr>
          <w:rFonts w:hint="eastAsia" w:ascii="宋体" w:hAnsi="宋体"/>
          <w:color w:val="auto"/>
        </w:rPr>
        <w:t>2.投诉人若委托代理人进行投诉的，投诉书应按照要求列明“授权代表”的有关内容，并在附件中提交由</w:t>
      </w:r>
      <w:r>
        <w:rPr>
          <w:rFonts w:hint="eastAsia" w:ascii="宋体" w:hAnsi="宋体" w:cs="宋体"/>
          <w:color w:val="auto"/>
          <w:kern w:val="0"/>
        </w:rPr>
        <w:t>投诉人签署的授权委托书。授权委托书应当载明代理人的姓名或者名称、代理事项、具体权限、期限和相关事项。</w:t>
      </w:r>
    </w:p>
    <w:p>
      <w:pPr>
        <w:widowControl/>
        <w:spacing w:line="360" w:lineRule="auto"/>
        <w:ind w:firstLine="420" w:firstLineChars="200"/>
        <w:jc w:val="left"/>
        <w:rPr>
          <w:rFonts w:ascii="宋体" w:hAnsi="宋体"/>
          <w:color w:val="auto"/>
        </w:rPr>
      </w:pPr>
      <w:r>
        <w:rPr>
          <w:rFonts w:hint="eastAsia" w:ascii="宋体" w:hAnsi="宋体"/>
          <w:color w:val="auto"/>
        </w:rPr>
        <w:t>3.投诉人若对项目的某一分包进行投诉，投诉书应列明具体分包号。</w:t>
      </w:r>
    </w:p>
    <w:p>
      <w:pPr>
        <w:widowControl/>
        <w:spacing w:line="360" w:lineRule="auto"/>
        <w:ind w:firstLine="420" w:firstLineChars="200"/>
        <w:jc w:val="left"/>
        <w:rPr>
          <w:rFonts w:ascii="宋体" w:hAnsi="宋体"/>
          <w:color w:val="auto"/>
        </w:rPr>
      </w:pPr>
      <w:r>
        <w:rPr>
          <w:rFonts w:hint="eastAsia" w:ascii="宋体" w:hAnsi="宋体"/>
          <w:color w:val="auto"/>
        </w:rPr>
        <w:t>4.投诉书应简要列明质疑事项，质疑函、质疑答复等作为附件材料提供。</w:t>
      </w:r>
    </w:p>
    <w:p>
      <w:pPr>
        <w:widowControl/>
        <w:spacing w:line="360" w:lineRule="auto"/>
        <w:ind w:firstLine="420" w:firstLineChars="200"/>
        <w:jc w:val="left"/>
        <w:rPr>
          <w:rFonts w:ascii="宋体" w:hAnsi="宋体"/>
          <w:color w:val="auto"/>
        </w:rPr>
      </w:pPr>
      <w:r>
        <w:rPr>
          <w:rFonts w:hint="eastAsia" w:ascii="宋体" w:hAnsi="宋体"/>
          <w:color w:val="auto"/>
        </w:rPr>
        <w:t>5.投诉书的投诉事项应具体、明确，并有必要的事实依据和法律依据。</w:t>
      </w:r>
    </w:p>
    <w:p>
      <w:pPr>
        <w:widowControl/>
        <w:spacing w:line="360" w:lineRule="auto"/>
        <w:ind w:firstLine="420" w:firstLineChars="200"/>
        <w:jc w:val="left"/>
        <w:rPr>
          <w:rFonts w:ascii="宋体" w:hAnsi="宋体"/>
          <w:color w:val="auto"/>
        </w:rPr>
      </w:pPr>
      <w:r>
        <w:rPr>
          <w:rFonts w:hint="eastAsia" w:ascii="宋体" w:hAnsi="宋体"/>
          <w:color w:val="auto"/>
        </w:rPr>
        <w:t>6.投诉书的投诉请求应与投诉事项相关。</w:t>
      </w:r>
    </w:p>
    <w:p>
      <w:pPr>
        <w:widowControl/>
        <w:spacing w:line="360" w:lineRule="auto"/>
        <w:ind w:firstLine="420" w:firstLineChars="200"/>
        <w:jc w:val="left"/>
        <w:rPr>
          <w:rFonts w:ascii="宋体" w:hAnsi="宋体" w:cs="宋体"/>
          <w:color w:val="auto"/>
          <w:kern w:val="0"/>
        </w:rPr>
      </w:pPr>
      <w:r>
        <w:rPr>
          <w:rFonts w:hint="eastAsia" w:ascii="宋体" w:hAnsi="宋体"/>
          <w:color w:val="auto"/>
        </w:rPr>
        <w:t>7.投诉人为自然人的，投诉书应当由本人签字；投诉人为法人或者其他组织的，投诉书应当由法定代表人、主要负责人，或者其授权代表签字或者盖章，并加盖公章。</w:t>
      </w:r>
    </w:p>
    <w:p>
      <w:pPr>
        <w:widowControl/>
        <w:jc w:val="left"/>
        <w:rPr>
          <w:rFonts w:ascii="宋体" w:hAnsi="宋体"/>
          <w:b/>
          <w:color w:val="auto"/>
          <w:szCs w:val="21"/>
        </w:rPr>
      </w:pPr>
    </w:p>
    <w:p>
      <w:pPr>
        <w:widowControl/>
        <w:jc w:val="left"/>
        <w:rPr>
          <w:rFonts w:ascii="宋体" w:hAnsi="宋体"/>
          <w:b/>
          <w:color w:val="auto"/>
          <w:szCs w:val="21"/>
        </w:rPr>
      </w:pPr>
    </w:p>
    <w:p>
      <w:pPr>
        <w:adjustRightInd w:val="0"/>
        <w:snapToGrid w:val="0"/>
        <w:spacing w:line="360" w:lineRule="auto"/>
        <w:rPr>
          <w:rFonts w:ascii="宋体" w:hAnsi="宋体"/>
          <w:b/>
          <w:color w:val="auto"/>
          <w:szCs w:val="21"/>
        </w:rPr>
      </w:pPr>
    </w:p>
    <w:p>
      <w:pPr>
        <w:rPr>
          <w:rFonts w:ascii="宋体" w:hAnsi="宋体"/>
          <w:color w:val="auto"/>
        </w:rPr>
      </w:pPr>
    </w:p>
    <w:p>
      <w:pPr>
        <w:jc w:val="center"/>
        <w:rPr>
          <w:rFonts w:ascii="宋体" w:hAnsi="宋体"/>
          <w:color w:val="auto"/>
        </w:rPr>
      </w:pPr>
    </w:p>
    <w:sectPr>
      <w:pgSz w:w="11906" w:h="16838"/>
      <w:pgMar w:top="1276" w:right="1558"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MS Gothic"/>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仿宋_GB2312">
    <w:altName w:val="@仿宋"/>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rect id="文本框 2" o:spid="_x0000_s4097"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w:t>
    </w:r>
    <w:r>
      <w:rPr>
        <w:rFonts w:ascii="宋体" w:hAnsi="宋体"/>
        <w:sz w:val="21"/>
        <w:szCs w:val="21"/>
      </w:rPr>
      <w:fldChar w:fldCharType="end"/>
    </w:r>
    <w:r>
      <w:rPr>
        <w:rFonts w:hint="eastAsia" w:ascii="宋体" w:hAnsi="宋体"/>
        <w:sz w:val="21"/>
        <w:szCs w:val="21"/>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8"/>
      </w:rPr>
    </w:pPr>
    <w:r>
      <w:fldChar w:fldCharType="begin"/>
    </w:r>
    <w:r>
      <w:rPr>
        <w:rStyle w:val="48"/>
      </w:rPr>
      <w:instrText xml:space="preserve">PAGE  </w:instrText>
    </w:r>
    <w:r>
      <w:fldChar w:fldCharType="end"/>
    </w:r>
  </w:p>
  <w:p>
    <w:pPr>
      <w:pStyle w:val="2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GIwYmQzMzE0NGM4NDg4MzZmNWMxMzI3OGJmMjdkODEifQ=="/>
  </w:docVars>
  <w:rsids>
    <w:rsidRoot w:val="009B248E"/>
    <w:rsid w:val="000012D1"/>
    <w:rsid w:val="00001646"/>
    <w:rsid w:val="00001AFD"/>
    <w:rsid w:val="00002BA3"/>
    <w:rsid w:val="00003879"/>
    <w:rsid w:val="00005394"/>
    <w:rsid w:val="000059CC"/>
    <w:rsid w:val="00006123"/>
    <w:rsid w:val="00006784"/>
    <w:rsid w:val="00006F3F"/>
    <w:rsid w:val="00007B99"/>
    <w:rsid w:val="00007DF6"/>
    <w:rsid w:val="0001069B"/>
    <w:rsid w:val="000113AB"/>
    <w:rsid w:val="00011A5A"/>
    <w:rsid w:val="00011C74"/>
    <w:rsid w:val="00012DAB"/>
    <w:rsid w:val="000143A0"/>
    <w:rsid w:val="00014CBB"/>
    <w:rsid w:val="000159D9"/>
    <w:rsid w:val="0001701D"/>
    <w:rsid w:val="0002163C"/>
    <w:rsid w:val="000217BC"/>
    <w:rsid w:val="00022350"/>
    <w:rsid w:val="000229C5"/>
    <w:rsid w:val="000241F2"/>
    <w:rsid w:val="00024809"/>
    <w:rsid w:val="00024DB1"/>
    <w:rsid w:val="00025868"/>
    <w:rsid w:val="00025BCB"/>
    <w:rsid w:val="000274BA"/>
    <w:rsid w:val="000279D7"/>
    <w:rsid w:val="000319CB"/>
    <w:rsid w:val="00032880"/>
    <w:rsid w:val="000330B6"/>
    <w:rsid w:val="000339FE"/>
    <w:rsid w:val="0003481B"/>
    <w:rsid w:val="00035434"/>
    <w:rsid w:val="000354ED"/>
    <w:rsid w:val="0003570E"/>
    <w:rsid w:val="00035F8B"/>
    <w:rsid w:val="00036849"/>
    <w:rsid w:val="00036CB3"/>
    <w:rsid w:val="00037A49"/>
    <w:rsid w:val="000411B8"/>
    <w:rsid w:val="000413C9"/>
    <w:rsid w:val="00041B98"/>
    <w:rsid w:val="00041CB0"/>
    <w:rsid w:val="00042094"/>
    <w:rsid w:val="000428C9"/>
    <w:rsid w:val="00042A2C"/>
    <w:rsid w:val="00047283"/>
    <w:rsid w:val="00052D50"/>
    <w:rsid w:val="00055B0D"/>
    <w:rsid w:val="00056A0B"/>
    <w:rsid w:val="00060E73"/>
    <w:rsid w:val="0006135F"/>
    <w:rsid w:val="000615E9"/>
    <w:rsid w:val="00062ADC"/>
    <w:rsid w:val="00062F6A"/>
    <w:rsid w:val="00064238"/>
    <w:rsid w:val="00064D5C"/>
    <w:rsid w:val="000667A5"/>
    <w:rsid w:val="000667BC"/>
    <w:rsid w:val="00067E2A"/>
    <w:rsid w:val="00070FD7"/>
    <w:rsid w:val="00071666"/>
    <w:rsid w:val="00071A89"/>
    <w:rsid w:val="00071ED9"/>
    <w:rsid w:val="00072154"/>
    <w:rsid w:val="00072D6C"/>
    <w:rsid w:val="0007372F"/>
    <w:rsid w:val="00074567"/>
    <w:rsid w:val="00076E4C"/>
    <w:rsid w:val="000772B9"/>
    <w:rsid w:val="0007777D"/>
    <w:rsid w:val="00077805"/>
    <w:rsid w:val="00077AEE"/>
    <w:rsid w:val="0008184D"/>
    <w:rsid w:val="00082863"/>
    <w:rsid w:val="00082E35"/>
    <w:rsid w:val="00084096"/>
    <w:rsid w:val="000840AE"/>
    <w:rsid w:val="000857F8"/>
    <w:rsid w:val="00091411"/>
    <w:rsid w:val="00092EFB"/>
    <w:rsid w:val="000930E2"/>
    <w:rsid w:val="000941EE"/>
    <w:rsid w:val="00094AED"/>
    <w:rsid w:val="00094E17"/>
    <w:rsid w:val="0009505F"/>
    <w:rsid w:val="00097D7D"/>
    <w:rsid w:val="00097EF5"/>
    <w:rsid w:val="000A00C0"/>
    <w:rsid w:val="000A0418"/>
    <w:rsid w:val="000A0649"/>
    <w:rsid w:val="000A21CF"/>
    <w:rsid w:val="000A2510"/>
    <w:rsid w:val="000A311C"/>
    <w:rsid w:val="000A4AA1"/>
    <w:rsid w:val="000A4FA1"/>
    <w:rsid w:val="000A5C79"/>
    <w:rsid w:val="000A6BE5"/>
    <w:rsid w:val="000A6FAA"/>
    <w:rsid w:val="000A7943"/>
    <w:rsid w:val="000B0C41"/>
    <w:rsid w:val="000B0FD2"/>
    <w:rsid w:val="000B1041"/>
    <w:rsid w:val="000B2B88"/>
    <w:rsid w:val="000B3E34"/>
    <w:rsid w:val="000B5D80"/>
    <w:rsid w:val="000B6DB4"/>
    <w:rsid w:val="000B782D"/>
    <w:rsid w:val="000B78B0"/>
    <w:rsid w:val="000B7AFE"/>
    <w:rsid w:val="000C05B8"/>
    <w:rsid w:val="000C18D3"/>
    <w:rsid w:val="000C20EE"/>
    <w:rsid w:val="000C25B7"/>
    <w:rsid w:val="000C3014"/>
    <w:rsid w:val="000C3E96"/>
    <w:rsid w:val="000C6036"/>
    <w:rsid w:val="000C7DCC"/>
    <w:rsid w:val="000D0BFB"/>
    <w:rsid w:val="000D1B06"/>
    <w:rsid w:val="000D1FEB"/>
    <w:rsid w:val="000D2875"/>
    <w:rsid w:val="000D2A67"/>
    <w:rsid w:val="000D37D5"/>
    <w:rsid w:val="000D3AA3"/>
    <w:rsid w:val="000D3C82"/>
    <w:rsid w:val="000D431E"/>
    <w:rsid w:val="000D4F66"/>
    <w:rsid w:val="000D56F9"/>
    <w:rsid w:val="000D6223"/>
    <w:rsid w:val="000D642C"/>
    <w:rsid w:val="000D6512"/>
    <w:rsid w:val="000D75B1"/>
    <w:rsid w:val="000D75B9"/>
    <w:rsid w:val="000D7AB4"/>
    <w:rsid w:val="000E01FE"/>
    <w:rsid w:val="000E06A5"/>
    <w:rsid w:val="000E076A"/>
    <w:rsid w:val="000E0804"/>
    <w:rsid w:val="000E1A45"/>
    <w:rsid w:val="000E2018"/>
    <w:rsid w:val="000E2F47"/>
    <w:rsid w:val="000E3095"/>
    <w:rsid w:val="000E309E"/>
    <w:rsid w:val="000E4071"/>
    <w:rsid w:val="000E5DFF"/>
    <w:rsid w:val="000E6135"/>
    <w:rsid w:val="000E657F"/>
    <w:rsid w:val="000E6C24"/>
    <w:rsid w:val="000E6C9F"/>
    <w:rsid w:val="000E6D6A"/>
    <w:rsid w:val="000E7326"/>
    <w:rsid w:val="000E79A8"/>
    <w:rsid w:val="000F11C7"/>
    <w:rsid w:val="000F1B07"/>
    <w:rsid w:val="000F1F1D"/>
    <w:rsid w:val="000F3304"/>
    <w:rsid w:val="000F429D"/>
    <w:rsid w:val="000F486D"/>
    <w:rsid w:val="000F582E"/>
    <w:rsid w:val="000F62E8"/>
    <w:rsid w:val="000F7E13"/>
    <w:rsid w:val="001022DD"/>
    <w:rsid w:val="001037B5"/>
    <w:rsid w:val="00103E30"/>
    <w:rsid w:val="001049FD"/>
    <w:rsid w:val="00104AEB"/>
    <w:rsid w:val="00104C4F"/>
    <w:rsid w:val="00104D22"/>
    <w:rsid w:val="00104DC0"/>
    <w:rsid w:val="00105A36"/>
    <w:rsid w:val="00105DE6"/>
    <w:rsid w:val="001069AF"/>
    <w:rsid w:val="00107112"/>
    <w:rsid w:val="0011160D"/>
    <w:rsid w:val="00112A04"/>
    <w:rsid w:val="00113ABD"/>
    <w:rsid w:val="00113FF9"/>
    <w:rsid w:val="001140DD"/>
    <w:rsid w:val="0011702F"/>
    <w:rsid w:val="00117212"/>
    <w:rsid w:val="00117901"/>
    <w:rsid w:val="00121ABB"/>
    <w:rsid w:val="00121CA8"/>
    <w:rsid w:val="0012202B"/>
    <w:rsid w:val="001221CB"/>
    <w:rsid w:val="0012265C"/>
    <w:rsid w:val="0012310E"/>
    <w:rsid w:val="001244A0"/>
    <w:rsid w:val="00125347"/>
    <w:rsid w:val="00127034"/>
    <w:rsid w:val="00127B60"/>
    <w:rsid w:val="00130138"/>
    <w:rsid w:val="001304CF"/>
    <w:rsid w:val="001307AA"/>
    <w:rsid w:val="001308CA"/>
    <w:rsid w:val="001308FE"/>
    <w:rsid w:val="00130C5A"/>
    <w:rsid w:val="001317B7"/>
    <w:rsid w:val="00131B51"/>
    <w:rsid w:val="00131CD2"/>
    <w:rsid w:val="00131DB8"/>
    <w:rsid w:val="0013269C"/>
    <w:rsid w:val="00132BAE"/>
    <w:rsid w:val="00133223"/>
    <w:rsid w:val="001339C4"/>
    <w:rsid w:val="00133AB2"/>
    <w:rsid w:val="00134757"/>
    <w:rsid w:val="001349A4"/>
    <w:rsid w:val="00135050"/>
    <w:rsid w:val="00135067"/>
    <w:rsid w:val="00135310"/>
    <w:rsid w:val="00135451"/>
    <w:rsid w:val="001356BA"/>
    <w:rsid w:val="00135C76"/>
    <w:rsid w:val="00135E1A"/>
    <w:rsid w:val="00137360"/>
    <w:rsid w:val="00140800"/>
    <w:rsid w:val="0014084A"/>
    <w:rsid w:val="00141434"/>
    <w:rsid w:val="00141B4E"/>
    <w:rsid w:val="00141D9B"/>
    <w:rsid w:val="00143204"/>
    <w:rsid w:val="0014489D"/>
    <w:rsid w:val="00144EAD"/>
    <w:rsid w:val="00145212"/>
    <w:rsid w:val="00145C00"/>
    <w:rsid w:val="001463FB"/>
    <w:rsid w:val="00147C8B"/>
    <w:rsid w:val="00147C9D"/>
    <w:rsid w:val="00147D34"/>
    <w:rsid w:val="00147FFD"/>
    <w:rsid w:val="001505C8"/>
    <w:rsid w:val="001514E3"/>
    <w:rsid w:val="00151FA4"/>
    <w:rsid w:val="00152818"/>
    <w:rsid w:val="00152C58"/>
    <w:rsid w:val="001536FA"/>
    <w:rsid w:val="00153982"/>
    <w:rsid w:val="001542F1"/>
    <w:rsid w:val="00155C72"/>
    <w:rsid w:val="00156B3F"/>
    <w:rsid w:val="00156FA9"/>
    <w:rsid w:val="00160DC5"/>
    <w:rsid w:val="001612F2"/>
    <w:rsid w:val="001621F3"/>
    <w:rsid w:val="00162F14"/>
    <w:rsid w:val="001633DE"/>
    <w:rsid w:val="001640C8"/>
    <w:rsid w:val="0016452E"/>
    <w:rsid w:val="00164591"/>
    <w:rsid w:val="00165288"/>
    <w:rsid w:val="001664D1"/>
    <w:rsid w:val="00166E1C"/>
    <w:rsid w:val="00167268"/>
    <w:rsid w:val="00167569"/>
    <w:rsid w:val="00171A3F"/>
    <w:rsid w:val="00173ACA"/>
    <w:rsid w:val="0017572B"/>
    <w:rsid w:val="00176995"/>
    <w:rsid w:val="00176B29"/>
    <w:rsid w:val="00177019"/>
    <w:rsid w:val="001775C8"/>
    <w:rsid w:val="00177EE4"/>
    <w:rsid w:val="00181B11"/>
    <w:rsid w:val="001835BE"/>
    <w:rsid w:val="00184375"/>
    <w:rsid w:val="00184BEF"/>
    <w:rsid w:val="00186C21"/>
    <w:rsid w:val="00192034"/>
    <w:rsid w:val="00192AA9"/>
    <w:rsid w:val="001934A8"/>
    <w:rsid w:val="0019679B"/>
    <w:rsid w:val="001971A6"/>
    <w:rsid w:val="00197E0A"/>
    <w:rsid w:val="001A142F"/>
    <w:rsid w:val="001A340A"/>
    <w:rsid w:val="001A5381"/>
    <w:rsid w:val="001A54FC"/>
    <w:rsid w:val="001A624D"/>
    <w:rsid w:val="001B1D62"/>
    <w:rsid w:val="001B2101"/>
    <w:rsid w:val="001B325A"/>
    <w:rsid w:val="001B3642"/>
    <w:rsid w:val="001B5237"/>
    <w:rsid w:val="001B5C63"/>
    <w:rsid w:val="001B5D66"/>
    <w:rsid w:val="001B600A"/>
    <w:rsid w:val="001B6288"/>
    <w:rsid w:val="001B653C"/>
    <w:rsid w:val="001B689C"/>
    <w:rsid w:val="001B6B35"/>
    <w:rsid w:val="001C065A"/>
    <w:rsid w:val="001C0773"/>
    <w:rsid w:val="001C4CF7"/>
    <w:rsid w:val="001C4D8E"/>
    <w:rsid w:val="001C53CC"/>
    <w:rsid w:val="001C5969"/>
    <w:rsid w:val="001C7CD6"/>
    <w:rsid w:val="001D1179"/>
    <w:rsid w:val="001D2B6A"/>
    <w:rsid w:val="001D2BE5"/>
    <w:rsid w:val="001D2EBE"/>
    <w:rsid w:val="001D3B3D"/>
    <w:rsid w:val="001D3D09"/>
    <w:rsid w:val="001D4070"/>
    <w:rsid w:val="001D7369"/>
    <w:rsid w:val="001D7F49"/>
    <w:rsid w:val="001E01B4"/>
    <w:rsid w:val="001E09D1"/>
    <w:rsid w:val="001E09FA"/>
    <w:rsid w:val="001E0C7D"/>
    <w:rsid w:val="001E2527"/>
    <w:rsid w:val="001E2609"/>
    <w:rsid w:val="001E2D5E"/>
    <w:rsid w:val="001E34B6"/>
    <w:rsid w:val="001E3C53"/>
    <w:rsid w:val="001E6D68"/>
    <w:rsid w:val="001E7886"/>
    <w:rsid w:val="001E7E80"/>
    <w:rsid w:val="001F076F"/>
    <w:rsid w:val="001F0A0D"/>
    <w:rsid w:val="001F0B5F"/>
    <w:rsid w:val="001F0E41"/>
    <w:rsid w:val="001F0F9D"/>
    <w:rsid w:val="001F2201"/>
    <w:rsid w:val="001F236D"/>
    <w:rsid w:val="001F2AAC"/>
    <w:rsid w:val="001F2B33"/>
    <w:rsid w:val="001F3399"/>
    <w:rsid w:val="001F3647"/>
    <w:rsid w:val="001F3942"/>
    <w:rsid w:val="001F3989"/>
    <w:rsid w:val="001F6CA6"/>
    <w:rsid w:val="001F7035"/>
    <w:rsid w:val="001F78B8"/>
    <w:rsid w:val="002009FF"/>
    <w:rsid w:val="002022D8"/>
    <w:rsid w:val="00202715"/>
    <w:rsid w:val="00204252"/>
    <w:rsid w:val="00204E75"/>
    <w:rsid w:val="0020604F"/>
    <w:rsid w:val="0020796A"/>
    <w:rsid w:val="00207CC1"/>
    <w:rsid w:val="00210469"/>
    <w:rsid w:val="002104A1"/>
    <w:rsid w:val="002105FB"/>
    <w:rsid w:val="002108FF"/>
    <w:rsid w:val="00210DA3"/>
    <w:rsid w:val="00210DE8"/>
    <w:rsid w:val="00210F43"/>
    <w:rsid w:val="0021139E"/>
    <w:rsid w:val="0021152E"/>
    <w:rsid w:val="00215250"/>
    <w:rsid w:val="002171F4"/>
    <w:rsid w:val="00217859"/>
    <w:rsid w:val="002206E5"/>
    <w:rsid w:val="002238C9"/>
    <w:rsid w:val="00223A26"/>
    <w:rsid w:val="00225D00"/>
    <w:rsid w:val="0022620A"/>
    <w:rsid w:val="00226E3B"/>
    <w:rsid w:val="00226F3A"/>
    <w:rsid w:val="0022758D"/>
    <w:rsid w:val="00227F6F"/>
    <w:rsid w:val="00230148"/>
    <w:rsid w:val="002336BA"/>
    <w:rsid w:val="0023375B"/>
    <w:rsid w:val="00233BD6"/>
    <w:rsid w:val="00234767"/>
    <w:rsid w:val="0023476D"/>
    <w:rsid w:val="0023549D"/>
    <w:rsid w:val="00236DC2"/>
    <w:rsid w:val="0023743E"/>
    <w:rsid w:val="00237B00"/>
    <w:rsid w:val="00237E40"/>
    <w:rsid w:val="00240242"/>
    <w:rsid w:val="0024092D"/>
    <w:rsid w:val="00240CBB"/>
    <w:rsid w:val="00241C4C"/>
    <w:rsid w:val="0024349F"/>
    <w:rsid w:val="00243D1E"/>
    <w:rsid w:val="002445C1"/>
    <w:rsid w:val="00245201"/>
    <w:rsid w:val="00245BF6"/>
    <w:rsid w:val="002467EC"/>
    <w:rsid w:val="00246A04"/>
    <w:rsid w:val="00247D01"/>
    <w:rsid w:val="00247F67"/>
    <w:rsid w:val="0025012E"/>
    <w:rsid w:val="0025023A"/>
    <w:rsid w:val="00253128"/>
    <w:rsid w:val="00255ADE"/>
    <w:rsid w:val="00256526"/>
    <w:rsid w:val="00257B2A"/>
    <w:rsid w:val="00257EFD"/>
    <w:rsid w:val="002602D8"/>
    <w:rsid w:val="002607A8"/>
    <w:rsid w:val="0026104E"/>
    <w:rsid w:val="002616FB"/>
    <w:rsid w:val="002619D8"/>
    <w:rsid w:val="00262081"/>
    <w:rsid w:val="002621DB"/>
    <w:rsid w:val="002624A1"/>
    <w:rsid w:val="00263552"/>
    <w:rsid w:val="00264314"/>
    <w:rsid w:val="002648BB"/>
    <w:rsid w:val="00266464"/>
    <w:rsid w:val="00266AA9"/>
    <w:rsid w:val="00266B4B"/>
    <w:rsid w:val="00266D09"/>
    <w:rsid w:val="00271453"/>
    <w:rsid w:val="00271889"/>
    <w:rsid w:val="00271F8E"/>
    <w:rsid w:val="002720FC"/>
    <w:rsid w:val="00272258"/>
    <w:rsid w:val="00272664"/>
    <w:rsid w:val="002726D4"/>
    <w:rsid w:val="00272FD2"/>
    <w:rsid w:val="00274357"/>
    <w:rsid w:val="00274AF1"/>
    <w:rsid w:val="002750A3"/>
    <w:rsid w:val="00282029"/>
    <w:rsid w:val="002839FF"/>
    <w:rsid w:val="00284AED"/>
    <w:rsid w:val="00284D29"/>
    <w:rsid w:val="00286627"/>
    <w:rsid w:val="00286C40"/>
    <w:rsid w:val="00290AA6"/>
    <w:rsid w:val="002912B4"/>
    <w:rsid w:val="00291F4D"/>
    <w:rsid w:val="0029278D"/>
    <w:rsid w:val="00294757"/>
    <w:rsid w:val="00296A8F"/>
    <w:rsid w:val="002A1996"/>
    <w:rsid w:val="002A1C1C"/>
    <w:rsid w:val="002A43C5"/>
    <w:rsid w:val="002A46B3"/>
    <w:rsid w:val="002A6C73"/>
    <w:rsid w:val="002B0B10"/>
    <w:rsid w:val="002B1396"/>
    <w:rsid w:val="002B1405"/>
    <w:rsid w:val="002B179A"/>
    <w:rsid w:val="002B249A"/>
    <w:rsid w:val="002B2642"/>
    <w:rsid w:val="002B2DED"/>
    <w:rsid w:val="002B4ED5"/>
    <w:rsid w:val="002B592A"/>
    <w:rsid w:val="002B59FF"/>
    <w:rsid w:val="002B5E7E"/>
    <w:rsid w:val="002B68BC"/>
    <w:rsid w:val="002C0F7F"/>
    <w:rsid w:val="002C1762"/>
    <w:rsid w:val="002C18EE"/>
    <w:rsid w:val="002C18F1"/>
    <w:rsid w:val="002C2A16"/>
    <w:rsid w:val="002C3347"/>
    <w:rsid w:val="002C3357"/>
    <w:rsid w:val="002C3B3A"/>
    <w:rsid w:val="002C5FB1"/>
    <w:rsid w:val="002C6120"/>
    <w:rsid w:val="002C6D30"/>
    <w:rsid w:val="002C787C"/>
    <w:rsid w:val="002C7F8B"/>
    <w:rsid w:val="002D045A"/>
    <w:rsid w:val="002D0597"/>
    <w:rsid w:val="002D0A28"/>
    <w:rsid w:val="002D0C22"/>
    <w:rsid w:val="002D1762"/>
    <w:rsid w:val="002D18CC"/>
    <w:rsid w:val="002D2995"/>
    <w:rsid w:val="002D3F7F"/>
    <w:rsid w:val="002D4D27"/>
    <w:rsid w:val="002D58FA"/>
    <w:rsid w:val="002D6D1E"/>
    <w:rsid w:val="002D73B1"/>
    <w:rsid w:val="002E0D87"/>
    <w:rsid w:val="002E1EF1"/>
    <w:rsid w:val="002E2148"/>
    <w:rsid w:val="002E31C8"/>
    <w:rsid w:val="002E3F2D"/>
    <w:rsid w:val="002E51EB"/>
    <w:rsid w:val="002E5581"/>
    <w:rsid w:val="002E7E07"/>
    <w:rsid w:val="002F11DB"/>
    <w:rsid w:val="002F13F3"/>
    <w:rsid w:val="002F2B75"/>
    <w:rsid w:val="002F4D6F"/>
    <w:rsid w:val="002F502A"/>
    <w:rsid w:val="002F5832"/>
    <w:rsid w:val="002F6308"/>
    <w:rsid w:val="002F7408"/>
    <w:rsid w:val="002F781A"/>
    <w:rsid w:val="0030043D"/>
    <w:rsid w:val="003004B2"/>
    <w:rsid w:val="003007F6"/>
    <w:rsid w:val="00300A79"/>
    <w:rsid w:val="00301729"/>
    <w:rsid w:val="0030279D"/>
    <w:rsid w:val="00302A5A"/>
    <w:rsid w:val="00303471"/>
    <w:rsid w:val="00304C57"/>
    <w:rsid w:val="00305536"/>
    <w:rsid w:val="0030590F"/>
    <w:rsid w:val="00306184"/>
    <w:rsid w:val="0031076C"/>
    <w:rsid w:val="003117DF"/>
    <w:rsid w:val="00312190"/>
    <w:rsid w:val="003127B7"/>
    <w:rsid w:val="00313F02"/>
    <w:rsid w:val="00314D08"/>
    <w:rsid w:val="00316029"/>
    <w:rsid w:val="00317242"/>
    <w:rsid w:val="00317355"/>
    <w:rsid w:val="0031771B"/>
    <w:rsid w:val="003224B4"/>
    <w:rsid w:val="003228A6"/>
    <w:rsid w:val="003246B1"/>
    <w:rsid w:val="003247C6"/>
    <w:rsid w:val="003252F4"/>
    <w:rsid w:val="003259BE"/>
    <w:rsid w:val="003259CF"/>
    <w:rsid w:val="00326DCB"/>
    <w:rsid w:val="0032725C"/>
    <w:rsid w:val="003276FE"/>
    <w:rsid w:val="00330CA8"/>
    <w:rsid w:val="0033117B"/>
    <w:rsid w:val="003318A1"/>
    <w:rsid w:val="00332003"/>
    <w:rsid w:val="003322A5"/>
    <w:rsid w:val="0033282F"/>
    <w:rsid w:val="00332F0F"/>
    <w:rsid w:val="003333F7"/>
    <w:rsid w:val="00334DAB"/>
    <w:rsid w:val="00334F9E"/>
    <w:rsid w:val="003355A9"/>
    <w:rsid w:val="003360BF"/>
    <w:rsid w:val="00336738"/>
    <w:rsid w:val="00341435"/>
    <w:rsid w:val="00341584"/>
    <w:rsid w:val="003424DD"/>
    <w:rsid w:val="00342CCB"/>
    <w:rsid w:val="00342F9D"/>
    <w:rsid w:val="00344379"/>
    <w:rsid w:val="00344E54"/>
    <w:rsid w:val="00345080"/>
    <w:rsid w:val="0034523C"/>
    <w:rsid w:val="0034532A"/>
    <w:rsid w:val="0034566C"/>
    <w:rsid w:val="00345838"/>
    <w:rsid w:val="003459C6"/>
    <w:rsid w:val="00345B8F"/>
    <w:rsid w:val="00345EB7"/>
    <w:rsid w:val="00346685"/>
    <w:rsid w:val="00350695"/>
    <w:rsid w:val="00350BF8"/>
    <w:rsid w:val="00351AC9"/>
    <w:rsid w:val="003525E7"/>
    <w:rsid w:val="00355485"/>
    <w:rsid w:val="00355A40"/>
    <w:rsid w:val="00360435"/>
    <w:rsid w:val="00360523"/>
    <w:rsid w:val="0036062B"/>
    <w:rsid w:val="003609E1"/>
    <w:rsid w:val="00360E8C"/>
    <w:rsid w:val="00361347"/>
    <w:rsid w:val="003619EF"/>
    <w:rsid w:val="0036258E"/>
    <w:rsid w:val="00366790"/>
    <w:rsid w:val="003670CB"/>
    <w:rsid w:val="0037122C"/>
    <w:rsid w:val="003715DA"/>
    <w:rsid w:val="00371C9F"/>
    <w:rsid w:val="00372D77"/>
    <w:rsid w:val="00374FB9"/>
    <w:rsid w:val="0037560B"/>
    <w:rsid w:val="0037587F"/>
    <w:rsid w:val="0037641D"/>
    <w:rsid w:val="003765AA"/>
    <w:rsid w:val="003767B2"/>
    <w:rsid w:val="003770C2"/>
    <w:rsid w:val="00380414"/>
    <w:rsid w:val="00380684"/>
    <w:rsid w:val="00380EDB"/>
    <w:rsid w:val="00381EF4"/>
    <w:rsid w:val="00381F65"/>
    <w:rsid w:val="00382870"/>
    <w:rsid w:val="003834EF"/>
    <w:rsid w:val="00384CF1"/>
    <w:rsid w:val="0038587A"/>
    <w:rsid w:val="003867E2"/>
    <w:rsid w:val="00387201"/>
    <w:rsid w:val="00390AAB"/>
    <w:rsid w:val="0039169F"/>
    <w:rsid w:val="00391EB3"/>
    <w:rsid w:val="00392CA1"/>
    <w:rsid w:val="003936FC"/>
    <w:rsid w:val="003941D8"/>
    <w:rsid w:val="00396AFB"/>
    <w:rsid w:val="00397A39"/>
    <w:rsid w:val="003A07F1"/>
    <w:rsid w:val="003A092D"/>
    <w:rsid w:val="003A0C22"/>
    <w:rsid w:val="003A2B86"/>
    <w:rsid w:val="003A2CDA"/>
    <w:rsid w:val="003A374A"/>
    <w:rsid w:val="003A583C"/>
    <w:rsid w:val="003A6169"/>
    <w:rsid w:val="003A6419"/>
    <w:rsid w:val="003A6FA9"/>
    <w:rsid w:val="003A7162"/>
    <w:rsid w:val="003B08E1"/>
    <w:rsid w:val="003B25ED"/>
    <w:rsid w:val="003B2791"/>
    <w:rsid w:val="003B36F1"/>
    <w:rsid w:val="003B389A"/>
    <w:rsid w:val="003B3ACD"/>
    <w:rsid w:val="003B3DD6"/>
    <w:rsid w:val="003B48AA"/>
    <w:rsid w:val="003B57F2"/>
    <w:rsid w:val="003B7B10"/>
    <w:rsid w:val="003C1899"/>
    <w:rsid w:val="003C2CB6"/>
    <w:rsid w:val="003C32BE"/>
    <w:rsid w:val="003C41C7"/>
    <w:rsid w:val="003C47E7"/>
    <w:rsid w:val="003C4A7C"/>
    <w:rsid w:val="003C61A5"/>
    <w:rsid w:val="003C6B4A"/>
    <w:rsid w:val="003C6B7E"/>
    <w:rsid w:val="003C6EE5"/>
    <w:rsid w:val="003C7157"/>
    <w:rsid w:val="003C7565"/>
    <w:rsid w:val="003D0326"/>
    <w:rsid w:val="003D0350"/>
    <w:rsid w:val="003D07AB"/>
    <w:rsid w:val="003D12BA"/>
    <w:rsid w:val="003D1792"/>
    <w:rsid w:val="003D35A0"/>
    <w:rsid w:val="003D3781"/>
    <w:rsid w:val="003D3C84"/>
    <w:rsid w:val="003D3D6B"/>
    <w:rsid w:val="003D3E6D"/>
    <w:rsid w:val="003D40B2"/>
    <w:rsid w:val="003D4D79"/>
    <w:rsid w:val="003D5D59"/>
    <w:rsid w:val="003D6293"/>
    <w:rsid w:val="003D6A06"/>
    <w:rsid w:val="003D755D"/>
    <w:rsid w:val="003D786A"/>
    <w:rsid w:val="003D7A64"/>
    <w:rsid w:val="003E02EB"/>
    <w:rsid w:val="003E1A99"/>
    <w:rsid w:val="003E23B1"/>
    <w:rsid w:val="003E33AA"/>
    <w:rsid w:val="003E44E2"/>
    <w:rsid w:val="003E570B"/>
    <w:rsid w:val="003E7357"/>
    <w:rsid w:val="003F1D44"/>
    <w:rsid w:val="003F2DFA"/>
    <w:rsid w:val="003F39B9"/>
    <w:rsid w:val="003F3CAC"/>
    <w:rsid w:val="003F53CE"/>
    <w:rsid w:val="003F55A5"/>
    <w:rsid w:val="003F5BB5"/>
    <w:rsid w:val="003F63C9"/>
    <w:rsid w:val="003F6BA6"/>
    <w:rsid w:val="003F7F3F"/>
    <w:rsid w:val="003F7F46"/>
    <w:rsid w:val="0040077D"/>
    <w:rsid w:val="00400A79"/>
    <w:rsid w:val="0040205E"/>
    <w:rsid w:val="00402212"/>
    <w:rsid w:val="00402289"/>
    <w:rsid w:val="004022FE"/>
    <w:rsid w:val="00402CD8"/>
    <w:rsid w:val="00402E1C"/>
    <w:rsid w:val="00403F45"/>
    <w:rsid w:val="0040404C"/>
    <w:rsid w:val="00406657"/>
    <w:rsid w:val="00406835"/>
    <w:rsid w:val="00407176"/>
    <w:rsid w:val="004079E6"/>
    <w:rsid w:val="0041033E"/>
    <w:rsid w:val="004118F3"/>
    <w:rsid w:val="00412009"/>
    <w:rsid w:val="00412EAC"/>
    <w:rsid w:val="00412F49"/>
    <w:rsid w:val="004130D4"/>
    <w:rsid w:val="0041361F"/>
    <w:rsid w:val="00415128"/>
    <w:rsid w:val="004162CA"/>
    <w:rsid w:val="00416DF0"/>
    <w:rsid w:val="0041711F"/>
    <w:rsid w:val="004223D1"/>
    <w:rsid w:val="00422A93"/>
    <w:rsid w:val="00422CD3"/>
    <w:rsid w:val="0042351B"/>
    <w:rsid w:val="00423BA8"/>
    <w:rsid w:val="00424704"/>
    <w:rsid w:val="0042488B"/>
    <w:rsid w:val="00424BF8"/>
    <w:rsid w:val="00424E93"/>
    <w:rsid w:val="00425DA0"/>
    <w:rsid w:val="0042699A"/>
    <w:rsid w:val="004275E1"/>
    <w:rsid w:val="004279F2"/>
    <w:rsid w:val="004301C2"/>
    <w:rsid w:val="0043045A"/>
    <w:rsid w:val="0043061B"/>
    <w:rsid w:val="00430D6B"/>
    <w:rsid w:val="004316F3"/>
    <w:rsid w:val="00431B5E"/>
    <w:rsid w:val="00433157"/>
    <w:rsid w:val="00433957"/>
    <w:rsid w:val="0043395C"/>
    <w:rsid w:val="00433CBF"/>
    <w:rsid w:val="004341E1"/>
    <w:rsid w:val="00434285"/>
    <w:rsid w:val="00434B5F"/>
    <w:rsid w:val="00434F97"/>
    <w:rsid w:val="004401FC"/>
    <w:rsid w:val="00440389"/>
    <w:rsid w:val="00441216"/>
    <w:rsid w:val="004412FE"/>
    <w:rsid w:val="00443BA9"/>
    <w:rsid w:val="00443C60"/>
    <w:rsid w:val="0044451B"/>
    <w:rsid w:val="004448F7"/>
    <w:rsid w:val="00444A44"/>
    <w:rsid w:val="004452E2"/>
    <w:rsid w:val="00445AA3"/>
    <w:rsid w:val="004460B2"/>
    <w:rsid w:val="004468B7"/>
    <w:rsid w:val="0044694D"/>
    <w:rsid w:val="00446C3C"/>
    <w:rsid w:val="0044714B"/>
    <w:rsid w:val="004471F2"/>
    <w:rsid w:val="00447E8A"/>
    <w:rsid w:val="00450CD2"/>
    <w:rsid w:val="004514D2"/>
    <w:rsid w:val="0045233F"/>
    <w:rsid w:val="004538CF"/>
    <w:rsid w:val="00453B8B"/>
    <w:rsid w:val="00453C0F"/>
    <w:rsid w:val="00453DCC"/>
    <w:rsid w:val="00454330"/>
    <w:rsid w:val="00454933"/>
    <w:rsid w:val="00455B81"/>
    <w:rsid w:val="00455D99"/>
    <w:rsid w:val="004563C2"/>
    <w:rsid w:val="00456D97"/>
    <w:rsid w:val="004579F2"/>
    <w:rsid w:val="00460405"/>
    <w:rsid w:val="004638E2"/>
    <w:rsid w:val="004639F1"/>
    <w:rsid w:val="00463B94"/>
    <w:rsid w:val="00464C51"/>
    <w:rsid w:val="00465D7D"/>
    <w:rsid w:val="0046653A"/>
    <w:rsid w:val="004665C2"/>
    <w:rsid w:val="00466DA6"/>
    <w:rsid w:val="0046713D"/>
    <w:rsid w:val="00467202"/>
    <w:rsid w:val="00467213"/>
    <w:rsid w:val="00467C13"/>
    <w:rsid w:val="00467EF2"/>
    <w:rsid w:val="004700EA"/>
    <w:rsid w:val="004713F1"/>
    <w:rsid w:val="004719D8"/>
    <w:rsid w:val="00471E49"/>
    <w:rsid w:val="00471F94"/>
    <w:rsid w:val="00472CC8"/>
    <w:rsid w:val="004747C6"/>
    <w:rsid w:val="00477EF0"/>
    <w:rsid w:val="00480CBC"/>
    <w:rsid w:val="00480E1C"/>
    <w:rsid w:val="0048265C"/>
    <w:rsid w:val="00482CB8"/>
    <w:rsid w:val="00482CEF"/>
    <w:rsid w:val="0048364A"/>
    <w:rsid w:val="00483A70"/>
    <w:rsid w:val="00483E2F"/>
    <w:rsid w:val="004843C0"/>
    <w:rsid w:val="00485283"/>
    <w:rsid w:val="00485C17"/>
    <w:rsid w:val="00491774"/>
    <w:rsid w:val="00494514"/>
    <w:rsid w:val="0049600C"/>
    <w:rsid w:val="004964B1"/>
    <w:rsid w:val="004974BA"/>
    <w:rsid w:val="00497557"/>
    <w:rsid w:val="004A057A"/>
    <w:rsid w:val="004A1B5D"/>
    <w:rsid w:val="004A3679"/>
    <w:rsid w:val="004A3734"/>
    <w:rsid w:val="004A3AC3"/>
    <w:rsid w:val="004A3EA0"/>
    <w:rsid w:val="004A53B5"/>
    <w:rsid w:val="004A6EBF"/>
    <w:rsid w:val="004A7509"/>
    <w:rsid w:val="004B1CB3"/>
    <w:rsid w:val="004B331D"/>
    <w:rsid w:val="004B3F2F"/>
    <w:rsid w:val="004B431C"/>
    <w:rsid w:val="004B4714"/>
    <w:rsid w:val="004B520A"/>
    <w:rsid w:val="004B6923"/>
    <w:rsid w:val="004B7715"/>
    <w:rsid w:val="004C1BCC"/>
    <w:rsid w:val="004C22C6"/>
    <w:rsid w:val="004C2894"/>
    <w:rsid w:val="004C2BC4"/>
    <w:rsid w:val="004C530C"/>
    <w:rsid w:val="004C5689"/>
    <w:rsid w:val="004C5DE1"/>
    <w:rsid w:val="004C6834"/>
    <w:rsid w:val="004C6947"/>
    <w:rsid w:val="004C6B4E"/>
    <w:rsid w:val="004C766B"/>
    <w:rsid w:val="004C7A3E"/>
    <w:rsid w:val="004D2278"/>
    <w:rsid w:val="004D27EE"/>
    <w:rsid w:val="004D36D0"/>
    <w:rsid w:val="004D45F5"/>
    <w:rsid w:val="004D486C"/>
    <w:rsid w:val="004D5170"/>
    <w:rsid w:val="004D5504"/>
    <w:rsid w:val="004D5BA1"/>
    <w:rsid w:val="004E0251"/>
    <w:rsid w:val="004E02D6"/>
    <w:rsid w:val="004E067F"/>
    <w:rsid w:val="004E11D4"/>
    <w:rsid w:val="004E14BB"/>
    <w:rsid w:val="004E1BCF"/>
    <w:rsid w:val="004E2115"/>
    <w:rsid w:val="004E3FF8"/>
    <w:rsid w:val="004E4EFF"/>
    <w:rsid w:val="004E6D7C"/>
    <w:rsid w:val="004E6E6A"/>
    <w:rsid w:val="004F0DB4"/>
    <w:rsid w:val="004F163E"/>
    <w:rsid w:val="004F2277"/>
    <w:rsid w:val="004F31AD"/>
    <w:rsid w:val="004F3234"/>
    <w:rsid w:val="004F3EDE"/>
    <w:rsid w:val="004F426D"/>
    <w:rsid w:val="004F4BDB"/>
    <w:rsid w:val="004F57CE"/>
    <w:rsid w:val="004F5B69"/>
    <w:rsid w:val="004F5E85"/>
    <w:rsid w:val="004F6999"/>
    <w:rsid w:val="0050028A"/>
    <w:rsid w:val="00500820"/>
    <w:rsid w:val="00501338"/>
    <w:rsid w:val="00501382"/>
    <w:rsid w:val="005016ED"/>
    <w:rsid w:val="00501A15"/>
    <w:rsid w:val="0050227C"/>
    <w:rsid w:val="0050259F"/>
    <w:rsid w:val="0050271D"/>
    <w:rsid w:val="00503166"/>
    <w:rsid w:val="00503331"/>
    <w:rsid w:val="005039FC"/>
    <w:rsid w:val="00504EDF"/>
    <w:rsid w:val="00505DA4"/>
    <w:rsid w:val="005078AA"/>
    <w:rsid w:val="00507A3A"/>
    <w:rsid w:val="005110D8"/>
    <w:rsid w:val="005117BF"/>
    <w:rsid w:val="00512393"/>
    <w:rsid w:val="00512404"/>
    <w:rsid w:val="0051254C"/>
    <w:rsid w:val="00512570"/>
    <w:rsid w:val="005126D7"/>
    <w:rsid w:val="0051547B"/>
    <w:rsid w:val="00515955"/>
    <w:rsid w:val="005159E2"/>
    <w:rsid w:val="00515A2F"/>
    <w:rsid w:val="00516D05"/>
    <w:rsid w:val="00520216"/>
    <w:rsid w:val="00520A61"/>
    <w:rsid w:val="00521488"/>
    <w:rsid w:val="00521DC3"/>
    <w:rsid w:val="00522868"/>
    <w:rsid w:val="005230E0"/>
    <w:rsid w:val="00524077"/>
    <w:rsid w:val="005248C8"/>
    <w:rsid w:val="0052519C"/>
    <w:rsid w:val="00525360"/>
    <w:rsid w:val="005253DB"/>
    <w:rsid w:val="005262D8"/>
    <w:rsid w:val="00526BFE"/>
    <w:rsid w:val="005300CB"/>
    <w:rsid w:val="005302C6"/>
    <w:rsid w:val="005304BC"/>
    <w:rsid w:val="005323A0"/>
    <w:rsid w:val="00532431"/>
    <w:rsid w:val="00532FC1"/>
    <w:rsid w:val="00533798"/>
    <w:rsid w:val="005343CE"/>
    <w:rsid w:val="00534857"/>
    <w:rsid w:val="00534A36"/>
    <w:rsid w:val="00535018"/>
    <w:rsid w:val="00535CE8"/>
    <w:rsid w:val="005368C3"/>
    <w:rsid w:val="00540185"/>
    <w:rsid w:val="00542084"/>
    <w:rsid w:val="00542827"/>
    <w:rsid w:val="00543447"/>
    <w:rsid w:val="00544EE3"/>
    <w:rsid w:val="00545781"/>
    <w:rsid w:val="005458F7"/>
    <w:rsid w:val="00545FD8"/>
    <w:rsid w:val="0054639C"/>
    <w:rsid w:val="005472A6"/>
    <w:rsid w:val="00551561"/>
    <w:rsid w:val="00551585"/>
    <w:rsid w:val="00551D47"/>
    <w:rsid w:val="0055240B"/>
    <w:rsid w:val="00553251"/>
    <w:rsid w:val="00553831"/>
    <w:rsid w:val="005543DF"/>
    <w:rsid w:val="00554583"/>
    <w:rsid w:val="0055581C"/>
    <w:rsid w:val="00555A0D"/>
    <w:rsid w:val="00555E46"/>
    <w:rsid w:val="00557FC1"/>
    <w:rsid w:val="00560950"/>
    <w:rsid w:val="00561065"/>
    <w:rsid w:val="00561C24"/>
    <w:rsid w:val="005622C6"/>
    <w:rsid w:val="005631AE"/>
    <w:rsid w:val="00563859"/>
    <w:rsid w:val="0056457C"/>
    <w:rsid w:val="00564FB3"/>
    <w:rsid w:val="005651DB"/>
    <w:rsid w:val="00565BF9"/>
    <w:rsid w:val="00565C4E"/>
    <w:rsid w:val="00565FE1"/>
    <w:rsid w:val="005663F9"/>
    <w:rsid w:val="005705D8"/>
    <w:rsid w:val="00570E98"/>
    <w:rsid w:val="00571135"/>
    <w:rsid w:val="00571382"/>
    <w:rsid w:val="0057157C"/>
    <w:rsid w:val="00571E8B"/>
    <w:rsid w:val="00571F15"/>
    <w:rsid w:val="00572289"/>
    <w:rsid w:val="005725EC"/>
    <w:rsid w:val="00572915"/>
    <w:rsid w:val="00573193"/>
    <w:rsid w:val="005732AB"/>
    <w:rsid w:val="00573DAD"/>
    <w:rsid w:val="005748A4"/>
    <w:rsid w:val="00574C5E"/>
    <w:rsid w:val="00575C80"/>
    <w:rsid w:val="00576B49"/>
    <w:rsid w:val="00576C82"/>
    <w:rsid w:val="005772C5"/>
    <w:rsid w:val="00581D54"/>
    <w:rsid w:val="00581F5F"/>
    <w:rsid w:val="00582045"/>
    <w:rsid w:val="00582229"/>
    <w:rsid w:val="0058427B"/>
    <w:rsid w:val="0058466F"/>
    <w:rsid w:val="00585237"/>
    <w:rsid w:val="0058683B"/>
    <w:rsid w:val="00591D68"/>
    <w:rsid w:val="00592B74"/>
    <w:rsid w:val="005930F4"/>
    <w:rsid w:val="005938CC"/>
    <w:rsid w:val="00593B42"/>
    <w:rsid w:val="00594DA3"/>
    <w:rsid w:val="00595268"/>
    <w:rsid w:val="00595A59"/>
    <w:rsid w:val="00597269"/>
    <w:rsid w:val="005A1201"/>
    <w:rsid w:val="005A2A75"/>
    <w:rsid w:val="005A2AC7"/>
    <w:rsid w:val="005A3E0B"/>
    <w:rsid w:val="005A40F7"/>
    <w:rsid w:val="005A4F1A"/>
    <w:rsid w:val="005A4FB6"/>
    <w:rsid w:val="005A5B36"/>
    <w:rsid w:val="005A61CD"/>
    <w:rsid w:val="005A62BD"/>
    <w:rsid w:val="005A6474"/>
    <w:rsid w:val="005A791C"/>
    <w:rsid w:val="005A79AD"/>
    <w:rsid w:val="005B0185"/>
    <w:rsid w:val="005B06D6"/>
    <w:rsid w:val="005B0795"/>
    <w:rsid w:val="005B1671"/>
    <w:rsid w:val="005B1C89"/>
    <w:rsid w:val="005B2C2C"/>
    <w:rsid w:val="005B334F"/>
    <w:rsid w:val="005B3DE7"/>
    <w:rsid w:val="005B4CD8"/>
    <w:rsid w:val="005B544E"/>
    <w:rsid w:val="005B6012"/>
    <w:rsid w:val="005B6441"/>
    <w:rsid w:val="005B64AB"/>
    <w:rsid w:val="005B677D"/>
    <w:rsid w:val="005B7C18"/>
    <w:rsid w:val="005C04D7"/>
    <w:rsid w:val="005C0794"/>
    <w:rsid w:val="005C13F4"/>
    <w:rsid w:val="005C16B8"/>
    <w:rsid w:val="005C2D1D"/>
    <w:rsid w:val="005C3ED7"/>
    <w:rsid w:val="005C5110"/>
    <w:rsid w:val="005C56F0"/>
    <w:rsid w:val="005C57CB"/>
    <w:rsid w:val="005C62ED"/>
    <w:rsid w:val="005C6399"/>
    <w:rsid w:val="005C70AA"/>
    <w:rsid w:val="005C7688"/>
    <w:rsid w:val="005C7DB3"/>
    <w:rsid w:val="005D0485"/>
    <w:rsid w:val="005D0536"/>
    <w:rsid w:val="005D095A"/>
    <w:rsid w:val="005D126A"/>
    <w:rsid w:val="005D233B"/>
    <w:rsid w:val="005D2776"/>
    <w:rsid w:val="005D2E30"/>
    <w:rsid w:val="005D33D6"/>
    <w:rsid w:val="005D34F5"/>
    <w:rsid w:val="005D4142"/>
    <w:rsid w:val="005D5B9E"/>
    <w:rsid w:val="005D5BFD"/>
    <w:rsid w:val="005D5F5E"/>
    <w:rsid w:val="005D619B"/>
    <w:rsid w:val="005D76CD"/>
    <w:rsid w:val="005D7B5E"/>
    <w:rsid w:val="005E07F2"/>
    <w:rsid w:val="005E0CC3"/>
    <w:rsid w:val="005E1503"/>
    <w:rsid w:val="005E2199"/>
    <w:rsid w:val="005E25FD"/>
    <w:rsid w:val="005E325D"/>
    <w:rsid w:val="005E35CF"/>
    <w:rsid w:val="005E56B7"/>
    <w:rsid w:val="005E576E"/>
    <w:rsid w:val="005E59C5"/>
    <w:rsid w:val="005E5E16"/>
    <w:rsid w:val="005E6560"/>
    <w:rsid w:val="005E6F5A"/>
    <w:rsid w:val="005E7015"/>
    <w:rsid w:val="005E7F6D"/>
    <w:rsid w:val="005F0150"/>
    <w:rsid w:val="005F1550"/>
    <w:rsid w:val="005F18D0"/>
    <w:rsid w:val="005F3CA5"/>
    <w:rsid w:val="005F4E90"/>
    <w:rsid w:val="005F59C6"/>
    <w:rsid w:val="005F6904"/>
    <w:rsid w:val="005F6DCD"/>
    <w:rsid w:val="005F7179"/>
    <w:rsid w:val="005F7230"/>
    <w:rsid w:val="005F7AE4"/>
    <w:rsid w:val="0060021A"/>
    <w:rsid w:val="00600491"/>
    <w:rsid w:val="0060097D"/>
    <w:rsid w:val="00600A6D"/>
    <w:rsid w:val="00603DC6"/>
    <w:rsid w:val="00605A23"/>
    <w:rsid w:val="00605D2B"/>
    <w:rsid w:val="00610A3F"/>
    <w:rsid w:val="0061199F"/>
    <w:rsid w:val="00611D2C"/>
    <w:rsid w:val="00612036"/>
    <w:rsid w:val="0061373B"/>
    <w:rsid w:val="006144A7"/>
    <w:rsid w:val="00614BD6"/>
    <w:rsid w:val="00614E18"/>
    <w:rsid w:val="00615389"/>
    <w:rsid w:val="006154C0"/>
    <w:rsid w:val="006157C6"/>
    <w:rsid w:val="00615E9A"/>
    <w:rsid w:val="00616894"/>
    <w:rsid w:val="00616DFC"/>
    <w:rsid w:val="00617179"/>
    <w:rsid w:val="00617333"/>
    <w:rsid w:val="00617FCF"/>
    <w:rsid w:val="006203D9"/>
    <w:rsid w:val="00621117"/>
    <w:rsid w:val="00622560"/>
    <w:rsid w:val="00623F84"/>
    <w:rsid w:val="00624B8A"/>
    <w:rsid w:val="00625BEE"/>
    <w:rsid w:val="00627A4E"/>
    <w:rsid w:val="006301EB"/>
    <w:rsid w:val="0063173A"/>
    <w:rsid w:val="00631ADB"/>
    <w:rsid w:val="00635233"/>
    <w:rsid w:val="00635D06"/>
    <w:rsid w:val="00635D15"/>
    <w:rsid w:val="00636445"/>
    <w:rsid w:val="00636579"/>
    <w:rsid w:val="00636DCB"/>
    <w:rsid w:val="00637698"/>
    <w:rsid w:val="00637DBB"/>
    <w:rsid w:val="00640BB2"/>
    <w:rsid w:val="006420D3"/>
    <w:rsid w:val="00642F3C"/>
    <w:rsid w:val="00643CE9"/>
    <w:rsid w:val="00644610"/>
    <w:rsid w:val="0064483F"/>
    <w:rsid w:val="00644CB6"/>
    <w:rsid w:val="0064627A"/>
    <w:rsid w:val="00646EE5"/>
    <w:rsid w:val="006479B2"/>
    <w:rsid w:val="00651389"/>
    <w:rsid w:val="00652034"/>
    <w:rsid w:val="006538D0"/>
    <w:rsid w:val="00653DBA"/>
    <w:rsid w:val="00653EA0"/>
    <w:rsid w:val="006551FC"/>
    <w:rsid w:val="00655385"/>
    <w:rsid w:val="00655A0D"/>
    <w:rsid w:val="00656328"/>
    <w:rsid w:val="0065658B"/>
    <w:rsid w:val="00657CE9"/>
    <w:rsid w:val="00661743"/>
    <w:rsid w:val="00661D27"/>
    <w:rsid w:val="00661EBF"/>
    <w:rsid w:val="00661EF1"/>
    <w:rsid w:val="00662759"/>
    <w:rsid w:val="006646A3"/>
    <w:rsid w:val="006646D9"/>
    <w:rsid w:val="00664B67"/>
    <w:rsid w:val="006663EE"/>
    <w:rsid w:val="00667764"/>
    <w:rsid w:val="00670241"/>
    <w:rsid w:val="0067031D"/>
    <w:rsid w:val="00672D84"/>
    <w:rsid w:val="006733A9"/>
    <w:rsid w:val="0067388D"/>
    <w:rsid w:val="00673EB6"/>
    <w:rsid w:val="00675AE7"/>
    <w:rsid w:val="00677F45"/>
    <w:rsid w:val="00677FAE"/>
    <w:rsid w:val="00680ADB"/>
    <w:rsid w:val="00681D11"/>
    <w:rsid w:val="006828FA"/>
    <w:rsid w:val="00683E9C"/>
    <w:rsid w:val="00683F75"/>
    <w:rsid w:val="00684772"/>
    <w:rsid w:val="0068538E"/>
    <w:rsid w:val="00686549"/>
    <w:rsid w:val="00686EF2"/>
    <w:rsid w:val="00686F77"/>
    <w:rsid w:val="006900ED"/>
    <w:rsid w:val="0069026A"/>
    <w:rsid w:val="00691248"/>
    <w:rsid w:val="0069220B"/>
    <w:rsid w:val="00692449"/>
    <w:rsid w:val="00693934"/>
    <w:rsid w:val="006941C4"/>
    <w:rsid w:val="00694E66"/>
    <w:rsid w:val="00695002"/>
    <w:rsid w:val="006953C6"/>
    <w:rsid w:val="00695504"/>
    <w:rsid w:val="00695910"/>
    <w:rsid w:val="00695C50"/>
    <w:rsid w:val="00696E3A"/>
    <w:rsid w:val="00697A0A"/>
    <w:rsid w:val="006A1628"/>
    <w:rsid w:val="006A1A5A"/>
    <w:rsid w:val="006A23B7"/>
    <w:rsid w:val="006A2F23"/>
    <w:rsid w:val="006A3018"/>
    <w:rsid w:val="006A342B"/>
    <w:rsid w:val="006A3572"/>
    <w:rsid w:val="006A37B0"/>
    <w:rsid w:val="006A3F1F"/>
    <w:rsid w:val="006A55F9"/>
    <w:rsid w:val="006A657A"/>
    <w:rsid w:val="006A6813"/>
    <w:rsid w:val="006A7CB6"/>
    <w:rsid w:val="006B0D6D"/>
    <w:rsid w:val="006B148C"/>
    <w:rsid w:val="006B1883"/>
    <w:rsid w:val="006B2094"/>
    <w:rsid w:val="006B3C05"/>
    <w:rsid w:val="006B40DA"/>
    <w:rsid w:val="006B45C9"/>
    <w:rsid w:val="006B462A"/>
    <w:rsid w:val="006B7D0C"/>
    <w:rsid w:val="006C1CC5"/>
    <w:rsid w:val="006C1CE1"/>
    <w:rsid w:val="006C2473"/>
    <w:rsid w:val="006C34F3"/>
    <w:rsid w:val="006C36E0"/>
    <w:rsid w:val="006C3E9B"/>
    <w:rsid w:val="006C42E0"/>
    <w:rsid w:val="006C4CFC"/>
    <w:rsid w:val="006C52E4"/>
    <w:rsid w:val="006C5716"/>
    <w:rsid w:val="006C6B55"/>
    <w:rsid w:val="006C7AD0"/>
    <w:rsid w:val="006D02C1"/>
    <w:rsid w:val="006D0828"/>
    <w:rsid w:val="006D20BB"/>
    <w:rsid w:val="006D23A1"/>
    <w:rsid w:val="006D2CC8"/>
    <w:rsid w:val="006D513A"/>
    <w:rsid w:val="006D78E2"/>
    <w:rsid w:val="006D7C70"/>
    <w:rsid w:val="006D7FD5"/>
    <w:rsid w:val="006E0536"/>
    <w:rsid w:val="006E1528"/>
    <w:rsid w:val="006E3810"/>
    <w:rsid w:val="006E58CB"/>
    <w:rsid w:val="006E5E21"/>
    <w:rsid w:val="006E64AC"/>
    <w:rsid w:val="006E6984"/>
    <w:rsid w:val="006F0199"/>
    <w:rsid w:val="006F021D"/>
    <w:rsid w:val="006F05C5"/>
    <w:rsid w:val="006F11CC"/>
    <w:rsid w:val="006F2F48"/>
    <w:rsid w:val="006F3587"/>
    <w:rsid w:val="006F3B1E"/>
    <w:rsid w:val="006F3BF1"/>
    <w:rsid w:val="006F4468"/>
    <w:rsid w:val="006F4511"/>
    <w:rsid w:val="006F5C41"/>
    <w:rsid w:val="006F5FCA"/>
    <w:rsid w:val="00700332"/>
    <w:rsid w:val="00700F6B"/>
    <w:rsid w:val="007011A1"/>
    <w:rsid w:val="0070123B"/>
    <w:rsid w:val="0070161C"/>
    <w:rsid w:val="00701B6E"/>
    <w:rsid w:val="00702200"/>
    <w:rsid w:val="00703160"/>
    <w:rsid w:val="00704922"/>
    <w:rsid w:val="00705DEF"/>
    <w:rsid w:val="0070651D"/>
    <w:rsid w:val="007066D9"/>
    <w:rsid w:val="00706A5C"/>
    <w:rsid w:val="0071238D"/>
    <w:rsid w:val="007126AB"/>
    <w:rsid w:val="00713503"/>
    <w:rsid w:val="007136A4"/>
    <w:rsid w:val="00713A18"/>
    <w:rsid w:val="007141FA"/>
    <w:rsid w:val="00714B47"/>
    <w:rsid w:val="00715EBD"/>
    <w:rsid w:val="007201DC"/>
    <w:rsid w:val="007201F4"/>
    <w:rsid w:val="007202E8"/>
    <w:rsid w:val="0072039A"/>
    <w:rsid w:val="007205C6"/>
    <w:rsid w:val="0072135E"/>
    <w:rsid w:val="007216D9"/>
    <w:rsid w:val="00721954"/>
    <w:rsid w:val="00722EF7"/>
    <w:rsid w:val="00722F39"/>
    <w:rsid w:val="0072355C"/>
    <w:rsid w:val="007240E0"/>
    <w:rsid w:val="0072485A"/>
    <w:rsid w:val="007259CB"/>
    <w:rsid w:val="00725A20"/>
    <w:rsid w:val="00725DE6"/>
    <w:rsid w:val="007261CB"/>
    <w:rsid w:val="00727356"/>
    <w:rsid w:val="00730BFF"/>
    <w:rsid w:val="00730E09"/>
    <w:rsid w:val="00731BDF"/>
    <w:rsid w:val="00731D67"/>
    <w:rsid w:val="00732D13"/>
    <w:rsid w:val="00733D73"/>
    <w:rsid w:val="00734684"/>
    <w:rsid w:val="007354D8"/>
    <w:rsid w:val="00737631"/>
    <w:rsid w:val="0073777C"/>
    <w:rsid w:val="00741CA8"/>
    <w:rsid w:val="00742A98"/>
    <w:rsid w:val="007430E8"/>
    <w:rsid w:val="007434C5"/>
    <w:rsid w:val="0074442A"/>
    <w:rsid w:val="00744810"/>
    <w:rsid w:val="00744B98"/>
    <w:rsid w:val="00744DD7"/>
    <w:rsid w:val="00744F3C"/>
    <w:rsid w:val="007456ED"/>
    <w:rsid w:val="007457FF"/>
    <w:rsid w:val="00745C23"/>
    <w:rsid w:val="00745CC6"/>
    <w:rsid w:val="00746B35"/>
    <w:rsid w:val="00747137"/>
    <w:rsid w:val="007472FE"/>
    <w:rsid w:val="007477D8"/>
    <w:rsid w:val="00750586"/>
    <w:rsid w:val="00750C3F"/>
    <w:rsid w:val="007513AF"/>
    <w:rsid w:val="00752272"/>
    <w:rsid w:val="0075302A"/>
    <w:rsid w:val="00753E30"/>
    <w:rsid w:val="00754042"/>
    <w:rsid w:val="00755365"/>
    <w:rsid w:val="007559F8"/>
    <w:rsid w:val="00755E5D"/>
    <w:rsid w:val="00756153"/>
    <w:rsid w:val="00756A0B"/>
    <w:rsid w:val="00756ACB"/>
    <w:rsid w:val="00756D1B"/>
    <w:rsid w:val="0076061B"/>
    <w:rsid w:val="00761DF3"/>
    <w:rsid w:val="0076261A"/>
    <w:rsid w:val="00762DB8"/>
    <w:rsid w:val="00763232"/>
    <w:rsid w:val="00763D07"/>
    <w:rsid w:val="0076545C"/>
    <w:rsid w:val="00767C74"/>
    <w:rsid w:val="007701CB"/>
    <w:rsid w:val="00770316"/>
    <w:rsid w:val="007721FC"/>
    <w:rsid w:val="00772415"/>
    <w:rsid w:val="0077412B"/>
    <w:rsid w:val="00774155"/>
    <w:rsid w:val="0077569C"/>
    <w:rsid w:val="00775903"/>
    <w:rsid w:val="0077659A"/>
    <w:rsid w:val="00777CD0"/>
    <w:rsid w:val="00777F40"/>
    <w:rsid w:val="007811C6"/>
    <w:rsid w:val="00783673"/>
    <w:rsid w:val="0078405A"/>
    <w:rsid w:val="007844DA"/>
    <w:rsid w:val="00784E3B"/>
    <w:rsid w:val="00785229"/>
    <w:rsid w:val="00787399"/>
    <w:rsid w:val="00790ABF"/>
    <w:rsid w:val="00790B61"/>
    <w:rsid w:val="00790BE1"/>
    <w:rsid w:val="0079739D"/>
    <w:rsid w:val="00797627"/>
    <w:rsid w:val="00797716"/>
    <w:rsid w:val="007A1309"/>
    <w:rsid w:val="007A20A6"/>
    <w:rsid w:val="007A2636"/>
    <w:rsid w:val="007A28A2"/>
    <w:rsid w:val="007A4D4E"/>
    <w:rsid w:val="007A4D79"/>
    <w:rsid w:val="007A4FA8"/>
    <w:rsid w:val="007A5D98"/>
    <w:rsid w:val="007B1228"/>
    <w:rsid w:val="007B29FB"/>
    <w:rsid w:val="007B2A83"/>
    <w:rsid w:val="007B693B"/>
    <w:rsid w:val="007B6AD0"/>
    <w:rsid w:val="007B732A"/>
    <w:rsid w:val="007B746F"/>
    <w:rsid w:val="007C0F73"/>
    <w:rsid w:val="007C12D5"/>
    <w:rsid w:val="007C24C8"/>
    <w:rsid w:val="007C31F3"/>
    <w:rsid w:val="007C3261"/>
    <w:rsid w:val="007C3E48"/>
    <w:rsid w:val="007C3F3C"/>
    <w:rsid w:val="007C55C3"/>
    <w:rsid w:val="007C56A5"/>
    <w:rsid w:val="007C7084"/>
    <w:rsid w:val="007C7179"/>
    <w:rsid w:val="007D0AD7"/>
    <w:rsid w:val="007D1A94"/>
    <w:rsid w:val="007D3D46"/>
    <w:rsid w:val="007D52E2"/>
    <w:rsid w:val="007D5884"/>
    <w:rsid w:val="007D620E"/>
    <w:rsid w:val="007D71CD"/>
    <w:rsid w:val="007E073B"/>
    <w:rsid w:val="007E0784"/>
    <w:rsid w:val="007E0FEC"/>
    <w:rsid w:val="007E160C"/>
    <w:rsid w:val="007E1805"/>
    <w:rsid w:val="007E20B4"/>
    <w:rsid w:val="007E218E"/>
    <w:rsid w:val="007E32C8"/>
    <w:rsid w:val="007E50AD"/>
    <w:rsid w:val="007E5215"/>
    <w:rsid w:val="007E5468"/>
    <w:rsid w:val="007E76AF"/>
    <w:rsid w:val="007F0651"/>
    <w:rsid w:val="007F1A86"/>
    <w:rsid w:val="007F2C22"/>
    <w:rsid w:val="007F2D64"/>
    <w:rsid w:val="007F3899"/>
    <w:rsid w:val="007F41DE"/>
    <w:rsid w:val="007F5F25"/>
    <w:rsid w:val="008002C2"/>
    <w:rsid w:val="00801084"/>
    <w:rsid w:val="00804534"/>
    <w:rsid w:val="00804A23"/>
    <w:rsid w:val="008064C7"/>
    <w:rsid w:val="0080675C"/>
    <w:rsid w:val="00806CF1"/>
    <w:rsid w:val="00807082"/>
    <w:rsid w:val="00810764"/>
    <w:rsid w:val="00810DC2"/>
    <w:rsid w:val="00811663"/>
    <w:rsid w:val="00811C47"/>
    <w:rsid w:val="00812552"/>
    <w:rsid w:val="00812E61"/>
    <w:rsid w:val="00814F43"/>
    <w:rsid w:val="008161FF"/>
    <w:rsid w:val="0081678B"/>
    <w:rsid w:val="00817103"/>
    <w:rsid w:val="0082017F"/>
    <w:rsid w:val="008207C9"/>
    <w:rsid w:val="00821476"/>
    <w:rsid w:val="00822F7B"/>
    <w:rsid w:val="00824003"/>
    <w:rsid w:val="008306AE"/>
    <w:rsid w:val="00830C98"/>
    <w:rsid w:val="00830D29"/>
    <w:rsid w:val="00830E2A"/>
    <w:rsid w:val="00831096"/>
    <w:rsid w:val="00832354"/>
    <w:rsid w:val="00832420"/>
    <w:rsid w:val="00832F82"/>
    <w:rsid w:val="0083303C"/>
    <w:rsid w:val="00834844"/>
    <w:rsid w:val="00834DA8"/>
    <w:rsid w:val="00834E95"/>
    <w:rsid w:val="00835881"/>
    <w:rsid w:val="00836DDF"/>
    <w:rsid w:val="00837A61"/>
    <w:rsid w:val="00840016"/>
    <w:rsid w:val="008410E1"/>
    <w:rsid w:val="00842232"/>
    <w:rsid w:val="00842339"/>
    <w:rsid w:val="008427C1"/>
    <w:rsid w:val="00842A37"/>
    <w:rsid w:val="008431D6"/>
    <w:rsid w:val="0084408D"/>
    <w:rsid w:val="008465FA"/>
    <w:rsid w:val="008470A9"/>
    <w:rsid w:val="00847697"/>
    <w:rsid w:val="0085068C"/>
    <w:rsid w:val="008507BF"/>
    <w:rsid w:val="008517C8"/>
    <w:rsid w:val="00852EEF"/>
    <w:rsid w:val="00853A1B"/>
    <w:rsid w:val="00855C9A"/>
    <w:rsid w:val="00855F82"/>
    <w:rsid w:val="008564F0"/>
    <w:rsid w:val="0085761B"/>
    <w:rsid w:val="0086041D"/>
    <w:rsid w:val="008608BF"/>
    <w:rsid w:val="008617E4"/>
    <w:rsid w:val="00861D95"/>
    <w:rsid w:val="00862BA6"/>
    <w:rsid w:val="00862D87"/>
    <w:rsid w:val="00862DC3"/>
    <w:rsid w:val="00864707"/>
    <w:rsid w:val="00865A3D"/>
    <w:rsid w:val="008669F9"/>
    <w:rsid w:val="00866FAC"/>
    <w:rsid w:val="0086728B"/>
    <w:rsid w:val="00867549"/>
    <w:rsid w:val="00867627"/>
    <w:rsid w:val="00867BFD"/>
    <w:rsid w:val="00870B97"/>
    <w:rsid w:val="00870E1D"/>
    <w:rsid w:val="0087158B"/>
    <w:rsid w:val="008721E3"/>
    <w:rsid w:val="00873059"/>
    <w:rsid w:val="00874A32"/>
    <w:rsid w:val="008809C1"/>
    <w:rsid w:val="00881950"/>
    <w:rsid w:val="00882437"/>
    <w:rsid w:val="0088300A"/>
    <w:rsid w:val="008841CD"/>
    <w:rsid w:val="0088513A"/>
    <w:rsid w:val="00886910"/>
    <w:rsid w:val="00886AC6"/>
    <w:rsid w:val="00887634"/>
    <w:rsid w:val="00887763"/>
    <w:rsid w:val="00887CAF"/>
    <w:rsid w:val="00891178"/>
    <w:rsid w:val="00891D22"/>
    <w:rsid w:val="00891DB0"/>
    <w:rsid w:val="00892E33"/>
    <w:rsid w:val="0089331A"/>
    <w:rsid w:val="00893903"/>
    <w:rsid w:val="008956FA"/>
    <w:rsid w:val="00897401"/>
    <w:rsid w:val="008A044E"/>
    <w:rsid w:val="008A35FE"/>
    <w:rsid w:val="008A4271"/>
    <w:rsid w:val="008A4C08"/>
    <w:rsid w:val="008A4C65"/>
    <w:rsid w:val="008A4CBF"/>
    <w:rsid w:val="008A505F"/>
    <w:rsid w:val="008A53C5"/>
    <w:rsid w:val="008B03A9"/>
    <w:rsid w:val="008B0BCB"/>
    <w:rsid w:val="008B141F"/>
    <w:rsid w:val="008B2F32"/>
    <w:rsid w:val="008B34B4"/>
    <w:rsid w:val="008B3E58"/>
    <w:rsid w:val="008B4E3C"/>
    <w:rsid w:val="008B4E76"/>
    <w:rsid w:val="008B64FE"/>
    <w:rsid w:val="008B798E"/>
    <w:rsid w:val="008B7BDE"/>
    <w:rsid w:val="008B7EF3"/>
    <w:rsid w:val="008B7F1A"/>
    <w:rsid w:val="008C0074"/>
    <w:rsid w:val="008C0B59"/>
    <w:rsid w:val="008C3220"/>
    <w:rsid w:val="008C341F"/>
    <w:rsid w:val="008C7076"/>
    <w:rsid w:val="008C76B4"/>
    <w:rsid w:val="008C772F"/>
    <w:rsid w:val="008C7A70"/>
    <w:rsid w:val="008D1EA7"/>
    <w:rsid w:val="008D1F56"/>
    <w:rsid w:val="008D2380"/>
    <w:rsid w:val="008D25F0"/>
    <w:rsid w:val="008D28FB"/>
    <w:rsid w:val="008D34A8"/>
    <w:rsid w:val="008D37C6"/>
    <w:rsid w:val="008D3971"/>
    <w:rsid w:val="008D4507"/>
    <w:rsid w:val="008D4540"/>
    <w:rsid w:val="008D5CF6"/>
    <w:rsid w:val="008E03AA"/>
    <w:rsid w:val="008E103C"/>
    <w:rsid w:val="008E183F"/>
    <w:rsid w:val="008E3EF3"/>
    <w:rsid w:val="008E5342"/>
    <w:rsid w:val="008E55A9"/>
    <w:rsid w:val="008E5B61"/>
    <w:rsid w:val="008E5E6F"/>
    <w:rsid w:val="008E6314"/>
    <w:rsid w:val="008E632C"/>
    <w:rsid w:val="008E6939"/>
    <w:rsid w:val="008E6C48"/>
    <w:rsid w:val="008E7E4A"/>
    <w:rsid w:val="008F045A"/>
    <w:rsid w:val="008F0A15"/>
    <w:rsid w:val="008F0B1E"/>
    <w:rsid w:val="008F10BF"/>
    <w:rsid w:val="008F1A28"/>
    <w:rsid w:val="008F1F0D"/>
    <w:rsid w:val="008F250F"/>
    <w:rsid w:val="008F4C03"/>
    <w:rsid w:val="008F6AD1"/>
    <w:rsid w:val="008F6E6E"/>
    <w:rsid w:val="008F6FA2"/>
    <w:rsid w:val="008F707F"/>
    <w:rsid w:val="008F70DC"/>
    <w:rsid w:val="008F7ECC"/>
    <w:rsid w:val="0090078A"/>
    <w:rsid w:val="0090120B"/>
    <w:rsid w:val="00902316"/>
    <w:rsid w:val="009024C5"/>
    <w:rsid w:val="009056BF"/>
    <w:rsid w:val="00905AED"/>
    <w:rsid w:val="009065D5"/>
    <w:rsid w:val="00906920"/>
    <w:rsid w:val="00906F16"/>
    <w:rsid w:val="00907AC8"/>
    <w:rsid w:val="00910879"/>
    <w:rsid w:val="009127A4"/>
    <w:rsid w:val="0091383A"/>
    <w:rsid w:val="00913EF3"/>
    <w:rsid w:val="0091479F"/>
    <w:rsid w:val="00914863"/>
    <w:rsid w:val="0092051B"/>
    <w:rsid w:val="009210B1"/>
    <w:rsid w:val="00921FD7"/>
    <w:rsid w:val="009234BE"/>
    <w:rsid w:val="0092378D"/>
    <w:rsid w:val="0092451B"/>
    <w:rsid w:val="00924D75"/>
    <w:rsid w:val="0092629F"/>
    <w:rsid w:val="00926436"/>
    <w:rsid w:val="009265DB"/>
    <w:rsid w:val="00926B42"/>
    <w:rsid w:val="009273D1"/>
    <w:rsid w:val="009274FE"/>
    <w:rsid w:val="00927B0F"/>
    <w:rsid w:val="009300F7"/>
    <w:rsid w:val="00930D15"/>
    <w:rsid w:val="00930F3B"/>
    <w:rsid w:val="00933908"/>
    <w:rsid w:val="00934260"/>
    <w:rsid w:val="0093486A"/>
    <w:rsid w:val="009364A9"/>
    <w:rsid w:val="009365C7"/>
    <w:rsid w:val="00936B41"/>
    <w:rsid w:val="00941208"/>
    <w:rsid w:val="009431E3"/>
    <w:rsid w:val="00943E48"/>
    <w:rsid w:val="009440D4"/>
    <w:rsid w:val="009441C3"/>
    <w:rsid w:val="00944902"/>
    <w:rsid w:val="0094574E"/>
    <w:rsid w:val="00945A9C"/>
    <w:rsid w:val="00946744"/>
    <w:rsid w:val="00946E51"/>
    <w:rsid w:val="00947268"/>
    <w:rsid w:val="00947539"/>
    <w:rsid w:val="00950192"/>
    <w:rsid w:val="00950DBD"/>
    <w:rsid w:val="009519A6"/>
    <w:rsid w:val="00952295"/>
    <w:rsid w:val="009522B8"/>
    <w:rsid w:val="00952673"/>
    <w:rsid w:val="00952AC3"/>
    <w:rsid w:val="009531D1"/>
    <w:rsid w:val="00954374"/>
    <w:rsid w:val="00954579"/>
    <w:rsid w:val="00954F81"/>
    <w:rsid w:val="00955AE6"/>
    <w:rsid w:val="00955C19"/>
    <w:rsid w:val="00955CDC"/>
    <w:rsid w:val="009573EC"/>
    <w:rsid w:val="009578F4"/>
    <w:rsid w:val="0095799D"/>
    <w:rsid w:val="00960589"/>
    <w:rsid w:val="00960E53"/>
    <w:rsid w:val="00961FBC"/>
    <w:rsid w:val="009633A4"/>
    <w:rsid w:val="00963AA5"/>
    <w:rsid w:val="00963B21"/>
    <w:rsid w:val="00963D11"/>
    <w:rsid w:val="0096400E"/>
    <w:rsid w:val="00966535"/>
    <w:rsid w:val="00966934"/>
    <w:rsid w:val="009670DF"/>
    <w:rsid w:val="009675FE"/>
    <w:rsid w:val="00967700"/>
    <w:rsid w:val="00967B34"/>
    <w:rsid w:val="009705DC"/>
    <w:rsid w:val="00970A27"/>
    <w:rsid w:val="00970C82"/>
    <w:rsid w:val="00971313"/>
    <w:rsid w:val="0097135D"/>
    <w:rsid w:val="00971571"/>
    <w:rsid w:val="00972331"/>
    <w:rsid w:val="009725F1"/>
    <w:rsid w:val="00972C82"/>
    <w:rsid w:val="00973214"/>
    <w:rsid w:val="00974790"/>
    <w:rsid w:val="00974D9B"/>
    <w:rsid w:val="00974DC3"/>
    <w:rsid w:val="00974EC6"/>
    <w:rsid w:val="009755F5"/>
    <w:rsid w:val="00975D81"/>
    <w:rsid w:val="009768C4"/>
    <w:rsid w:val="0097695C"/>
    <w:rsid w:val="00981CD3"/>
    <w:rsid w:val="00981E6A"/>
    <w:rsid w:val="00982B03"/>
    <w:rsid w:val="00982BC1"/>
    <w:rsid w:val="00983DC0"/>
    <w:rsid w:val="00985B4B"/>
    <w:rsid w:val="0098666C"/>
    <w:rsid w:val="00986EBD"/>
    <w:rsid w:val="009870E2"/>
    <w:rsid w:val="009878FB"/>
    <w:rsid w:val="00990172"/>
    <w:rsid w:val="00990F06"/>
    <w:rsid w:val="00993C4B"/>
    <w:rsid w:val="0099404B"/>
    <w:rsid w:val="009944AA"/>
    <w:rsid w:val="009944E4"/>
    <w:rsid w:val="0099479B"/>
    <w:rsid w:val="009953EA"/>
    <w:rsid w:val="009958C6"/>
    <w:rsid w:val="00995BA4"/>
    <w:rsid w:val="009960CF"/>
    <w:rsid w:val="0099741A"/>
    <w:rsid w:val="009A0544"/>
    <w:rsid w:val="009A16A0"/>
    <w:rsid w:val="009A1B16"/>
    <w:rsid w:val="009A2A9F"/>
    <w:rsid w:val="009A311F"/>
    <w:rsid w:val="009A35E5"/>
    <w:rsid w:val="009A3DBF"/>
    <w:rsid w:val="009A47C6"/>
    <w:rsid w:val="009A6DD0"/>
    <w:rsid w:val="009A76F3"/>
    <w:rsid w:val="009B07C4"/>
    <w:rsid w:val="009B0CEA"/>
    <w:rsid w:val="009B1569"/>
    <w:rsid w:val="009B248E"/>
    <w:rsid w:val="009B27E2"/>
    <w:rsid w:val="009B3A22"/>
    <w:rsid w:val="009B3B71"/>
    <w:rsid w:val="009B3E30"/>
    <w:rsid w:val="009B3E84"/>
    <w:rsid w:val="009B601A"/>
    <w:rsid w:val="009B6068"/>
    <w:rsid w:val="009B6A93"/>
    <w:rsid w:val="009C0ACF"/>
    <w:rsid w:val="009C1089"/>
    <w:rsid w:val="009C1505"/>
    <w:rsid w:val="009C1BF1"/>
    <w:rsid w:val="009C2A91"/>
    <w:rsid w:val="009C31A5"/>
    <w:rsid w:val="009C44B7"/>
    <w:rsid w:val="009C4C52"/>
    <w:rsid w:val="009C5CCF"/>
    <w:rsid w:val="009C6C50"/>
    <w:rsid w:val="009C7AA5"/>
    <w:rsid w:val="009D0E16"/>
    <w:rsid w:val="009D141C"/>
    <w:rsid w:val="009D180C"/>
    <w:rsid w:val="009D1B92"/>
    <w:rsid w:val="009D2E77"/>
    <w:rsid w:val="009D3825"/>
    <w:rsid w:val="009D3B8C"/>
    <w:rsid w:val="009D4286"/>
    <w:rsid w:val="009D4356"/>
    <w:rsid w:val="009D5769"/>
    <w:rsid w:val="009D5F17"/>
    <w:rsid w:val="009D69ED"/>
    <w:rsid w:val="009D6F1D"/>
    <w:rsid w:val="009D7797"/>
    <w:rsid w:val="009D78A1"/>
    <w:rsid w:val="009D79B0"/>
    <w:rsid w:val="009E053D"/>
    <w:rsid w:val="009E0570"/>
    <w:rsid w:val="009E1194"/>
    <w:rsid w:val="009E1260"/>
    <w:rsid w:val="009E1F8C"/>
    <w:rsid w:val="009E23F3"/>
    <w:rsid w:val="009E5805"/>
    <w:rsid w:val="009E58A3"/>
    <w:rsid w:val="009E59C5"/>
    <w:rsid w:val="009E627B"/>
    <w:rsid w:val="009E62DD"/>
    <w:rsid w:val="009E632B"/>
    <w:rsid w:val="009E718A"/>
    <w:rsid w:val="009E73FD"/>
    <w:rsid w:val="009E7EFA"/>
    <w:rsid w:val="009F100B"/>
    <w:rsid w:val="009F2933"/>
    <w:rsid w:val="009F452C"/>
    <w:rsid w:val="009F4911"/>
    <w:rsid w:val="009F4CEE"/>
    <w:rsid w:val="009F4D9D"/>
    <w:rsid w:val="009F5621"/>
    <w:rsid w:val="009F5798"/>
    <w:rsid w:val="009F649E"/>
    <w:rsid w:val="009F7409"/>
    <w:rsid w:val="009F78D4"/>
    <w:rsid w:val="009F7DE1"/>
    <w:rsid w:val="00A007FA"/>
    <w:rsid w:val="00A02153"/>
    <w:rsid w:val="00A02F10"/>
    <w:rsid w:val="00A0358F"/>
    <w:rsid w:val="00A038BA"/>
    <w:rsid w:val="00A042EC"/>
    <w:rsid w:val="00A054F2"/>
    <w:rsid w:val="00A0580F"/>
    <w:rsid w:val="00A05901"/>
    <w:rsid w:val="00A06398"/>
    <w:rsid w:val="00A069C3"/>
    <w:rsid w:val="00A07911"/>
    <w:rsid w:val="00A11A8B"/>
    <w:rsid w:val="00A12849"/>
    <w:rsid w:val="00A12E53"/>
    <w:rsid w:val="00A14048"/>
    <w:rsid w:val="00A145B1"/>
    <w:rsid w:val="00A14932"/>
    <w:rsid w:val="00A1493C"/>
    <w:rsid w:val="00A16A08"/>
    <w:rsid w:val="00A2047C"/>
    <w:rsid w:val="00A2106F"/>
    <w:rsid w:val="00A22D2C"/>
    <w:rsid w:val="00A22FE2"/>
    <w:rsid w:val="00A23F4D"/>
    <w:rsid w:val="00A24628"/>
    <w:rsid w:val="00A24891"/>
    <w:rsid w:val="00A25451"/>
    <w:rsid w:val="00A25968"/>
    <w:rsid w:val="00A271BF"/>
    <w:rsid w:val="00A27939"/>
    <w:rsid w:val="00A31BBD"/>
    <w:rsid w:val="00A322B4"/>
    <w:rsid w:val="00A32636"/>
    <w:rsid w:val="00A3273D"/>
    <w:rsid w:val="00A331AC"/>
    <w:rsid w:val="00A33A43"/>
    <w:rsid w:val="00A33B5C"/>
    <w:rsid w:val="00A33EB4"/>
    <w:rsid w:val="00A340A0"/>
    <w:rsid w:val="00A35F13"/>
    <w:rsid w:val="00A377EE"/>
    <w:rsid w:val="00A42059"/>
    <w:rsid w:val="00A43888"/>
    <w:rsid w:val="00A43A46"/>
    <w:rsid w:val="00A4603F"/>
    <w:rsid w:val="00A51554"/>
    <w:rsid w:val="00A51ABC"/>
    <w:rsid w:val="00A53007"/>
    <w:rsid w:val="00A56AE1"/>
    <w:rsid w:val="00A607DF"/>
    <w:rsid w:val="00A60957"/>
    <w:rsid w:val="00A60B4E"/>
    <w:rsid w:val="00A6152B"/>
    <w:rsid w:val="00A61A22"/>
    <w:rsid w:val="00A62A03"/>
    <w:rsid w:val="00A62C20"/>
    <w:rsid w:val="00A63AA0"/>
    <w:rsid w:val="00A63BEE"/>
    <w:rsid w:val="00A63C4C"/>
    <w:rsid w:val="00A645BA"/>
    <w:rsid w:val="00A64D90"/>
    <w:rsid w:val="00A653B6"/>
    <w:rsid w:val="00A66201"/>
    <w:rsid w:val="00A66F2D"/>
    <w:rsid w:val="00A676F3"/>
    <w:rsid w:val="00A715CE"/>
    <w:rsid w:val="00A723F7"/>
    <w:rsid w:val="00A730AA"/>
    <w:rsid w:val="00A74075"/>
    <w:rsid w:val="00A74D4C"/>
    <w:rsid w:val="00A75B67"/>
    <w:rsid w:val="00A75CCD"/>
    <w:rsid w:val="00A76C7F"/>
    <w:rsid w:val="00A80390"/>
    <w:rsid w:val="00A80A40"/>
    <w:rsid w:val="00A82A46"/>
    <w:rsid w:val="00A82C5F"/>
    <w:rsid w:val="00A83737"/>
    <w:rsid w:val="00A841D1"/>
    <w:rsid w:val="00A84546"/>
    <w:rsid w:val="00A84A72"/>
    <w:rsid w:val="00A84C64"/>
    <w:rsid w:val="00A850F2"/>
    <w:rsid w:val="00A854D9"/>
    <w:rsid w:val="00A86784"/>
    <w:rsid w:val="00A86B50"/>
    <w:rsid w:val="00A86C1F"/>
    <w:rsid w:val="00A87084"/>
    <w:rsid w:val="00A87133"/>
    <w:rsid w:val="00A876E8"/>
    <w:rsid w:val="00A91F6F"/>
    <w:rsid w:val="00A941E9"/>
    <w:rsid w:val="00A9421F"/>
    <w:rsid w:val="00AA14F3"/>
    <w:rsid w:val="00AA175A"/>
    <w:rsid w:val="00AA1811"/>
    <w:rsid w:val="00AA233B"/>
    <w:rsid w:val="00AA4503"/>
    <w:rsid w:val="00AA480C"/>
    <w:rsid w:val="00AA597F"/>
    <w:rsid w:val="00AA6663"/>
    <w:rsid w:val="00AA6FA7"/>
    <w:rsid w:val="00AB0874"/>
    <w:rsid w:val="00AB0C8B"/>
    <w:rsid w:val="00AB0E82"/>
    <w:rsid w:val="00AB2E80"/>
    <w:rsid w:val="00AB2EAF"/>
    <w:rsid w:val="00AB36B0"/>
    <w:rsid w:val="00AB3A61"/>
    <w:rsid w:val="00AB4AA5"/>
    <w:rsid w:val="00AB4ABF"/>
    <w:rsid w:val="00AB52DB"/>
    <w:rsid w:val="00AB54CB"/>
    <w:rsid w:val="00AB5E30"/>
    <w:rsid w:val="00AC07DA"/>
    <w:rsid w:val="00AC0A16"/>
    <w:rsid w:val="00AC0AE1"/>
    <w:rsid w:val="00AC2D40"/>
    <w:rsid w:val="00AC3938"/>
    <w:rsid w:val="00AC40E1"/>
    <w:rsid w:val="00AC4EA8"/>
    <w:rsid w:val="00AC50E3"/>
    <w:rsid w:val="00AC7395"/>
    <w:rsid w:val="00AC7730"/>
    <w:rsid w:val="00AC7DF6"/>
    <w:rsid w:val="00AD1141"/>
    <w:rsid w:val="00AD1330"/>
    <w:rsid w:val="00AD2E83"/>
    <w:rsid w:val="00AD36A4"/>
    <w:rsid w:val="00AD3EF7"/>
    <w:rsid w:val="00AD3F9F"/>
    <w:rsid w:val="00AD4168"/>
    <w:rsid w:val="00AD498F"/>
    <w:rsid w:val="00AD4F9D"/>
    <w:rsid w:val="00AD56AA"/>
    <w:rsid w:val="00AD585B"/>
    <w:rsid w:val="00AD74EB"/>
    <w:rsid w:val="00AE05AE"/>
    <w:rsid w:val="00AE0D33"/>
    <w:rsid w:val="00AE10ED"/>
    <w:rsid w:val="00AE2436"/>
    <w:rsid w:val="00AE3CA5"/>
    <w:rsid w:val="00AE4318"/>
    <w:rsid w:val="00AE4660"/>
    <w:rsid w:val="00AE61EA"/>
    <w:rsid w:val="00AE6203"/>
    <w:rsid w:val="00AE634C"/>
    <w:rsid w:val="00AE66BF"/>
    <w:rsid w:val="00AE722E"/>
    <w:rsid w:val="00AE763D"/>
    <w:rsid w:val="00AF10F6"/>
    <w:rsid w:val="00AF16F5"/>
    <w:rsid w:val="00AF215A"/>
    <w:rsid w:val="00AF2240"/>
    <w:rsid w:val="00AF3233"/>
    <w:rsid w:val="00AF421D"/>
    <w:rsid w:val="00AF51A1"/>
    <w:rsid w:val="00AF5504"/>
    <w:rsid w:val="00AF781A"/>
    <w:rsid w:val="00B00203"/>
    <w:rsid w:val="00B0075F"/>
    <w:rsid w:val="00B02643"/>
    <w:rsid w:val="00B032C1"/>
    <w:rsid w:val="00B07044"/>
    <w:rsid w:val="00B1059E"/>
    <w:rsid w:val="00B11401"/>
    <w:rsid w:val="00B11DD7"/>
    <w:rsid w:val="00B13085"/>
    <w:rsid w:val="00B1486E"/>
    <w:rsid w:val="00B14DE6"/>
    <w:rsid w:val="00B153D7"/>
    <w:rsid w:val="00B16EB3"/>
    <w:rsid w:val="00B17603"/>
    <w:rsid w:val="00B177FC"/>
    <w:rsid w:val="00B17AF6"/>
    <w:rsid w:val="00B17E57"/>
    <w:rsid w:val="00B20C58"/>
    <w:rsid w:val="00B21F54"/>
    <w:rsid w:val="00B23B09"/>
    <w:rsid w:val="00B23D31"/>
    <w:rsid w:val="00B23EF4"/>
    <w:rsid w:val="00B241D6"/>
    <w:rsid w:val="00B30BC6"/>
    <w:rsid w:val="00B30DFF"/>
    <w:rsid w:val="00B32B1A"/>
    <w:rsid w:val="00B34881"/>
    <w:rsid w:val="00B354B5"/>
    <w:rsid w:val="00B358FB"/>
    <w:rsid w:val="00B36300"/>
    <w:rsid w:val="00B37579"/>
    <w:rsid w:val="00B37F2F"/>
    <w:rsid w:val="00B40E9C"/>
    <w:rsid w:val="00B40F3F"/>
    <w:rsid w:val="00B40F52"/>
    <w:rsid w:val="00B4181E"/>
    <w:rsid w:val="00B4233F"/>
    <w:rsid w:val="00B431E2"/>
    <w:rsid w:val="00B433A8"/>
    <w:rsid w:val="00B44130"/>
    <w:rsid w:val="00B44C47"/>
    <w:rsid w:val="00B44C76"/>
    <w:rsid w:val="00B44DFF"/>
    <w:rsid w:val="00B44F89"/>
    <w:rsid w:val="00B451F4"/>
    <w:rsid w:val="00B45CA0"/>
    <w:rsid w:val="00B45F69"/>
    <w:rsid w:val="00B47309"/>
    <w:rsid w:val="00B50253"/>
    <w:rsid w:val="00B50447"/>
    <w:rsid w:val="00B5051E"/>
    <w:rsid w:val="00B50575"/>
    <w:rsid w:val="00B50C41"/>
    <w:rsid w:val="00B50CB6"/>
    <w:rsid w:val="00B50D76"/>
    <w:rsid w:val="00B548B4"/>
    <w:rsid w:val="00B57279"/>
    <w:rsid w:val="00B57535"/>
    <w:rsid w:val="00B57903"/>
    <w:rsid w:val="00B628FA"/>
    <w:rsid w:val="00B62D0E"/>
    <w:rsid w:val="00B62EAB"/>
    <w:rsid w:val="00B62F51"/>
    <w:rsid w:val="00B6347E"/>
    <w:rsid w:val="00B63511"/>
    <w:rsid w:val="00B637A7"/>
    <w:rsid w:val="00B63AF1"/>
    <w:rsid w:val="00B64A94"/>
    <w:rsid w:val="00B64EB8"/>
    <w:rsid w:val="00B653BF"/>
    <w:rsid w:val="00B65844"/>
    <w:rsid w:val="00B66E12"/>
    <w:rsid w:val="00B67BDD"/>
    <w:rsid w:val="00B7062A"/>
    <w:rsid w:val="00B70D69"/>
    <w:rsid w:val="00B70F76"/>
    <w:rsid w:val="00B7227E"/>
    <w:rsid w:val="00B72C47"/>
    <w:rsid w:val="00B72CB5"/>
    <w:rsid w:val="00B74501"/>
    <w:rsid w:val="00B74BA1"/>
    <w:rsid w:val="00B74D82"/>
    <w:rsid w:val="00B767ED"/>
    <w:rsid w:val="00B76C7D"/>
    <w:rsid w:val="00B77024"/>
    <w:rsid w:val="00B80B03"/>
    <w:rsid w:val="00B81CC6"/>
    <w:rsid w:val="00B822E2"/>
    <w:rsid w:val="00B82B14"/>
    <w:rsid w:val="00B82CA9"/>
    <w:rsid w:val="00B82E59"/>
    <w:rsid w:val="00B83035"/>
    <w:rsid w:val="00B843A5"/>
    <w:rsid w:val="00B84420"/>
    <w:rsid w:val="00B84489"/>
    <w:rsid w:val="00B84A2C"/>
    <w:rsid w:val="00B852A6"/>
    <w:rsid w:val="00B85472"/>
    <w:rsid w:val="00B85C9D"/>
    <w:rsid w:val="00B86A4C"/>
    <w:rsid w:val="00B87F3D"/>
    <w:rsid w:val="00B903FD"/>
    <w:rsid w:val="00B92A6E"/>
    <w:rsid w:val="00B92E64"/>
    <w:rsid w:val="00B934AA"/>
    <w:rsid w:val="00B937F5"/>
    <w:rsid w:val="00B93E50"/>
    <w:rsid w:val="00B93E58"/>
    <w:rsid w:val="00B9433A"/>
    <w:rsid w:val="00B9477B"/>
    <w:rsid w:val="00B94AD4"/>
    <w:rsid w:val="00B94D67"/>
    <w:rsid w:val="00B95E3A"/>
    <w:rsid w:val="00B95EA5"/>
    <w:rsid w:val="00B9668E"/>
    <w:rsid w:val="00B97569"/>
    <w:rsid w:val="00B976A5"/>
    <w:rsid w:val="00BA05CE"/>
    <w:rsid w:val="00BA21DC"/>
    <w:rsid w:val="00BA25E6"/>
    <w:rsid w:val="00BA35D9"/>
    <w:rsid w:val="00BA418C"/>
    <w:rsid w:val="00BA5FBA"/>
    <w:rsid w:val="00BA706C"/>
    <w:rsid w:val="00BB0AD8"/>
    <w:rsid w:val="00BB17E2"/>
    <w:rsid w:val="00BB2130"/>
    <w:rsid w:val="00BB22FF"/>
    <w:rsid w:val="00BB314C"/>
    <w:rsid w:val="00BB6DAF"/>
    <w:rsid w:val="00BB76D5"/>
    <w:rsid w:val="00BB76EE"/>
    <w:rsid w:val="00BC0C68"/>
    <w:rsid w:val="00BC1278"/>
    <w:rsid w:val="00BC149E"/>
    <w:rsid w:val="00BC19D2"/>
    <w:rsid w:val="00BC2083"/>
    <w:rsid w:val="00BC2536"/>
    <w:rsid w:val="00BC2E3D"/>
    <w:rsid w:val="00BC325C"/>
    <w:rsid w:val="00BC3A9D"/>
    <w:rsid w:val="00BC3BD9"/>
    <w:rsid w:val="00BC4941"/>
    <w:rsid w:val="00BC50E1"/>
    <w:rsid w:val="00BC55F1"/>
    <w:rsid w:val="00BC5BD2"/>
    <w:rsid w:val="00BC63F6"/>
    <w:rsid w:val="00BC72D4"/>
    <w:rsid w:val="00BD09CB"/>
    <w:rsid w:val="00BD1982"/>
    <w:rsid w:val="00BD2B37"/>
    <w:rsid w:val="00BD45AF"/>
    <w:rsid w:val="00BD498E"/>
    <w:rsid w:val="00BD50DE"/>
    <w:rsid w:val="00BD544A"/>
    <w:rsid w:val="00BD5734"/>
    <w:rsid w:val="00BD6214"/>
    <w:rsid w:val="00BD64A7"/>
    <w:rsid w:val="00BE1121"/>
    <w:rsid w:val="00BE1B5C"/>
    <w:rsid w:val="00BE21BD"/>
    <w:rsid w:val="00BE35D6"/>
    <w:rsid w:val="00BE6714"/>
    <w:rsid w:val="00BE6AAE"/>
    <w:rsid w:val="00BE6EEA"/>
    <w:rsid w:val="00BE774A"/>
    <w:rsid w:val="00BE78BB"/>
    <w:rsid w:val="00BE7EC2"/>
    <w:rsid w:val="00BF0915"/>
    <w:rsid w:val="00BF2F89"/>
    <w:rsid w:val="00BF3497"/>
    <w:rsid w:val="00BF4CC4"/>
    <w:rsid w:val="00BF501B"/>
    <w:rsid w:val="00BF67FA"/>
    <w:rsid w:val="00BF712D"/>
    <w:rsid w:val="00BF7731"/>
    <w:rsid w:val="00BF7B22"/>
    <w:rsid w:val="00BF7E8B"/>
    <w:rsid w:val="00C00817"/>
    <w:rsid w:val="00C00D48"/>
    <w:rsid w:val="00C01C1A"/>
    <w:rsid w:val="00C020E6"/>
    <w:rsid w:val="00C02D3D"/>
    <w:rsid w:val="00C03803"/>
    <w:rsid w:val="00C048FD"/>
    <w:rsid w:val="00C054D2"/>
    <w:rsid w:val="00C05A0D"/>
    <w:rsid w:val="00C05CE9"/>
    <w:rsid w:val="00C062CE"/>
    <w:rsid w:val="00C0656C"/>
    <w:rsid w:val="00C06617"/>
    <w:rsid w:val="00C066BD"/>
    <w:rsid w:val="00C067D5"/>
    <w:rsid w:val="00C06ACE"/>
    <w:rsid w:val="00C07221"/>
    <w:rsid w:val="00C07A04"/>
    <w:rsid w:val="00C132B1"/>
    <w:rsid w:val="00C14970"/>
    <w:rsid w:val="00C21406"/>
    <w:rsid w:val="00C2263D"/>
    <w:rsid w:val="00C236C6"/>
    <w:rsid w:val="00C26B3C"/>
    <w:rsid w:val="00C27373"/>
    <w:rsid w:val="00C27EA1"/>
    <w:rsid w:val="00C307A0"/>
    <w:rsid w:val="00C30C34"/>
    <w:rsid w:val="00C30EAB"/>
    <w:rsid w:val="00C32344"/>
    <w:rsid w:val="00C32B7F"/>
    <w:rsid w:val="00C3320C"/>
    <w:rsid w:val="00C347AD"/>
    <w:rsid w:val="00C3554D"/>
    <w:rsid w:val="00C35579"/>
    <w:rsid w:val="00C3677E"/>
    <w:rsid w:val="00C36F82"/>
    <w:rsid w:val="00C37C88"/>
    <w:rsid w:val="00C41462"/>
    <w:rsid w:val="00C43034"/>
    <w:rsid w:val="00C449CB"/>
    <w:rsid w:val="00C45016"/>
    <w:rsid w:val="00C47841"/>
    <w:rsid w:val="00C47B15"/>
    <w:rsid w:val="00C5161F"/>
    <w:rsid w:val="00C52564"/>
    <w:rsid w:val="00C54787"/>
    <w:rsid w:val="00C564BC"/>
    <w:rsid w:val="00C57084"/>
    <w:rsid w:val="00C5796E"/>
    <w:rsid w:val="00C57A37"/>
    <w:rsid w:val="00C6057A"/>
    <w:rsid w:val="00C625B3"/>
    <w:rsid w:val="00C629E7"/>
    <w:rsid w:val="00C631F7"/>
    <w:rsid w:val="00C637C6"/>
    <w:rsid w:val="00C646A6"/>
    <w:rsid w:val="00C652EA"/>
    <w:rsid w:val="00C66E4F"/>
    <w:rsid w:val="00C673F7"/>
    <w:rsid w:val="00C6749B"/>
    <w:rsid w:val="00C70813"/>
    <w:rsid w:val="00C70BB1"/>
    <w:rsid w:val="00C71B2C"/>
    <w:rsid w:val="00C71BB9"/>
    <w:rsid w:val="00C72A2A"/>
    <w:rsid w:val="00C72FB9"/>
    <w:rsid w:val="00C73BB3"/>
    <w:rsid w:val="00C74B4D"/>
    <w:rsid w:val="00C74CA6"/>
    <w:rsid w:val="00C7618A"/>
    <w:rsid w:val="00C76BAE"/>
    <w:rsid w:val="00C77DDC"/>
    <w:rsid w:val="00C806E9"/>
    <w:rsid w:val="00C8073B"/>
    <w:rsid w:val="00C810CD"/>
    <w:rsid w:val="00C83162"/>
    <w:rsid w:val="00C8396B"/>
    <w:rsid w:val="00C84A58"/>
    <w:rsid w:val="00C85712"/>
    <w:rsid w:val="00C86573"/>
    <w:rsid w:val="00C870F1"/>
    <w:rsid w:val="00C87748"/>
    <w:rsid w:val="00C9116C"/>
    <w:rsid w:val="00C91A3C"/>
    <w:rsid w:val="00C93B99"/>
    <w:rsid w:val="00C93C3F"/>
    <w:rsid w:val="00C93D3C"/>
    <w:rsid w:val="00C943DD"/>
    <w:rsid w:val="00C9478B"/>
    <w:rsid w:val="00C9656C"/>
    <w:rsid w:val="00C96774"/>
    <w:rsid w:val="00C97700"/>
    <w:rsid w:val="00CA2A63"/>
    <w:rsid w:val="00CA2FEE"/>
    <w:rsid w:val="00CA3C98"/>
    <w:rsid w:val="00CA3DA4"/>
    <w:rsid w:val="00CA4478"/>
    <w:rsid w:val="00CA4A13"/>
    <w:rsid w:val="00CA711D"/>
    <w:rsid w:val="00CB043C"/>
    <w:rsid w:val="00CB1027"/>
    <w:rsid w:val="00CB1860"/>
    <w:rsid w:val="00CB5F4B"/>
    <w:rsid w:val="00CB67E5"/>
    <w:rsid w:val="00CB6BCD"/>
    <w:rsid w:val="00CB6DE9"/>
    <w:rsid w:val="00CB79D3"/>
    <w:rsid w:val="00CB7B60"/>
    <w:rsid w:val="00CB7BD6"/>
    <w:rsid w:val="00CC1E3D"/>
    <w:rsid w:val="00CC3356"/>
    <w:rsid w:val="00CC418C"/>
    <w:rsid w:val="00CC4FAE"/>
    <w:rsid w:val="00CC5770"/>
    <w:rsid w:val="00CC6490"/>
    <w:rsid w:val="00CC7DBA"/>
    <w:rsid w:val="00CC7F54"/>
    <w:rsid w:val="00CD101E"/>
    <w:rsid w:val="00CD1760"/>
    <w:rsid w:val="00CD19A3"/>
    <w:rsid w:val="00CD21C0"/>
    <w:rsid w:val="00CD3D0D"/>
    <w:rsid w:val="00CD4F51"/>
    <w:rsid w:val="00CD50CC"/>
    <w:rsid w:val="00CD5511"/>
    <w:rsid w:val="00CD5DFC"/>
    <w:rsid w:val="00CD6A31"/>
    <w:rsid w:val="00CE085A"/>
    <w:rsid w:val="00CE0C52"/>
    <w:rsid w:val="00CE0FC8"/>
    <w:rsid w:val="00CE1027"/>
    <w:rsid w:val="00CE117A"/>
    <w:rsid w:val="00CE2281"/>
    <w:rsid w:val="00CE233C"/>
    <w:rsid w:val="00CE2BC2"/>
    <w:rsid w:val="00CE3020"/>
    <w:rsid w:val="00CE4CDE"/>
    <w:rsid w:val="00CE4F15"/>
    <w:rsid w:val="00CE59DF"/>
    <w:rsid w:val="00CE5C43"/>
    <w:rsid w:val="00CE5DDD"/>
    <w:rsid w:val="00CE7F3F"/>
    <w:rsid w:val="00CF11DA"/>
    <w:rsid w:val="00CF1253"/>
    <w:rsid w:val="00CF15E0"/>
    <w:rsid w:val="00CF43DA"/>
    <w:rsid w:val="00CF4AE3"/>
    <w:rsid w:val="00CF5CD2"/>
    <w:rsid w:val="00CF6135"/>
    <w:rsid w:val="00CF6E94"/>
    <w:rsid w:val="00CF7127"/>
    <w:rsid w:val="00CF73A2"/>
    <w:rsid w:val="00CF77FA"/>
    <w:rsid w:val="00CF7EB1"/>
    <w:rsid w:val="00D0012A"/>
    <w:rsid w:val="00D0012B"/>
    <w:rsid w:val="00D00660"/>
    <w:rsid w:val="00D006EC"/>
    <w:rsid w:val="00D008FD"/>
    <w:rsid w:val="00D01B89"/>
    <w:rsid w:val="00D02355"/>
    <w:rsid w:val="00D024A4"/>
    <w:rsid w:val="00D02AAA"/>
    <w:rsid w:val="00D02CF7"/>
    <w:rsid w:val="00D040F8"/>
    <w:rsid w:val="00D0461F"/>
    <w:rsid w:val="00D0475D"/>
    <w:rsid w:val="00D049D4"/>
    <w:rsid w:val="00D05AC3"/>
    <w:rsid w:val="00D060F0"/>
    <w:rsid w:val="00D06559"/>
    <w:rsid w:val="00D06CAF"/>
    <w:rsid w:val="00D07975"/>
    <w:rsid w:val="00D07F45"/>
    <w:rsid w:val="00D10D06"/>
    <w:rsid w:val="00D12878"/>
    <w:rsid w:val="00D12C78"/>
    <w:rsid w:val="00D14E87"/>
    <w:rsid w:val="00D150D0"/>
    <w:rsid w:val="00D1550D"/>
    <w:rsid w:val="00D177FA"/>
    <w:rsid w:val="00D22D24"/>
    <w:rsid w:val="00D2396E"/>
    <w:rsid w:val="00D26ACF"/>
    <w:rsid w:val="00D27DCB"/>
    <w:rsid w:val="00D27F0C"/>
    <w:rsid w:val="00D32055"/>
    <w:rsid w:val="00D33541"/>
    <w:rsid w:val="00D340A3"/>
    <w:rsid w:val="00D340C1"/>
    <w:rsid w:val="00D35C30"/>
    <w:rsid w:val="00D36693"/>
    <w:rsid w:val="00D36A12"/>
    <w:rsid w:val="00D36D0C"/>
    <w:rsid w:val="00D40C38"/>
    <w:rsid w:val="00D41C4A"/>
    <w:rsid w:val="00D42453"/>
    <w:rsid w:val="00D43AEF"/>
    <w:rsid w:val="00D471C0"/>
    <w:rsid w:val="00D5026F"/>
    <w:rsid w:val="00D51AC3"/>
    <w:rsid w:val="00D51D5C"/>
    <w:rsid w:val="00D5367D"/>
    <w:rsid w:val="00D539E4"/>
    <w:rsid w:val="00D545FC"/>
    <w:rsid w:val="00D54B18"/>
    <w:rsid w:val="00D5628E"/>
    <w:rsid w:val="00D56590"/>
    <w:rsid w:val="00D56FDC"/>
    <w:rsid w:val="00D578D5"/>
    <w:rsid w:val="00D579AD"/>
    <w:rsid w:val="00D57C21"/>
    <w:rsid w:val="00D57F1C"/>
    <w:rsid w:val="00D6032B"/>
    <w:rsid w:val="00D60339"/>
    <w:rsid w:val="00D60575"/>
    <w:rsid w:val="00D60C4B"/>
    <w:rsid w:val="00D634CC"/>
    <w:rsid w:val="00D63990"/>
    <w:rsid w:val="00D65B3F"/>
    <w:rsid w:val="00D66E69"/>
    <w:rsid w:val="00D701EE"/>
    <w:rsid w:val="00D701F1"/>
    <w:rsid w:val="00D70A0E"/>
    <w:rsid w:val="00D70CF6"/>
    <w:rsid w:val="00D71A9B"/>
    <w:rsid w:val="00D71BC1"/>
    <w:rsid w:val="00D71E61"/>
    <w:rsid w:val="00D721DD"/>
    <w:rsid w:val="00D72991"/>
    <w:rsid w:val="00D74F5B"/>
    <w:rsid w:val="00D768F2"/>
    <w:rsid w:val="00D7700E"/>
    <w:rsid w:val="00D80A85"/>
    <w:rsid w:val="00D81030"/>
    <w:rsid w:val="00D83097"/>
    <w:rsid w:val="00D83D2C"/>
    <w:rsid w:val="00D842B3"/>
    <w:rsid w:val="00D85517"/>
    <w:rsid w:val="00D8703F"/>
    <w:rsid w:val="00D87AFE"/>
    <w:rsid w:val="00D90197"/>
    <w:rsid w:val="00D90469"/>
    <w:rsid w:val="00D905E0"/>
    <w:rsid w:val="00D912EC"/>
    <w:rsid w:val="00D92077"/>
    <w:rsid w:val="00D9257C"/>
    <w:rsid w:val="00D92C89"/>
    <w:rsid w:val="00D940C6"/>
    <w:rsid w:val="00D94C76"/>
    <w:rsid w:val="00D95B50"/>
    <w:rsid w:val="00D95EA7"/>
    <w:rsid w:val="00D9778F"/>
    <w:rsid w:val="00DA029C"/>
    <w:rsid w:val="00DA0E01"/>
    <w:rsid w:val="00DA2328"/>
    <w:rsid w:val="00DA240A"/>
    <w:rsid w:val="00DA28BD"/>
    <w:rsid w:val="00DA2DC6"/>
    <w:rsid w:val="00DA3159"/>
    <w:rsid w:val="00DA5F07"/>
    <w:rsid w:val="00DA716E"/>
    <w:rsid w:val="00DB0411"/>
    <w:rsid w:val="00DB05B9"/>
    <w:rsid w:val="00DB156C"/>
    <w:rsid w:val="00DB27F2"/>
    <w:rsid w:val="00DB2B05"/>
    <w:rsid w:val="00DB344F"/>
    <w:rsid w:val="00DB411C"/>
    <w:rsid w:val="00DB465E"/>
    <w:rsid w:val="00DB4701"/>
    <w:rsid w:val="00DB4C7D"/>
    <w:rsid w:val="00DB582E"/>
    <w:rsid w:val="00DB5FE4"/>
    <w:rsid w:val="00DB6FC3"/>
    <w:rsid w:val="00DB7703"/>
    <w:rsid w:val="00DC0C41"/>
    <w:rsid w:val="00DC3D7F"/>
    <w:rsid w:val="00DC3EBE"/>
    <w:rsid w:val="00DC46D0"/>
    <w:rsid w:val="00DC5656"/>
    <w:rsid w:val="00DC6077"/>
    <w:rsid w:val="00DC654D"/>
    <w:rsid w:val="00DC6F02"/>
    <w:rsid w:val="00DC6FBD"/>
    <w:rsid w:val="00DC7272"/>
    <w:rsid w:val="00DC7BD6"/>
    <w:rsid w:val="00DD05ED"/>
    <w:rsid w:val="00DD1045"/>
    <w:rsid w:val="00DD17AE"/>
    <w:rsid w:val="00DD1F00"/>
    <w:rsid w:val="00DD21D1"/>
    <w:rsid w:val="00DD2399"/>
    <w:rsid w:val="00DD2A7E"/>
    <w:rsid w:val="00DD2C17"/>
    <w:rsid w:val="00DD3246"/>
    <w:rsid w:val="00DD3EF8"/>
    <w:rsid w:val="00DD41E8"/>
    <w:rsid w:val="00DD540A"/>
    <w:rsid w:val="00DD5605"/>
    <w:rsid w:val="00DD63F6"/>
    <w:rsid w:val="00DD65FA"/>
    <w:rsid w:val="00DD7D4C"/>
    <w:rsid w:val="00DE1689"/>
    <w:rsid w:val="00DE1E27"/>
    <w:rsid w:val="00DE1E53"/>
    <w:rsid w:val="00DE2511"/>
    <w:rsid w:val="00DE324D"/>
    <w:rsid w:val="00DE51E2"/>
    <w:rsid w:val="00DE53F9"/>
    <w:rsid w:val="00DE5BE6"/>
    <w:rsid w:val="00DE6021"/>
    <w:rsid w:val="00DE7445"/>
    <w:rsid w:val="00DE7B83"/>
    <w:rsid w:val="00DE7CBB"/>
    <w:rsid w:val="00DF068D"/>
    <w:rsid w:val="00DF0C7A"/>
    <w:rsid w:val="00DF0D15"/>
    <w:rsid w:val="00DF0FC9"/>
    <w:rsid w:val="00DF264D"/>
    <w:rsid w:val="00DF2ADE"/>
    <w:rsid w:val="00DF3283"/>
    <w:rsid w:val="00DF32AF"/>
    <w:rsid w:val="00DF35CF"/>
    <w:rsid w:val="00DF4DCB"/>
    <w:rsid w:val="00DF5345"/>
    <w:rsid w:val="00DF5D38"/>
    <w:rsid w:val="00DF65B9"/>
    <w:rsid w:val="00DF6B69"/>
    <w:rsid w:val="00DF70CC"/>
    <w:rsid w:val="00DF7245"/>
    <w:rsid w:val="00DF7B29"/>
    <w:rsid w:val="00DF7E1B"/>
    <w:rsid w:val="00DF7E5E"/>
    <w:rsid w:val="00E00633"/>
    <w:rsid w:val="00E0281E"/>
    <w:rsid w:val="00E03765"/>
    <w:rsid w:val="00E040BF"/>
    <w:rsid w:val="00E078D4"/>
    <w:rsid w:val="00E106E6"/>
    <w:rsid w:val="00E11D4A"/>
    <w:rsid w:val="00E131E1"/>
    <w:rsid w:val="00E150B0"/>
    <w:rsid w:val="00E1573F"/>
    <w:rsid w:val="00E174B8"/>
    <w:rsid w:val="00E21B3C"/>
    <w:rsid w:val="00E2364F"/>
    <w:rsid w:val="00E248A9"/>
    <w:rsid w:val="00E24D17"/>
    <w:rsid w:val="00E25A48"/>
    <w:rsid w:val="00E25ADE"/>
    <w:rsid w:val="00E270B1"/>
    <w:rsid w:val="00E31560"/>
    <w:rsid w:val="00E31994"/>
    <w:rsid w:val="00E31F01"/>
    <w:rsid w:val="00E3218A"/>
    <w:rsid w:val="00E323BB"/>
    <w:rsid w:val="00E33769"/>
    <w:rsid w:val="00E3411E"/>
    <w:rsid w:val="00E34AA9"/>
    <w:rsid w:val="00E371EB"/>
    <w:rsid w:val="00E3750E"/>
    <w:rsid w:val="00E37A89"/>
    <w:rsid w:val="00E4088B"/>
    <w:rsid w:val="00E408FD"/>
    <w:rsid w:val="00E410D4"/>
    <w:rsid w:val="00E417C5"/>
    <w:rsid w:val="00E41EF6"/>
    <w:rsid w:val="00E43A80"/>
    <w:rsid w:val="00E43E98"/>
    <w:rsid w:val="00E44497"/>
    <w:rsid w:val="00E44F1F"/>
    <w:rsid w:val="00E50EAE"/>
    <w:rsid w:val="00E50EC6"/>
    <w:rsid w:val="00E50FCA"/>
    <w:rsid w:val="00E51821"/>
    <w:rsid w:val="00E5216C"/>
    <w:rsid w:val="00E521FA"/>
    <w:rsid w:val="00E53A0A"/>
    <w:rsid w:val="00E5647A"/>
    <w:rsid w:val="00E56F3F"/>
    <w:rsid w:val="00E57D40"/>
    <w:rsid w:val="00E57DC9"/>
    <w:rsid w:val="00E57FBC"/>
    <w:rsid w:val="00E60415"/>
    <w:rsid w:val="00E612D3"/>
    <w:rsid w:val="00E624A8"/>
    <w:rsid w:val="00E63B65"/>
    <w:rsid w:val="00E6497A"/>
    <w:rsid w:val="00E64ECF"/>
    <w:rsid w:val="00E650CC"/>
    <w:rsid w:val="00E6593A"/>
    <w:rsid w:val="00E659C7"/>
    <w:rsid w:val="00E668E8"/>
    <w:rsid w:val="00E66938"/>
    <w:rsid w:val="00E66F72"/>
    <w:rsid w:val="00E673A3"/>
    <w:rsid w:val="00E70059"/>
    <w:rsid w:val="00E708BD"/>
    <w:rsid w:val="00E71071"/>
    <w:rsid w:val="00E7330E"/>
    <w:rsid w:val="00E73E1F"/>
    <w:rsid w:val="00E74414"/>
    <w:rsid w:val="00E74B63"/>
    <w:rsid w:val="00E74E5D"/>
    <w:rsid w:val="00E759F4"/>
    <w:rsid w:val="00E75EA1"/>
    <w:rsid w:val="00E765D5"/>
    <w:rsid w:val="00E774B9"/>
    <w:rsid w:val="00E7791C"/>
    <w:rsid w:val="00E77A13"/>
    <w:rsid w:val="00E77E3E"/>
    <w:rsid w:val="00E80522"/>
    <w:rsid w:val="00E80C1E"/>
    <w:rsid w:val="00E8160B"/>
    <w:rsid w:val="00E825B5"/>
    <w:rsid w:val="00E82A1C"/>
    <w:rsid w:val="00E864A4"/>
    <w:rsid w:val="00E8654A"/>
    <w:rsid w:val="00E93B56"/>
    <w:rsid w:val="00E9425A"/>
    <w:rsid w:val="00E942F2"/>
    <w:rsid w:val="00E956FF"/>
    <w:rsid w:val="00E97121"/>
    <w:rsid w:val="00EA0043"/>
    <w:rsid w:val="00EA1D2D"/>
    <w:rsid w:val="00EA2AE4"/>
    <w:rsid w:val="00EA360E"/>
    <w:rsid w:val="00EA3DE0"/>
    <w:rsid w:val="00EA44C1"/>
    <w:rsid w:val="00EA454F"/>
    <w:rsid w:val="00EA4B8F"/>
    <w:rsid w:val="00EA4FFC"/>
    <w:rsid w:val="00EA5297"/>
    <w:rsid w:val="00EA54D9"/>
    <w:rsid w:val="00EA5B1A"/>
    <w:rsid w:val="00EA6D0C"/>
    <w:rsid w:val="00EA707F"/>
    <w:rsid w:val="00EB06C4"/>
    <w:rsid w:val="00EB098B"/>
    <w:rsid w:val="00EB2000"/>
    <w:rsid w:val="00EB29F2"/>
    <w:rsid w:val="00EB3821"/>
    <w:rsid w:val="00EB44B7"/>
    <w:rsid w:val="00EB45EE"/>
    <w:rsid w:val="00EB70DF"/>
    <w:rsid w:val="00EB7FC3"/>
    <w:rsid w:val="00EC120D"/>
    <w:rsid w:val="00EC13AF"/>
    <w:rsid w:val="00EC16D0"/>
    <w:rsid w:val="00EC2410"/>
    <w:rsid w:val="00EC3BDA"/>
    <w:rsid w:val="00EC3F63"/>
    <w:rsid w:val="00EC4B34"/>
    <w:rsid w:val="00EC589C"/>
    <w:rsid w:val="00EC59B6"/>
    <w:rsid w:val="00EC6F54"/>
    <w:rsid w:val="00EC73AE"/>
    <w:rsid w:val="00ED0893"/>
    <w:rsid w:val="00ED0BEE"/>
    <w:rsid w:val="00ED1A05"/>
    <w:rsid w:val="00ED1F70"/>
    <w:rsid w:val="00ED20C6"/>
    <w:rsid w:val="00ED25DA"/>
    <w:rsid w:val="00ED296F"/>
    <w:rsid w:val="00ED2B2A"/>
    <w:rsid w:val="00ED3AB0"/>
    <w:rsid w:val="00ED3AB4"/>
    <w:rsid w:val="00ED51B9"/>
    <w:rsid w:val="00ED6F62"/>
    <w:rsid w:val="00ED7D19"/>
    <w:rsid w:val="00EE097E"/>
    <w:rsid w:val="00EE09E0"/>
    <w:rsid w:val="00EE0B11"/>
    <w:rsid w:val="00EE0E27"/>
    <w:rsid w:val="00EE106B"/>
    <w:rsid w:val="00EE11E8"/>
    <w:rsid w:val="00EE1B92"/>
    <w:rsid w:val="00EE1F06"/>
    <w:rsid w:val="00EE2882"/>
    <w:rsid w:val="00EE2947"/>
    <w:rsid w:val="00EE34FD"/>
    <w:rsid w:val="00EE4BD8"/>
    <w:rsid w:val="00EE51FA"/>
    <w:rsid w:val="00EE6BE1"/>
    <w:rsid w:val="00EE6EC5"/>
    <w:rsid w:val="00EE73DE"/>
    <w:rsid w:val="00EE7C2C"/>
    <w:rsid w:val="00EF0435"/>
    <w:rsid w:val="00EF05AB"/>
    <w:rsid w:val="00EF1488"/>
    <w:rsid w:val="00EF1631"/>
    <w:rsid w:val="00EF1927"/>
    <w:rsid w:val="00EF3579"/>
    <w:rsid w:val="00EF441C"/>
    <w:rsid w:val="00EF4728"/>
    <w:rsid w:val="00EF4E6C"/>
    <w:rsid w:val="00EF63C1"/>
    <w:rsid w:val="00EF6FF5"/>
    <w:rsid w:val="00EF7684"/>
    <w:rsid w:val="00EF7FAE"/>
    <w:rsid w:val="00F00B9D"/>
    <w:rsid w:val="00F00BAD"/>
    <w:rsid w:val="00F017B7"/>
    <w:rsid w:val="00F02313"/>
    <w:rsid w:val="00F02459"/>
    <w:rsid w:val="00F02BF8"/>
    <w:rsid w:val="00F02F4E"/>
    <w:rsid w:val="00F034FC"/>
    <w:rsid w:val="00F0463B"/>
    <w:rsid w:val="00F05A12"/>
    <w:rsid w:val="00F07197"/>
    <w:rsid w:val="00F10244"/>
    <w:rsid w:val="00F1189E"/>
    <w:rsid w:val="00F11EAA"/>
    <w:rsid w:val="00F1487B"/>
    <w:rsid w:val="00F1659A"/>
    <w:rsid w:val="00F167F1"/>
    <w:rsid w:val="00F171A2"/>
    <w:rsid w:val="00F1788A"/>
    <w:rsid w:val="00F202C5"/>
    <w:rsid w:val="00F214C2"/>
    <w:rsid w:val="00F21517"/>
    <w:rsid w:val="00F21600"/>
    <w:rsid w:val="00F218FB"/>
    <w:rsid w:val="00F22815"/>
    <w:rsid w:val="00F231C5"/>
    <w:rsid w:val="00F24B9B"/>
    <w:rsid w:val="00F252AB"/>
    <w:rsid w:val="00F25806"/>
    <w:rsid w:val="00F26522"/>
    <w:rsid w:val="00F26703"/>
    <w:rsid w:val="00F26EF1"/>
    <w:rsid w:val="00F30BC5"/>
    <w:rsid w:val="00F3321A"/>
    <w:rsid w:val="00F341F7"/>
    <w:rsid w:val="00F346B1"/>
    <w:rsid w:val="00F34934"/>
    <w:rsid w:val="00F34FD7"/>
    <w:rsid w:val="00F36344"/>
    <w:rsid w:val="00F365E3"/>
    <w:rsid w:val="00F37471"/>
    <w:rsid w:val="00F401C0"/>
    <w:rsid w:val="00F40DB8"/>
    <w:rsid w:val="00F4189E"/>
    <w:rsid w:val="00F41921"/>
    <w:rsid w:val="00F41A7A"/>
    <w:rsid w:val="00F42C5F"/>
    <w:rsid w:val="00F43860"/>
    <w:rsid w:val="00F44E8E"/>
    <w:rsid w:val="00F46058"/>
    <w:rsid w:val="00F46384"/>
    <w:rsid w:val="00F5050E"/>
    <w:rsid w:val="00F5127A"/>
    <w:rsid w:val="00F51E20"/>
    <w:rsid w:val="00F5315D"/>
    <w:rsid w:val="00F563F3"/>
    <w:rsid w:val="00F566D5"/>
    <w:rsid w:val="00F56795"/>
    <w:rsid w:val="00F56B78"/>
    <w:rsid w:val="00F60695"/>
    <w:rsid w:val="00F60AA5"/>
    <w:rsid w:val="00F6265B"/>
    <w:rsid w:val="00F62D82"/>
    <w:rsid w:val="00F6376E"/>
    <w:rsid w:val="00F63D1D"/>
    <w:rsid w:val="00F63FB0"/>
    <w:rsid w:val="00F64417"/>
    <w:rsid w:val="00F64524"/>
    <w:rsid w:val="00F64A59"/>
    <w:rsid w:val="00F656C4"/>
    <w:rsid w:val="00F65B92"/>
    <w:rsid w:val="00F66161"/>
    <w:rsid w:val="00F6618D"/>
    <w:rsid w:val="00F66CBF"/>
    <w:rsid w:val="00F66E37"/>
    <w:rsid w:val="00F67D32"/>
    <w:rsid w:val="00F7062C"/>
    <w:rsid w:val="00F70DA4"/>
    <w:rsid w:val="00F7251B"/>
    <w:rsid w:val="00F73394"/>
    <w:rsid w:val="00F742D4"/>
    <w:rsid w:val="00F744F6"/>
    <w:rsid w:val="00F75850"/>
    <w:rsid w:val="00F75EBD"/>
    <w:rsid w:val="00F770A3"/>
    <w:rsid w:val="00F77889"/>
    <w:rsid w:val="00F77B7E"/>
    <w:rsid w:val="00F77F36"/>
    <w:rsid w:val="00F82A3A"/>
    <w:rsid w:val="00F83376"/>
    <w:rsid w:val="00F8363B"/>
    <w:rsid w:val="00F836EC"/>
    <w:rsid w:val="00F843FD"/>
    <w:rsid w:val="00F85100"/>
    <w:rsid w:val="00F8570A"/>
    <w:rsid w:val="00F86778"/>
    <w:rsid w:val="00F879B6"/>
    <w:rsid w:val="00F87B20"/>
    <w:rsid w:val="00F91141"/>
    <w:rsid w:val="00F911AA"/>
    <w:rsid w:val="00F91A55"/>
    <w:rsid w:val="00F92922"/>
    <w:rsid w:val="00F92961"/>
    <w:rsid w:val="00F92B63"/>
    <w:rsid w:val="00F93ED6"/>
    <w:rsid w:val="00F94368"/>
    <w:rsid w:val="00F946A9"/>
    <w:rsid w:val="00F946BB"/>
    <w:rsid w:val="00F9683B"/>
    <w:rsid w:val="00F96CED"/>
    <w:rsid w:val="00FA14BD"/>
    <w:rsid w:val="00FA26F1"/>
    <w:rsid w:val="00FA2B45"/>
    <w:rsid w:val="00FA3355"/>
    <w:rsid w:val="00FA335E"/>
    <w:rsid w:val="00FA367A"/>
    <w:rsid w:val="00FA3E50"/>
    <w:rsid w:val="00FA62AD"/>
    <w:rsid w:val="00FA7A74"/>
    <w:rsid w:val="00FB0122"/>
    <w:rsid w:val="00FB0AA1"/>
    <w:rsid w:val="00FB14FA"/>
    <w:rsid w:val="00FB1652"/>
    <w:rsid w:val="00FB1B46"/>
    <w:rsid w:val="00FB2610"/>
    <w:rsid w:val="00FB2C55"/>
    <w:rsid w:val="00FB3184"/>
    <w:rsid w:val="00FB3749"/>
    <w:rsid w:val="00FB37D9"/>
    <w:rsid w:val="00FB3D7D"/>
    <w:rsid w:val="00FB3E67"/>
    <w:rsid w:val="00FB4AB5"/>
    <w:rsid w:val="00FB5B4F"/>
    <w:rsid w:val="00FB5DB3"/>
    <w:rsid w:val="00FB67B5"/>
    <w:rsid w:val="00FB6D5F"/>
    <w:rsid w:val="00FB7E4D"/>
    <w:rsid w:val="00FC0399"/>
    <w:rsid w:val="00FC185A"/>
    <w:rsid w:val="00FC2694"/>
    <w:rsid w:val="00FC27B2"/>
    <w:rsid w:val="00FC302E"/>
    <w:rsid w:val="00FC37BF"/>
    <w:rsid w:val="00FC3A1F"/>
    <w:rsid w:val="00FC3A97"/>
    <w:rsid w:val="00FC51D9"/>
    <w:rsid w:val="00FC5248"/>
    <w:rsid w:val="00FC5CD9"/>
    <w:rsid w:val="00FD06DA"/>
    <w:rsid w:val="00FD1CF8"/>
    <w:rsid w:val="00FD3E88"/>
    <w:rsid w:val="00FD4C95"/>
    <w:rsid w:val="00FD5309"/>
    <w:rsid w:val="00FD5AC5"/>
    <w:rsid w:val="00FD635D"/>
    <w:rsid w:val="00FD722A"/>
    <w:rsid w:val="00FD783F"/>
    <w:rsid w:val="00FD7F56"/>
    <w:rsid w:val="00FE0B08"/>
    <w:rsid w:val="00FE1197"/>
    <w:rsid w:val="00FE1276"/>
    <w:rsid w:val="00FE1336"/>
    <w:rsid w:val="00FE1727"/>
    <w:rsid w:val="00FE1912"/>
    <w:rsid w:val="00FE1AED"/>
    <w:rsid w:val="00FE348B"/>
    <w:rsid w:val="00FE3DE4"/>
    <w:rsid w:val="00FE4ADF"/>
    <w:rsid w:val="00FE5CE7"/>
    <w:rsid w:val="00FE66DE"/>
    <w:rsid w:val="00FE6DF4"/>
    <w:rsid w:val="00FE6FE2"/>
    <w:rsid w:val="00FE7843"/>
    <w:rsid w:val="00FE78D4"/>
    <w:rsid w:val="00FF1364"/>
    <w:rsid w:val="00FF16D9"/>
    <w:rsid w:val="00FF23D5"/>
    <w:rsid w:val="00FF2BC2"/>
    <w:rsid w:val="00FF44ED"/>
    <w:rsid w:val="00FF467F"/>
    <w:rsid w:val="00FF4715"/>
    <w:rsid w:val="00FF4F58"/>
    <w:rsid w:val="00FF5516"/>
    <w:rsid w:val="00FF553A"/>
    <w:rsid w:val="00FF5B0C"/>
    <w:rsid w:val="00FF5E35"/>
    <w:rsid w:val="00FF61C3"/>
    <w:rsid w:val="00FF62FB"/>
    <w:rsid w:val="05C92B68"/>
    <w:rsid w:val="09223C6C"/>
    <w:rsid w:val="103B0441"/>
    <w:rsid w:val="15162490"/>
    <w:rsid w:val="1D587C3F"/>
    <w:rsid w:val="1E7F089A"/>
    <w:rsid w:val="1EC83C70"/>
    <w:rsid w:val="24B94FA9"/>
    <w:rsid w:val="2B45448D"/>
    <w:rsid w:val="2CEB4F3E"/>
    <w:rsid w:val="2D7223A4"/>
    <w:rsid w:val="318C1925"/>
    <w:rsid w:val="336144A0"/>
    <w:rsid w:val="36044291"/>
    <w:rsid w:val="377B29D3"/>
    <w:rsid w:val="487E3CA0"/>
    <w:rsid w:val="49C15EE2"/>
    <w:rsid w:val="51377697"/>
    <w:rsid w:val="541C1980"/>
    <w:rsid w:val="56FB73FB"/>
    <w:rsid w:val="5A153E3D"/>
    <w:rsid w:val="62C0270E"/>
    <w:rsid w:val="71D03C77"/>
    <w:rsid w:val="721F28A8"/>
    <w:rsid w:val="74F6354E"/>
    <w:rsid w:val="77625D3D"/>
    <w:rsid w:val="7C85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2"/>
    <w:autoRedefine/>
    <w:qFormat/>
    <w:uiPriority w:val="9"/>
    <w:pPr>
      <w:keepNext/>
      <w:keepLines/>
      <w:spacing w:before="20" w:after="20" w:line="360" w:lineRule="auto"/>
      <w:jc w:val="center"/>
      <w:outlineLvl w:val="0"/>
    </w:pPr>
    <w:rPr>
      <w:b/>
      <w:bCs/>
      <w:color w:val="000000"/>
      <w:kern w:val="44"/>
      <w:sz w:val="24"/>
      <w:szCs w:val="44"/>
    </w:rPr>
  </w:style>
  <w:style w:type="paragraph" w:styleId="2">
    <w:name w:val="heading 2"/>
    <w:basedOn w:val="1"/>
    <w:next w:val="1"/>
    <w:link w:val="363"/>
    <w:autoRedefine/>
    <w:qFormat/>
    <w:uiPriority w:val="0"/>
    <w:pPr>
      <w:keepNext/>
      <w:keepLines/>
      <w:spacing w:before="260" w:after="260" w:line="415" w:lineRule="auto"/>
      <w:outlineLvl w:val="1"/>
    </w:pPr>
    <w:rPr>
      <w:rFonts w:ascii="Arial" w:hAnsi="Arial" w:eastAsia="黑体" w:cs="黑体"/>
      <w:b/>
      <w:bCs/>
      <w:kern w:val="0"/>
      <w:sz w:val="32"/>
      <w:szCs w:val="32"/>
    </w:rPr>
  </w:style>
  <w:style w:type="paragraph" w:styleId="4">
    <w:name w:val="heading 3"/>
    <w:basedOn w:val="1"/>
    <w:next w:val="1"/>
    <w:link w:val="359"/>
    <w:autoRedefine/>
    <w:qFormat/>
    <w:uiPriority w:val="9"/>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361"/>
    <w:autoRedefine/>
    <w:qFormat/>
    <w:uiPriority w:val="0"/>
    <w:pPr>
      <w:keepNext/>
      <w:keepLines/>
      <w:spacing w:before="280" w:after="290" w:line="376" w:lineRule="auto"/>
      <w:outlineLvl w:val="3"/>
    </w:pPr>
    <w:rPr>
      <w:rFonts w:ascii="Cambria" w:hAnsi="Cambria" w:cs="黑体"/>
      <w:b/>
      <w:bCs/>
      <w:kern w:val="0"/>
      <w:sz w:val="28"/>
      <w:szCs w:val="28"/>
    </w:rPr>
  </w:style>
  <w:style w:type="paragraph" w:styleId="6">
    <w:name w:val="heading 5"/>
    <w:basedOn w:val="1"/>
    <w:next w:val="1"/>
    <w:link w:val="360"/>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358"/>
    <w:autoRedefine/>
    <w:qFormat/>
    <w:uiPriority w:val="0"/>
    <w:pPr>
      <w:keepNext/>
      <w:keepLines/>
      <w:tabs>
        <w:tab w:val="left" w:pos="3000"/>
      </w:tabs>
      <w:spacing w:before="240" w:line="317" w:lineRule="auto"/>
      <w:ind w:left="3000" w:hanging="420" w:firstLineChars="200"/>
      <w:outlineLvl w:val="5"/>
    </w:pPr>
    <w:rPr>
      <w:rFonts w:ascii="Arial" w:hAnsi="Arial" w:eastAsia="黑体" w:cs="黑体"/>
      <w:b/>
      <w:bCs/>
      <w:kern w:val="0"/>
      <w:sz w:val="24"/>
    </w:rPr>
  </w:style>
  <w:style w:type="paragraph" w:styleId="8">
    <w:name w:val="heading 7"/>
    <w:basedOn w:val="1"/>
    <w:next w:val="9"/>
    <w:link w:val="391"/>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392"/>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393"/>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94"/>
    <w:autoRedefine/>
    <w:qFormat/>
    <w:uiPriority w:val="0"/>
    <w:pPr>
      <w:ind w:firstLine="420"/>
    </w:pPr>
    <w:rPr>
      <w:rFonts w:ascii="Calibri" w:hAnsi="Calibri"/>
      <w:kern w:val="0"/>
      <w:sz w:val="20"/>
      <w:szCs w:val="20"/>
    </w:rPr>
  </w:style>
  <w:style w:type="paragraph" w:styleId="14">
    <w:name w:val="caption"/>
    <w:basedOn w:val="1"/>
    <w:next w:val="1"/>
    <w:link w:val="398"/>
    <w:autoRedefine/>
    <w:qFormat/>
    <w:uiPriority w:val="35"/>
    <w:pPr>
      <w:spacing w:before="152" w:after="160"/>
    </w:pPr>
    <w:rPr>
      <w:rFonts w:ascii="Arial" w:hAnsi="Arial" w:eastAsia="黑体" w:cs="Arial"/>
      <w:sz w:val="20"/>
      <w:szCs w:val="20"/>
    </w:rPr>
  </w:style>
  <w:style w:type="paragraph" w:styleId="15">
    <w:name w:val="Document Map"/>
    <w:basedOn w:val="1"/>
    <w:link w:val="357"/>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96"/>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404"/>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90"/>
    <w:autoRedefine/>
    <w:qFormat/>
    <w:uiPriority w:val="0"/>
    <w:pPr>
      <w:spacing w:after="120"/>
    </w:pPr>
    <w:rPr>
      <w:rFonts w:ascii="Calibri" w:hAnsi="Calibri"/>
      <w:kern w:val="0"/>
      <w:sz w:val="28"/>
    </w:rPr>
  </w:style>
  <w:style w:type="paragraph" w:styleId="19">
    <w:name w:val="Body Text First Indent"/>
    <w:basedOn w:val="18"/>
    <w:next w:val="1"/>
    <w:link w:val="400"/>
    <w:autoRedefine/>
    <w:unhideWhenUsed/>
    <w:qFormat/>
    <w:uiPriority w:val="0"/>
    <w:pPr>
      <w:ind w:firstLine="420" w:firstLineChars="100"/>
    </w:pPr>
  </w:style>
  <w:style w:type="paragraph" w:styleId="20">
    <w:name w:val="Body Text Indent"/>
    <w:basedOn w:val="1"/>
    <w:link w:val="364"/>
    <w:autoRedefine/>
    <w:unhideWhenUsed/>
    <w:qFormat/>
    <w:uiPriority w:val="0"/>
    <w:pPr>
      <w:spacing w:after="120"/>
      <w:ind w:left="420" w:leftChars="200"/>
    </w:pPr>
    <w:rPr>
      <w:kern w:val="0"/>
      <w:sz w:val="20"/>
    </w:rPr>
  </w:style>
  <w:style w:type="paragraph" w:styleId="21">
    <w:name w:val="List Number 3"/>
    <w:basedOn w:val="1"/>
    <w:autoRedefine/>
    <w:qFormat/>
    <w:uiPriority w:val="0"/>
    <w:pPr>
      <w:tabs>
        <w:tab w:val="left" w:pos="1200"/>
      </w:tabs>
      <w:ind w:left="1200" w:hanging="360"/>
    </w:pPr>
  </w:style>
  <w:style w:type="paragraph" w:styleId="22">
    <w:name w:val="List 2"/>
    <w:basedOn w:val="1"/>
    <w:autoRedefine/>
    <w:qFormat/>
    <w:uiPriority w:val="0"/>
    <w:pPr>
      <w:ind w:left="100" w:leftChars="200" w:hanging="200" w:hangingChars="200"/>
    </w:pPr>
    <w:rPr>
      <w:sz w:val="28"/>
    </w:rPr>
  </w:style>
  <w:style w:type="paragraph" w:styleId="23">
    <w:name w:val="index 4"/>
    <w:basedOn w:val="1"/>
    <w:next w:val="1"/>
    <w:autoRedefine/>
    <w:unhideWhenUsed/>
    <w:qFormat/>
    <w:uiPriority w:val="99"/>
    <w:pPr>
      <w:ind w:left="600" w:leftChars="600"/>
    </w:pPr>
  </w:style>
  <w:style w:type="paragraph" w:styleId="24">
    <w:name w:val="toc 3"/>
    <w:basedOn w:val="1"/>
    <w:next w:val="1"/>
    <w:autoRedefine/>
    <w:qFormat/>
    <w:uiPriority w:val="39"/>
    <w:pPr>
      <w:spacing w:line="360" w:lineRule="auto"/>
      <w:ind w:left="480" w:firstLine="200" w:firstLineChars="200"/>
      <w:jc w:val="left"/>
    </w:pPr>
    <w:rPr>
      <w:i/>
      <w:iCs/>
      <w:sz w:val="20"/>
      <w:szCs w:val="20"/>
    </w:rPr>
  </w:style>
  <w:style w:type="paragraph" w:styleId="25">
    <w:name w:val="Plain Text"/>
    <w:basedOn w:val="1"/>
    <w:link w:val="366"/>
    <w:autoRedefine/>
    <w:qFormat/>
    <w:uiPriority w:val="0"/>
    <w:pPr>
      <w:spacing w:beforeLines="50" w:afterLines="50" w:line="400" w:lineRule="exact"/>
    </w:pPr>
    <w:rPr>
      <w:rFonts w:ascii="宋体" w:hAnsi="Courier New" w:cs="Courier New"/>
      <w:kern w:val="0"/>
      <w:sz w:val="24"/>
    </w:rPr>
  </w:style>
  <w:style w:type="paragraph" w:styleId="26">
    <w:name w:val="Date"/>
    <w:basedOn w:val="1"/>
    <w:next w:val="1"/>
    <w:link w:val="402"/>
    <w:autoRedefine/>
    <w:qFormat/>
    <w:uiPriority w:val="0"/>
    <w:pPr>
      <w:ind w:left="2500" w:leftChars="2500"/>
    </w:pPr>
    <w:rPr>
      <w:rFonts w:ascii="Calibri" w:hAnsi="Calibri" w:eastAsia="楷体_GB2312"/>
      <w:kern w:val="0"/>
      <w:sz w:val="32"/>
      <w:szCs w:val="20"/>
    </w:rPr>
  </w:style>
  <w:style w:type="paragraph" w:styleId="27">
    <w:name w:val="Body Text Indent 2"/>
    <w:basedOn w:val="1"/>
    <w:link w:val="405"/>
    <w:autoRedefine/>
    <w:qFormat/>
    <w:uiPriority w:val="0"/>
    <w:pPr>
      <w:snapToGrid w:val="0"/>
      <w:ind w:firstLine="542" w:firstLineChars="225"/>
    </w:pPr>
    <w:rPr>
      <w:rFonts w:ascii="仿宋_GB2312" w:hAnsi="宋体" w:cs="Arial"/>
      <w:b/>
      <w:bCs/>
      <w:color w:val="000000"/>
      <w:kern w:val="0"/>
      <w:sz w:val="24"/>
    </w:rPr>
  </w:style>
  <w:style w:type="paragraph" w:styleId="28">
    <w:name w:val="Balloon Text"/>
    <w:basedOn w:val="1"/>
    <w:link w:val="410"/>
    <w:autoRedefine/>
    <w:unhideWhenUsed/>
    <w:qFormat/>
    <w:uiPriority w:val="99"/>
    <w:rPr>
      <w:rFonts w:ascii="Calibri" w:hAnsi="Calibri"/>
      <w:kern w:val="0"/>
      <w:sz w:val="16"/>
      <w:szCs w:val="16"/>
    </w:rPr>
  </w:style>
  <w:style w:type="paragraph" w:styleId="29">
    <w:name w:val="footer"/>
    <w:basedOn w:val="1"/>
    <w:link w:val="397"/>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382"/>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autoRedefine/>
    <w:qFormat/>
    <w:uiPriority w:val="39"/>
  </w:style>
  <w:style w:type="paragraph" w:styleId="32">
    <w:name w:val="Subtitle"/>
    <w:basedOn w:val="1"/>
    <w:next w:val="1"/>
    <w:link w:val="401"/>
    <w:autoRedefine/>
    <w:qFormat/>
    <w:uiPriority w:val="0"/>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ind w:left="200" w:hanging="200" w:hangingChars="200"/>
    </w:pPr>
    <w:rPr>
      <w:sz w:val="28"/>
    </w:rPr>
  </w:style>
  <w:style w:type="paragraph" w:styleId="34">
    <w:name w:val="footnote text"/>
    <w:basedOn w:val="1"/>
    <w:link w:val="395"/>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5">
    <w:name w:val="Body Text Indent 3"/>
    <w:basedOn w:val="1"/>
    <w:link w:val="406"/>
    <w:autoRedefine/>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autoRedefine/>
    <w:unhideWhenUsed/>
    <w:qFormat/>
    <w:uiPriority w:val="39"/>
    <w:pPr>
      <w:ind w:left="420" w:leftChars="200"/>
    </w:pPr>
  </w:style>
  <w:style w:type="paragraph" w:styleId="37">
    <w:name w:val="Body Text 2"/>
    <w:basedOn w:val="1"/>
    <w:link w:val="403"/>
    <w:autoRedefine/>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408"/>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link w:val="407"/>
    <w:autoRedefine/>
    <w:qFormat/>
    <w:uiPriority w:val="0"/>
    <w:pPr>
      <w:widowControl/>
      <w:spacing w:before="100" w:beforeAutospacing="1" w:after="100" w:afterAutospacing="1"/>
      <w:jc w:val="left"/>
    </w:pPr>
    <w:rPr>
      <w:rFonts w:ascii="Calibri" w:hAnsi="Calibri"/>
      <w:kern w:val="0"/>
      <w:sz w:val="24"/>
    </w:rPr>
  </w:style>
  <w:style w:type="paragraph" w:styleId="40">
    <w:name w:val="index 1"/>
    <w:basedOn w:val="1"/>
    <w:next w:val="1"/>
    <w:autoRedefine/>
    <w:qFormat/>
    <w:uiPriority w:val="0"/>
    <w:pPr>
      <w:jc w:val="center"/>
    </w:pPr>
    <w:rPr>
      <w:rFonts w:ascii="Arial" w:hAnsi="Arial" w:eastAsia="Arial" w:cs="Arial"/>
      <w:b/>
      <w:bCs/>
      <w:sz w:val="28"/>
      <w:szCs w:val="20"/>
    </w:rPr>
  </w:style>
  <w:style w:type="paragraph" w:styleId="41">
    <w:name w:val="Title"/>
    <w:basedOn w:val="1"/>
    <w:link w:val="399"/>
    <w:autoRedefine/>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6"/>
    <w:next w:val="16"/>
    <w:link w:val="409"/>
    <w:autoRedefine/>
    <w:qFormat/>
    <w:uiPriority w:val="99"/>
    <w:rPr>
      <w:b/>
      <w:bCs/>
    </w:rPr>
  </w:style>
  <w:style w:type="paragraph" w:styleId="43">
    <w:name w:val="Body Text First Indent 2"/>
    <w:basedOn w:val="20"/>
    <w:link w:val="365"/>
    <w:autoRedefine/>
    <w:semiHidden/>
    <w:qFormat/>
    <w:uiPriority w:val="0"/>
    <w:pPr>
      <w:spacing w:line="360" w:lineRule="auto"/>
      <w:ind w:firstLine="420" w:firstLineChars="200"/>
    </w:pPr>
    <w:rPr>
      <w:rFonts w:ascii="宋体" w:hAnsi="Courier New"/>
      <w:spacing w:val="-4"/>
      <w:sz w:val="24"/>
    </w:rPr>
  </w:style>
  <w:style w:type="table" w:styleId="45">
    <w:name w:val="Table Grid"/>
    <w:basedOn w:val="44"/>
    <w:autoRedefine/>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autoRedefine/>
    <w:qFormat/>
    <w:uiPriority w:val="22"/>
    <w:rPr>
      <w:b/>
      <w:bCs/>
    </w:rPr>
  </w:style>
  <w:style w:type="character" w:styleId="48">
    <w:name w:val="page number"/>
    <w:basedOn w:val="46"/>
    <w:autoRedefine/>
    <w:qFormat/>
    <w:uiPriority w:val="0"/>
  </w:style>
  <w:style w:type="character" w:styleId="49">
    <w:name w:val="FollowedHyperlink"/>
    <w:autoRedefine/>
    <w:unhideWhenUsed/>
    <w:qFormat/>
    <w:uiPriority w:val="99"/>
    <w:rPr>
      <w:color w:val="800080"/>
      <w:u w:val="single"/>
    </w:rPr>
  </w:style>
  <w:style w:type="character" w:styleId="50">
    <w:name w:val="Emphasis"/>
    <w:autoRedefine/>
    <w:qFormat/>
    <w:uiPriority w:val="20"/>
    <w:rPr>
      <w:i/>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paragraph" w:customStyle="1" w:styleId="53">
    <w:name w:val="_Style 29"/>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样式1"/>
    <w:basedOn w:val="1"/>
    <w:link w:val="306"/>
    <w:autoRedefine/>
    <w:qFormat/>
    <w:uiPriority w:val="0"/>
    <w:pPr>
      <w:spacing w:line="360" w:lineRule="exact"/>
      <w:ind w:firstLine="200" w:firstLineChars="200"/>
    </w:pPr>
    <w:rPr>
      <w:rFonts w:ascii="Arial" w:hAnsi="Arial"/>
      <w:kern w:val="0"/>
      <w:sz w:val="20"/>
    </w:rPr>
  </w:style>
  <w:style w:type="paragraph" w:customStyle="1" w:styleId="55">
    <w:name w:val="z-窗体顶端1"/>
    <w:basedOn w:val="1"/>
    <w:next w:val="1"/>
    <w:link w:val="307"/>
    <w:autoRedefine/>
    <w:qFormat/>
    <w:uiPriority w:val="0"/>
    <w:pPr>
      <w:widowControl/>
      <w:pBdr>
        <w:bottom w:val="single" w:color="auto" w:sz="6" w:space="1"/>
      </w:pBdr>
      <w:jc w:val="center"/>
    </w:pPr>
    <w:rPr>
      <w:rFonts w:ascii="Arial" w:hAnsi="Arial" w:cs="Arial"/>
      <w:vanish/>
      <w:kern w:val="0"/>
      <w:sz w:val="16"/>
      <w:szCs w:val="16"/>
    </w:rPr>
  </w:style>
  <w:style w:type="paragraph" w:customStyle="1" w:styleId="56">
    <w:name w:val="z-窗体底端1"/>
    <w:basedOn w:val="1"/>
    <w:next w:val="1"/>
    <w:link w:val="309"/>
    <w:autoRedefine/>
    <w:qFormat/>
    <w:uiPriority w:val="0"/>
    <w:pPr>
      <w:widowControl/>
      <w:pBdr>
        <w:top w:val="single" w:color="auto" w:sz="6" w:space="1"/>
      </w:pBdr>
      <w:jc w:val="center"/>
    </w:pPr>
    <w:rPr>
      <w:rFonts w:ascii="Arial" w:hAnsi="Arial" w:cs="Arial"/>
      <w:vanish/>
      <w:kern w:val="0"/>
      <w:sz w:val="16"/>
      <w:szCs w:val="16"/>
    </w:rPr>
  </w:style>
  <w:style w:type="paragraph" w:customStyle="1" w:styleId="57">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58">
    <w:name w:val="缺省文本"/>
    <w:basedOn w:val="1"/>
    <w:autoRedefine/>
    <w:qFormat/>
    <w:uiPriority w:val="0"/>
    <w:pPr>
      <w:autoSpaceDE w:val="0"/>
      <w:autoSpaceDN w:val="0"/>
      <w:adjustRightInd w:val="0"/>
      <w:ind w:firstLine="454"/>
    </w:pPr>
    <w:rPr>
      <w:sz w:val="24"/>
    </w:rPr>
  </w:style>
  <w:style w:type="paragraph" w:customStyle="1" w:styleId="59">
    <w:name w:val="默认段落字体 Para Char Char Char Char Char Char Char Char Char1 Char Char Char Char"/>
    <w:basedOn w:val="1"/>
    <w:autoRedefine/>
    <w:qFormat/>
    <w:uiPriority w:val="0"/>
    <w:rPr>
      <w:rFonts w:ascii="Tahoma" w:hAnsi="Tahoma"/>
      <w:sz w:val="24"/>
      <w:szCs w:val="20"/>
    </w:rPr>
  </w:style>
  <w:style w:type="paragraph" w:customStyle="1" w:styleId="60">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1">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2">
    <w:name w:val="五级条标题"/>
    <w:basedOn w:val="63"/>
    <w:next w:val="1"/>
    <w:autoRedefine/>
    <w:qFormat/>
    <w:uiPriority w:val="0"/>
    <w:pPr>
      <w:tabs>
        <w:tab w:val="left" w:pos="360"/>
      </w:tabs>
      <w:outlineLvl w:val="6"/>
    </w:pPr>
  </w:style>
  <w:style w:type="paragraph" w:customStyle="1" w:styleId="63">
    <w:name w:val="四级条标题"/>
    <w:basedOn w:val="64"/>
    <w:next w:val="1"/>
    <w:autoRedefine/>
    <w:qFormat/>
    <w:uiPriority w:val="0"/>
    <w:pPr>
      <w:tabs>
        <w:tab w:val="left" w:pos="360"/>
      </w:tabs>
      <w:outlineLvl w:val="5"/>
    </w:pPr>
  </w:style>
  <w:style w:type="paragraph" w:customStyle="1" w:styleId="64">
    <w:name w:val="三级条标题"/>
    <w:basedOn w:val="65"/>
    <w:next w:val="1"/>
    <w:autoRedefine/>
    <w:qFormat/>
    <w:uiPriority w:val="0"/>
    <w:pPr>
      <w:tabs>
        <w:tab w:val="left" w:pos="360"/>
      </w:tabs>
      <w:outlineLvl w:val="4"/>
    </w:pPr>
  </w:style>
  <w:style w:type="paragraph" w:customStyle="1" w:styleId="65">
    <w:name w:val="二级条标题"/>
    <w:basedOn w:val="66"/>
    <w:next w:val="1"/>
    <w:autoRedefine/>
    <w:qFormat/>
    <w:uiPriority w:val="0"/>
    <w:pPr>
      <w:tabs>
        <w:tab w:val="left" w:pos="360"/>
      </w:tabs>
      <w:outlineLvl w:val="3"/>
    </w:pPr>
  </w:style>
  <w:style w:type="paragraph" w:customStyle="1" w:styleId="66">
    <w:name w:val="一级条标题"/>
    <w:basedOn w:val="67"/>
    <w:next w:val="1"/>
    <w:autoRedefine/>
    <w:qFormat/>
    <w:uiPriority w:val="0"/>
    <w:pPr>
      <w:tabs>
        <w:tab w:val="left" w:pos="360"/>
      </w:tabs>
      <w:spacing w:beforeLines="0" w:afterLines="0"/>
      <w:outlineLvl w:val="2"/>
    </w:pPr>
  </w:style>
  <w:style w:type="paragraph" w:customStyle="1" w:styleId="67">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68">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69">
    <w:name w:val="Char Char Char"/>
    <w:basedOn w:val="1"/>
    <w:autoRedefine/>
    <w:qFormat/>
    <w:uiPriority w:val="0"/>
  </w:style>
  <w:style w:type="paragraph" w:customStyle="1" w:styleId="70">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1">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2">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3">
    <w:name w:val="_标题6"/>
    <w:basedOn w:val="7"/>
    <w:next w:val="74"/>
    <w:autoRedefine/>
    <w:qFormat/>
    <w:uiPriority w:val="0"/>
    <w:pPr>
      <w:ind w:left="4820" w:hanging="4820" w:firstLineChars="0"/>
    </w:pPr>
    <w:rPr>
      <w:rFonts w:ascii="Tahoma" w:hAnsi="Tahoma" w:cs="Times New Roman"/>
      <w:b w:val="0"/>
    </w:rPr>
  </w:style>
  <w:style w:type="paragraph" w:customStyle="1" w:styleId="74">
    <w:name w:val="_正文段落"/>
    <w:basedOn w:val="1"/>
    <w:autoRedefine/>
    <w:qFormat/>
    <w:uiPriority w:val="0"/>
    <w:pPr>
      <w:spacing w:beforeLines="15" w:afterLines="15" w:line="360" w:lineRule="auto"/>
      <w:ind w:firstLine="200" w:firstLineChars="200"/>
    </w:pPr>
  </w:style>
  <w:style w:type="paragraph" w:customStyle="1" w:styleId="75">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7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7">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78">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79">
    <w:name w:val="CM37"/>
    <w:basedOn w:val="80"/>
    <w:next w:val="80"/>
    <w:autoRedefine/>
    <w:qFormat/>
    <w:uiPriority w:val="0"/>
    <w:pPr>
      <w:spacing w:after="533"/>
    </w:pPr>
    <w:rPr>
      <w:rFonts w:ascii="宋体" w:hAnsi="Times New Roman"/>
      <w:color w:val="auto"/>
    </w:rPr>
  </w:style>
  <w:style w:type="paragraph" w:customStyle="1" w:styleId="80">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1">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2">
    <w:name w:val="_标题3"/>
    <w:basedOn w:val="4"/>
    <w:next w:val="74"/>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3">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4">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5">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86">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87">
    <w:name w:val="Char Char Char Char Char Char"/>
    <w:basedOn w:val="1"/>
    <w:autoRedefine/>
    <w:qFormat/>
    <w:uiPriority w:val="0"/>
    <w:rPr>
      <w:rFonts w:ascii="Tahoma" w:hAnsi="Tahoma"/>
      <w:sz w:val="24"/>
      <w:szCs w:val="20"/>
    </w:rPr>
  </w:style>
  <w:style w:type="paragraph" w:customStyle="1" w:styleId="88">
    <w:name w:val="列出段落1"/>
    <w:basedOn w:val="1"/>
    <w:autoRedefine/>
    <w:qFormat/>
    <w:uiPriority w:val="0"/>
    <w:pPr>
      <w:ind w:firstLine="420" w:firstLineChars="200"/>
    </w:pPr>
    <w:rPr>
      <w:rFonts w:ascii="Calibri" w:hAnsi="Calibri"/>
      <w:szCs w:val="22"/>
    </w:rPr>
  </w:style>
  <w:style w:type="paragraph" w:customStyle="1" w:styleId="89">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0">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1">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2">
    <w:name w:val="图名"/>
    <w:basedOn w:val="1"/>
    <w:autoRedefine/>
    <w:qFormat/>
    <w:uiPriority w:val="0"/>
    <w:pPr>
      <w:spacing w:line="360" w:lineRule="auto"/>
      <w:jc w:val="center"/>
    </w:pPr>
    <w:rPr>
      <w:rFonts w:ascii="黑体" w:eastAsia="黑体"/>
      <w:b/>
      <w:sz w:val="32"/>
      <w:szCs w:val="32"/>
    </w:rPr>
  </w:style>
  <w:style w:type="paragraph" w:customStyle="1" w:styleId="93">
    <w:name w:val="_标题5"/>
    <w:basedOn w:val="6"/>
    <w:next w:val="74"/>
    <w:autoRedefine/>
    <w:qFormat/>
    <w:uiPriority w:val="0"/>
    <w:pPr>
      <w:ind w:left="4253" w:hanging="4253"/>
    </w:pPr>
    <w:rPr>
      <w:rFonts w:ascii="Arial" w:hAnsi="Arial" w:eastAsia="黑体"/>
      <w:b w:val="0"/>
      <w:sz w:val="24"/>
    </w:rPr>
  </w:style>
  <w:style w:type="paragraph" w:customStyle="1" w:styleId="94">
    <w:name w:val="标题 21"/>
    <w:basedOn w:val="1"/>
    <w:autoRedefine/>
    <w:qFormat/>
    <w:uiPriority w:val="0"/>
    <w:pPr>
      <w:spacing w:afterLines="100" w:line="360" w:lineRule="auto"/>
    </w:pPr>
    <w:rPr>
      <w:sz w:val="24"/>
    </w:rPr>
  </w:style>
  <w:style w:type="paragraph" w:customStyle="1" w:styleId="95">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96">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97">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9">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2">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3">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4">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5">
    <w:name w:val="标题 12"/>
    <w:basedOn w:val="1"/>
    <w:autoRedefine/>
    <w:qFormat/>
    <w:uiPriority w:val="0"/>
    <w:pPr>
      <w:spacing w:afterLines="100" w:line="360" w:lineRule="auto"/>
    </w:pPr>
    <w:rPr>
      <w:sz w:val="24"/>
    </w:rPr>
  </w:style>
  <w:style w:type="paragraph" w:customStyle="1" w:styleId="106">
    <w:name w:val="font9"/>
    <w:basedOn w:val="1"/>
    <w:autoRedefine/>
    <w:qFormat/>
    <w:uiPriority w:val="0"/>
    <w:pPr>
      <w:widowControl/>
      <w:spacing w:before="100" w:beforeAutospacing="1" w:afterAutospacing="1"/>
      <w:jc w:val="left"/>
    </w:pPr>
    <w:rPr>
      <w:kern w:val="0"/>
      <w:sz w:val="20"/>
      <w:szCs w:val="20"/>
    </w:rPr>
  </w:style>
  <w:style w:type="paragraph" w:customStyle="1" w:styleId="10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08">
    <w:name w:val="p15"/>
    <w:basedOn w:val="1"/>
    <w:autoRedefine/>
    <w:qFormat/>
    <w:uiPriority w:val="0"/>
    <w:pPr>
      <w:widowControl/>
    </w:pPr>
    <w:rPr>
      <w:kern w:val="0"/>
      <w:sz w:val="24"/>
    </w:rPr>
  </w:style>
  <w:style w:type="paragraph" w:customStyle="1" w:styleId="109">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0">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1">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2">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3">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4">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5">
    <w:name w:val="默认段落字体 Para Char"/>
    <w:basedOn w:val="1"/>
    <w:autoRedefine/>
    <w:qFormat/>
    <w:uiPriority w:val="0"/>
    <w:rPr>
      <w:rFonts w:ascii="Tahoma" w:hAnsi="Tahoma"/>
      <w:sz w:val="24"/>
      <w:szCs w:val="20"/>
    </w:rPr>
  </w:style>
  <w:style w:type="paragraph" w:customStyle="1" w:styleId="116">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1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8">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19">
    <w:name w:val="列出段落2"/>
    <w:basedOn w:val="1"/>
    <w:autoRedefine/>
    <w:qFormat/>
    <w:uiPriority w:val="0"/>
    <w:pPr>
      <w:ind w:firstLine="420" w:firstLineChars="200"/>
    </w:pPr>
    <w:rPr>
      <w:rFonts w:ascii="Calibri" w:hAnsi="Calibri"/>
      <w:szCs w:val="22"/>
    </w:rPr>
  </w:style>
  <w:style w:type="paragraph" w:customStyle="1" w:styleId="120">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2">
    <w:name w:val="标题 31"/>
    <w:basedOn w:val="1"/>
    <w:autoRedefine/>
    <w:qFormat/>
    <w:uiPriority w:val="0"/>
    <w:pPr>
      <w:spacing w:afterLines="100" w:line="360" w:lineRule="auto"/>
    </w:pPr>
    <w:rPr>
      <w:sz w:val="24"/>
    </w:rPr>
  </w:style>
  <w:style w:type="paragraph" w:customStyle="1" w:styleId="123">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4">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5">
    <w:name w:val="项目"/>
    <w:basedOn w:val="74"/>
    <w:autoRedefine/>
    <w:qFormat/>
    <w:uiPriority w:val="0"/>
    <w:pPr>
      <w:spacing w:beforeLines="0" w:afterLines="0"/>
      <w:ind w:firstLine="0" w:firstLineChars="0"/>
    </w:pPr>
    <w:rPr>
      <w:rFonts w:ascii="宋体" w:hAnsi="宋体"/>
      <w:sz w:val="24"/>
    </w:rPr>
  </w:style>
  <w:style w:type="paragraph" w:customStyle="1" w:styleId="126">
    <w:name w:val="_表格文字"/>
    <w:basedOn w:val="1"/>
    <w:autoRedefine/>
    <w:qFormat/>
    <w:uiPriority w:val="0"/>
    <w:pPr>
      <w:spacing w:beforeLines="10" w:afterLines="10"/>
    </w:pPr>
  </w:style>
  <w:style w:type="paragraph" w:customStyle="1" w:styleId="127">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28">
    <w:name w:val="Char"/>
    <w:basedOn w:val="1"/>
    <w:autoRedefine/>
    <w:qFormat/>
    <w:uiPriority w:val="0"/>
    <w:rPr>
      <w:sz w:val="24"/>
    </w:rPr>
  </w:style>
  <w:style w:type="paragraph" w:customStyle="1" w:styleId="129">
    <w:name w:val="样式 标题 5 + 右侧:  -0.18 字符"/>
    <w:basedOn w:val="1"/>
    <w:autoRedefine/>
    <w:qFormat/>
    <w:uiPriority w:val="0"/>
    <w:pPr>
      <w:tabs>
        <w:tab w:val="left" w:pos="1008"/>
      </w:tabs>
      <w:ind w:left="1008" w:hanging="1008"/>
    </w:pPr>
  </w:style>
  <w:style w:type="paragraph" w:customStyle="1" w:styleId="130">
    <w:name w:val="Char Char1 Char"/>
    <w:basedOn w:val="1"/>
    <w:autoRedefine/>
    <w:qFormat/>
    <w:uiPriority w:val="0"/>
    <w:pPr>
      <w:spacing w:line="360" w:lineRule="auto"/>
    </w:pPr>
    <w:rPr>
      <w:rFonts w:ascii="Tahoma" w:hAnsi="Tahoma"/>
      <w:sz w:val="24"/>
      <w:szCs w:val="20"/>
    </w:rPr>
  </w:style>
  <w:style w:type="paragraph" w:customStyle="1" w:styleId="131">
    <w:name w:val="_正文段落加粗"/>
    <w:basedOn w:val="74"/>
    <w:autoRedefine/>
    <w:qFormat/>
    <w:uiPriority w:val="0"/>
    <w:pPr>
      <w:spacing w:beforeLines="0" w:afterLines="0"/>
      <w:ind w:firstLine="480"/>
    </w:pPr>
    <w:rPr>
      <w:b/>
    </w:rPr>
  </w:style>
  <w:style w:type="paragraph" w:customStyle="1" w:styleId="132">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3">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4">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5">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3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37">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38">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3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1">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2">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3">
    <w:name w:val="Char2"/>
    <w:basedOn w:val="1"/>
    <w:autoRedefine/>
    <w:qFormat/>
    <w:uiPriority w:val="0"/>
    <w:rPr>
      <w:rFonts w:ascii="Tahoma" w:hAnsi="Tahoma"/>
      <w:sz w:val="24"/>
      <w:szCs w:val="20"/>
    </w:rPr>
  </w:style>
  <w:style w:type="paragraph" w:customStyle="1" w:styleId="144">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5">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46">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47">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48">
    <w:name w:val="_标题4"/>
    <w:basedOn w:val="5"/>
    <w:next w:val="74"/>
    <w:autoRedefine/>
    <w:qFormat/>
    <w:uiPriority w:val="0"/>
    <w:pPr>
      <w:tabs>
        <w:tab w:val="left" w:pos="2160"/>
      </w:tabs>
      <w:spacing w:after="0" w:line="372" w:lineRule="auto"/>
      <w:ind w:left="3402" w:hanging="3402"/>
    </w:pPr>
    <w:rPr>
      <w:rFonts w:ascii="Tahoma" w:hAnsi="Tahoma" w:eastAsia="黑体" w:cs="Times New Roman"/>
    </w:rPr>
  </w:style>
  <w:style w:type="paragraph" w:customStyle="1" w:styleId="14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0">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1">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2">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4">
    <w:name w:val="公文行文"/>
    <w:basedOn w:val="1"/>
    <w:autoRedefine/>
    <w:qFormat/>
    <w:uiPriority w:val="0"/>
    <w:pPr>
      <w:spacing w:line="360" w:lineRule="auto"/>
      <w:ind w:firstLine="200" w:firstLineChars="200"/>
    </w:pPr>
    <w:rPr>
      <w:rFonts w:eastAsia="仿宋_GB2312"/>
      <w:sz w:val="28"/>
    </w:rPr>
  </w:style>
  <w:style w:type="paragraph" w:customStyle="1" w:styleId="155">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5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57">
    <w:name w:val="_题注"/>
    <w:basedOn w:val="14"/>
    <w:autoRedefine/>
    <w:qFormat/>
    <w:uiPriority w:val="0"/>
    <w:pPr>
      <w:spacing w:before="0" w:afterLines="100"/>
      <w:jc w:val="center"/>
    </w:pPr>
    <w:rPr>
      <w:sz w:val="21"/>
      <w:szCs w:val="24"/>
    </w:rPr>
  </w:style>
  <w:style w:type="paragraph" w:customStyle="1" w:styleId="15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59">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0">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1">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2">
    <w:name w:val="_列表"/>
    <w:basedOn w:val="74"/>
    <w:autoRedefine/>
    <w:qFormat/>
    <w:uiPriority w:val="0"/>
    <w:pPr>
      <w:spacing w:beforeLines="0" w:afterLines="0"/>
    </w:pPr>
    <w:rPr>
      <w:sz w:val="24"/>
    </w:rPr>
  </w:style>
  <w:style w:type="paragraph" w:customStyle="1" w:styleId="163">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4">
    <w:name w:val="标题 11"/>
    <w:basedOn w:val="1"/>
    <w:autoRedefine/>
    <w:qFormat/>
    <w:uiPriority w:val="0"/>
    <w:pPr>
      <w:spacing w:afterLines="100" w:line="360" w:lineRule="auto"/>
    </w:pPr>
    <w:rPr>
      <w:sz w:val="24"/>
    </w:rPr>
  </w:style>
  <w:style w:type="paragraph" w:customStyle="1" w:styleId="165">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66">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67">
    <w:name w:val="_标题1"/>
    <w:basedOn w:val="3"/>
    <w:next w:val="74"/>
    <w:autoRedefine/>
    <w:qFormat/>
    <w:uiPriority w:val="0"/>
    <w:pPr>
      <w:tabs>
        <w:tab w:val="left" w:pos="708"/>
        <w:tab w:val="left" w:pos="900"/>
      </w:tabs>
      <w:spacing w:after="0" w:line="576" w:lineRule="auto"/>
      <w:ind w:left="567" w:hanging="567"/>
    </w:pPr>
    <w:rPr>
      <w:rFonts w:ascii="Arial" w:hAnsi="Arial" w:eastAsia="黑体"/>
      <w:b w:val="0"/>
    </w:rPr>
  </w:style>
  <w:style w:type="paragraph" w:customStyle="1" w:styleId="16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69">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0">
    <w:name w:val="TOC 标题1"/>
    <w:basedOn w:val="3"/>
    <w:next w:val="1"/>
    <w:autoRedefine/>
    <w:qFormat/>
    <w:uiPriority w:val="39"/>
    <w:pPr>
      <w:outlineLvl w:val="9"/>
    </w:pPr>
  </w:style>
  <w:style w:type="paragraph" w:customStyle="1" w:styleId="171">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2">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4">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5">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76">
    <w:name w:val="_标题2"/>
    <w:basedOn w:val="2"/>
    <w:next w:val="74"/>
    <w:autoRedefine/>
    <w:qFormat/>
    <w:uiPriority w:val="0"/>
    <w:pPr>
      <w:tabs>
        <w:tab w:val="left" w:pos="860"/>
      </w:tabs>
      <w:spacing w:beforeLines="50" w:afterLines="50" w:line="413" w:lineRule="auto"/>
      <w:ind w:left="1418" w:hanging="1418"/>
    </w:pPr>
    <w:rPr>
      <w:rFonts w:ascii="Tahoma" w:hAnsi="Tahoma" w:cs="Times New Roman"/>
    </w:rPr>
  </w:style>
  <w:style w:type="paragraph" w:customStyle="1" w:styleId="177">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78">
    <w:name w:val="_图片"/>
    <w:basedOn w:val="1"/>
    <w:next w:val="74"/>
    <w:autoRedefine/>
    <w:qFormat/>
    <w:uiPriority w:val="0"/>
    <w:pPr>
      <w:spacing w:before="46" w:line="360" w:lineRule="auto"/>
      <w:jc w:val="center"/>
    </w:pPr>
    <w:rPr>
      <w:sz w:val="18"/>
    </w:rPr>
  </w:style>
  <w:style w:type="paragraph" w:customStyle="1" w:styleId="179">
    <w:name w:val="投标文件 正文首行缩进"/>
    <w:basedOn w:val="43"/>
    <w:autoRedefine/>
    <w:qFormat/>
    <w:uiPriority w:val="0"/>
    <w:pPr>
      <w:spacing w:after="220"/>
      <w:ind w:left="0" w:leftChars="0" w:firstLine="200"/>
    </w:pPr>
    <w:rPr>
      <w:rFonts w:ascii="Arial" w:hAnsi="Arial"/>
      <w:sz w:val="21"/>
    </w:rPr>
  </w:style>
  <w:style w:type="paragraph" w:customStyle="1" w:styleId="180">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1">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2">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3">
    <w:name w:val="正文段"/>
    <w:basedOn w:val="1"/>
    <w:autoRedefine/>
    <w:qFormat/>
    <w:uiPriority w:val="0"/>
    <w:pPr>
      <w:widowControl/>
      <w:snapToGrid w:val="0"/>
      <w:spacing w:afterLines="50"/>
      <w:ind w:firstLine="200" w:firstLineChars="200"/>
    </w:pPr>
    <w:rPr>
      <w:kern w:val="0"/>
      <w:sz w:val="24"/>
      <w:szCs w:val="20"/>
    </w:rPr>
  </w:style>
  <w:style w:type="paragraph" w:customStyle="1" w:styleId="184">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5">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86">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87">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88">
    <w:name w:val="表格文字"/>
    <w:basedOn w:val="1"/>
    <w:autoRedefine/>
    <w:qFormat/>
    <w:uiPriority w:val="0"/>
    <w:pPr>
      <w:spacing w:beforeLines="25" w:afterLines="25"/>
      <w:jc w:val="left"/>
    </w:pPr>
    <w:rPr>
      <w:spacing w:val="10"/>
      <w:sz w:val="24"/>
    </w:rPr>
  </w:style>
  <w:style w:type="paragraph" w:customStyle="1" w:styleId="189">
    <w:name w:val="标题 22"/>
    <w:basedOn w:val="1"/>
    <w:autoRedefine/>
    <w:qFormat/>
    <w:uiPriority w:val="0"/>
    <w:pPr>
      <w:spacing w:afterLines="100" w:line="360" w:lineRule="auto"/>
    </w:pPr>
    <w:rPr>
      <w:sz w:val="24"/>
    </w:rPr>
  </w:style>
  <w:style w:type="paragraph" w:customStyle="1" w:styleId="190">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1">
    <w:name w:val="_表格标题"/>
    <w:basedOn w:val="126"/>
    <w:autoRedefine/>
    <w:qFormat/>
    <w:uiPriority w:val="0"/>
    <w:pPr>
      <w:spacing w:beforeLines="30" w:afterLines="30"/>
      <w:jc w:val="center"/>
    </w:pPr>
    <w:rPr>
      <w:b/>
      <w:sz w:val="24"/>
    </w:rPr>
  </w:style>
  <w:style w:type="paragraph" w:customStyle="1" w:styleId="192">
    <w:name w:val="Char Char Char Char Char Char Char Char Char Char Char Char Char Char Char Char"/>
    <w:basedOn w:val="1"/>
    <w:autoRedefine/>
    <w:qFormat/>
    <w:uiPriority w:val="0"/>
    <w:rPr>
      <w:sz w:val="24"/>
    </w:rPr>
  </w:style>
  <w:style w:type="paragraph" w:customStyle="1" w:styleId="193">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4">
    <w:name w:val="CM13"/>
    <w:basedOn w:val="80"/>
    <w:next w:val="80"/>
    <w:autoRedefine/>
    <w:qFormat/>
    <w:uiPriority w:val="0"/>
    <w:pPr>
      <w:spacing w:line="468" w:lineRule="atLeast"/>
    </w:pPr>
    <w:rPr>
      <w:rFonts w:ascii="宋体" w:hAnsi="Times New Roman"/>
      <w:color w:val="auto"/>
    </w:rPr>
  </w:style>
  <w:style w:type="paragraph" w:customStyle="1" w:styleId="195">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196">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197">
    <w:name w:val="标题 32"/>
    <w:basedOn w:val="1"/>
    <w:autoRedefine/>
    <w:qFormat/>
    <w:uiPriority w:val="0"/>
    <w:pPr>
      <w:spacing w:afterLines="100" w:line="360" w:lineRule="auto"/>
    </w:pPr>
    <w:rPr>
      <w:sz w:val="24"/>
    </w:rPr>
  </w:style>
  <w:style w:type="paragraph" w:customStyle="1" w:styleId="198">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199">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0">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1">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3">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4">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5">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06">
    <w:name w:val="插图"/>
    <w:basedOn w:val="25"/>
    <w:autoRedefine/>
    <w:qFormat/>
    <w:uiPriority w:val="0"/>
    <w:pPr>
      <w:tabs>
        <w:tab w:val="left" w:pos="425"/>
      </w:tabs>
      <w:spacing w:beforeLines="0" w:afterLines="0" w:line="240" w:lineRule="auto"/>
      <w:jc w:val="center"/>
    </w:pPr>
    <w:rPr>
      <w:rFonts w:cs="Times New Roman"/>
      <w:sz w:val="21"/>
      <w:szCs w:val="21"/>
    </w:rPr>
  </w:style>
  <w:style w:type="paragraph" w:customStyle="1" w:styleId="207">
    <w:name w:val="模板普通正文"/>
    <w:basedOn w:val="20"/>
    <w:autoRedefine/>
    <w:qFormat/>
    <w:uiPriority w:val="0"/>
    <w:pPr>
      <w:spacing w:beforeLines="50" w:line="360" w:lineRule="auto"/>
      <w:ind w:left="0" w:leftChars="0" w:firstLine="490" w:firstLineChars="175"/>
      <w:jc w:val="left"/>
    </w:pPr>
    <w:rPr>
      <w:sz w:val="24"/>
    </w:rPr>
  </w:style>
  <w:style w:type="paragraph" w:customStyle="1" w:styleId="208">
    <w:name w:val="p0"/>
    <w:basedOn w:val="1"/>
    <w:autoRedefine/>
    <w:qFormat/>
    <w:uiPriority w:val="0"/>
    <w:pPr>
      <w:widowControl/>
    </w:pPr>
    <w:rPr>
      <w:rFonts w:ascii="華康辦公用具篇" w:hAnsi="華康辦公用具篇" w:cs="宋体"/>
      <w:kern w:val="0"/>
      <w:szCs w:val="21"/>
    </w:rPr>
  </w:style>
  <w:style w:type="paragraph" w:customStyle="1" w:styleId="20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0">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1">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2">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3">
    <w:name w:val="程序段"/>
    <w:basedOn w:val="1"/>
    <w:autoRedefine/>
    <w:qFormat/>
    <w:uiPriority w:val="0"/>
    <w:pPr>
      <w:ind w:firstLine="420" w:firstLineChars="200"/>
    </w:pPr>
    <w:rPr>
      <w:rFonts w:ascii="Courier" w:hAnsi="Courier"/>
    </w:rPr>
  </w:style>
  <w:style w:type="paragraph" w:customStyle="1" w:styleId="214">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5">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16">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17">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18">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9">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0">
    <w:name w:val="列出段落3"/>
    <w:basedOn w:val="1"/>
    <w:autoRedefine/>
    <w:qFormat/>
    <w:uiPriority w:val="0"/>
    <w:pPr>
      <w:ind w:firstLine="420" w:firstLineChars="200"/>
    </w:pPr>
    <w:rPr>
      <w:rFonts w:ascii="Calibri" w:hAnsi="Calibri"/>
      <w:szCs w:val="22"/>
    </w:rPr>
  </w:style>
  <w:style w:type="paragraph" w:customStyle="1" w:styleId="22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3">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4">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26">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27">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8">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29">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0">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2">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3">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4">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5">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6">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37">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8">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39">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3">
    <w:name w:val="xl28"/>
    <w:basedOn w:val="1"/>
    <w:autoRedefine/>
    <w:qFormat/>
    <w:uiPriority w:val="0"/>
    <w:pPr>
      <w:widowControl/>
      <w:spacing w:before="100" w:beforeAutospacing="1" w:afterAutospacing="1"/>
      <w:jc w:val="center"/>
    </w:pPr>
    <w:rPr>
      <w:kern w:val="0"/>
      <w:sz w:val="28"/>
      <w:szCs w:val="28"/>
    </w:rPr>
  </w:style>
  <w:style w:type="paragraph" w:customStyle="1" w:styleId="24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7">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8">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2">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3">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4">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6">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57">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58">
    <w:name w:val="table_1stline"/>
    <w:basedOn w:val="1"/>
    <w:autoRedefine/>
    <w:qFormat/>
    <w:uiPriority w:val="0"/>
    <w:pPr>
      <w:widowControl/>
      <w:spacing w:before="120"/>
      <w:jc w:val="left"/>
    </w:pPr>
    <w:rPr>
      <w:rFonts w:eastAsia="MS Mincho"/>
      <w:bCs/>
      <w:kern w:val="0"/>
      <w:sz w:val="20"/>
      <w:szCs w:val="20"/>
    </w:rPr>
  </w:style>
  <w:style w:type="paragraph" w:customStyle="1" w:styleId="259">
    <w:name w:val="table_lines"/>
    <w:basedOn w:val="1"/>
    <w:autoRedefine/>
    <w:qFormat/>
    <w:uiPriority w:val="0"/>
    <w:pPr>
      <w:widowControl/>
      <w:jc w:val="left"/>
    </w:pPr>
    <w:rPr>
      <w:rFonts w:eastAsia="MS Mincho"/>
      <w:kern w:val="0"/>
      <w:sz w:val="20"/>
      <w:szCs w:val="20"/>
    </w:rPr>
  </w:style>
  <w:style w:type="paragraph" w:customStyle="1" w:styleId="260">
    <w:name w:val="正文2"/>
    <w:basedOn w:val="1"/>
    <w:link w:val="368"/>
    <w:autoRedefine/>
    <w:qFormat/>
    <w:uiPriority w:val="0"/>
    <w:pPr>
      <w:spacing w:before="156" w:line="360" w:lineRule="auto"/>
      <w:ind w:firstLine="510" w:firstLineChars="200"/>
    </w:pPr>
    <w:rPr>
      <w:rFonts w:ascii="Calibri" w:hAnsi="Calibri"/>
      <w:kern w:val="0"/>
      <w:sz w:val="24"/>
      <w:szCs w:val="20"/>
    </w:rPr>
  </w:style>
  <w:style w:type="paragraph" w:customStyle="1" w:styleId="261">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3">
    <w:name w:val="Body Text First Indent 21"/>
    <w:basedOn w:val="264"/>
    <w:autoRedefine/>
    <w:qFormat/>
    <w:uiPriority w:val="0"/>
    <w:pPr>
      <w:ind w:firstLine="420"/>
    </w:pPr>
    <w:rPr>
      <w:szCs w:val="21"/>
    </w:rPr>
  </w:style>
  <w:style w:type="paragraph" w:customStyle="1" w:styleId="264">
    <w:name w:val="Body Text Indent1"/>
    <w:basedOn w:val="1"/>
    <w:autoRedefine/>
    <w:qFormat/>
    <w:uiPriority w:val="0"/>
    <w:pPr>
      <w:ind w:left="420" w:leftChars="200"/>
    </w:pPr>
  </w:style>
  <w:style w:type="paragraph" w:customStyle="1" w:styleId="265">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6">
    <w:name w:val="D&amp;L"/>
    <w:basedOn w:val="30"/>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67">
    <w:name w:val="Char Char Char Char Char Char Char1 Char"/>
    <w:basedOn w:val="1"/>
    <w:autoRedefine/>
    <w:qFormat/>
    <w:uiPriority w:val="0"/>
    <w:rPr>
      <w:rFonts w:ascii="Arial" w:hAnsi="Arial" w:cs="Arial"/>
      <w:sz w:val="24"/>
      <w:szCs w:val="20"/>
    </w:rPr>
  </w:style>
  <w:style w:type="paragraph" w:customStyle="1" w:styleId="268">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此正文"/>
    <w:basedOn w:val="1"/>
    <w:autoRedefine/>
    <w:qFormat/>
    <w:uiPriority w:val="0"/>
    <w:pPr>
      <w:spacing w:line="360" w:lineRule="auto"/>
      <w:ind w:firstLine="200" w:firstLineChars="200"/>
    </w:pPr>
    <w:rPr>
      <w:sz w:val="24"/>
    </w:rPr>
  </w:style>
  <w:style w:type="paragraph" w:customStyle="1" w:styleId="270">
    <w:name w:val="p20"/>
    <w:basedOn w:val="1"/>
    <w:autoRedefine/>
    <w:qFormat/>
    <w:uiPriority w:val="0"/>
    <w:pPr>
      <w:spacing w:line="360" w:lineRule="auto"/>
    </w:pPr>
    <w:rPr>
      <w:kern w:val="0"/>
      <w:szCs w:val="21"/>
    </w:rPr>
  </w:style>
  <w:style w:type="paragraph" w:customStyle="1" w:styleId="271">
    <w:name w:val="p16"/>
    <w:basedOn w:val="1"/>
    <w:autoRedefine/>
    <w:qFormat/>
    <w:uiPriority w:val="0"/>
    <w:rPr>
      <w:kern w:val="0"/>
      <w:szCs w:val="21"/>
    </w:rPr>
  </w:style>
  <w:style w:type="paragraph" w:customStyle="1" w:styleId="272">
    <w:name w:val="*正文"/>
    <w:basedOn w:val="1"/>
    <w:autoRedefine/>
    <w:qFormat/>
    <w:uiPriority w:val="0"/>
    <w:pPr>
      <w:widowControl/>
      <w:ind w:firstLine="200" w:firstLineChars="200"/>
    </w:pPr>
    <w:rPr>
      <w:rFonts w:ascii="仿宋_GB2312" w:eastAsia="仿宋_GB2312" w:cs="仿宋_GB2312"/>
      <w:sz w:val="24"/>
    </w:rPr>
  </w:style>
  <w:style w:type="paragraph" w:customStyle="1" w:styleId="273">
    <w:name w:val="正文（首行缩进2字符）"/>
    <w:basedOn w:val="1"/>
    <w:autoRedefine/>
    <w:qFormat/>
    <w:uiPriority w:val="0"/>
    <w:pPr>
      <w:snapToGrid w:val="0"/>
      <w:ind w:firstLine="461" w:firstLineChars="192"/>
    </w:pPr>
    <w:rPr>
      <w:kern w:val="0"/>
      <w:sz w:val="24"/>
      <w:szCs w:val="28"/>
    </w:rPr>
  </w:style>
  <w:style w:type="paragraph" w:customStyle="1" w:styleId="274">
    <w:name w:val="wgy正文"/>
    <w:basedOn w:val="1"/>
    <w:autoRedefine/>
    <w:qFormat/>
    <w:uiPriority w:val="0"/>
    <w:pPr>
      <w:spacing w:line="360" w:lineRule="auto"/>
      <w:ind w:firstLine="200" w:firstLineChars="200"/>
    </w:pPr>
    <w:rPr>
      <w:rFonts w:ascii="宋体" w:hAnsi="宋体" w:cs="黑体"/>
      <w:sz w:val="24"/>
      <w:szCs w:val="22"/>
    </w:rPr>
  </w:style>
  <w:style w:type="paragraph" w:customStyle="1" w:styleId="275">
    <w:name w:val="Pa0"/>
    <w:basedOn w:val="1"/>
    <w:next w:val="1"/>
    <w:autoRedefine/>
    <w:qFormat/>
    <w:uiPriority w:val="0"/>
    <w:pPr>
      <w:autoSpaceDE w:val="0"/>
      <w:autoSpaceDN w:val="0"/>
      <w:adjustRightInd w:val="0"/>
      <w:spacing w:line="241" w:lineRule="atLeast"/>
      <w:jc w:val="left"/>
    </w:pPr>
    <w:rPr>
      <w:rFonts w:ascii="宋体"/>
      <w:kern w:val="0"/>
      <w:sz w:val="24"/>
    </w:rPr>
  </w:style>
  <w:style w:type="paragraph" w:customStyle="1" w:styleId="276">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277">
    <w:name w:val="列出段落4"/>
    <w:basedOn w:val="1"/>
    <w:link w:val="411"/>
    <w:autoRedefine/>
    <w:qFormat/>
    <w:uiPriority w:val="34"/>
    <w:pPr>
      <w:ind w:left="420" w:firstLine="420" w:firstLineChars="200"/>
    </w:pPr>
    <w:rPr>
      <w:rFonts w:ascii="Calibri" w:hAnsi="Calibri"/>
      <w:kern w:val="0"/>
      <w:sz w:val="20"/>
      <w:szCs w:val="20"/>
    </w:rPr>
  </w:style>
  <w:style w:type="paragraph" w:customStyle="1" w:styleId="27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79">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80">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81">
    <w:name w:val="表格1"/>
    <w:basedOn w:val="1"/>
    <w:autoRedefine/>
    <w:qFormat/>
    <w:uiPriority w:val="0"/>
    <w:rPr>
      <w:rFonts w:ascii="仿宋_GB2312"/>
      <w:sz w:val="24"/>
    </w:rPr>
  </w:style>
  <w:style w:type="paragraph" w:customStyle="1" w:styleId="282">
    <w:name w:val="正文缩进1"/>
    <w:basedOn w:val="1"/>
    <w:next w:val="2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283">
    <w:name w:val="Char Char4"/>
    <w:autoRedefine/>
    <w:qFormat/>
    <w:uiPriority w:val="0"/>
    <w:rPr>
      <w:rFonts w:eastAsia="宋体"/>
      <w:kern w:val="2"/>
      <w:sz w:val="24"/>
      <w:lang w:val="en-US" w:eastAsia="zh-CN" w:bidi="ar-SA"/>
    </w:rPr>
  </w:style>
  <w:style w:type="character" w:customStyle="1" w:styleId="284">
    <w:name w:val="批注框文本 Char1"/>
    <w:autoRedefine/>
    <w:semiHidden/>
    <w:qFormat/>
    <w:uiPriority w:val="99"/>
    <w:rPr>
      <w:rFonts w:ascii="Times New Roman" w:hAnsi="Times New Roman" w:eastAsia="宋体" w:cs="Times New Roman"/>
      <w:sz w:val="18"/>
      <w:szCs w:val="18"/>
    </w:rPr>
  </w:style>
  <w:style w:type="character" w:customStyle="1" w:styleId="285">
    <w:name w:val="正文首行缩进 2 Char1"/>
    <w:autoRedefine/>
    <w:semiHidden/>
    <w:qFormat/>
    <w:uiPriority w:val="99"/>
    <w:rPr>
      <w:rFonts w:ascii="Times New Roman" w:hAnsi="Times New Roman" w:eastAsia="宋体" w:cs="Times New Roman"/>
      <w:szCs w:val="24"/>
    </w:rPr>
  </w:style>
  <w:style w:type="character" w:customStyle="1" w:styleId="286">
    <w:name w:val="投标文件 正文首行缩进 Char"/>
    <w:autoRedefine/>
    <w:qFormat/>
    <w:uiPriority w:val="0"/>
    <w:rPr>
      <w:rFonts w:ascii="Arial" w:hAnsi="Arial" w:eastAsia="宋体"/>
      <w:kern w:val="2"/>
      <w:sz w:val="21"/>
      <w:szCs w:val="24"/>
      <w:lang w:val="en-US" w:eastAsia="zh-CN" w:bidi="ar-SA"/>
    </w:rPr>
  </w:style>
  <w:style w:type="character" w:customStyle="1" w:styleId="287">
    <w:name w:val="_正文段落 Char"/>
    <w:autoRedefine/>
    <w:qFormat/>
    <w:uiPriority w:val="0"/>
    <w:rPr>
      <w:rFonts w:eastAsia="宋体"/>
      <w:kern w:val="2"/>
      <w:sz w:val="21"/>
      <w:szCs w:val="24"/>
      <w:lang w:val="en-US" w:eastAsia="zh-CN" w:bidi="ar-SA"/>
    </w:rPr>
  </w:style>
  <w:style w:type="character" w:customStyle="1" w:styleId="288">
    <w:name w:val="Char Char17"/>
    <w:autoRedefine/>
    <w:qFormat/>
    <w:uiPriority w:val="0"/>
    <w:rPr>
      <w:rFonts w:ascii="Arial" w:hAnsi="Arial" w:eastAsia="黑体"/>
      <w:b/>
      <w:bCs/>
      <w:kern w:val="2"/>
      <w:sz w:val="32"/>
      <w:szCs w:val="32"/>
      <w:lang w:val="en-US" w:eastAsia="zh-CN" w:bidi="ar-SA"/>
    </w:rPr>
  </w:style>
  <w:style w:type="character" w:customStyle="1" w:styleId="289">
    <w:name w:val="Char Char14"/>
    <w:autoRedefine/>
    <w:qFormat/>
    <w:uiPriority w:val="0"/>
    <w:rPr>
      <w:rFonts w:eastAsia="宋体"/>
      <w:b/>
      <w:bCs/>
      <w:kern w:val="2"/>
      <w:sz w:val="28"/>
      <w:szCs w:val="28"/>
      <w:lang w:val="en-US" w:eastAsia="zh-CN" w:bidi="ar-SA"/>
    </w:rPr>
  </w:style>
  <w:style w:type="character" w:customStyle="1" w:styleId="290">
    <w:name w:val="ptt1"/>
    <w:autoRedefine/>
    <w:qFormat/>
    <w:uiPriority w:val="0"/>
    <w:rPr>
      <w:rFonts w:hint="eastAsia" w:ascii="宋体" w:hAnsi="宋体" w:eastAsia="宋体"/>
      <w:sz w:val="18"/>
      <w:szCs w:val="18"/>
    </w:rPr>
  </w:style>
  <w:style w:type="character" w:customStyle="1" w:styleId="291">
    <w:name w:val="脚注文本 Char1"/>
    <w:autoRedefine/>
    <w:semiHidden/>
    <w:qFormat/>
    <w:uiPriority w:val="99"/>
    <w:rPr>
      <w:rFonts w:ascii="Times New Roman" w:hAnsi="Times New Roman" w:eastAsia="宋体" w:cs="Times New Roman"/>
      <w:sz w:val="18"/>
      <w:szCs w:val="18"/>
    </w:rPr>
  </w:style>
  <w:style w:type="character" w:customStyle="1" w:styleId="292">
    <w:name w:val="Char Char18"/>
    <w:autoRedefine/>
    <w:qFormat/>
    <w:uiPriority w:val="0"/>
    <w:rPr>
      <w:rFonts w:eastAsia="宋体"/>
      <w:b/>
      <w:bCs/>
      <w:kern w:val="44"/>
      <w:sz w:val="44"/>
      <w:szCs w:val="44"/>
      <w:lang w:val="en-US" w:eastAsia="zh-CN" w:bidi="ar-SA"/>
    </w:rPr>
  </w:style>
  <w:style w:type="character" w:customStyle="1" w:styleId="293">
    <w:name w:val="font2"/>
    <w:autoRedefine/>
    <w:qFormat/>
    <w:uiPriority w:val="0"/>
  </w:style>
  <w:style w:type="character" w:customStyle="1" w:styleId="294">
    <w:name w:val="缺省文本 Char"/>
    <w:autoRedefine/>
    <w:qFormat/>
    <w:uiPriority w:val="0"/>
    <w:rPr>
      <w:rFonts w:eastAsia="宋体"/>
      <w:sz w:val="24"/>
      <w:lang w:val="en-US" w:eastAsia="zh-CN" w:bidi="ar-SA"/>
    </w:rPr>
  </w:style>
  <w:style w:type="character" w:customStyle="1" w:styleId="295">
    <w:name w:val="HTML 预设格式 Char1"/>
    <w:autoRedefine/>
    <w:semiHidden/>
    <w:qFormat/>
    <w:uiPriority w:val="99"/>
    <w:rPr>
      <w:rFonts w:ascii="Courier New" w:hAnsi="Courier New"/>
      <w:kern w:val="2"/>
    </w:rPr>
  </w:style>
  <w:style w:type="character" w:customStyle="1" w:styleId="296">
    <w:name w:val="Char Char8"/>
    <w:autoRedefine/>
    <w:qFormat/>
    <w:uiPriority w:val="0"/>
    <w:rPr>
      <w:sz w:val="24"/>
    </w:rPr>
  </w:style>
  <w:style w:type="character" w:customStyle="1" w:styleId="297">
    <w:name w:val="Char Char9"/>
    <w:autoRedefine/>
    <w:qFormat/>
    <w:uiPriority w:val="0"/>
    <w:rPr>
      <w:rFonts w:ascii="Arial" w:hAnsi="Arial" w:cs="Arial"/>
      <w:vanish/>
      <w:sz w:val="16"/>
      <w:szCs w:val="16"/>
    </w:rPr>
  </w:style>
  <w:style w:type="character" w:customStyle="1" w:styleId="298">
    <w:name w:val="font31"/>
    <w:autoRedefine/>
    <w:qFormat/>
    <w:uiPriority w:val="0"/>
    <w:rPr>
      <w:rFonts w:hint="default" w:ascii="Times New Roman" w:hAnsi="Times New Roman" w:cs="Times New Roman"/>
      <w:color w:val="FF0000"/>
      <w:sz w:val="24"/>
      <w:szCs w:val="24"/>
      <w:u w:val="none"/>
    </w:rPr>
  </w:style>
  <w:style w:type="character" w:customStyle="1" w:styleId="299">
    <w:name w:val="_标题3 Char"/>
    <w:autoRedefine/>
    <w:qFormat/>
    <w:uiPriority w:val="0"/>
    <w:rPr>
      <w:rFonts w:ascii="Arial" w:hAnsi="Arial" w:eastAsia="黑体"/>
      <w:bCs/>
      <w:kern w:val="2"/>
      <w:sz w:val="30"/>
      <w:szCs w:val="32"/>
      <w:lang w:val="en-US" w:eastAsia="zh-CN" w:bidi="ar-SA"/>
    </w:rPr>
  </w:style>
  <w:style w:type="character" w:customStyle="1" w:styleId="300">
    <w:name w:val="_正文段落加粗 Char"/>
    <w:autoRedefine/>
    <w:qFormat/>
    <w:uiPriority w:val="0"/>
    <w:rPr>
      <w:rFonts w:eastAsia="宋体"/>
      <w:b/>
      <w:kern w:val="2"/>
      <w:sz w:val="21"/>
      <w:szCs w:val="24"/>
      <w:lang w:val="en-US" w:eastAsia="zh-CN" w:bidi="ar-SA"/>
    </w:rPr>
  </w:style>
  <w:style w:type="character" w:customStyle="1" w:styleId="301">
    <w:name w:val="Char Char"/>
    <w:autoRedefine/>
    <w:qFormat/>
    <w:uiPriority w:val="0"/>
    <w:rPr>
      <w:rFonts w:ascii="宋体" w:hAnsi="Courier New"/>
      <w:kern w:val="2"/>
      <w:sz w:val="21"/>
    </w:rPr>
  </w:style>
  <w:style w:type="character" w:customStyle="1" w:styleId="302">
    <w:name w:val="p2"/>
    <w:autoRedefine/>
    <w:qFormat/>
    <w:uiPriority w:val="0"/>
  </w:style>
  <w:style w:type="character" w:customStyle="1" w:styleId="303">
    <w:name w:val="_题注 Char"/>
    <w:autoRedefine/>
    <w:qFormat/>
    <w:uiPriority w:val="0"/>
    <w:rPr>
      <w:rFonts w:ascii="Arial" w:hAnsi="Arial" w:eastAsia="黑体" w:cs="Arial"/>
      <w:kern w:val="2"/>
      <w:sz w:val="21"/>
      <w:lang w:val="en-US" w:eastAsia="zh-CN" w:bidi="ar-SA"/>
    </w:rPr>
  </w:style>
  <w:style w:type="character" w:customStyle="1" w:styleId="304">
    <w:name w:val="正文文本 Char1"/>
    <w:autoRedefine/>
    <w:semiHidden/>
    <w:qFormat/>
    <w:uiPriority w:val="99"/>
    <w:rPr>
      <w:rFonts w:ascii="Times New Roman" w:hAnsi="Times New Roman" w:eastAsia="宋体" w:cs="Times New Roman"/>
      <w:szCs w:val="24"/>
    </w:rPr>
  </w:style>
  <w:style w:type="character" w:customStyle="1" w:styleId="305">
    <w:name w:val="正文首行缩进 Char1"/>
    <w:autoRedefine/>
    <w:semiHidden/>
    <w:qFormat/>
    <w:uiPriority w:val="99"/>
    <w:rPr>
      <w:rFonts w:ascii="Times New Roman" w:hAnsi="Times New Roman" w:eastAsia="宋体" w:cs="Times New Roman"/>
      <w:szCs w:val="24"/>
    </w:rPr>
  </w:style>
  <w:style w:type="character" w:customStyle="1" w:styleId="306">
    <w:name w:val="样式1 Char Char"/>
    <w:link w:val="54"/>
    <w:autoRedefine/>
    <w:qFormat/>
    <w:uiPriority w:val="0"/>
    <w:rPr>
      <w:rFonts w:ascii="Arial" w:hAnsi="Arial"/>
      <w:szCs w:val="24"/>
    </w:rPr>
  </w:style>
  <w:style w:type="character" w:customStyle="1" w:styleId="307">
    <w:name w:val="z-窗体顶端 Char"/>
    <w:link w:val="55"/>
    <w:autoRedefine/>
    <w:qFormat/>
    <w:uiPriority w:val="0"/>
    <w:rPr>
      <w:rFonts w:ascii="Arial" w:hAnsi="Arial" w:cs="Arial"/>
      <w:vanish/>
      <w:sz w:val="16"/>
      <w:szCs w:val="16"/>
    </w:rPr>
  </w:style>
  <w:style w:type="character" w:customStyle="1" w:styleId="308">
    <w:name w:val="z-窗体顶端 Char1"/>
    <w:autoRedefine/>
    <w:semiHidden/>
    <w:qFormat/>
    <w:uiPriority w:val="99"/>
    <w:rPr>
      <w:rFonts w:ascii="Arial" w:hAnsi="Arial" w:eastAsia="宋体" w:cs="Arial"/>
      <w:vanish/>
      <w:sz w:val="16"/>
      <w:szCs w:val="16"/>
    </w:rPr>
  </w:style>
  <w:style w:type="character" w:customStyle="1" w:styleId="309">
    <w:name w:val="z-窗体底端 Char"/>
    <w:link w:val="56"/>
    <w:autoRedefine/>
    <w:qFormat/>
    <w:uiPriority w:val="0"/>
    <w:rPr>
      <w:rFonts w:ascii="Arial" w:hAnsi="Arial" w:cs="Arial"/>
      <w:vanish/>
      <w:sz w:val="16"/>
      <w:szCs w:val="16"/>
    </w:rPr>
  </w:style>
  <w:style w:type="character" w:customStyle="1" w:styleId="310">
    <w:name w:val="z-窗体底端 Char1"/>
    <w:autoRedefine/>
    <w:semiHidden/>
    <w:qFormat/>
    <w:uiPriority w:val="99"/>
    <w:rPr>
      <w:rFonts w:ascii="Arial" w:hAnsi="Arial" w:eastAsia="宋体" w:cs="Arial"/>
      <w:vanish/>
      <w:sz w:val="16"/>
      <w:szCs w:val="16"/>
    </w:rPr>
  </w:style>
  <w:style w:type="character" w:customStyle="1" w:styleId="311">
    <w:name w:val="正文首行缩进两字符 Char"/>
    <w:autoRedefine/>
    <w:qFormat/>
    <w:uiPriority w:val="0"/>
    <w:rPr>
      <w:rFonts w:ascii="Arial" w:hAnsi="Arial"/>
      <w:kern w:val="2"/>
      <w:sz w:val="24"/>
      <w:szCs w:val="24"/>
    </w:rPr>
  </w:style>
  <w:style w:type="character" w:customStyle="1" w:styleId="312">
    <w:name w:val="msonormal"/>
    <w:autoRedefine/>
    <w:qFormat/>
    <w:uiPriority w:val="0"/>
  </w:style>
  <w:style w:type="character" w:customStyle="1" w:styleId="313">
    <w:name w:val="Char Char2"/>
    <w:autoRedefine/>
    <w:qFormat/>
    <w:uiPriority w:val="0"/>
    <w:rPr>
      <w:sz w:val="24"/>
    </w:rPr>
  </w:style>
  <w:style w:type="character" w:customStyle="1" w:styleId="314">
    <w:name w:val="Char Char3"/>
    <w:autoRedefine/>
    <w:qFormat/>
    <w:uiPriority w:val="0"/>
    <w:rPr>
      <w:rFonts w:ascii="宋体" w:hAnsi="宋体" w:cs="宋体"/>
      <w:sz w:val="24"/>
      <w:szCs w:val="24"/>
    </w:rPr>
  </w:style>
  <w:style w:type="character" w:customStyle="1" w:styleId="315">
    <w:name w:val="Char Char5"/>
    <w:autoRedefine/>
    <w:qFormat/>
    <w:uiPriority w:val="0"/>
    <w:rPr>
      <w:rFonts w:ascii="Arial" w:hAnsi="Arial" w:eastAsia="黑体" w:cs="Arial"/>
    </w:rPr>
  </w:style>
  <w:style w:type="character" w:customStyle="1" w:styleId="316">
    <w:name w:val="副标题 Char1"/>
    <w:autoRedefine/>
    <w:qFormat/>
    <w:uiPriority w:val="11"/>
    <w:rPr>
      <w:rFonts w:ascii="Cambria" w:hAnsi="Cambria" w:eastAsia="宋体" w:cs="Times New Roman"/>
      <w:b/>
      <w:bCs/>
      <w:kern w:val="28"/>
      <w:sz w:val="32"/>
      <w:szCs w:val="32"/>
    </w:rPr>
  </w:style>
  <w:style w:type="character" w:customStyle="1" w:styleId="317">
    <w:name w:val="_标题2 Char"/>
    <w:autoRedefine/>
    <w:qFormat/>
    <w:uiPriority w:val="0"/>
    <w:rPr>
      <w:rFonts w:ascii="Tahoma" w:hAnsi="Tahoma" w:eastAsia="黑体"/>
      <w:bCs/>
      <w:kern w:val="2"/>
      <w:sz w:val="32"/>
      <w:szCs w:val="32"/>
      <w:lang w:val="en-US" w:eastAsia="zh-CN" w:bidi="ar-SA"/>
    </w:rPr>
  </w:style>
  <w:style w:type="character" w:customStyle="1" w:styleId="318">
    <w:name w:val="f14b1"/>
    <w:autoRedefine/>
    <w:qFormat/>
    <w:uiPriority w:val="0"/>
    <w:rPr>
      <w:rFonts w:hint="default" w:ascii="??" w:hAnsi="??"/>
      <w:b/>
      <w:bCs/>
      <w:color w:val="333333"/>
      <w:sz w:val="21"/>
      <w:szCs w:val="21"/>
    </w:rPr>
  </w:style>
  <w:style w:type="character" w:customStyle="1" w:styleId="319">
    <w:name w:val="首行缩进2字符 Char"/>
    <w:autoRedefine/>
    <w:qFormat/>
    <w:uiPriority w:val="0"/>
    <w:rPr>
      <w:rFonts w:eastAsia="宋体"/>
      <w:snapToGrid w:val="0"/>
      <w:sz w:val="21"/>
      <w:szCs w:val="21"/>
      <w:lang w:val="en-US" w:eastAsia="zh-CN" w:bidi="ar-SA"/>
    </w:rPr>
  </w:style>
  <w:style w:type="character" w:customStyle="1" w:styleId="320">
    <w:name w:val="Char Char6"/>
    <w:autoRedefine/>
    <w:qFormat/>
    <w:uiPriority w:val="0"/>
    <w:rPr>
      <w:rFonts w:ascii="Arial" w:hAnsi="Arial" w:cs="Arial"/>
      <w:vanish/>
      <w:sz w:val="16"/>
      <w:szCs w:val="16"/>
    </w:rPr>
  </w:style>
  <w:style w:type="character" w:customStyle="1" w:styleId="321">
    <w:name w:val="文档正文 Char"/>
    <w:autoRedefine/>
    <w:qFormat/>
    <w:uiPriority w:val="0"/>
    <w:rPr>
      <w:rFonts w:eastAsia="宋体"/>
      <w:sz w:val="24"/>
      <w:lang w:val="en-US" w:eastAsia="zh-CN" w:bidi="ar-SA"/>
    </w:rPr>
  </w:style>
  <w:style w:type="character" w:customStyle="1" w:styleId="322">
    <w:name w:val="Char Char11"/>
    <w:autoRedefine/>
    <w:qFormat/>
    <w:uiPriority w:val="0"/>
    <w:rPr>
      <w:rFonts w:ascii="Arial" w:hAnsi="Arial" w:eastAsia="黑体"/>
      <w:sz w:val="24"/>
      <w:szCs w:val="24"/>
      <w:lang w:val="en-US" w:eastAsia="zh-CN" w:bidi="ar-SA"/>
    </w:rPr>
  </w:style>
  <w:style w:type="character" w:customStyle="1" w:styleId="323">
    <w:name w:val="批注文字 Char1"/>
    <w:autoRedefine/>
    <w:semiHidden/>
    <w:qFormat/>
    <w:uiPriority w:val="99"/>
    <w:rPr>
      <w:rFonts w:ascii="Times New Roman" w:hAnsi="Times New Roman" w:eastAsia="宋体" w:cs="Times New Roman"/>
      <w:szCs w:val="24"/>
    </w:rPr>
  </w:style>
  <w:style w:type="character" w:customStyle="1" w:styleId="324">
    <w:name w:val="正文文本缩进 3 Char1"/>
    <w:autoRedefine/>
    <w:semiHidden/>
    <w:qFormat/>
    <w:uiPriority w:val="99"/>
    <w:rPr>
      <w:rFonts w:ascii="Times New Roman" w:hAnsi="Times New Roman" w:eastAsia="宋体" w:cs="Times New Roman"/>
      <w:sz w:val="16"/>
      <w:szCs w:val="16"/>
    </w:rPr>
  </w:style>
  <w:style w:type="character" w:customStyle="1" w:styleId="325">
    <w:name w:val="_表格文字 Char"/>
    <w:autoRedefine/>
    <w:qFormat/>
    <w:uiPriority w:val="0"/>
    <w:rPr>
      <w:rFonts w:eastAsia="宋体"/>
      <w:kern w:val="2"/>
      <w:sz w:val="21"/>
      <w:szCs w:val="24"/>
      <w:lang w:val="en-US" w:eastAsia="zh-CN" w:bidi="ar-SA"/>
    </w:rPr>
  </w:style>
  <w:style w:type="character" w:customStyle="1" w:styleId="326">
    <w:name w:val="正文文本缩进 2 Char1"/>
    <w:autoRedefine/>
    <w:semiHidden/>
    <w:qFormat/>
    <w:uiPriority w:val="99"/>
    <w:rPr>
      <w:rFonts w:ascii="Times New Roman" w:hAnsi="Times New Roman" w:eastAsia="宋体" w:cs="Times New Roman"/>
      <w:szCs w:val="24"/>
    </w:rPr>
  </w:style>
  <w:style w:type="character" w:customStyle="1" w:styleId="327">
    <w:name w:val="正文文本 2 Char1"/>
    <w:autoRedefine/>
    <w:semiHidden/>
    <w:qFormat/>
    <w:uiPriority w:val="99"/>
    <w:rPr>
      <w:rFonts w:ascii="Times New Roman" w:hAnsi="Times New Roman" w:eastAsia="宋体" w:cs="Times New Roman"/>
      <w:szCs w:val="24"/>
    </w:rPr>
  </w:style>
  <w:style w:type="character" w:customStyle="1" w:styleId="328">
    <w:name w:val="图 Char Char"/>
    <w:autoRedefine/>
    <w:qFormat/>
    <w:uiPriority w:val="0"/>
    <w:rPr>
      <w:rFonts w:eastAsia="黑体"/>
      <w:b/>
      <w:sz w:val="24"/>
    </w:rPr>
  </w:style>
  <w:style w:type="character" w:customStyle="1" w:styleId="329">
    <w:name w:val="普通文字1 Char"/>
    <w:autoRedefine/>
    <w:qFormat/>
    <w:uiPriority w:val="0"/>
    <w:rPr>
      <w:rFonts w:ascii="宋体" w:hAnsi="Courier New" w:eastAsia="宋体" w:cs="Courier New"/>
      <w:kern w:val="2"/>
      <w:sz w:val="21"/>
      <w:szCs w:val="21"/>
      <w:lang w:val="en-US" w:eastAsia="zh-CN" w:bidi="ar-SA"/>
    </w:rPr>
  </w:style>
  <w:style w:type="character" w:customStyle="1" w:styleId="330">
    <w:name w:val="日期 Char1"/>
    <w:autoRedefine/>
    <w:semiHidden/>
    <w:qFormat/>
    <w:uiPriority w:val="99"/>
    <w:rPr>
      <w:rFonts w:ascii="Times New Roman" w:hAnsi="Times New Roman" w:eastAsia="宋体" w:cs="Times New Roman"/>
      <w:szCs w:val="24"/>
    </w:rPr>
  </w:style>
  <w:style w:type="character" w:customStyle="1" w:styleId="331">
    <w:name w:val="mark13"/>
    <w:basedOn w:val="46"/>
    <w:autoRedefine/>
    <w:qFormat/>
    <w:uiPriority w:val="0"/>
  </w:style>
  <w:style w:type="character" w:customStyle="1" w:styleId="332">
    <w:name w:val="st1"/>
    <w:autoRedefine/>
    <w:qFormat/>
    <w:uiPriority w:val="0"/>
    <w:rPr>
      <w:spacing w:val="240"/>
    </w:rPr>
  </w:style>
  <w:style w:type="character" w:customStyle="1" w:styleId="333">
    <w:name w:val="HTML 预设格式 Char2"/>
    <w:autoRedefine/>
    <w:semiHidden/>
    <w:qFormat/>
    <w:uiPriority w:val="99"/>
    <w:rPr>
      <w:rFonts w:ascii="Courier New" w:hAnsi="Courier New" w:eastAsia="宋体" w:cs="Courier New"/>
      <w:sz w:val="20"/>
      <w:szCs w:val="20"/>
    </w:rPr>
  </w:style>
  <w:style w:type="character" w:customStyle="1" w:styleId="334">
    <w:name w:val="Char Char1"/>
    <w:autoRedefine/>
    <w:qFormat/>
    <w:uiPriority w:val="0"/>
    <w:rPr>
      <w:sz w:val="24"/>
    </w:rPr>
  </w:style>
  <w:style w:type="character" w:customStyle="1" w:styleId="335">
    <w:name w:val="图 Char"/>
    <w:autoRedefine/>
    <w:qFormat/>
    <w:uiPriority w:val="0"/>
    <w:rPr>
      <w:rFonts w:eastAsia="黑体"/>
      <w:b/>
      <w:sz w:val="24"/>
      <w:lang w:val="en-US" w:eastAsia="zh-CN" w:bidi="ar-SA"/>
    </w:rPr>
  </w:style>
  <w:style w:type="character" w:customStyle="1" w:styleId="336">
    <w:name w:val="font61"/>
    <w:autoRedefine/>
    <w:qFormat/>
    <w:uiPriority w:val="0"/>
    <w:rPr>
      <w:rFonts w:hint="eastAsia" w:ascii="宋体" w:hAnsi="宋体" w:eastAsia="宋体" w:cs="宋体"/>
      <w:color w:val="000000"/>
      <w:sz w:val="24"/>
      <w:szCs w:val="24"/>
      <w:u w:val="none"/>
    </w:rPr>
  </w:style>
  <w:style w:type="character" w:customStyle="1" w:styleId="337">
    <w:name w:val="a4red1"/>
    <w:autoRedefine/>
    <w:qFormat/>
    <w:uiPriority w:val="0"/>
    <w:rPr>
      <w:rFonts w:hint="default" w:ascii="Tahoma" w:hAnsi="Tahoma" w:cs="Tahoma"/>
      <w:color w:val="FF3300"/>
      <w:sz w:val="18"/>
      <w:szCs w:val="18"/>
      <w:u w:val="single"/>
    </w:rPr>
  </w:style>
  <w:style w:type="character" w:customStyle="1" w:styleId="338">
    <w:name w:val="Char Char12"/>
    <w:autoRedefine/>
    <w:qFormat/>
    <w:uiPriority w:val="0"/>
    <w:rPr>
      <w:rFonts w:eastAsia="宋体"/>
      <w:b/>
      <w:bCs/>
      <w:sz w:val="24"/>
      <w:szCs w:val="24"/>
      <w:lang w:val="en-US" w:eastAsia="zh-CN" w:bidi="ar-SA"/>
    </w:rPr>
  </w:style>
  <w:style w:type="character" w:customStyle="1" w:styleId="339">
    <w:name w:val="orange"/>
    <w:basedOn w:val="46"/>
    <w:autoRedefine/>
    <w:qFormat/>
    <w:uiPriority w:val="0"/>
  </w:style>
  <w:style w:type="character" w:customStyle="1" w:styleId="340">
    <w:name w:val="font01"/>
    <w:autoRedefine/>
    <w:qFormat/>
    <w:uiPriority w:val="0"/>
    <w:rPr>
      <w:rFonts w:hint="eastAsia" w:ascii="宋体" w:hAnsi="宋体" w:eastAsia="宋体" w:cs="宋体"/>
      <w:color w:val="FF0000"/>
      <w:sz w:val="24"/>
      <w:szCs w:val="24"/>
      <w:u w:val="none"/>
    </w:rPr>
  </w:style>
  <w:style w:type="character" w:customStyle="1" w:styleId="341">
    <w:name w:val="jianju1"/>
    <w:autoRedefine/>
    <w:qFormat/>
    <w:uiPriority w:val="0"/>
    <w:rPr>
      <w:color w:val="000000"/>
      <w:sz w:val="21"/>
      <w:szCs w:val="21"/>
      <w:u w:val="none"/>
    </w:rPr>
  </w:style>
  <w:style w:type="character" w:customStyle="1" w:styleId="342">
    <w:name w:val="fontb5"/>
    <w:basedOn w:val="46"/>
    <w:autoRedefine/>
    <w:qFormat/>
    <w:uiPriority w:val="0"/>
  </w:style>
  <w:style w:type="character" w:customStyle="1" w:styleId="343">
    <w:name w:val="_列表 Char"/>
    <w:autoRedefine/>
    <w:qFormat/>
    <w:uiPriority w:val="0"/>
    <w:rPr>
      <w:kern w:val="2"/>
      <w:sz w:val="24"/>
      <w:szCs w:val="24"/>
    </w:rPr>
  </w:style>
  <w:style w:type="character" w:customStyle="1" w:styleId="344">
    <w:name w:val="纯文本 Char1"/>
    <w:autoRedefine/>
    <w:semiHidden/>
    <w:qFormat/>
    <w:uiPriority w:val="0"/>
    <w:rPr>
      <w:rFonts w:ascii="宋体" w:hAnsi="Courier New" w:eastAsia="宋体" w:cs="Courier New"/>
      <w:szCs w:val="21"/>
    </w:rPr>
  </w:style>
  <w:style w:type="character" w:customStyle="1" w:styleId="345">
    <w:name w:val="Char Char15"/>
    <w:autoRedefine/>
    <w:qFormat/>
    <w:uiPriority w:val="0"/>
    <w:rPr>
      <w:rFonts w:ascii="Arial" w:hAnsi="Arial" w:eastAsia="黑体"/>
      <w:b/>
      <w:bCs/>
      <w:kern w:val="2"/>
      <w:sz w:val="28"/>
      <w:szCs w:val="28"/>
      <w:lang w:val="en-US" w:eastAsia="zh-CN" w:bidi="ar-SA"/>
    </w:rPr>
  </w:style>
  <w:style w:type="character" w:customStyle="1" w:styleId="346">
    <w:name w:val="正文文本 3 Char1"/>
    <w:autoRedefine/>
    <w:semiHidden/>
    <w:qFormat/>
    <w:uiPriority w:val="99"/>
    <w:rPr>
      <w:rFonts w:ascii="Times New Roman" w:hAnsi="Times New Roman" w:eastAsia="宋体" w:cs="Times New Roman"/>
      <w:sz w:val="16"/>
      <w:szCs w:val="16"/>
    </w:rPr>
  </w:style>
  <w:style w:type="character" w:customStyle="1" w:styleId="347">
    <w:name w:val="font11"/>
    <w:autoRedefine/>
    <w:qFormat/>
    <w:uiPriority w:val="0"/>
    <w:rPr>
      <w:rFonts w:hint="default" w:ascii="Times New Roman" w:hAnsi="Times New Roman" w:cs="Times New Roman"/>
      <w:color w:val="000000"/>
      <w:sz w:val="24"/>
      <w:szCs w:val="24"/>
      <w:u w:val="none"/>
    </w:rPr>
  </w:style>
  <w:style w:type="character" w:customStyle="1" w:styleId="348">
    <w:name w:val="文档结构图 Char1"/>
    <w:autoRedefine/>
    <w:semiHidden/>
    <w:qFormat/>
    <w:uiPriority w:val="99"/>
    <w:rPr>
      <w:rFonts w:ascii="宋体" w:hAnsi="Times New Roman" w:eastAsia="宋体" w:cs="Times New Roman"/>
      <w:sz w:val="18"/>
      <w:szCs w:val="18"/>
    </w:rPr>
  </w:style>
  <w:style w:type="character" w:customStyle="1" w:styleId="349">
    <w:name w:val="Char Char13"/>
    <w:autoRedefine/>
    <w:qFormat/>
    <w:uiPriority w:val="0"/>
    <w:rPr>
      <w:rFonts w:ascii="Arial" w:hAnsi="Arial" w:eastAsia="黑体"/>
      <w:b/>
      <w:bCs/>
      <w:kern w:val="2"/>
      <w:sz w:val="24"/>
      <w:szCs w:val="24"/>
      <w:lang w:val="en-US" w:eastAsia="zh-CN" w:bidi="ar-SA"/>
    </w:rPr>
  </w:style>
  <w:style w:type="character" w:customStyle="1" w:styleId="350">
    <w:name w:val="_标题4 Char"/>
    <w:autoRedefine/>
    <w:qFormat/>
    <w:uiPriority w:val="0"/>
    <w:rPr>
      <w:rFonts w:ascii="Tahoma" w:hAnsi="Tahoma" w:eastAsia="黑体"/>
      <w:bCs/>
      <w:kern w:val="2"/>
      <w:sz w:val="28"/>
      <w:szCs w:val="28"/>
      <w:lang w:val="en-US" w:eastAsia="zh-CN" w:bidi="ar-SA"/>
    </w:rPr>
  </w:style>
  <w:style w:type="character" w:customStyle="1" w:styleId="351">
    <w:name w:val="_表格标题 Char"/>
    <w:autoRedefine/>
    <w:qFormat/>
    <w:uiPriority w:val="0"/>
    <w:rPr>
      <w:rFonts w:eastAsia="宋体"/>
      <w:b/>
      <w:kern w:val="2"/>
      <w:sz w:val="24"/>
      <w:szCs w:val="24"/>
      <w:lang w:val="en-US" w:eastAsia="zh-CN" w:bidi="ar-SA"/>
    </w:rPr>
  </w:style>
  <w:style w:type="character" w:customStyle="1" w:styleId="352">
    <w:name w:val="批注主题 Char1"/>
    <w:autoRedefine/>
    <w:semiHidden/>
    <w:qFormat/>
    <w:uiPriority w:val="99"/>
    <w:rPr>
      <w:rFonts w:ascii="Times New Roman" w:hAnsi="Times New Roman" w:eastAsia="宋体" w:cs="Times New Roman"/>
      <w:b/>
      <w:bCs/>
      <w:szCs w:val="24"/>
    </w:rPr>
  </w:style>
  <w:style w:type="character" w:customStyle="1" w:styleId="353">
    <w:name w:val="普通正文 Char"/>
    <w:autoRedefine/>
    <w:qFormat/>
    <w:uiPriority w:val="0"/>
    <w:rPr>
      <w:rFonts w:ascii="Arial" w:hAnsi="Arial" w:eastAsia="宋体"/>
      <w:sz w:val="24"/>
      <w:lang w:val="en-US" w:eastAsia="zh-CN" w:bidi="ar-SA"/>
    </w:rPr>
  </w:style>
  <w:style w:type="character" w:customStyle="1" w:styleId="354">
    <w:name w:val="Char Char7"/>
    <w:autoRedefine/>
    <w:qFormat/>
    <w:uiPriority w:val="0"/>
    <w:rPr>
      <w:sz w:val="18"/>
    </w:rPr>
  </w:style>
  <w:style w:type="character" w:customStyle="1" w:styleId="355">
    <w:name w:val="tw4winMark"/>
    <w:autoRedefine/>
    <w:qFormat/>
    <w:uiPriority w:val="0"/>
    <w:rPr>
      <w:rFonts w:ascii="Courier New" w:hAnsi="Courier New" w:cs="Courier New"/>
      <w:vanish/>
      <w:color w:val="800080"/>
      <w:vertAlign w:val="subscript"/>
    </w:rPr>
  </w:style>
  <w:style w:type="character" w:customStyle="1" w:styleId="356">
    <w:name w:val="Char Char16"/>
    <w:autoRedefine/>
    <w:qFormat/>
    <w:uiPriority w:val="0"/>
    <w:rPr>
      <w:rFonts w:eastAsia="宋体"/>
      <w:b/>
      <w:bCs/>
      <w:kern w:val="2"/>
      <w:sz w:val="32"/>
      <w:szCs w:val="32"/>
      <w:lang w:val="en-US" w:eastAsia="zh-CN" w:bidi="ar-SA"/>
    </w:rPr>
  </w:style>
  <w:style w:type="character" w:customStyle="1" w:styleId="357">
    <w:name w:val="文档结构图 字符"/>
    <w:link w:val="15"/>
    <w:autoRedefine/>
    <w:semiHidden/>
    <w:qFormat/>
    <w:uiPriority w:val="0"/>
    <w:rPr>
      <w:sz w:val="24"/>
      <w:szCs w:val="24"/>
      <w:shd w:val="clear" w:color="auto" w:fill="000080"/>
    </w:rPr>
  </w:style>
  <w:style w:type="character" w:customStyle="1" w:styleId="358">
    <w:name w:val="标题 6 字符"/>
    <w:link w:val="7"/>
    <w:autoRedefine/>
    <w:qFormat/>
    <w:uiPriority w:val="0"/>
    <w:rPr>
      <w:rFonts w:ascii="Arial" w:hAnsi="Arial" w:eastAsia="黑体" w:cs="黑体"/>
      <w:b/>
      <w:bCs/>
      <w:sz w:val="24"/>
      <w:szCs w:val="24"/>
    </w:rPr>
  </w:style>
  <w:style w:type="character" w:customStyle="1" w:styleId="359">
    <w:name w:val="标题 3 字符"/>
    <w:link w:val="4"/>
    <w:autoRedefine/>
    <w:qFormat/>
    <w:uiPriority w:val="0"/>
    <w:rPr>
      <w:rFonts w:ascii="Times New Roman" w:hAnsi="Times New Roman"/>
      <w:b/>
      <w:bCs/>
      <w:sz w:val="32"/>
      <w:szCs w:val="32"/>
    </w:rPr>
  </w:style>
  <w:style w:type="character" w:customStyle="1" w:styleId="360">
    <w:name w:val="标题 5 字符"/>
    <w:link w:val="6"/>
    <w:autoRedefine/>
    <w:qFormat/>
    <w:uiPriority w:val="0"/>
    <w:rPr>
      <w:rFonts w:ascii="Times New Roman" w:hAnsi="Times New Roman"/>
      <w:b/>
      <w:bCs/>
      <w:sz w:val="28"/>
      <w:szCs w:val="28"/>
    </w:rPr>
  </w:style>
  <w:style w:type="character" w:customStyle="1" w:styleId="361">
    <w:name w:val="标题 4 字符"/>
    <w:link w:val="5"/>
    <w:autoRedefine/>
    <w:qFormat/>
    <w:uiPriority w:val="0"/>
    <w:rPr>
      <w:rFonts w:ascii="Cambria" w:hAnsi="Cambria" w:cs="黑体"/>
      <w:b/>
      <w:bCs/>
      <w:sz w:val="28"/>
      <w:szCs w:val="28"/>
    </w:rPr>
  </w:style>
  <w:style w:type="character" w:customStyle="1" w:styleId="362">
    <w:name w:val="标题 1 字符"/>
    <w:link w:val="3"/>
    <w:autoRedefine/>
    <w:qFormat/>
    <w:uiPriority w:val="9"/>
    <w:rPr>
      <w:rFonts w:ascii="Times New Roman" w:hAnsi="Times New Roman"/>
      <w:b/>
      <w:bCs/>
      <w:color w:val="000000"/>
      <w:kern w:val="44"/>
      <w:sz w:val="24"/>
      <w:szCs w:val="44"/>
    </w:rPr>
  </w:style>
  <w:style w:type="character" w:customStyle="1" w:styleId="363">
    <w:name w:val="标题 2 字符"/>
    <w:link w:val="2"/>
    <w:autoRedefine/>
    <w:qFormat/>
    <w:uiPriority w:val="0"/>
    <w:rPr>
      <w:rFonts w:ascii="Arial" w:hAnsi="Arial" w:eastAsia="黑体" w:cs="黑体"/>
      <w:b/>
      <w:bCs/>
      <w:sz w:val="32"/>
      <w:szCs w:val="32"/>
    </w:rPr>
  </w:style>
  <w:style w:type="character" w:customStyle="1" w:styleId="364">
    <w:name w:val="正文文本缩进 字符"/>
    <w:link w:val="20"/>
    <w:autoRedefine/>
    <w:qFormat/>
    <w:uiPriority w:val="0"/>
    <w:rPr>
      <w:rFonts w:ascii="Times New Roman" w:hAnsi="Times New Roman"/>
      <w:szCs w:val="24"/>
    </w:rPr>
  </w:style>
  <w:style w:type="character" w:customStyle="1" w:styleId="365">
    <w:name w:val="正文首行缩进 2 字符"/>
    <w:link w:val="43"/>
    <w:autoRedefine/>
    <w:semiHidden/>
    <w:qFormat/>
    <w:uiPriority w:val="0"/>
    <w:rPr>
      <w:rFonts w:ascii="宋体" w:hAnsi="Courier New"/>
      <w:spacing w:val="-4"/>
      <w:sz w:val="24"/>
      <w:szCs w:val="24"/>
    </w:rPr>
  </w:style>
  <w:style w:type="character" w:customStyle="1" w:styleId="366">
    <w:name w:val="纯文本 字符"/>
    <w:link w:val="25"/>
    <w:autoRedefine/>
    <w:qFormat/>
    <w:uiPriority w:val="0"/>
    <w:rPr>
      <w:rFonts w:ascii="宋体" w:hAnsi="Courier New" w:cs="Courier New"/>
      <w:sz w:val="24"/>
      <w:szCs w:val="24"/>
    </w:rPr>
  </w:style>
  <w:style w:type="character" w:customStyle="1" w:styleId="367">
    <w:name w:val="3zw1"/>
    <w:autoRedefine/>
    <w:qFormat/>
    <w:uiPriority w:val="0"/>
    <w:rPr>
      <w:color w:val="000000"/>
      <w:sz w:val="21"/>
      <w:szCs w:val="21"/>
    </w:rPr>
  </w:style>
  <w:style w:type="character" w:customStyle="1" w:styleId="368">
    <w:name w:val="正文2 Char Char"/>
    <w:link w:val="260"/>
    <w:autoRedefine/>
    <w:qFormat/>
    <w:uiPriority w:val="0"/>
    <w:rPr>
      <w:sz w:val="24"/>
    </w:rPr>
  </w:style>
  <w:style w:type="character" w:customStyle="1" w:styleId="369">
    <w:name w:val="标题 Char1"/>
    <w:autoRedefine/>
    <w:qFormat/>
    <w:uiPriority w:val="10"/>
    <w:rPr>
      <w:rFonts w:ascii="Cambria" w:hAnsi="Cambria" w:eastAsia="宋体" w:cs="Times New Roman"/>
      <w:b/>
      <w:bCs/>
      <w:sz w:val="32"/>
      <w:szCs w:val="32"/>
    </w:rPr>
  </w:style>
  <w:style w:type="character" w:customStyle="1" w:styleId="370">
    <w:name w:val="font101"/>
    <w:autoRedefine/>
    <w:qFormat/>
    <w:uiPriority w:val="0"/>
    <w:rPr>
      <w:rFonts w:hint="default" w:ascii="Times New Roman" w:hAnsi="Times New Roman" w:cs="Times New Roman"/>
      <w:color w:val="000000"/>
      <w:sz w:val="21"/>
      <w:szCs w:val="21"/>
      <w:u w:val="none"/>
    </w:rPr>
  </w:style>
  <w:style w:type="character" w:customStyle="1" w:styleId="371">
    <w:name w:val="页脚 字符"/>
    <w:autoRedefine/>
    <w:qFormat/>
    <w:uiPriority w:val="99"/>
  </w:style>
  <w:style w:type="character" w:customStyle="1" w:styleId="372">
    <w:name w:val="param-name1"/>
    <w:autoRedefine/>
    <w:qFormat/>
    <w:uiPriority w:val="0"/>
    <w:rPr>
      <w:rFonts w:cs="Times New Roman"/>
      <w:b/>
    </w:rPr>
  </w:style>
  <w:style w:type="character" w:customStyle="1" w:styleId="373">
    <w:name w:val="font91"/>
    <w:autoRedefine/>
    <w:qFormat/>
    <w:uiPriority w:val="0"/>
    <w:rPr>
      <w:rFonts w:hint="eastAsia" w:ascii="宋体" w:hAnsi="宋体" w:eastAsia="宋体" w:cs="宋体"/>
      <w:color w:val="000000"/>
      <w:sz w:val="21"/>
      <w:szCs w:val="21"/>
      <w:u w:val="none"/>
    </w:rPr>
  </w:style>
  <w:style w:type="character" w:customStyle="1" w:styleId="374">
    <w:name w:val="font71"/>
    <w:autoRedefine/>
    <w:qFormat/>
    <w:uiPriority w:val="0"/>
    <w:rPr>
      <w:rFonts w:hint="eastAsia" w:ascii="宋体" w:hAnsi="宋体" w:eastAsia="宋体" w:cs="宋体"/>
      <w:color w:val="000000"/>
      <w:sz w:val="21"/>
      <w:szCs w:val="21"/>
      <w:u w:val="none"/>
    </w:rPr>
  </w:style>
  <w:style w:type="character" w:customStyle="1" w:styleId="375">
    <w:name w:val="15"/>
    <w:autoRedefine/>
    <w:qFormat/>
    <w:uiPriority w:val="0"/>
    <w:rPr>
      <w:rFonts w:hint="eastAsia" w:ascii="宋体" w:hAnsi="宋体" w:eastAsia="宋体" w:cs="宋体"/>
      <w:color w:val="000000"/>
      <w:sz w:val="22"/>
      <w:szCs w:val="22"/>
    </w:rPr>
  </w:style>
  <w:style w:type="character" w:customStyle="1" w:styleId="376">
    <w:name w:val="font21"/>
    <w:autoRedefine/>
    <w:qFormat/>
    <w:uiPriority w:val="0"/>
    <w:rPr>
      <w:rFonts w:ascii="Arial" w:hAnsi="Arial" w:cs="Arial"/>
      <w:color w:val="000000"/>
      <w:sz w:val="21"/>
      <w:szCs w:val="21"/>
      <w:u w:val="none"/>
    </w:rPr>
  </w:style>
  <w:style w:type="character" w:customStyle="1" w:styleId="377">
    <w:name w:val="font161"/>
    <w:autoRedefine/>
    <w:qFormat/>
    <w:uiPriority w:val="0"/>
    <w:rPr>
      <w:rFonts w:hint="default" w:ascii="Times New Roman" w:hAnsi="Times New Roman" w:cs="Times New Roman"/>
      <w:color w:val="000000"/>
      <w:sz w:val="18"/>
      <w:szCs w:val="18"/>
      <w:u w:val="none"/>
    </w:rPr>
  </w:style>
  <w:style w:type="character" w:customStyle="1" w:styleId="378">
    <w:name w:val="font41"/>
    <w:autoRedefine/>
    <w:qFormat/>
    <w:uiPriority w:val="0"/>
    <w:rPr>
      <w:rFonts w:hint="eastAsia" w:ascii="宋体" w:hAnsi="宋体" w:eastAsia="宋体" w:cs="宋体"/>
      <w:color w:val="FF0000"/>
      <w:sz w:val="28"/>
      <w:szCs w:val="28"/>
      <w:u w:val="none"/>
    </w:rPr>
  </w:style>
  <w:style w:type="character" w:customStyle="1" w:styleId="379">
    <w:name w:val="apple-converted-space"/>
    <w:basedOn w:val="46"/>
    <w:autoRedefine/>
    <w:qFormat/>
    <w:uiPriority w:val="0"/>
  </w:style>
  <w:style w:type="character" w:customStyle="1" w:styleId="380">
    <w:name w:val="font151"/>
    <w:autoRedefine/>
    <w:qFormat/>
    <w:uiPriority w:val="0"/>
    <w:rPr>
      <w:rFonts w:hint="default" w:ascii="Times New Roman" w:hAnsi="Times New Roman" w:cs="Times New Roman"/>
      <w:color w:val="000000"/>
      <w:sz w:val="21"/>
      <w:szCs w:val="21"/>
      <w:u w:val="none"/>
    </w:rPr>
  </w:style>
  <w:style w:type="character" w:customStyle="1" w:styleId="381">
    <w:name w:val="fontstyle01"/>
    <w:autoRedefine/>
    <w:qFormat/>
    <w:uiPriority w:val="0"/>
    <w:rPr>
      <w:rFonts w:hint="eastAsia" w:ascii="宋体" w:hAnsi="宋体" w:eastAsia="宋体"/>
      <w:color w:val="000000"/>
      <w:sz w:val="22"/>
      <w:szCs w:val="22"/>
    </w:rPr>
  </w:style>
  <w:style w:type="character" w:customStyle="1" w:styleId="382">
    <w:name w:val="页眉 字符"/>
    <w:link w:val="30"/>
    <w:autoRedefine/>
    <w:qFormat/>
    <w:uiPriority w:val="99"/>
    <w:rPr>
      <w:sz w:val="18"/>
      <w:szCs w:val="18"/>
    </w:rPr>
  </w:style>
  <w:style w:type="character" w:customStyle="1" w:styleId="383">
    <w:name w:val="列出段落 Char1"/>
    <w:autoRedefine/>
    <w:qFormat/>
    <w:locked/>
    <w:uiPriority w:val="34"/>
    <w:rPr>
      <w:rFonts w:ascii="Times New Roman" w:hAnsi="Times New Roman" w:cs="Times New Roman"/>
      <w:kern w:val="2"/>
      <w:sz w:val="21"/>
      <w:szCs w:val="24"/>
    </w:rPr>
  </w:style>
  <w:style w:type="character" w:customStyle="1" w:styleId="384">
    <w:name w:val="列出段落 字符"/>
    <w:autoRedefine/>
    <w:qFormat/>
    <w:locked/>
    <w:uiPriority w:val="34"/>
    <w:rPr>
      <w:rFonts w:ascii="Calibri" w:hAnsi="Calibri" w:eastAsia="宋体" w:cs="Times New Roman"/>
      <w:kern w:val="2"/>
      <w:sz w:val="21"/>
      <w:szCs w:val="22"/>
    </w:rPr>
  </w:style>
  <w:style w:type="character" w:customStyle="1" w:styleId="385">
    <w:name w:val="正文缩进 字符1"/>
    <w:autoRedefine/>
    <w:qFormat/>
    <w:uiPriority w:val="99"/>
    <w:rPr>
      <w:rFonts w:ascii="Arial" w:hAnsi="Arial" w:eastAsia="宋体" w:cs="Times New Roman"/>
      <w:kern w:val="2"/>
      <w:sz w:val="24"/>
    </w:rPr>
  </w:style>
  <w:style w:type="character" w:customStyle="1" w:styleId="386">
    <w:name w:val="Hyperlink.0"/>
    <w:autoRedefine/>
    <w:qFormat/>
    <w:uiPriority w:val="0"/>
    <w:rPr>
      <w:rFonts w:ascii="宋体" w:hAnsi="宋体" w:eastAsia="宋体" w:cs="宋体"/>
      <w:lang w:val="zh-TW" w:eastAsia="zh-TW"/>
    </w:rPr>
  </w:style>
  <w:style w:type="character" w:customStyle="1" w:styleId="387">
    <w:name w:val="bookmark-item"/>
    <w:basedOn w:val="46"/>
    <w:autoRedefine/>
    <w:qFormat/>
    <w:uiPriority w:val="0"/>
  </w:style>
  <w:style w:type="character" w:customStyle="1" w:styleId="388">
    <w:name w:val="标题 5 Char1"/>
    <w:autoRedefine/>
    <w:qFormat/>
    <w:uiPriority w:val="0"/>
    <w:rPr>
      <w:rFonts w:ascii="Times New Roman" w:hAnsi="Times New Roman" w:eastAsia="宋体" w:cs="Times New Roman"/>
      <w:b/>
      <w:bCs/>
      <w:sz w:val="28"/>
      <w:szCs w:val="28"/>
    </w:rPr>
  </w:style>
  <w:style w:type="character" w:customStyle="1" w:styleId="389">
    <w:name w:val="A2"/>
    <w:autoRedefine/>
    <w:qFormat/>
    <w:uiPriority w:val="0"/>
    <w:rPr>
      <w:rFonts w:cs="宋体"/>
      <w:color w:val="221E1F"/>
      <w:sz w:val="20"/>
      <w:szCs w:val="20"/>
    </w:rPr>
  </w:style>
  <w:style w:type="character" w:customStyle="1" w:styleId="390">
    <w:name w:val="正文文本 字符"/>
    <w:link w:val="18"/>
    <w:autoRedefine/>
    <w:qFormat/>
    <w:uiPriority w:val="0"/>
    <w:rPr>
      <w:sz w:val="28"/>
      <w:szCs w:val="24"/>
    </w:rPr>
  </w:style>
  <w:style w:type="character" w:customStyle="1" w:styleId="391">
    <w:name w:val="标题 7 字符"/>
    <w:link w:val="8"/>
    <w:autoRedefine/>
    <w:qFormat/>
    <w:uiPriority w:val="0"/>
    <w:rPr>
      <w:rFonts w:ascii="Times New Roman" w:hAnsi="Times New Roman"/>
      <w:b/>
      <w:bCs/>
      <w:sz w:val="24"/>
      <w:szCs w:val="24"/>
    </w:rPr>
  </w:style>
  <w:style w:type="character" w:customStyle="1" w:styleId="392">
    <w:name w:val="标题 8 字符"/>
    <w:link w:val="10"/>
    <w:autoRedefine/>
    <w:qFormat/>
    <w:uiPriority w:val="0"/>
    <w:rPr>
      <w:rFonts w:ascii="Arial" w:hAnsi="Arial" w:eastAsia="黑体"/>
      <w:sz w:val="24"/>
      <w:szCs w:val="24"/>
    </w:rPr>
  </w:style>
  <w:style w:type="character" w:customStyle="1" w:styleId="393">
    <w:name w:val="标题 9 字符"/>
    <w:link w:val="11"/>
    <w:autoRedefine/>
    <w:qFormat/>
    <w:uiPriority w:val="0"/>
    <w:rPr>
      <w:rFonts w:ascii="Arial" w:hAnsi="Arial" w:eastAsia="黑体"/>
      <w:szCs w:val="21"/>
    </w:rPr>
  </w:style>
  <w:style w:type="character" w:customStyle="1" w:styleId="394">
    <w:name w:val="正文缩进 字符"/>
    <w:link w:val="13"/>
    <w:autoRedefine/>
    <w:qFormat/>
    <w:uiPriority w:val="0"/>
  </w:style>
  <w:style w:type="character" w:customStyle="1" w:styleId="395">
    <w:name w:val="脚注文本 字符"/>
    <w:link w:val="34"/>
    <w:autoRedefine/>
    <w:semiHidden/>
    <w:qFormat/>
    <w:uiPriority w:val="0"/>
    <w:rPr>
      <w:sz w:val="18"/>
      <w:szCs w:val="24"/>
    </w:rPr>
  </w:style>
  <w:style w:type="character" w:customStyle="1" w:styleId="396">
    <w:name w:val="批注文字 字符"/>
    <w:link w:val="16"/>
    <w:autoRedefine/>
    <w:qFormat/>
    <w:uiPriority w:val="99"/>
    <w:rPr>
      <w:sz w:val="24"/>
      <w:szCs w:val="24"/>
    </w:rPr>
  </w:style>
  <w:style w:type="character" w:customStyle="1" w:styleId="397">
    <w:name w:val="页脚 字符1"/>
    <w:link w:val="29"/>
    <w:autoRedefine/>
    <w:qFormat/>
    <w:uiPriority w:val="99"/>
    <w:rPr>
      <w:sz w:val="18"/>
      <w:szCs w:val="18"/>
    </w:rPr>
  </w:style>
  <w:style w:type="character" w:customStyle="1" w:styleId="398">
    <w:name w:val="题注 字符"/>
    <w:link w:val="14"/>
    <w:autoRedefine/>
    <w:qFormat/>
    <w:uiPriority w:val="35"/>
    <w:rPr>
      <w:rFonts w:ascii="Arial" w:hAnsi="Arial" w:eastAsia="黑体" w:cs="Arial"/>
      <w:kern w:val="2"/>
    </w:rPr>
  </w:style>
  <w:style w:type="character" w:customStyle="1" w:styleId="399">
    <w:name w:val="标题 字符"/>
    <w:link w:val="41"/>
    <w:autoRedefine/>
    <w:qFormat/>
    <w:uiPriority w:val="0"/>
    <w:rPr>
      <w:rFonts w:ascii="Arial" w:hAnsi="Arial" w:eastAsia="仿宋_GB2312"/>
      <w:b/>
      <w:bCs/>
      <w:sz w:val="36"/>
      <w:szCs w:val="32"/>
    </w:rPr>
  </w:style>
  <w:style w:type="character" w:customStyle="1" w:styleId="400">
    <w:name w:val="正文首行缩进 字符"/>
    <w:link w:val="19"/>
    <w:autoRedefine/>
    <w:qFormat/>
    <w:uiPriority w:val="0"/>
    <w:rPr>
      <w:sz w:val="28"/>
      <w:szCs w:val="24"/>
    </w:rPr>
  </w:style>
  <w:style w:type="character" w:customStyle="1" w:styleId="401">
    <w:name w:val="副标题 字符"/>
    <w:link w:val="32"/>
    <w:autoRedefine/>
    <w:qFormat/>
    <w:uiPriority w:val="11"/>
    <w:rPr>
      <w:rFonts w:ascii="Cambria" w:hAnsi="Cambria"/>
      <w:b/>
      <w:bCs/>
      <w:kern w:val="28"/>
      <w:sz w:val="32"/>
      <w:szCs w:val="32"/>
    </w:rPr>
  </w:style>
  <w:style w:type="character" w:customStyle="1" w:styleId="402">
    <w:name w:val="日期 字符"/>
    <w:link w:val="26"/>
    <w:autoRedefine/>
    <w:qFormat/>
    <w:uiPriority w:val="0"/>
    <w:rPr>
      <w:rFonts w:eastAsia="楷体_GB2312"/>
      <w:sz w:val="32"/>
    </w:rPr>
  </w:style>
  <w:style w:type="character" w:customStyle="1" w:styleId="403">
    <w:name w:val="正文文本 2 字符"/>
    <w:link w:val="37"/>
    <w:autoRedefine/>
    <w:qFormat/>
    <w:uiPriority w:val="0"/>
    <w:rPr>
      <w:rFonts w:ascii="宋体" w:hAnsi="宋体"/>
      <w:color w:val="000000"/>
      <w:sz w:val="24"/>
      <w:szCs w:val="24"/>
    </w:rPr>
  </w:style>
  <w:style w:type="character" w:customStyle="1" w:styleId="404">
    <w:name w:val="正文文本 3 字符"/>
    <w:link w:val="17"/>
    <w:autoRedefine/>
    <w:qFormat/>
    <w:uiPriority w:val="0"/>
    <w:rPr>
      <w:rFonts w:hAnsi="宋体" w:eastAsia="仿宋_GB2312"/>
      <w:b/>
      <w:bCs/>
      <w:sz w:val="24"/>
    </w:rPr>
  </w:style>
  <w:style w:type="character" w:customStyle="1" w:styleId="405">
    <w:name w:val="正文文本缩进 2 字符"/>
    <w:link w:val="27"/>
    <w:autoRedefine/>
    <w:qFormat/>
    <w:uiPriority w:val="0"/>
    <w:rPr>
      <w:rFonts w:ascii="仿宋_GB2312" w:hAnsi="宋体" w:cs="Arial"/>
      <w:b/>
      <w:bCs/>
      <w:color w:val="000000"/>
      <w:sz w:val="24"/>
      <w:szCs w:val="24"/>
    </w:rPr>
  </w:style>
  <w:style w:type="character" w:customStyle="1" w:styleId="406">
    <w:name w:val="正文文本缩进 3 字符"/>
    <w:link w:val="35"/>
    <w:autoRedefine/>
    <w:qFormat/>
    <w:uiPriority w:val="0"/>
    <w:rPr>
      <w:rFonts w:ascii="仿宋_GB2312" w:hAnsi="宋体" w:eastAsia="仿宋_GB2312"/>
      <w:color w:val="000000"/>
      <w:sz w:val="24"/>
      <w:szCs w:val="24"/>
    </w:rPr>
  </w:style>
  <w:style w:type="character" w:customStyle="1" w:styleId="407">
    <w:name w:val="普通(网站) 字符"/>
    <w:link w:val="39"/>
    <w:autoRedefine/>
    <w:qFormat/>
    <w:locked/>
    <w:uiPriority w:val="99"/>
    <w:rPr>
      <w:sz w:val="24"/>
      <w:szCs w:val="24"/>
    </w:rPr>
  </w:style>
  <w:style w:type="character" w:customStyle="1" w:styleId="408">
    <w:name w:val="HTML 预设格式 字符"/>
    <w:link w:val="38"/>
    <w:autoRedefine/>
    <w:semiHidden/>
    <w:qFormat/>
    <w:uiPriority w:val="0"/>
    <w:rPr>
      <w:rFonts w:ascii="宋体" w:hAnsi="宋体" w:cs="宋体"/>
      <w:sz w:val="24"/>
      <w:szCs w:val="24"/>
    </w:rPr>
  </w:style>
  <w:style w:type="character" w:customStyle="1" w:styleId="409">
    <w:name w:val="批注主题 字符"/>
    <w:link w:val="42"/>
    <w:autoRedefine/>
    <w:qFormat/>
    <w:uiPriority w:val="99"/>
    <w:rPr>
      <w:b/>
      <w:bCs/>
      <w:sz w:val="24"/>
      <w:szCs w:val="24"/>
    </w:rPr>
  </w:style>
  <w:style w:type="character" w:customStyle="1" w:styleId="410">
    <w:name w:val="批注框文本 字符"/>
    <w:link w:val="28"/>
    <w:autoRedefine/>
    <w:qFormat/>
    <w:uiPriority w:val="99"/>
    <w:rPr>
      <w:sz w:val="16"/>
      <w:szCs w:val="16"/>
    </w:rPr>
  </w:style>
  <w:style w:type="character" w:customStyle="1" w:styleId="411">
    <w:name w:val="列出段落 字符1"/>
    <w:link w:val="277"/>
    <w:autoRedefine/>
    <w:qFormat/>
    <w:uiPriority w:val="99"/>
  </w:style>
  <w:style w:type="character" w:customStyle="1" w:styleId="412">
    <w:name w:val="页脚 Char"/>
    <w:autoRedefine/>
    <w:qFormat/>
    <w:uiPriority w:val="99"/>
    <w:rPr>
      <w:kern w:val="2"/>
      <w:sz w:val="18"/>
      <w:szCs w:val="18"/>
    </w:rPr>
  </w:style>
  <w:style w:type="character" w:customStyle="1" w:styleId="413">
    <w:name w:val="纯文本 Char"/>
    <w:autoRedefine/>
    <w:qFormat/>
    <w:uiPriority w:val="0"/>
    <w:rPr>
      <w:rFonts w:ascii="宋体" w:hAnsi="Courier New"/>
      <w:kern w:val="2"/>
      <w:sz w:val="24"/>
      <w:szCs w:val="24"/>
      <w:lang w:val="zh-CN"/>
    </w:rPr>
  </w:style>
  <w:style w:type="character" w:customStyle="1" w:styleId="414">
    <w:name w:val="批注文字 Char2"/>
    <w:autoRedefine/>
    <w:qFormat/>
    <w:uiPriority w:val="0"/>
    <w:rPr>
      <w:sz w:val="24"/>
      <w:szCs w:val="24"/>
    </w:rPr>
  </w:style>
  <w:style w:type="character" w:customStyle="1" w:styleId="415">
    <w:name w:val="副标题 Char"/>
    <w:autoRedefine/>
    <w:qFormat/>
    <w:uiPriority w:val="0"/>
    <w:rPr>
      <w:rFonts w:ascii="等线 Light" w:hAnsi="等线 Light" w:eastAsia="楷体"/>
      <w:bCs/>
      <w:kern w:val="28"/>
      <w:sz w:val="32"/>
      <w:szCs w:val="32"/>
    </w:rPr>
  </w:style>
  <w:style w:type="character" w:customStyle="1" w:styleId="416">
    <w:name w:val="NormalCharacter"/>
    <w:autoRedefine/>
    <w:semiHidden/>
    <w:qFormat/>
    <w:uiPriority w:val="0"/>
    <w:rPr>
      <w:rFonts w:hint="default" w:ascii="Times New Roman" w:hAnsi="Times New Roman" w:eastAsia="宋体" w:cs="Times New Roman"/>
      <w:kern w:val="2"/>
      <w:sz w:val="21"/>
      <w:szCs w:val="24"/>
      <w:lang w:val="en-US" w:eastAsia="zh-CN" w:bidi="ar-SA"/>
    </w:rPr>
  </w:style>
  <w:style w:type="table" w:customStyle="1" w:styleId="417">
    <w:name w:val="网格型1"/>
    <w:basedOn w:val="44"/>
    <w:autoRedefine/>
    <w:qFormat/>
    <w:uiPriority w:val="39"/>
    <w:rPr>
      <w:rFonts w:ascii="宋体" w:hAnsi="宋体"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5304</Words>
  <Characters>30237</Characters>
  <Lines>251</Lines>
  <Paragraphs>70</Paragraphs>
  <TotalTime>1</TotalTime>
  <ScaleCrop>false</ScaleCrop>
  <LinksUpToDate>false</LinksUpToDate>
  <CharactersWithSpaces>35471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2023-05-29T15:02:00Z</dcterms:created>
  <dc:creator>Administrator</dc:creator>
  <cp:lastModifiedBy>Limerence</cp:lastModifiedBy>
  <cp:lastPrinted>2023-07-25T14:54:00Z</cp:lastPrinted>
  <dcterms:modified xsi:type="dcterms:W3CDTF">2024-03-06T11:43:09Z</dcterms:modified>
  <dc:title>公开招标文件</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039FA0021FE84970A531E19DDC2A05A9_12</vt:lpwstr>
  </property>
</Properties>
</file>