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6"/>
        </w:tabs>
        <w:spacing w:line="360" w:lineRule="auto"/>
        <w:ind w:firstLine="964"/>
        <w:jc w:val="center"/>
        <w:rPr>
          <w:rFonts w:asciiTheme="minorEastAsia" w:hAnsiTheme="minorEastAsia" w:eastAsiaTheme="minorEastAsia"/>
          <w:b/>
          <w:bCs/>
          <w:color w:val="auto"/>
          <w:sz w:val="48"/>
          <w:szCs w:val="48"/>
          <w:highlight w:val="none"/>
        </w:rPr>
      </w:pPr>
    </w:p>
    <w:p>
      <w:pPr>
        <w:spacing w:after="240"/>
        <w:ind w:firstLine="2168" w:firstLineChars="300"/>
        <w:jc w:val="both"/>
        <w:rPr>
          <w:rFonts w:cs="宋体" w:asciiTheme="minorEastAsia" w:hAnsiTheme="minorEastAsia" w:eastAsiaTheme="minorEastAsia"/>
          <w:b/>
          <w:bCs/>
          <w:color w:val="auto"/>
          <w:sz w:val="72"/>
          <w:szCs w:val="72"/>
          <w:highlight w:val="none"/>
        </w:rPr>
      </w:pPr>
      <w:r>
        <w:rPr>
          <w:rFonts w:hint="eastAsia" w:cs="宋体" w:asciiTheme="minorEastAsia" w:hAnsiTheme="minorEastAsia" w:eastAsiaTheme="minorEastAsia"/>
          <w:b/>
          <w:bCs/>
          <w:color w:val="auto"/>
          <w:sz w:val="72"/>
          <w:szCs w:val="72"/>
          <w:highlight w:val="none"/>
        </w:rPr>
        <w:t>公开招标文件</w:t>
      </w:r>
    </w:p>
    <w:p>
      <w:pPr>
        <w:spacing w:after="240"/>
        <w:ind w:firstLine="2249" w:firstLineChars="703"/>
        <w:jc w:val="both"/>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（政府采购电子交易项目）</w:t>
      </w:r>
    </w:p>
    <w:p>
      <w:pPr>
        <w:pStyle w:val="372"/>
        <w:ind w:firstLine="480"/>
        <w:rPr>
          <w:rFonts w:asciiTheme="minorEastAsia" w:hAnsiTheme="minorEastAsia" w:eastAsiaTheme="minorEastAsia"/>
          <w:color w:val="auto"/>
          <w:highlight w:val="none"/>
        </w:rPr>
      </w:pPr>
    </w:p>
    <w:p>
      <w:pPr>
        <w:pStyle w:val="372"/>
        <w:ind w:firstLine="480"/>
        <w:rPr>
          <w:rFonts w:asciiTheme="minorEastAsia" w:hAnsiTheme="minorEastAsia" w:eastAsiaTheme="minorEastAsia"/>
          <w:color w:val="auto"/>
          <w:highlight w:val="none"/>
        </w:rPr>
      </w:pPr>
    </w:p>
    <w:p>
      <w:pPr>
        <w:pStyle w:val="372"/>
        <w:ind w:firstLine="480"/>
        <w:rPr>
          <w:rFonts w:asciiTheme="minorEastAsia" w:hAnsiTheme="minorEastAsia" w:eastAsiaTheme="minorEastAsia"/>
          <w:color w:val="auto"/>
          <w:highlight w:val="none"/>
        </w:rPr>
      </w:pPr>
    </w:p>
    <w:p>
      <w:pPr>
        <w:pStyle w:val="372"/>
        <w:ind w:firstLine="480"/>
        <w:rPr>
          <w:rFonts w:asciiTheme="minorEastAsia" w:hAnsiTheme="minorEastAsia" w:eastAsiaTheme="minorEastAsia"/>
          <w:color w:val="auto"/>
          <w:highlight w:val="none"/>
        </w:rPr>
      </w:pPr>
    </w:p>
    <w:p>
      <w:pPr>
        <w:pStyle w:val="372"/>
        <w:ind w:firstLine="480"/>
        <w:rPr>
          <w:rFonts w:asciiTheme="minorEastAsia" w:hAnsiTheme="minorEastAsia" w:eastAsiaTheme="minorEastAsia"/>
          <w:color w:val="auto"/>
          <w:highlight w:val="none"/>
        </w:rPr>
      </w:pPr>
    </w:p>
    <w:p>
      <w:pPr>
        <w:pStyle w:val="372"/>
        <w:ind w:firstLine="480"/>
        <w:rPr>
          <w:rFonts w:asciiTheme="minorEastAsia" w:hAnsiTheme="minorEastAsia" w:eastAsiaTheme="minorEastAsia"/>
          <w:color w:val="auto"/>
          <w:highlight w:val="none"/>
        </w:rPr>
      </w:pPr>
    </w:p>
    <w:p>
      <w:pPr>
        <w:pStyle w:val="372"/>
        <w:ind w:firstLine="480"/>
        <w:rPr>
          <w:rFonts w:asciiTheme="minorEastAsia" w:hAnsiTheme="minorEastAsia" w:eastAsiaTheme="minorEastAsia"/>
          <w:color w:val="auto"/>
          <w:highlight w:val="none"/>
        </w:rPr>
      </w:pPr>
    </w:p>
    <w:p>
      <w:pPr>
        <w:pStyle w:val="372"/>
        <w:ind w:firstLine="480"/>
        <w:rPr>
          <w:rFonts w:asciiTheme="minorEastAsia" w:hAnsiTheme="minorEastAsia" w:eastAsiaTheme="minorEastAsia"/>
          <w:color w:val="auto"/>
          <w:highlight w:val="none"/>
        </w:rPr>
      </w:pPr>
    </w:p>
    <w:p>
      <w:pPr>
        <w:pStyle w:val="372"/>
        <w:ind w:firstLine="480"/>
        <w:rPr>
          <w:rFonts w:asciiTheme="minorEastAsia" w:hAnsiTheme="minorEastAsia" w:eastAsiaTheme="minorEastAsia"/>
          <w:color w:val="auto"/>
          <w:highlight w:val="none"/>
        </w:rPr>
      </w:pPr>
    </w:p>
    <w:p>
      <w:pPr>
        <w:pStyle w:val="372"/>
        <w:ind w:firstLine="480"/>
        <w:rPr>
          <w:rFonts w:asciiTheme="minorEastAsia" w:hAnsiTheme="minorEastAsia" w:eastAsiaTheme="minorEastAsia"/>
          <w:color w:val="auto"/>
          <w:highlight w:val="none"/>
        </w:rPr>
      </w:pPr>
    </w:p>
    <w:p>
      <w:pPr>
        <w:tabs>
          <w:tab w:val="left" w:pos="2410"/>
        </w:tabs>
        <w:autoSpaceDE w:val="0"/>
        <w:autoSpaceDN w:val="0"/>
        <w:adjustRightInd w:val="0"/>
        <w:snapToGrid w:val="0"/>
        <w:spacing w:line="360" w:lineRule="auto"/>
        <w:ind w:firstLine="723"/>
        <w:rPr>
          <w:rFonts w:asciiTheme="minorEastAsia" w:hAnsiTheme="minorEastAsia" w:eastAsiaTheme="minorEastAsia"/>
          <w:b/>
          <w:color w:val="auto"/>
          <w:spacing w:val="20"/>
          <w:kern w:val="0"/>
          <w:sz w:val="32"/>
          <w:szCs w:val="32"/>
          <w:highlight w:val="none"/>
        </w:rPr>
      </w:pPr>
    </w:p>
    <w:p>
      <w:pPr>
        <w:ind w:left="2016" w:leftChars="100" w:hanging="1806" w:hangingChars="500"/>
        <w:rPr>
          <w:rFonts w:asciiTheme="minorEastAsia" w:hAnsiTheme="minorEastAsia" w:eastAsiaTheme="minorEastAsia"/>
          <w:b/>
          <w:color w:val="auto"/>
          <w:spacing w:val="20"/>
          <w:kern w:val="0"/>
          <w:sz w:val="32"/>
          <w:szCs w:val="32"/>
          <w:highlight w:val="none"/>
        </w:rPr>
      </w:pPr>
    </w:p>
    <w:p>
      <w:pPr>
        <w:ind w:left="2016" w:leftChars="100" w:hanging="1806" w:hangingChars="500"/>
        <w:rPr>
          <w:rFonts w:asciiTheme="minorEastAsia" w:hAnsiTheme="minorEastAsia" w:eastAsiaTheme="minorEastAsia"/>
          <w:b/>
          <w:color w:val="auto"/>
          <w:spacing w:val="20"/>
          <w:kern w:val="0"/>
          <w:sz w:val="32"/>
          <w:szCs w:val="32"/>
          <w:highlight w:val="none"/>
        </w:rPr>
      </w:pPr>
    </w:p>
    <w:p>
      <w:pPr>
        <w:ind w:left="2016" w:leftChars="100" w:hanging="1806" w:hangingChars="500"/>
        <w:rPr>
          <w:rFonts w:asciiTheme="minorEastAsia" w:hAnsiTheme="minorEastAsia" w:eastAsiaTheme="minorEastAsia"/>
          <w:b/>
          <w:color w:val="auto"/>
          <w:spacing w:val="20"/>
          <w:kern w:val="0"/>
          <w:sz w:val="32"/>
          <w:szCs w:val="32"/>
          <w:highlight w:val="none"/>
        </w:rPr>
      </w:pPr>
    </w:p>
    <w:p>
      <w:pPr>
        <w:ind w:left="2016" w:leftChars="100" w:hanging="1806" w:hangingChars="500"/>
        <w:rPr>
          <w:rFonts w:asciiTheme="minorEastAsia" w:hAnsiTheme="minorEastAsia" w:eastAsiaTheme="minorEastAsia"/>
          <w:b/>
          <w:color w:val="auto"/>
          <w:spacing w:val="20"/>
          <w:kern w:val="0"/>
          <w:sz w:val="32"/>
          <w:szCs w:val="32"/>
          <w:highlight w:val="none"/>
        </w:rPr>
      </w:pPr>
    </w:p>
    <w:p>
      <w:pPr>
        <w:pStyle w:val="2"/>
        <w:ind w:left="1260" w:firstLine="560"/>
        <w:rPr>
          <w:color w:val="auto"/>
          <w:highlight w:val="none"/>
        </w:rPr>
      </w:pPr>
    </w:p>
    <w:p>
      <w:pPr>
        <w:spacing w:before="240" w:beforeLines="100" w:after="240" w:afterLines="100" w:line="360" w:lineRule="auto"/>
        <w:ind w:left="2016" w:leftChars="100" w:right="65" w:rightChars="31" w:hanging="1806" w:hangingChars="500"/>
        <w:rPr>
          <w:rFonts w:asciiTheme="minorEastAsia" w:hAnsiTheme="minorEastAsia" w:eastAsiaTheme="minorEastAsia"/>
          <w:b/>
          <w:color w:val="auto"/>
          <w:kern w:val="0"/>
          <w:sz w:val="32"/>
          <w:szCs w:val="32"/>
          <w:highlight w:val="none"/>
          <w:u w:val="single"/>
        </w:rPr>
      </w:pPr>
      <w:r>
        <w:rPr>
          <w:rFonts w:hint="eastAsia" w:asciiTheme="minorEastAsia" w:hAnsiTheme="minorEastAsia" w:eastAsiaTheme="minorEastAsia"/>
          <w:b/>
          <w:color w:val="auto"/>
          <w:spacing w:val="20"/>
          <w:kern w:val="0"/>
          <w:sz w:val="32"/>
          <w:szCs w:val="32"/>
          <w:highlight w:val="none"/>
        </w:rPr>
        <w:t>项目名称：</w:t>
      </w:r>
      <w:r>
        <w:rPr>
          <w:rFonts w:hint="eastAsia" w:asciiTheme="minorEastAsia" w:hAnsiTheme="minorEastAsia" w:eastAsiaTheme="minorEastAsia"/>
          <w:b/>
          <w:color w:val="auto"/>
          <w:kern w:val="0"/>
          <w:sz w:val="32"/>
          <w:szCs w:val="32"/>
          <w:highlight w:val="none"/>
          <w:u w:val="single"/>
        </w:rPr>
        <w:t>宁波工程学院新能源产业技术创新实践基地进口设备采购项目</w:t>
      </w:r>
    </w:p>
    <w:p>
      <w:pPr>
        <w:spacing w:before="240" w:beforeLines="100" w:after="240" w:afterLines="100" w:line="360" w:lineRule="auto"/>
        <w:ind w:left="2016" w:leftChars="100" w:hanging="1806" w:hangingChars="500"/>
        <w:rPr>
          <w:rFonts w:asciiTheme="minorEastAsia" w:hAnsiTheme="minorEastAsia" w:eastAsiaTheme="minorEastAsia"/>
          <w:b/>
          <w:color w:val="auto"/>
          <w:spacing w:val="20"/>
          <w:kern w:val="0"/>
          <w:sz w:val="32"/>
          <w:szCs w:val="32"/>
          <w:highlight w:val="none"/>
        </w:rPr>
      </w:pPr>
      <w:r>
        <w:rPr>
          <w:rFonts w:hint="eastAsia" w:asciiTheme="minorEastAsia" w:hAnsiTheme="minorEastAsia" w:eastAsiaTheme="minorEastAsia"/>
          <w:b/>
          <w:color w:val="auto"/>
          <w:spacing w:val="20"/>
          <w:kern w:val="0"/>
          <w:sz w:val="32"/>
          <w:szCs w:val="32"/>
          <w:highlight w:val="none"/>
        </w:rPr>
        <w:t>项目编号：</w:t>
      </w:r>
      <w:r>
        <w:rPr>
          <w:rFonts w:hint="eastAsia" w:asciiTheme="minorEastAsia" w:hAnsiTheme="minorEastAsia" w:eastAsiaTheme="minorEastAsia"/>
          <w:b/>
          <w:color w:val="auto"/>
          <w:spacing w:val="20"/>
          <w:kern w:val="0"/>
          <w:sz w:val="32"/>
          <w:szCs w:val="32"/>
          <w:highlight w:val="none"/>
          <w:u w:val="single"/>
        </w:rPr>
        <w:t>NBMC-20242029G</w:t>
      </w:r>
    </w:p>
    <w:p>
      <w:pPr>
        <w:spacing w:before="240" w:beforeLines="100" w:after="240" w:afterLines="100" w:line="360" w:lineRule="auto"/>
        <w:ind w:left="2016" w:leftChars="100" w:hanging="1806" w:hangingChars="500"/>
        <w:rPr>
          <w:rFonts w:asciiTheme="minorEastAsia" w:hAnsiTheme="minorEastAsia" w:eastAsiaTheme="minorEastAsia"/>
          <w:b/>
          <w:color w:val="auto"/>
          <w:kern w:val="0"/>
          <w:sz w:val="32"/>
          <w:szCs w:val="32"/>
          <w:highlight w:val="none"/>
          <w:u w:val="single"/>
        </w:rPr>
      </w:pPr>
      <w:r>
        <w:rPr>
          <w:rFonts w:hint="eastAsia" w:asciiTheme="minorEastAsia" w:hAnsiTheme="minorEastAsia" w:eastAsiaTheme="minorEastAsia"/>
          <w:b/>
          <w:color w:val="auto"/>
          <w:spacing w:val="20"/>
          <w:kern w:val="0"/>
          <w:sz w:val="32"/>
          <w:szCs w:val="32"/>
          <w:highlight w:val="none"/>
        </w:rPr>
        <w:t>采 购 人：</w:t>
      </w:r>
      <w:r>
        <w:rPr>
          <w:rFonts w:hint="eastAsia" w:asciiTheme="minorEastAsia" w:hAnsiTheme="minorEastAsia" w:eastAsiaTheme="minorEastAsia"/>
          <w:b/>
          <w:color w:val="auto"/>
          <w:kern w:val="0"/>
          <w:sz w:val="32"/>
          <w:szCs w:val="32"/>
          <w:highlight w:val="none"/>
          <w:u w:val="single"/>
        </w:rPr>
        <w:t>宁波工程学院</w:t>
      </w:r>
    </w:p>
    <w:p>
      <w:pPr>
        <w:spacing w:before="240" w:beforeLines="100" w:after="240" w:afterLines="100" w:line="360" w:lineRule="auto"/>
        <w:ind w:left="2016" w:leftChars="100" w:hanging="1806" w:hangingChars="500"/>
        <w:rPr>
          <w:rFonts w:asciiTheme="minorEastAsia" w:hAnsiTheme="minorEastAsia" w:eastAsiaTheme="minorEastAsia"/>
          <w:b/>
          <w:color w:val="auto"/>
          <w:spacing w:val="20"/>
          <w:kern w:val="0"/>
          <w:sz w:val="32"/>
          <w:szCs w:val="32"/>
          <w:highlight w:val="none"/>
        </w:rPr>
      </w:pPr>
      <w:r>
        <w:rPr>
          <w:rFonts w:hint="eastAsia" w:asciiTheme="minorEastAsia" w:hAnsiTheme="minorEastAsia" w:eastAsiaTheme="minorEastAsia"/>
          <w:b/>
          <w:color w:val="auto"/>
          <w:spacing w:val="20"/>
          <w:kern w:val="0"/>
          <w:sz w:val="32"/>
          <w:szCs w:val="32"/>
          <w:highlight w:val="none"/>
        </w:rPr>
        <w:t>采购代理机构：</w:t>
      </w:r>
      <w:r>
        <w:rPr>
          <w:rFonts w:hint="eastAsia" w:asciiTheme="minorEastAsia" w:hAnsiTheme="minorEastAsia" w:eastAsiaTheme="minorEastAsia"/>
          <w:b/>
          <w:color w:val="auto"/>
          <w:spacing w:val="20"/>
          <w:kern w:val="0"/>
          <w:sz w:val="32"/>
          <w:szCs w:val="32"/>
          <w:highlight w:val="none"/>
          <w:u w:val="single"/>
        </w:rPr>
        <w:t>宁波名诚招标代理有限公司</w:t>
      </w:r>
    </w:p>
    <w:p>
      <w:pPr>
        <w:pStyle w:val="372"/>
        <w:ind w:firstLine="480"/>
        <w:rPr>
          <w:rFonts w:asciiTheme="minorEastAsia" w:hAnsiTheme="minorEastAsia" w:eastAsiaTheme="minorEastAsia"/>
          <w:color w:val="auto"/>
          <w:highlight w:val="none"/>
        </w:rPr>
      </w:pPr>
    </w:p>
    <w:p>
      <w:pPr>
        <w:pStyle w:val="25"/>
        <w:spacing w:beforeLines="0" w:afterLines="0" w:line="360" w:lineRule="auto"/>
        <w:ind w:firstLine="480"/>
        <w:rPr>
          <w:rFonts w:asciiTheme="minorEastAsia" w:hAnsiTheme="minorEastAsia" w:eastAsiaTheme="minorEastAsia"/>
          <w:color w:val="auto"/>
          <w:highlight w:val="none"/>
        </w:rPr>
      </w:pPr>
    </w:p>
    <w:p>
      <w:pPr>
        <w:pStyle w:val="25"/>
        <w:spacing w:beforeLines="0" w:afterLines="0" w:line="360" w:lineRule="auto"/>
        <w:ind w:firstLine="560"/>
        <w:jc w:val="center"/>
        <w:rPr>
          <w:rFonts w:asciiTheme="minorEastAsia" w:hAnsiTheme="minorEastAsia" w:eastAsiaTheme="minorEastAsia"/>
          <w:color w:val="auto"/>
          <w:sz w:val="28"/>
          <w:szCs w:val="28"/>
          <w:highlight w:val="none"/>
        </w:rPr>
        <w:sectPr>
          <w:headerReference r:id="rId3" w:type="default"/>
          <w:pgSz w:w="11906" w:h="16838"/>
          <w:pgMar w:top="1440" w:right="1558" w:bottom="1440" w:left="1610" w:header="851" w:footer="851" w:gutter="0"/>
          <w:cols w:space="720" w:num="1"/>
          <w:titlePg/>
          <w:docGrid w:linePitch="312" w:charSpace="0"/>
        </w:sectPr>
      </w:pPr>
    </w:p>
    <w:sdt>
      <w:sdtPr>
        <w:rPr>
          <w:rFonts w:asciiTheme="minorEastAsia" w:hAnsiTheme="minorEastAsia" w:eastAsiaTheme="minorEastAsia"/>
          <w:b w:val="0"/>
          <w:bCs w:val="0"/>
          <w:color w:val="auto"/>
          <w:kern w:val="2"/>
          <w:sz w:val="21"/>
          <w:szCs w:val="24"/>
          <w:highlight w:val="none"/>
          <w:lang w:val="zh-CN"/>
        </w:rPr>
        <w:id w:val="1"/>
        <w:docPartObj>
          <w:docPartGallery w:val="Table of Contents"/>
          <w:docPartUnique/>
        </w:docPartObj>
      </w:sdtPr>
      <w:sdtEndPr>
        <w:rPr>
          <w:rFonts w:asciiTheme="minorEastAsia" w:hAnsiTheme="minorEastAsia" w:eastAsiaTheme="minorEastAsia"/>
          <w:b w:val="0"/>
          <w:bCs w:val="0"/>
          <w:color w:val="auto"/>
          <w:kern w:val="2"/>
          <w:sz w:val="21"/>
          <w:szCs w:val="24"/>
          <w:highlight w:val="none"/>
          <w:lang w:val="zh-CN"/>
        </w:rPr>
      </w:sdtEndPr>
      <w:sdtContent>
        <w:p>
          <w:pPr>
            <w:pStyle w:val="250"/>
            <w:spacing w:before="0" w:after="0"/>
            <w:rPr>
              <w:rFonts w:asciiTheme="minorEastAsia" w:hAnsiTheme="minorEastAsia" w:eastAsiaTheme="minorEastAsia"/>
              <w:color w:val="auto"/>
              <w:highlight w:val="none"/>
            </w:rPr>
          </w:pPr>
          <w:r>
            <w:rPr>
              <w:rFonts w:asciiTheme="minorEastAsia" w:hAnsiTheme="minorEastAsia" w:eastAsiaTheme="minorEastAsia"/>
              <w:color w:val="auto"/>
              <w:highlight w:val="none"/>
              <w:lang w:val="zh-CN"/>
            </w:rPr>
            <w:t>目录</w:t>
          </w:r>
        </w:p>
        <w:p>
          <w:pPr>
            <w:pStyle w:val="31"/>
            <w:tabs>
              <w:tab w:val="right" w:leader="dot" w:pos="8846"/>
            </w:tabs>
            <w:spacing w:line="360" w:lineRule="auto"/>
            <w:rPr>
              <w:rFonts w:ascii="宋体" w:hAnsi="宋体" w:cstheme="minorBidi"/>
              <w:color w:val="auto"/>
              <w:szCs w:val="22"/>
              <w:highlight w:val="none"/>
            </w:rPr>
          </w:pPr>
          <w:r>
            <w:rPr>
              <w:rFonts w:ascii="宋体" w:hAnsi="宋体"/>
              <w:color w:val="auto"/>
              <w:sz w:val="24"/>
              <w:highlight w:val="none"/>
            </w:rPr>
            <w:fldChar w:fldCharType="begin"/>
          </w:r>
          <w:r>
            <w:rPr>
              <w:rFonts w:ascii="宋体" w:hAnsi="宋体"/>
              <w:color w:val="auto"/>
              <w:sz w:val="24"/>
              <w:highlight w:val="none"/>
            </w:rPr>
            <w:instrText xml:space="preserve"> TOC \o "1-3" \h \z \u </w:instrText>
          </w:r>
          <w:r>
            <w:rPr>
              <w:rFonts w:ascii="宋体" w:hAnsi="宋体"/>
              <w:color w:val="auto"/>
              <w:sz w:val="24"/>
              <w:highlight w:val="none"/>
            </w:rPr>
            <w:fldChar w:fldCharType="separate"/>
          </w:r>
          <w:r>
            <w:rPr>
              <w:color w:val="auto"/>
              <w:highlight w:val="none"/>
            </w:rPr>
            <w:fldChar w:fldCharType="begin"/>
          </w:r>
          <w:r>
            <w:rPr>
              <w:color w:val="auto"/>
              <w:highlight w:val="none"/>
            </w:rPr>
            <w:instrText xml:space="preserve"> HYPERLINK \l "_Toc118452524" </w:instrText>
          </w:r>
          <w:r>
            <w:rPr>
              <w:color w:val="auto"/>
              <w:highlight w:val="none"/>
            </w:rPr>
            <w:fldChar w:fldCharType="separate"/>
          </w:r>
          <w:r>
            <w:rPr>
              <w:rStyle w:val="51"/>
              <w:rFonts w:ascii="宋体" w:hAnsi="宋体"/>
              <w:color w:val="auto"/>
              <w:highlight w:val="none"/>
            </w:rPr>
            <w:t>第一章  投标邀请</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_Toc118452524 \h </w:instrText>
          </w:r>
          <w:r>
            <w:rPr>
              <w:rFonts w:ascii="宋体" w:hAnsi="宋体"/>
              <w:color w:val="auto"/>
              <w:highlight w:val="none"/>
            </w:rPr>
            <w:fldChar w:fldCharType="separate"/>
          </w:r>
          <w:r>
            <w:rPr>
              <w:rFonts w:ascii="宋体" w:hAnsi="宋体"/>
              <w:color w:val="auto"/>
              <w:highlight w:val="none"/>
            </w:rPr>
            <w:t>2</w:t>
          </w:r>
          <w:r>
            <w:rPr>
              <w:rFonts w:ascii="宋体" w:hAnsi="宋体"/>
              <w:color w:val="auto"/>
              <w:highlight w:val="none"/>
            </w:rPr>
            <w:fldChar w:fldCharType="end"/>
          </w:r>
          <w:r>
            <w:rPr>
              <w:rFonts w:ascii="宋体" w:hAnsi="宋体"/>
              <w:color w:val="auto"/>
              <w:highlight w:val="none"/>
            </w:rPr>
            <w:fldChar w:fldCharType="end"/>
          </w:r>
        </w:p>
        <w:p>
          <w:pPr>
            <w:pStyle w:val="31"/>
            <w:tabs>
              <w:tab w:val="right" w:leader="dot" w:pos="8846"/>
            </w:tabs>
            <w:spacing w:line="360" w:lineRule="auto"/>
            <w:rPr>
              <w:rFonts w:ascii="宋体" w:hAnsi="宋体" w:cstheme="minorBidi"/>
              <w:color w:val="auto"/>
              <w:szCs w:val="22"/>
              <w:highlight w:val="none"/>
            </w:rPr>
          </w:pPr>
          <w:r>
            <w:rPr>
              <w:color w:val="auto"/>
              <w:highlight w:val="none"/>
            </w:rPr>
            <w:fldChar w:fldCharType="begin"/>
          </w:r>
          <w:r>
            <w:rPr>
              <w:color w:val="auto"/>
              <w:highlight w:val="none"/>
            </w:rPr>
            <w:instrText xml:space="preserve"> HYPERLINK \l "_Toc118452525" </w:instrText>
          </w:r>
          <w:r>
            <w:rPr>
              <w:color w:val="auto"/>
              <w:highlight w:val="none"/>
            </w:rPr>
            <w:fldChar w:fldCharType="separate"/>
          </w:r>
          <w:r>
            <w:rPr>
              <w:rStyle w:val="51"/>
              <w:rFonts w:ascii="宋体" w:hAnsi="宋体"/>
              <w:color w:val="auto"/>
              <w:highlight w:val="none"/>
            </w:rPr>
            <w:t>第二章  采购需求</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_Toc118452525 \h </w:instrText>
          </w:r>
          <w:r>
            <w:rPr>
              <w:rFonts w:ascii="宋体" w:hAnsi="宋体"/>
              <w:color w:val="auto"/>
              <w:highlight w:val="none"/>
            </w:rPr>
            <w:fldChar w:fldCharType="separate"/>
          </w:r>
          <w:r>
            <w:rPr>
              <w:rFonts w:ascii="宋体" w:hAnsi="宋体"/>
              <w:color w:val="auto"/>
              <w:highlight w:val="none"/>
            </w:rPr>
            <w:t>6</w:t>
          </w:r>
          <w:r>
            <w:rPr>
              <w:rFonts w:ascii="宋体" w:hAnsi="宋体"/>
              <w:color w:val="auto"/>
              <w:highlight w:val="none"/>
            </w:rPr>
            <w:fldChar w:fldCharType="end"/>
          </w:r>
          <w:r>
            <w:rPr>
              <w:rFonts w:ascii="宋体" w:hAnsi="宋体"/>
              <w:color w:val="auto"/>
              <w:highlight w:val="none"/>
            </w:rPr>
            <w:fldChar w:fldCharType="end"/>
          </w:r>
        </w:p>
        <w:p>
          <w:pPr>
            <w:pStyle w:val="31"/>
            <w:tabs>
              <w:tab w:val="right" w:leader="dot" w:pos="8846"/>
            </w:tabs>
            <w:spacing w:line="360" w:lineRule="auto"/>
            <w:rPr>
              <w:rFonts w:ascii="宋体" w:hAnsi="宋体" w:cstheme="minorBidi"/>
              <w:color w:val="auto"/>
              <w:szCs w:val="22"/>
              <w:highlight w:val="none"/>
            </w:rPr>
          </w:pPr>
          <w:r>
            <w:rPr>
              <w:color w:val="auto"/>
              <w:highlight w:val="none"/>
            </w:rPr>
            <w:fldChar w:fldCharType="begin"/>
          </w:r>
          <w:r>
            <w:rPr>
              <w:color w:val="auto"/>
              <w:highlight w:val="none"/>
            </w:rPr>
            <w:instrText xml:space="preserve"> HYPERLINK \l "_Toc118452526" </w:instrText>
          </w:r>
          <w:r>
            <w:rPr>
              <w:color w:val="auto"/>
              <w:highlight w:val="none"/>
            </w:rPr>
            <w:fldChar w:fldCharType="separate"/>
          </w:r>
          <w:r>
            <w:rPr>
              <w:rStyle w:val="51"/>
              <w:rFonts w:ascii="宋体" w:hAnsi="宋体"/>
              <w:color w:val="auto"/>
              <w:highlight w:val="none"/>
            </w:rPr>
            <w:t>第三章  投标人须知</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_Toc118452526 \h </w:instrText>
          </w:r>
          <w:r>
            <w:rPr>
              <w:rFonts w:ascii="宋体" w:hAnsi="宋体"/>
              <w:color w:val="auto"/>
              <w:highlight w:val="none"/>
            </w:rPr>
            <w:fldChar w:fldCharType="separate"/>
          </w:r>
          <w:r>
            <w:rPr>
              <w:rFonts w:ascii="宋体" w:hAnsi="宋体"/>
              <w:color w:val="auto"/>
              <w:highlight w:val="none"/>
            </w:rPr>
            <w:t>37</w:t>
          </w:r>
          <w:r>
            <w:rPr>
              <w:rFonts w:ascii="宋体" w:hAnsi="宋体"/>
              <w:color w:val="auto"/>
              <w:highlight w:val="none"/>
            </w:rPr>
            <w:fldChar w:fldCharType="end"/>
          </w:r>
          <w:r>
            <w:rPr>
              <w:rFonts w:ascii="宋体" w:hAnsi="宋体"/>
              <w:color w:val="auto"/>
              <w:highlight w:val="none"/>
            </w:rPr>
            <w:fldChar w:fldCharType="end"/>
          </w:r>
        </w:p>
        <w:p>
          <w:pPr>
            <w:pStyle w:val="36"/>
            <w:tabs>
              <w:tab w:val="right" w:leader="dot" w:pos="8846"/>
            </w:tabs>
            <w:spacing w:line="360" w:lineRule="auto"/>
            <w:rPr>
              <w:rFonts w:ascii="宋体" w:hAnsi="宋体" w:cstheme="minorBidi"/>
              <w:color w:val="auto"/>
              <w:szCs w:val="22"/>
              <w:highlight w:val="none"/>
            </w:rPr>
          </w:pPr>
          <w:r>
            <w:rPr>
              <w:color w:val="auto"/>
              <w:highlight w:val="none"/>
            </w:rPr>
            <w:fldChar w:fldCharType="begin"/>
          </w:r>
          <w:r>
            <w:rPr>
              <w:color w:val="auto"/>
              <w:highlight w:val="none"/>
            </w:rPr>
            <w:instrText xml:space="preserve"> HYPERLINK \l "_Toc118452527" </w:instrText>
          </w:r>
          <w:r>
            <w:rPr>
              <w:color w:val="auto"/>
              <w:highlight w:val="none"/>
            </w:rPr>
            <w:fldChar w:fldCharType="separate"/>
          </w:r>
          <w:r>
            <w:rPr>
              <w:rStyle w:val="51"/>
              <w:rFonts w:ascii="宋体" w:hAnsi="宋体"/>
              <w:color w:val="auto"/>
              <w:highlight w:val="none"/>
            </w:rPr>
            <w:t>一、总则</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_Toc118452527 \h </w:instrText>
          </w:r>
          <w:r>
            <w:rPr>
              <w:rFonts w:ascii="宋体" w:hAnsi="宋体"/>
              <w:color w:val="auto"/>
              <w:highlight w:val="none"/>
            </w:rPr>
            <w:fldChar w:fldCharType="separate"/>
          </w:r>
          <w:r>
            <w:rPr>
              <w:rFonts w:ascii="宋体" w:hAnsi="宋体"/>
              <w:color w:val="auto"/>
              <w:highlight w:val="none"/>
            </w:rPr>
            <w:t>39</w:t>
          </w:r>
          <w:r>
            <w:rPr>
              <w:rFonts w:ascii="宋体" w:hAnsi="宋体"/>
              <w:color w:val="auto"/>
              <w:highlight w:val="none"/>
            </w:rPr>
            <w:fldChar w:fldCharType="end"/>
          </w:r>
          <w:r>
            <w:rPr>
              <w:rFonts w:ascii="宋体" w:hAnsi="宋体"/>
              <w:color w:val="auto"/>
              <w:highlight w:val="none"/>
            </w:rPr>
            <w:fldChar w:fldCharType="end"/>
          </w:r>
        </w:p>
        <w:p>
          <w:pPr>
            <w:pStyle w:val="36"/>
            <w:tabs>
              <w:tab w:val="right" w:leader="dot" w:pos="8846"/>
            </w:tabs>
            <w:spacing w:line="360" w:lineRule="auto"/>
            <w:rPr>
              <w:rFonts w:ascii="宋体" w:hAnsi="宋体" w:cstheme="minorBidi"/>
              <w:color w:val="auto"/>
              <w:szCs w:val="22"/>
              <w:highlight w:val="none"/>
            </w:rPr>
          </w:pPr>
          <w:r>
            <w:rPr>
              <w:color w:val="auto"/>
              <w:highlight w:val="none"/>
            </w:rPr>
            <w:fldChar w:fldCharType="begin"/>
          </w:r>
          <w:r>
            <w:rPr>
              <w:color w:val="auto"/>
              <w:highlight w:val="none"/>
            </w:rPr>
            <w:instrText xml:space="preserve"> HYPERLINK \l "_Toc118452528" </w:instrText>
          </w:r>
          <w:r>
            <w:rPr>
              <w:color w:val="auto"/>
              <w:highlight w:val="none"/>
            </w:rPr>
            <w:fldChar w:fldCharType="separate"/>
          </w:r>
          <w:r>
            <w:rPr>
              <w:rStyle w:val="51"/>
              <w:rFonts w:ascii="宋体" w:hAnsi="宋体"/>
              <w:color w:val="auto"/>
              <w:highlight w:val="none"/>
            </w:rPr>
            <w:t>二、招标文件</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_Toc118452528 \h </w:instrText>
          </w:r>
          <w:r>
            <w:rPr>
              <w:rFonts w:ascii="宋体" w:hAnsi="宋体"/>
              <w:color w:val="auto"/>
              <w:highlight w:val="none"/>
            </w:rPr>
            <w:fldChar w:fldCharType="separate"/>
          </w:r>
          <w:r>
            <w:rPr>
              <w:rFonts w:ascii="宋体" w:hAnsi="宋体"/>
              <w:color w:val="auto"/>
              <w:highlight w:val="none"/>
            </w:rPr>
            <w:t>42</w:t>
          </w:r>
          <w:r>
            <w:rPr>
              <w:rFonts w:ascii="宋体" w:hAnsi="宋体"/>
              <w:color w:val="auto"/>
              <w:highlight w:val="none"/>
            </w:rPr>
            <w:fldChar w:fldCharType="end"/>
          </w:r>
          <w:r>
            <w:rPr>
              <w:rFonts w:ascii="宋体" w:hAnsi="宋体"/>
              <w:color w:val="auto"/>
              <w:highlight w:val="none"/>
            </w:rPr>
            <w:fldChar w:fldCharType="end"/>
          </w:r>
        </w:p>
        <w:p>
          <w:pPr>
            <w:pStyle w:val="36"/>
            <w:tabs>
              <w:tab w:val="right" w:leader="dot" w:pos="8846"/>
            </w:tabs>
            <w:spacing w:line="360" w:lineRule="auto"/>
            <w:rPr>
              <w:rFonts w:ascii="宋体" w:hAnsi="宋体" w:cstheme="minorBidi"/>
              <w:color w:val="auto"/>
              <w:szCs w:val="22"/>
              <w:highlight w:val="none"/>
            </w:rPr>
          </w:pPr>
          <w:r>
            <w:rPr>
              <w:color w:val="auto"/>
              <w:highlight w:val="none"/>
            </w:rPr>
            <w:fldChar w:fldCharType="begin"/>
          </w:r>
          <w:r>
            <w:rPr>
              <w:color w:val="auto"/>
              <w:highlight w:val="none"/>
            </w:rPr>
            <w:instrText xml:space="preserve"> HYPERLINK \l "_Toc118452529" </w:instrText>
          </w:r>
          <w:r>
            <w:rPr>
              <w:color w:val="auto"/>
              <w:highlight w:val="none"/>
            </w:rPr>
            <w:fldChar w:fldCharType="separate"/>
          </w:r>
          <w:r>
            <w:rPr>
              <w:rStyle w:val="51"/>
              <w:rFonts w:ascii="宋体" w:hAnsi="宋体"/>
              <w:color w:val="auto"/>
              <w:highlight w:val="none"/>
            </w:rPr>
            <w:t>三、投标文件的编制</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_Toc118452529 \h </w:instrText>
          </w:r>
          <w:r>
            <w:rPr>
              <w:rFonts w:ascii="宋体" w:hAnsi="宋体"/>
              <w:color w:val="auto"/>
              <w:highlight w:val="none"/>
            </w:rPr>
            <w:fldChar w:fldCharType="separate"/>
          </w:r>
          <w:r>
            <w:rPr>
              <w:rFonts w:ascii="宋体" w:hAnsi="宋体"/>
              <w:color w:val="auto"/>
              <w:highlight w:val="none"/>
            </w:rPr>
            <w:t>43</w:t>
          </w:r>
          <w:r>
            <w:rPr>
              <w:rFonts w:ascii="宋体" w:hAnsi="宋体"/>
              <w:color w:val="auto"/>
              <w:highlight w:val="none"/>
            </w:rPr>
            <w:fldChar w:fldCharType="end"/>
          </w:r>
          <w:r>
            <w:rPr>
              <w:rFonts w:ascii="宋体" w:hAnsi="宋体"/>
              <w:color w:val="auto"/>
              <w:highlight w:val="none"/>
            </w:rPr>
            <w:fldChar w:fldCharType="end"/>
          </w:r>
        </w:p>
        <w:p>
          <w:pPr>
            <w:pStyle w:val="36"/>
            <w:tabs>
              <w:tab w:val="right" w:leader="dot" w:pos="8846"/>
            </w:tabs>
            <w:spacing w:line="360" w:lineRule="auto"/>
            <w:rPr>
              <w:rFonts w:ascii="宋体" w:hAnsi="宋体" w:cstheme="minorBidi"/>
              <w:color w:val="auto"/>
              <w:szCs w:val="22"/>
              <w:highlight w:val="none"/>
            </w:rPr>
          </w:pPr>
          <w:r>
            <w:rPr>
              <w:color w:val="auto"/>
              <w:highlight w:val="none"/>
            </w:rPr>
            <w:fldChar w:fldCharType="begin"/>
          </w:r>
          <w:r>
            <w:rPr>
              <w:color w:val="auto"/>
              <w:highlight w:val="none"/>
            </w:rPr>
            <w:instrText xml:space="preserve"> HYPERLINK \l "_Toc118452530" </w:instrText>
          </w:r>
          <w:r>
            <w:rPr>
              <w:color w:val="auto"/>
              <w:highlight w:val="none"/>
            </w:rPr>
            <w:fldChar w:fldCharType="separate"/>
          </w:r>
          <w:r>
            <w:rPr>
              <w:rStyle w:val="51"/>
              <w:rFonts w:ascii="宋体" w:hAnsi="宋体"/>
              <w:color w:val="auto"/>
              <w:highlight w:val="none"/>
            </w:rPr>
            <w:t>四、投标文件的提交</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_Toc118452530 \h </w:instrText>
          </w:r>
          <w:r>
            <w:rPr>
              <w:rFonts w:ascii="宋体" w:hAnsi="宋体"/>
              <w:color w:val="auto"/>
              <w:highlight w:val="none"/>
            </w:rPr>
            <w:fldChar w:fldCharType="separate"/>
          </w:r>
          <w:r>
            <w:rPr>
              <w:rFonts w:ascii="宋体" w:hAnsi="宋体"/>
              <w:color w:val="auto"/>
              <w:highlight w:val="none"/>
            </w:rPr>
            <w:t>45</w:t>
          </w:r>
          <w:r>
            <w:rPr>
              <w:rFonts w:ascii="宋体" w:hAnsi="宋体"/>
              <w:color w:val="auto"/>
              <w:highlight w:val="none"/>
            </w:rPr>
            <w:fldChar w:fldCharType="end"/>
          </w:r>
          <w:r>
            <w:rPr>
              <w:rFonts w:ascii="宋体" w:hAnsi="宋体"/>
              <w:color w:val="auto"/>
              <w:highlight w:val="none"/>
            </w:rPr>
            <w:fldChar w:fldCharType="end"/>
          </w:r>
        </w:p>
        <w:p>
          <w:pPr>
            <w:pStyle w:val="36"/>
            <w:tabs>
              <w:tab w:val="right" w:leader="dot" w:pos="8846"/>
            </w:tabs>
            <w:spacing w:line="360" w:lineRule="auto"/>
            <w:rPr>
              <w:rFonts w:ascii="宋体" w:hAnsi="宋体" w:cstheme="minorBidi"/>
              <w:color w:val="auto"/>
              <w:szCs w:val="22"/>
              <w:highlight w:val="none"/>
            </w:rPr>
          </w:pPr>
          <w:r>
            <w:rPr>
              <w:color w:val="auto"/>
              <w:highlight w:val="none"/>
            </w:rPr>
            <w:fldChar w:fldCharType="begin"/>
          </w:r>
          <w:r>
            <w:rPr>
              <w:color w:val="auto"/>
              <w:highlight w:val="none"/>
            </w:rPr>
            <w:instrText xml:space="preserve"> HYPERLINK \l "_Toc118452531" </w:instrText>
          </w:r>
          <w:r>
            <w:rPr>
              <w:color w:val="auto"/>
              <w:highlight w:val="none"/>
            </w:rPr>
            <w:fldChar w:fldCharType="separate"/>
          </w:r>
          <w:r>
            <w:rPr>
              <w:rStyle w:val="51"/>
              <w:rFonts w:ascii="宋体" w:hAnsi="宋体"/>
              <w:color w:val="auto"/>
              <w:highlight w:val="none"/>
            </w:rPr>
            <w:t>五、开标与评标</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_Toc118452531 \h </w:instrText>
          </w:r>
          <w:r>
            <w:rPr>
              <w:rFonts w:ascii="宋体" w:hAnsi="宋体"/>
              <w:color w:val="auto"/>
              <w:highlight w:val="none"/>
            </w:rPr>
            <w:fldChar w:fldCharType="separate"/>
          </w:r>
          <w:r>
            <w:rPr>
              <w:rFonts w:ascii="宋体" w:hAnsi="宋体"/>
              <w:color w:val="auto"/>
              <w:highlight w:val="none"/>
            </w:rPr>
            <w:t>45</w:t>
          </w:r>
          <w:r>
            <w:rPr>
              <w:rFonts w:ascii="宋体" w:hAnsi="宋体"/>
              <w:color w:val="auto"/>
              <w:highlight w:val="none"/>
            </w:rPr>
            <w:fldChar w:fldCharType="end"/>
          </w:r>
          <w:r>
            <w:rPr>
              <w:rFonts w:ascii="宋体" w:hAnsi="宋体"/>
              <w:color w:val="auto"/>
              <w:highlight w:val="none"/>
            </w:rPr>
            <w:fldChar w:fldCharType="end"/>
          </w:r>
        </w:p>
        <w:p>
          <w:pPr>
            <w:pStyle w:val="36"/>
            <w:tabs>
              <w:tab w:val="right" w:leader="dot" w:pos="8846"/>
            </w:tabs>
            <w:spacing w:line="360" w:lineRule="auto"/>
            <w:rPr>
              <w:rFonts w:ascii="宋体" w:hAnsi="宋体" w:cstheme="minorBidi"/>
              <w:color w:val="auto"/>
              <w:szCs w:val="22"/>
              <w:highlight w:val="none"/>
            </w:rPr>
          </w:pPr>
          <w:r>
            <w:rPr>
              <w:color w:val="auto"/>
              <w:highlight w:val="none"/>
            </w:rPr>
            <w:fldChar w:fldCharType="begin"/>
          </w:r>
          <w:r>
            <w:rPr>
              <w:color w:val="auto"/>
              <w:highlight w:val="none"/>
            </w:rPr>
            <w:instrText xml:space="preserve"> HYPERLINK \l "_Toc118452532" </w:instrText>
          </w:r>
          <w:r>
            <w:rPr>
              <w:color w:val="auto"/>
              <w:highlight w:val="none"/>
            </w:rPr>
            <w:fldChar w:fldCharType="separate"/>
          </w:r>
          <w:r>
            <w:rPr>
              <w:rStyle w:val="51"/>
              <w:rFonts w:ascii="宋体" w:hAnsi="宋体"/>
              <w:color w:val="auto"/>
              <w:highlight w:val="none"/>
            </w:rPr>
            <w:t>六、授予合同</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_Toc118452532 \h </w:instrText>
          </w:r>
          <w:r>
            <w:rPr>
              <w:rFonts w:ascii="宋体" w:hAnsi="宋体"/>
              <w:color w:val="auto"/>
              <w:highlight w:val="none"/>
            </w:rPr>
            <w:fldChar w:fldCharType="separate"/>
          </w:r>
          <w:r>
            <w:rPr>
              <w:rFonts w:ascii="宋体" w:hAnsi="宋体"/>
              <w:color w:val="auto"/>
              <w:highlight w:val="none"/>
            </w:rPr>
            <w:t>48</w:t>
          </w:r>
          <w:r>
            <w:rPr>
              <w:rFonts w:ascii="宋体" w:hAnsi="宋体"/>
              <w:color w:val="auto"/>
              <w:highlight w:val="none"/>
            </w:rPr>
            <w:fldChar w:fldCharType="end"/>
          </w:r>
          <w:r>
            <w:rPr>
              <w:rFonts w:ascii="宋体" w:hAnsi="宋体"/>
              <w:color w:val="auto"/>
              <w:highlight w:val="none"/>
            </w:rPr>
            <w:fldChar w:fldCharType="end"/>
          </w:r>
        </w:p>
        <w:p>
          <w:pPr>
            <w:pStyle w:val="31"/>
            <w:tabs>
              <w:tab w:val="right" w:leader="dot" w:pos="8846"/>
            </w:tabs>
            <w:spacing w:line="360" w:lineRule="auto"/>
            <w:rPr>
              <w:rFonts w:ascii="宋体" w:hAnsi="宋体" w:cstheme="minorBidi"/>
              <w:color w:val="auto"/>
              <w:szCs w:val="22"/>
              <w:highlight w:val="none"/>
            </w:rPr>
          </w:pPr>
          <w:r>
            <w:rPr>
              <w:color w:val="auto"/>
              <w:highlight w:val="none"/>
            </w:rPr>
            <w:fldChar w:fldCharType="begin"/>
          </w:r>
          <w:r>
            <w:rPr>
              <w:color w:val="auto"/>
              <w:highlight w:val="none"/>
            </w:rPr>
            <w:instrText xml:space="preserve"> HYPERLINK \l "_Toc118452533" </w:instrText>
          </w:r>
          <w:r>
            <w:rPr>
              <w:color w:val="auto"/>
              <w:highlight w:val="none"/>
            </w:rPr>
            <w:fldChar w:fldCharType="separate"/>
          </w:r>
          <w:r>
            <w:rPr>
              <w:rStyle w:val="51"/>
              <w:rFonts w:ascii="宋体" w:hAnsi="宋体"/>
              <w:color w:val="auto"/>
              <w:highlight w:val="none"/>
            </w:rPr>
            <w:t>第四章  评标方法和标准</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_Toc118452533 \h </w:instrText>
          </w:r>
          <w:r>
            <w:rPr>
              <w:rFonts w:ascii="宋体" w:hAnsi="宋体"/>
              <w:color w:val="auto"/>
              <w:highlight w:val="none"/>
            </w:rPr>
            <w:fldChar w:fldCharType="separate"/>
          </w:r>
          <w:r>
            <w:rPr>
              <w:rFonts w:ascii="宋体" w:hAnsi="宋体"/>
              <w:color w:val="auto"/>
              <w:highlight w:val="none"/>
            </w:rPr>
            <w:t>49</w:t>
          </w:r>
          <w:r>
            <w:rPr>
              <w:rFonts w:ascii="宋体" w:hAnsi="宋体"/>
              <w:color w:val="auto"/>
              <w:highlight w:val="none"/>
            </w:rPr>
            <w:fldChar w:fldCharType="end"/>
          </w:r>
          <w:r>
            <w:rPr>
              <w:rFonts w:ascii="宋体" w:hAnsi="宋体"/>
              <w:color w:val="auto"/>
              <w:highlight w:val="none"/>
            </w:rPr>
            <w:fldChar w:fldCharType="end"/>
          </w:r>
        </w:p>
        <w:p>
          <w:pPr>
            <w:pStyle w:val="36"/>
            <w:tabs>
              <w:tab w:val="right" w:leader="dot" w:pos="8846"/>
            </w:tabs>
            <w:spacing w:line="360" w:lineRule="auto"/>
            <w:rPr>
              <w:rFonts w:ascii="宋体" w:hAnsi="宋体" w:cstheme="minorBidi"/>
              <w:color w:val="auto"/>
              <w:szCs w:val="22"/>
              <w:highlight w:val="none"/>
            </w:rPr>
          </w:pPr>
          <w:r>
            <w:rPr>
              <w:color w:val="auto"/>
              <w:highlight w:val="none"/>
            </w:rPr>
            <w:fldChar w:fldCharType="begin"/>
          </w:r>
          <w:r>
            <w:rPr>
              <w:color w:val="auto"/>
              <w:highlight w:val="none"/>
            </w:rPr>
            <w:instrText xml:space="preserve"> HYPERLINK \l "_Toc118452534" </w:instrText>
          </w:r>
          <w:r>
            <w:rPr>
              <w:color w:val="auto"/>
              <w:highlight w:val="none"/>
            </w:rPr>
            <w:fldChar w:fldCharType="separate"/>
          </w:r>
          <w:r>
            <w:rPr>
              <w:rStyle w:val="51"/>
              <w:rFonts w:ascii="宋体" w:hAnsi="宋体"/>
              <w:color w:val="auto"/>
              <w:highlight w:val="none"/>
            </w:rPr>
            <w:t>一、总则</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_Toc118452534 \h </w:instrText>
          </w:r>
          <w:r>
            <w:rPr>
              <w:rFonts w:ascii="宋体" w:hAnsi="宋体"/>
              <w:color w:val="auto"/>
              <w:highlight w:val="none"/>
            </w:rPr>
            <w:fldChar w:fldCharType="separate"/>
          </w:r>
          <w:r>
            <w:rPr>
              <w:rFonts w:ascii="宋体" w:hAnsi="宋体"/>
              <w:color w:val="auto"/>
              <w:highlight w:val="none"/>
            </w:rPr>
            <w:t>49</w:t>
          </w:r>
          <w:r>
            <w:rPr>
              <w:rFonts w:ascii="宋体" w:hAnsi="宋体"/>
              <w:color w:val="auto"/>
              <w:highlight w:val="none"/>
            </w:rPr>
            <w:fldChar w:fldCharType="end"/>
          </w:r>
          <w:r>
            <w:rPr>
              <w:rFonts w:ascii="宋体" w:hAnsi="宋体"/>
              <w:color w:val="auto"/>
              <w:highlight w:val="none"/>
            </w:rPr>
            <w:fldChar w:fldCharType="end"/>
          </w:r>
        </w:p>
        <w:p>
          <w:pPr>
            <w:pStyle w:val="36"/>
            <w:tabs>
              <w:tab w:val="right" w:leader="dot" w:pos="8846"/>
            </w:tabs>
            <w:spacing w:line="360" w:lineRule="auto"/>
            <w:rPr>
              <w:rFonts w:ascii="宋体" w:hAnsi="宋体" w:cstheme="minorBidi"/>
              <w:color w:val="auto"/>
              <w:szCs w:val="22"/>
              <w:highlight w:val="none"/>
            </w:rPr>
          </w:pPr>
          <w:r>
            <w:rPr>
              <w:color w:val="auto"/>
              <w:highlight w:val="none"/>
            </w:rPr>
            <w:fldChar w:fldCharType="begin"/>
          </w:r>
          <w:r>
            <w:rPr>
              <w:color w:val="auto"/>
              <w:highlight w:val="none"/>
            </w:rPr>
            <w:instrText xml:space="preserve"> HYPERLINK \l "_Toc118452535" </w:instrText>
          </w:r>
          <w:r>
            <w:rPr>
              <w:color w:val="auto"/>
              <w:highlight w:val="none"/>
            </w:rPr>
            <w:fldChar w:fldCharType="separate"/>
          </w:r>
          <w:r>
            <w:rPr>
              <w:rStyle w:val="51"/>
              <w:rFonts w:ascii="宋体" w:hAnsi="宋体"/>
              <w:color w:val="auto"/>
              <w:highlight w:val="none"/>
            </w:rPr>
            <w:t>二、评标方法</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_Toc118452535 \h </w:instrText>
          </w:r>
          <w:r>
            <w:rPr>
              <w:rFonts w:ascii="宋体" w:hAnsi="宋体"/>
              <w:color w:val="auto"/>
              <w:highlight w:val="none"/>
            </w:rPr>
            <w:fldChar w:fldCharType="separate"/>
          </w:r>
          <w:r>
            <w:rPr>
              <w:rFonts w:ascii="宋体" w:hAnsi="宋体"/>
              <w:color w:val="auto"/>
              <w:highlight w:val="none"/>
            </w:rPr>
            <w:t>49</w:t>
          </w:r>
          <w:r>
            <w:rPr>
              <w:rFonts w:ascii="宋体" w:hAnsi="宋体"/>
              <w:color w:val="auto"/>
              <w:highlight w:val="none"/>
            </w:rPr>
            <w:fldChar w:fldCharType="end"/>
          </w:r>
          <w:r>
            <w:rPr>
              <w:rFonts w:ascii="宋体" w:hAnsi="宋体"/>
              <w:color w:val="auto"/>
              <w:highlight w:val="none"/>
            </w:rPr>
            <w:fldChar w:fldCharType="end"/>
          </w:r>
        </w:p>
        <w:p>
          <w:pPr>
            <w:pStyle w:val="36"/>
            <w:tabs>
              <w:tab w:val="right" w:leader="dot" w:pos="8846"/>
            </w:tabs>
            <w:spacing w:line="360" w:lineRule="auto"/>
            <w:rPr>
              <w:rFonts w:ascii="宋体" w:hAnsi="宋体" w:cstheme="minorBidi"/>
              <w:color w:val="auto"/>
              <w:szCs w:val="22"/>
              <w:highlight w:val="none"/>
            </w:rPr>
          </w:pPr>
          <w:r>
            <w:rPr>
              <w:color w:val="auto"/>
              <w:highlight w:val="none"/>
            </w:rPr>
            <w:fldChar w:fldCharType="begin"/>
          </w:r>
          <w:r>
            <w:rPr>
              <w:color w:val="auto"/>
              <w:highlight w:val="none"/>
            </w:rPr>
            <w:instrText xml:space="preserve"> HYPERLINK \l "_Toc118452536" </w:instrText>
          </w:r>
          <w:r>
            <w:rPr>
              <w:color w:val="auto"/>
              <w:highlight w:val="none"/>
            </w:rPr>
            <w:fldChar w:fldCharType="separate"/>
          </w:r>
          <w:r>
            <w:rPr>
              <w:rStyle w:val="51"/>
              <w:rFonts w:ascii="宋体" w:hAnsi="宋体"/>
              <w:color w:val="auto"/>
              <w:highlight w:val="none"/>
            </w:rPr>
            <w:t>三、评审程序</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_Toc118452536 \h </w:instrText>
          </w:r>
          <w:r>
            <w:rPr>
              <w:rFonts w:ascii="宋体" w:hAnsi="宋体"/>
              <w:color w:val="auto"/>
              <w:highlight w:val="none"/>
            </w:rPr>
            <w:fldChar w:fldCharType="separate"/>
          </w:r>
          <w:r>
            <w:rPr>
              <w:rFonts w:ascii="宋体" w:hAnsi="宋体"/>
              <w:color w:val="auto"/>
              <w:highlight w:val="none"/>
            </w:rPr>
            <w:t>49</w:t>
          </w:r>
          <w:r>
            <w:rPr>
              <w:rFonts w:ascii="宋体" w:hAnsi="宋体"/>
              <w:color w:val="auto"/>
              <w:highlight w:val="none"/>
            </w:rPr>
            <w:fldChar w:fldCharType="end"/>
          </w:r>
          <w:r>
            <w:rPr>
              <w:rFonts w:ascii="宋体" w:hAnsi="宋体"/>
              <w:color w:val="auto"/>
              <w:highlight w:val="none"/>
            </w:rPr>
            <w:fldChar w:fldCharType="end"/>
          </w:r>
        </w:p>
        <w:p>
          <w:pPr>
            <w:pStyle w:val="31"/>
            <w:tabs>
              <w:tab w:val="right" w:leader="dot" w:pos="8846"/>
            </w:tabs>
            <w:spacing w:line="360" w:lineRule="auto"/>
            <w:rPr>
              <w:rFonts w:ascii="宋体" w:hAnsi="宋体" w:cstheme="minorBidi"/>
              <w:color w:val="auto"/>
              <w:szCs w:val="22"/>
              <w:highlight w:val="none"/>
            </w:rPr>
          </w:pPr>
          <w:r>
            <w:rPr>
              <w:color w:val="auto"/>
              <w:highlight w:val="none"/>
            </w:rPr>
            <w:fldChar w:fldCharType="begin"/>
          </w:r>
          <w:r>
            <w:rPr>
              <w:color w:val="auto"/>
              <w:highlight w:val="none"/>
            </w:rPr>
            <w:instrText xml:space="preserve"> HYPERLINK \l "_Toc118452537" </w:instrText>
          </w:r>
          <w:r>
            <w:rPr>
              <w:color w:val="auto"/>
              <w:highlight w:val="none"/>
            </w:rPr>
            <w:fldChar w:fldCharType="separate"/>
          </w:r>
          <w:r>
            <w:rPr>
              <w:rStyle w:val="51"/>
              <w:rFonts w:ascii="宋体" w:hAnsi="宋体"/>
              <w:color w:val="auto"/>
              <w:highlight w:val="none"/>
            </w:rPr>
            <w:t>第五章  合同文本</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_Toc118452537 \h </w:instrText>
          </w:r>
          <w:r>
            <w:rPr>
              <w:rFonts w:ascii="宋体" w:hAnsi="宋体"/>
              <w:color w:val="auto"/>
              <w:highlight w:val="none"/>
            </w:rPr>
            <w:fldChar w:fldCharType="separate"/>
          </w:r>
          <w:r>
            <w:rPr>
              <w:rFonts w:ascii="宋体" w:hAnsi="宋体"/>
              <w:color w:val="auto"/>
              <w:highlight w:val="none"/>
            </w:rPr>
            <w:t>53</w:t>
          </w:r>
          <w:r>
            <w:rPr>
              <w:rFonts w:ascii="宋体" w:hAnsi="宋体"/>
              <w:color w:val="auto"/>
              <w:highlight w:val="none"/>
            </w:rPr>
            <w:fldChar w:fldCharType="end"/>
          </w:r>
          <w:r>
            <w:rPr>
              <w:rFonts w:ascii="宋体" w:hAnsi="宋体"/>
              <w:color w:val="auto"/>
              <w:highlight w:val="none"/>
            </w:rPr>
            <w:fldChar w:fldCharType="end"/>
          </w:r>
        </w:p>
        <w:p>
          <w:pPr>
            <w:pStyle w:val="31"/>
            <w:tabs>
              <w:tab w:val="right" w:leader="dot" w:pos="8846"/>
            </w:tabs>
            <w:spacing w:line="360" w:lineRule="auto"/>
            <w:rPr>
              <w:rFonts w:ascii="宋体" w:hAnsi="宋体" w:cstheme="minorBidi"/>
              <w:color w:val="auto"/>
              <w:szCs w:val="22"/>
              <w:highlight w:val="none"/>
            </w:rPr>
          </w:pPr>
          <w:r>
            <w:rPr>
              <w:color w:val="auto"/>
              <w:highlight w:val="none"/>
            </w:rPr>
            <w:fldChar w:fldCharType="begin"/>
          </w:r>
          <w:r>
            <w:rPr>
              <w:color w:val="auto"/>
              <w:highlight w:val="none"/>
            </w:rPr>
            <w:instrText xml:space="preserve"> HYPERLINK \l "_Toc118452538" </w:instrText>
          </w:r>
          <w:r>
            <w:rPr>
              <w:color w:val="auto"/>
              <w:highlight w:val="none"/>
            </w:rPr>
            <w:fldChar w:fldCharType="separate"/>
          </w:r>
          <w:r>
            <w:rPr>
              <w:rStyle w:val="51"/>
              <w:rFonts w:ascii="宋体" w:hAnsi="宋体"/>
              <w:color w:val="auto"/>
              <w:highlight w:val="none"/>
            </w:rPr>
            <w:t>第六章  投标文件格式</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_Toc118452538 \h </w:instrText>
          </w:r>
          <w:r>
            <w:rPr>
              <w:rFonts w:ascii="宋体" w:hAnsi="宋体"/>
              <w:color w:val="auto"/>
              <w:highlight w:val="none"/>
            </w:rPr>
            <w:fldChar w:fldCharType="separate"/>
          </w:r>
          <w:r>
            <w:rPr>
              <w:rFonts w:ascii="宋体" w:hAnsi="宋体"/>
              <w:color w:val="auto"/>
              <w:highlight w:val="none"/>
            </w:rPr>
            <w:t>64</w:t>
          </w:r>
          <w:r>
            <w:rPr>
              <w:rFonts w:ascii="宋体" w:hAnsi="宋体"/>
              <w:color w:val="auto"/>
              <w:highlight w:val="none"/>
            </w:rPr>
            <w:fldChar w:fldCharType="end"/>
          </w:r>
          <w:r>
            <w:rPr>
              <w:rFonts w:ascii="宋体" w:hAnsi="宋体"/>
              <w:color w:val="auto"/>
              <w:highlight w:val="none"/>
            </w:rPr>
            <w:fldChar w:fldCharType="end"/>
          </w:r>
        </w:p>
        <w:p>
          <w:pPr>
            <w:pStyle w:val="31"/>
            <w:tabs>
              <w:tab w:val="right" w:leader="dot" w:pos="8846"/>
            </w:tabs>
            <w:spacing w:line="360" w:lineRule="auto"/>
            <w:rPr>
              <w:rFonts w:ascii="宋体" w:hAnsi="宋体" w:cstheme="minorBidi"/>
              <w:color w:val="auto"/>
              <w:szCs w:val="22"/>
              <w:highlight w:val="none"/>
            </w:rPr>
          </w:pPr>
          <w:r>
            <w:rPr>
              <w:color w:val="auto"/>
              <w:highlight w:val="none"/>
            </w:rPr>
            <w:fldChar w:fldCharType="begin"/>
          </w:r>
          <w:r>
            <w:rPr>
              <w:color w:val="auto"/>
              <w:highlight w:val="none"/>
            </w:rPr>
            <w:instrText xml:space="preserve"> HYPERLINK \l "_Toc118452539" </w:instrText>
          </w:r>
          <w:r>
            <w:rPr>
              <w:color w:val="auto"/>
              <w:highlight w:val="none"/>
            </w:rPr>
            <w:fldChar w:fldCharType="separate"/>
          </w:r>
          <w:r>
            <w:rPr>
              <w:rStyle w:val="51"/>
              <w:rFonts w:ascii="宋体" w:hAnsi="宋体"/>
              <w:color w:val="auto"/>
              <w:highlight w:val="none"/>
            </w:rPr>
            <w:t>第七章  政府采购供应商质疑函及投诉书范本</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_Toc118452539 \h </w:instrText>
          </w:r>
          <w:r>
            <w:rPr>
              <w:rFonts w:ascii="宋体" w:hAnsi="宋体"/>
              <w:color w:val="auto"/>
              <w:highlight w:val="none"/>
            </w:rPr>
            <w:fldChar w:fldCharType="separate"/>
          </w:r>
          <w:r>
            <w:rPr>
              <w:rFonts w:ascii="宋体" w:hAnsi="宋体"/>
              <w:color w:val="auto"/>
              <w:highlight w:val="none"/>
            </w:rPr>
            <w:t>87</w:t>
          </w:r>
          <w:r>
            <w:rPr>
              <w:rFonts w:ascii="宋体" w:hAnsi="宋体"/>
              <w:color w:val="auto"/>
              <w:highlight w:val="none"/>
            </w:rPr>
            <w:fldChar w:fldCharType="end"/>
          </w:r>
          <w:r>
            <w:rPr>
              <w:rFonts w:ascii="宋体" w:hAnsi="宋体"/>
              <w:color w:val="auto"/>
              <w:highlight w:val="none"/>
            </w:rPr>
            <w:fldChar w:fldCharType="end"/>
          </w:r>
        </w:p>
        <w:p>
          <w:pPr>
            <w:spacing w:line="360" w:lineRule="auto"/>
            <w:ind w:firstLine="482"/>
            <w:rPr>
              <w:rFonts w:asciiTheme="minorEastAsia" w:hAnsiTheme="minorEastAsia" w:eastAsiaTheme="minorEastAsia"/>
              <w:color w:val="auto"/>
              <w:highlight w:val="none"/>
            </w:rPr>
          </w:pPr>
          <w:r>
            <w:rPr>
              <w:rFonts w:ascii="宋体" w:hAnsi="宋体"/>
              <w:b/>
              <w:bCs/>
              <w:color w:val="auto"/>
              <w:sz w:val="24"/>
              <w:highlight w:val="none"/>
              <w:lang w:val="zh-CN"/>
            </w:rPr>
            <w:fldChar w:fldCharType="end"/>
          </w:r>
        </w:p>
      </w:sdtContent>
    </w:sdt>
    <w:p>
      <w:pPr>
        <w:spacing w:line="360" w:lineRule="auto"/>
        <w:ind w:firstLine="560"/>
        <w:rPr>
          <w:rFonts w:asciiTheme="minorEastAsia" w:hAnsiTheme="minorEastAsia" w:eastAsiaTheme="minorEastAsia"/>
          <w:color w:val="auto"/>
          <w:sz w:val="28"/>
          <w:szCs w:val="28"/>
          <w:highlight w:val="none"/>
        </w:rPr>
      </w:pPr>
    </w:p>
    <w:p>
      <w:pPr>
        <w:spacing w:line="360" w:lineRule="auto"/>
        <w:ind w:firstLine="560"/>
        <w:rPr>
          <w:rFonts w:asciiTheme="minorEastAsia" w:hAnsiTheme="minorEastAsia" w:eastAsiaTheme="minorEastAsia"/>
          <w:color w:val="auto"/>
          <w:kern w:val="0"/>
          <w:sz w:val="28"/>
          <w:szCs w:val="28"/>
          <w:highlight w:val="none"/>
        </w:rPr>
      </w:pPr>
      <w:r>
        <w:rPr>
          <w:rFonts w:asciiTheme="minorEastAsia" w:hAnsiTheme="minorEastAsia" w:eastAsiaTheme="minorEastAsia"/>
          <w:color w:val="auto"/>
          <w:sz w:val="28"/>
          <w:szCs w:val="28"/>
          <w:highlight w:val="none"/>
        </w:rPr>
        <w:br w:type="page"/>
      </w:r>
    </w:p>
    <w:p>
      <w:pPr>
        <w:pStyle w:val="25"/>
        <w:snapToGrid w:val="0"/>
        <w:spacing w:beforeLines="0" w:afterLines="0" w:line="360" w:lineRule="auto"/>
        <w:ind w:firstLine="560"/>
        <w:jc w:val="center"/>
        <w:outlineLvl w:val="0"/>
        <w:rPr>
          <w:rFonts w:asciiTheme="minorEastAsia" w:hAnsiTheme="minorEastAsia" w:eastAsiaTheme="minorEastAsia"/>
          <w:color w:val="auto"/>
          <w:sz w:val="28"/>
          <w:szCs w:val="28"/>
          <w:highlight w:val="none"/>
        </w:rPr>
        <w:sectPr>
          <w:footerReference r:id="rId6" w:type="first"/>
          <w:footerReference r:id="rId4" w:type="default"/>
          <w:footerReference r:id="rId5" w:type="even"/>
          <w:pgSz w:w="11906" w:h="16838"/>
          <w:pgMar w:top="1440" w:right="1440" w:bottom="1440" w:left="1610" w:header="851" w:footer="851" w:gutter="0"/>
          <w:pgNumType w:start="1"/>
          <w:cols w:space="720" w:num="1"/>
          <w:docGrid w:linePitch="312" w:charSpace="0"/>
        </w:sectPr>
      </w:pPr>
    </w:p>
    <w:p>
      <w:pPr>
        <w:pStyle w:val="4"/>
        <w:ind w:firstLine="482"/>
        <w:rPr>
          <w:rFonts w:asciiTheme="minorEastAsia" w:hAnsiTheme="minorEastAsia" w:eastAsiaTheme="minorEastAsia"/>
          <w:color w:val="auto"/>
          <w:highlight w:val="none"/>
        </w:rPr>
      </w:pPr>
      <w:bookmarkStart w:id="0" w:name="_Toc118452524"/>
      <w:bookmarkStart w:id="1" w:name="_Toc34844741"/>
      <w:r>
        <w:rPr>
          <w:rFonts w:hint="eastAsia" w:asciiTheme="minorEastAsia" w:hAnsiTheme="minorEastAsia" w:eastAsiaTheme="minorEastAsia"/>
          <w:color w:val="auto"/>
          <w:highlight w:val="none"/>
        </w:rPr>
        <w:t>第一章  投标邀请</w:t>
      </w:r>
      <w:bookmarkEnd w:id="0"/>
    </w:p>
    <w:p>
      <w:pPr>
        <w:pBdr>
          <w:top w:val="single" w:color="auto" w:sz="4" w:space="1"/>
          <w:left w:val="single" w:color="auto" w:sz="4" w:space="4"/>
          <w:bottom w:val="single" w:color="auto" w:sz="4" w:space="1"/>
          <w:right w:val="single" w:color="auto" w:sz="4" w:space="0"/>
        </w:pBdr>
        <w:spacing w:before="120" w:beforeLines="50"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项目概况</w:t>
      </w:r>
    </w:p>
    <w:p>
      <w:pPr>
        <w:pBdr>
          <w:top w:val="single" w:color="auto" w:sz="4" w:space="1"/>
          <w:left w:val="single" w:color="auto" w:sz="4" w:space="4"/>
          <w:bottom w:val="single" w:color="auto" w:sz="4" w:space="1"/>
          <w:right w:val="single" w:color="auto" w:sz="4" w:space="0"/>
        </w:pBdr>
        <w:spacing w:line="360" w:lineRule="auto"/>
        <w:ind w:firstLine="525" w:firstLineChars="250"/>
        <w:jc w:val="left"/>
        <w:rPr>
          <w:rFonts w:asciiTheme="minorEastAsia" w:hAnsiTheme="minorEastAsia" w:eastAsiaTheme="minorEastAsia"/>
          <w:color w:val="auto"/>
          <w:szCs w:val="21"/>
          <w:highlight w:val="none"/>
        </w:rPr>
      </w:pPr>
      <w:bookmarkStart w:id="2" w:name="_Toc28359079"/>
      <w:bookmarkStart w:id="3" w:name="_Toc28359002"/>
      <w:bookmarkStart w:id="4" w:name="_Toc35393621"/>
      <w:bookmarkStart w:id="5" w:name="_Toc35393790"/>
      <w:bookmarkStart w:id="6" w:name="_Hlk24379207"/>
      <w:r>
        <w:rPr>
          <w:rFonts w:hint="eastAsia" w:asciiTheme="minorEastAsia" w:hAnsiTheme="minorEastAsia" w:eastAsiaTheme="minorEastAsia"/>
          <w:color w:val="auto"/>
          <w:szCs w:val="21"/>
          <w:highlight w:val="none"/>
          <w:u w:val="single"/>
        </w:rPr>
        <w:t>宁波工程学院新能源产业技术创新实践基地进口设备采购项目</w:t>
      </w:r>
      <w:r>
        <w:rPr>
          <w:rFonts w:hint="eastAsia" w:asciiTheme="minorEastAsia" w:hAnsiTheme="minorEastAsia" w:eastAsiaTheme="minorEastAsia"/>
          <w:color w:val="auto"/>
          <w:szCs w:val="21"/>
          <w:highlight w:val="none"/>
        </w:rPr>
        <w:t>招标项目的潜在投标人应在</w:t>
      </w:r>
      <w:r>
        <w:rPr>
          <w:rFonts w:hint="eastAsia" w:asciiTheme="minorEastAsia" w:hAnsiTheme="minorEastAsia" w:eastAsiaTheme="minorEastAsia"/>
          <w:color w:val="auto"/>
          <w:szCs w:val="21"/>
          <w:highlight w:val="none"/>
          <w:u w:val="single"/>
        </w:rPr>
        <w:t>政采云平台（https：//www.zcygov.cn）</w:t>
      </w:r>
      <w:r>
        <w:rPr>
          <w:rFonts w:hint="eastAsia" w:asciiTheme="minorEastAsia" w:hAnsiTheme="minorEastAsia" w:eastAsiaTheme="minorEastAsia"/>
          <w:bCs/>
          <w:color w:val="auto"/>
          <w:szCs w:val="21"/>
          <w:highlight w:val="none"/>
          <w:u w:val="single"/>
        </w:rPr>
        <w:t>获取（下载）招标文件，并于2024年</w:t>
      </w:r>
      <w:r>
        <w:rPr>
          <w:rFonts w:hint="eastAsia" w:asciiTheme="minorEastAsia" w:hAnsiTheme="minorEastAsia" w:eastAsiaTheme="minorEastAsia"/>
          <w:bCs/>
          <w:color w:val="auto"/>
          <w:szCs w:val="21"/>
          <w:highlight w:val="none"/>
          <w:u w:val="single"/>
          <w:lang w:val="en-US" w:eastAsia="zh-CN"/>
        </w:rPr>
        <w:t>4</w:t>
      </w:r>
      <w:r>
        <w:rPr>
          <w:rFonts w:hint="eastAsia" w:asciiTheme="minorEastAsia" w:hAnsiTheme="minorEastAsia" w:eastAsiaTheme="minorEastAsia"/>
          <w:bCs/>
          <w:color w:val="auto"/>
          <w:szCs w:val="21"/>
          <w:highlight w:val="none"/>
          <w:u w:val="single"/>
        </w:rPr>
        <w:t>月</w:t>
      </w:r>
      <w:r>
        <w:rPr>
          <w:rFonts w:hint="eastAsia" w:asciiTheme="minorEastAsia" w:hAnsiTheme="minorEastAsia" w:eastAsiaTheme="minorEastAsia"/>
          <w:bCs/>
          <w:color w:val="auto"/>
          <w:szCs w:val="21"/>
          <w:highlight w:val="none"/>
          <w:u w:val="single"/>
          <w:lang w:val="en-US" w:eastAsia="zh-CN"/>
        </w:rPr>
        <w:t>10</w:t>
      </w:r>
      <w:r>
        <w:rPr>
          <w:rFonts w:hint="eastAsia" w:asciiTheme="minorEastAsia" w:hAnsiTheme="minorEastAsia" w:eastAsiaTheme="minorEastAsia"/>
          <w:bCs/>
          <w:color w:val="auto"/>
          <w:szCs w:val="21"/>
          <w:highlight w:val="none"/>
          <w:u w:val="single"/>
        </w:rPr>
        <w:t>日</w:t>
      </w:r>
      <w:r>
        <w:rPr>
          <w:rFonts w:hint="eastAsia" w:asciiTheme="minorEastAsia" w:hAnsiTheme="minorEastAsia" w:eastAsiaTheme="minorEastAsia"/>
          <w:bCs/>
          <w:color w:val="auto"/>
          <w:szCs w:val="21"/>
          <w:highlight w:val="none"/>
          <w:u w:val="single"/>
          <w:lang w:val="en-US" w:eastAsia="zh-CN"/>
        </w:rPr>
        <w:t>13</w:t>
      </w:r>
      <w:r>
        <w:rPr>
          <w:rFonts w:hint="eastAsia" w:asciiTheme="minorEastAsia" w:hAnsiTheme="minorEastAsia" w:eastAsiaTheme="minorEastAsia"/>
          <w:bCs/>
          <w:color w:val="auto"/>
          <w:szCs w:val="21"/>
          <w:highlight w:val="none"/>
          <w:u w:val="single"/>
        </w:rPr>
        <w:t>点</w:t>
      </w:r>
      <w:r>
        <w:rPr>
          <w:rFonts w:hint="eastAsia" w:asciiTheme="minorEastAsia" w:hAnsiTheme="minorEastAsia" w:eastAsiaTheme="minorEastAsia"/>
          <w:bCs/>
          <w:color w:val="auto"/>
          <w:szCs w:val="21"/>
          <w:highlight w:val="none"/>
          <w:u w:val="single"/>
          <w:lang w:val="en-US" w:eastAsia="zh-CN"/>
        </w:rPr>
        <w:t>30</w:t>
      </w:r>
      <w:r>
        <w:rPr>
          <w:rFonts w:hint="eastAsia" w:asciiTheme="minorEastAsia" w:hAnsiTheme="minorEastAsia" w:eastAsiaTheme="minorEastAsia"/>
          <w:bCs/>
          <w:color w:val="auto"/>
          <w:szCs w:val="21"/>
          <w:highlight w:val="none"/>
          <w:u w:val="single"/>
        </w:rPr>
        <w:t>分</w:t>
      </w:r>
      <w:r>
        <w:rPr>
          <w:rFonts w:hint="eastAsia" w:asciiTheme="minorEastAsia" w:hAnsiTheme="minorEastAsia" w:eastAsiaTheme="minorEastAsia"/>
          <w:bCs/>
          <w:color w:val="auto"/>
          <w:szCs w:val="21"/>
          <w:highlight w:val="none"/>
        </w:rPr>
        <w:t>（北京时间）前递交（上传）投标</w:t>
      </w:r>
      <w:r>
        <w:rPr>
          <w:rFonts w:asciiTheme="minorEastAsia" w:hAnsiTheme="minorEastAsia" w:eastAsiaTheme="minorEastAsia"/>
          <w:bCs/>
          <w:color w:val="auto"/>
          <w:szCs w:val="21"/>
          <w:highlight w:val="none"/>
        </w:rPr>
        <w:t>文件</w:t>
      </w:r>
      <w:r>
        <w:rPr>
          <w:rFonts w:hint="eastAsia" w:asciiTheme="minorEastAsia" w:hAnsiTheme="minorEastAsia" w:eastAsiaTheme="minorEastAsia"/>
          <w:color w:val="auto"/>
          <w:szCs w:val="21"/>
          <w:highlight w:val="none"/>
        </w:rPr>
        <w:t>。</w:t>
      </w:r>
    </w:p>
    <w:p>
      <w:pPr>
        <w:snapToGrid w:val="0"/>
        <w:spacing w:line="360" w:lineRule="auto"/>
        <w:ind w:firstLine="422"/>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一、项目基本情况</w:t>
      </w:r>
      <w:bookmarkEnd w:id="2"/>
      <w:bookmarkEnd w:id="3"/>
      <w:bookmarkEnd w:id="4"/>
      <w:bookmarkEnd w:id="5"/>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项目编号：NBMC-20242029G</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项目名称：宁波工程学院新能源产业技术创新实践基地进口设备采购项目</w:t>
      </w:r>
      <w:bookmarkStart w:id="66" w:name="_GoBack"/>
      <w:bookmarkEnd w:id="66"/>
    </w:p>
    <w:bookmarkEnd w:id="6"/>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预算金额（元）：</w:t>
      </w:r>
      <w:r>
        <w:rPr>
          <w:rFonts w:asciiTheme="minorEastAsia" w:hAnsiTheme="minorEastAsia" w:eastAsiaTheme="minorEastAsia"/>
          <w:color w:val="auto"/>
          <w:szCs w:val="21"/>
          <w:highlight w:val="none"/>
        </w:rPr>
        <w:t>15023000</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最高限价（元）：</w:t>
      </w:r>
      <w:r>
        <w:rPr>
          <w:rFonts w:asciiTheme="minorEastAsia" w:hAnsiTheme="minorEastAsia" w:eastAsiaTheme="minorEastAsia"/>
          <w:color w:val="auto"/>
          <w:szCs w:val="21"/>
          <w:highlight w:val="none"/>
        </w:rPr>
        <w:t>2000000</w:t>
      </w:r>
      <w:r>
        <w:rPr>
          <w:rFonts w:hint="eastAsia" w:asciiTheme="minorEastAsia" w:hAnsiTheme="minorEastAsia" w:eastAsiaTheme="minorEastAsia"/>
          <w:color w:val="auto"/>
          <w:szCs w:val="21"/>
          <w:highlight w:val="none"/>
        </w:rPr>
        <w:t>，2020000，4850000，1261000，2450000，1242000，1200000</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采购需求：</w:t>
      </w:r>
    </w:p>
    <w:p>
      <w:pPr>
        <w:spacing w:line="360" w:lineRule="auto"/>
        <w:ind w:firstLine="420" w:firstLineChars="200"/>
        <w:rPr>
          <w:rFonts w:asciiTheme="minorEastAsia" w:hAnsiTheme="minorEastAsia" w:eastAsiaTheme="minorEastAsia"/>
          <w:color w:val="auto"/>
          <w:szCs w:val="21"/>
          <w:highlight w:val="none"/>
        </w:rPr>
      </w:pP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标项一</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标项名称：原子力显微镜</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数量：1台</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预算金额（元）：</w:t>
      </w:r>
      <w:r>
        <w:rPr>
          <w:rFonts w:asciiTheme="minorEastAsia" w:hAnsiTheme="minorEastAsia" w:eastAsiaTheme="minorEastAsia"/>
          <w:color w:val="auto"/>
          <w:szCs w:val="21"/>
          <w:highlight w:val="none"/>
        </w:rPr>
        <w:t>2000000</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简要规格描述或项目基本概况介绍、用途：根据要求完成设备供货、安装、调试及售后服务。</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备注：允许采购进口产品</w:t>
      </w:r>
    </w:p>
    <w:p>
      <w:pPr>
        <w:spacing w:line="360" w:lineRule="auto"/>
        <w:ind w:firstLine="420" w:firstLineChars="200"/>
        <w:rPr>
          <w:rFonts w:asciiTheme="minorEastAsia" w:hAnsiTheme="minorEastAsia" w:eastAsiaTheme="minorEastAsia"/>
          <w:color w:val="auto"/>
          <w:szCs w:val="21"/>
          <w:highlight w:val="none"/>
        </w:rPr>
      </w:pP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标项二</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标项名称：X射线衍射仪</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数量：1台</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预算金额（元）：2020000</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简要规格描述或项目基本概况介绍、用途：根据要求完成设备供货、安装、调试及售后服务。</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备注：允许采购进口产品</w:t>
      </w:r>
    </w:p>
    <w:p>
      <w:pPr>
        <w:spacing w:line="360" w:lineRule="auto"/>
        <w:ind w:firstLine="420" w:firstLineChars="200"/>
        <w:rPr>
          <w:rFonts w:asciiTheme="minorEastAsia" w:hAnsiTheme="minorEastAsia" w:eastAsiaTheme="minorEastAsia"/>
          <w:color w:val="auto"/>
          <w:szCs w:val="21"/>
          <w:highlight w:val="none"/>
        </w:rPr>
      </w:pP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标项三</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标项名称：扫描电镜系统</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数量：1套</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预算金额（元）：4850000</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简要规格描述或项目基本概况介绍、用途：根据要求完成设备供货、安装、调试及售后服务。</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备注：允许采购进口产品</w:t>
      </w:r>
    </w:p>
    <w:p>
      <w:pPr>
        <w:spacing w:line="360" w:lineRule="auto"/>
        <w:ind w:firstLine="420" w:firstLineChars="200"/>
        <w:rPr>
          <w:rFonts w:asciiTheme="minorEastAsia" w:hAnsiTheme="minorEastAsia" w:eastAsiaTheme="minorEastAsia"/>
          <w:color w:val="auto"/>
          <w:szCs w:val="21"/>
          <w:highlight w:val="none"/>
        </w:rPr>
      </w:pP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标项四</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标项名称：动态光散射粒度分析仪、比表面分析仪</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数量：2台（套）</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预算金额（元）：1261000</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简要规格描述或项目基本概况介绍、用途：根据要求完成设备供货、安装、调试及售后服务。</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备注：允许采购进口产品</w:t>
      </w:r>
    </w:p>
    <w:p>
      <w:pPr>
        <w:spacing w:line="360" w:lineRule="auto"/>
        <w:ind w:firstLine="420" w:firstLineChars="200"/>
        <w:rPr>
          <w:rFonts w:asciiTheme="minorEastAsia" w:hAnsiTheme="minorEastAsia" w:eastAsiaTheme="minorEastAsia"/>
          <w:color w:val="auto"/>
          <w:szCs w:val="21"/>
          <w:highlight w:val="none"/>
        </w:rPr>
      </w:pP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标项五</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标项名称：核磁共振波谱仪</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数量：1套</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预算金额（元）：2450000</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简要规格描述或项目基本概况介绍、用途：根据要求完成设备供货、安装、调试及售后服务。</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备注：允许采购进口产品</w:t>
      </w:r>
    </w:p>
    <w:p>
      <w:pPr>
        <w:spacing w:line="360" w:lineRule="auto"/>
        <w:ind w:firstLine="420" w:firstLineChars="200"/>
        <w:rPr>
          <w:rFonts w:asciiTheme="minorEastAsia" w:hAnsiTheme="minorEastAsia" w:eastAsiaTheme="minorEastAsia"/>
          <w:color w:val="auto"/>
          <w:szCs w:val="21"/>
          <w:highlight w:val="none"/>
        </w:rPr>
      </w:pP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标项六</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标项名称：高精度阻抗测试系统、自动聚焦耦合单模微波合成系统</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数量：2台（套）</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预算金额（元）：1242000</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简要规格描述或项目基本概况介绍、用途：根据要求完成设备供货、安装、调试及售后服务。</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备注：允许采购进口产品</w:t>
      </w:r>
    </w:p>
    <w:p>
      <w:pPr>
        <w:spacing w:line="360" w:lineRule="auto"/>
        <w:ind w:firstLine="420" w:firstLineChars="200"/>
        <w:rPr>
          <w:rFonts w:asciiTheme="minorEastAsia" w:hAnsiTheme="minorEastAsia" w:eastAsiaTheme="minorEastAsia"/>
          <w:color w:val="auto"/>
          <w:szCs w:val="21"/>
          <w:highlight w:val="none"/>
        </w:rPr>
      </w:pP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标项七</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标项名称：电感耦合等离子体发射光谱仪、荧光分光光度计、同步热分析仪</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数量：3台（套）</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预算金额（元）：1200000</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简要规格描述或项目基本概况介绍、用途：根据要求完成设备供货、安装、调试及售后服务。</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备注：允许采购进口产品</w:t>
      </w:r>
    </w:p>
    <w:p>
      <w:pPr>
        <w:spacing w:line="360" w:lineRule="auto"/>
        <w:ind w:firstLine="420" w:firstLineChars="200"/>
        <w:rPr>
          <w:rFonts w:asciiTheme="minorEastAsia" w:hAnsiTheme="minorEastAsia" w:eastAsiaTheme="minorEastAsia"/>
          <w:color w:val="auto"/>
          <w:szCs w:val="21"/>
          <w:highlight w:val="none"/>
        </w:rPr>
      </w:pP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合同履约期限：标项1、2、3、4、5、6、7，签订合同生效之日起至项目合同履行完毕。</w:t>
      </w:r>
    </w:p>
    <w:p>
      <w:pPr>
        <w:spacing w:line="360" w:lineRule="auto"/>
        <w:ind w:firstLine="420" w:firstLineChars="200"/>
        <w:rPr>
          <w:color w:val="auto"/>
          <w:highlight w:val="none"/>
        </w:rPr>
      </w:pPr>
      <w:r>
        <w:rPr>
          <w:rFonts w:hint="eastAsia" w:asciiTheme="minorEastAsia" w:hAnsiTheme="minorEastAsia" w:eastAsiaTheme="minorEastAsia"/>
          <w:color w:val="auto"/>
          <w:szCs w:val="21"/>
          <w:highlight w:val="none"/>
        </w:rPr>
        <w:t>本项目（否）接受联合体投标。</w:t>
      </w:r>
    </w:p>
    <w:p>
      <w:pPr>
        <w:snapToGrid w:val="0"/>
        <w:spacing w:line="360" w:lineRule="auto"/>
        <w:ind w:firstLine="422"/>
        <w:rPr>
          <w:rFonts w:cs="Arial" w:asciiTheme="minorEastAsia" w:hAnsiTheme="minorEastAsia" w:eastAsiaTheme="minorEastAsia"/>
          <w:b/>
          <w:color w:val="auto"/>
          <w:szCs w:val="21"/>
          <w:highlight w:val="none"/>
        </w:rPr>
      </w:pPr>
      <w:bookmarkStart w:id="7" w:name="_Toc28359080"/>
      <w:bookmarkStart w:id="8" w:name="_Toc35393791"/>
      <w:bookmarkStart w:id="9" w:name="_Toc28359003"/>
      <w:bookmarkStart w:id="10" w:name="_Toc35393622"/>
      <w:r>
        <w:rPr>
          <w:rFonts w:hint="eastAsia" w:cs="Arial" w:asciiTheme="minorEastAsia" w:hAnsiTheme="minorEastAsia" w:eastAsiaTheme="minorEastAsia"/>
          <w:b/>
          <w:color w:val="auto"/>
          <w:szCs w:val="21"/>
          <w:highlight w:val="none"/>
        </w:rPr>
        <w:t>二、申请人的资格要求：</w:t>
      </w:r>
      <w:bookmarkEnd w:id="7"/>
      <w:bookmarkEnd w:id="8"/>
      <w:bookmarkEnd w:id="9"/>
      <w:bookmarkEnd w:id="10"/>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满足《中华人民共和国政府采购法》第二十二条第一款的规定；未被“信用中国”（www.creditchina.gov.cn)、中国政府采购网（www.ccgp.gov.cn）列入失信被执行人、重大税收违法失信主体、政府采购严重违法失信行为记录名单；</w:t>
      </w:r>
    </w:p>
    <w:p>
      <w:pPr>
        <w:spacing w:line="360" w:lineRule="auto"/>
        <w:ind w:firstLine="420" w:firstLineChars="200"/>
        <w:rPr>
          <w:rFonts w:asciiTheme="minorEastAsia" w:hAnsiTheme="minorEastAsia" w:eastAsiaTheme="minorEastAsia"/>
          <w:color w:val="auto"/>
          <w:szCs w:val="21"/>
          <w:highlight w:val="none"/>
        </w:rPr>
      </w:pPr>
      <w:bookmarkStart w:id="11" w:name="_Toc28359081"/>
      <w:bookmarkStart w:id="12" w:name="_Toc28359004"/>
      <w:r>
        <w:rPr>
          <w:rFonts w:hint="eastAsia" w:asciiTheme="minorEastAsia" w:hAnsiTheme="minorEastAsia" w:eastAsiaTheme="minorEastAsia"/>
          <w:color w:val="auto"/>
          <w:szCs w:val="21"/>
          <w:highlight w:val="none"/>
        </w:rPr>
        <w:t>2.落实政府采购政策需满足的资格要求：无</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3.本项目的特定资格要求：</w:t>
      </w:r>
      <w:r>
        <w:rPr>
          <w:rFonts w:hint="eastAsia" w:asciiTheme="minorEastAsia" w:hAnsiTheme="minorEastAsia" w:eastAsiaTheme="minorEastAsia"/>
          <w:color w:val="auto"/>
          <w:szCs w:val="21"/>
          <w:highlight w:val="none"/>
          <w:u w:val="single"/>
        </w:rPr>
        <w:t>进口产品投标的提供产品制造商或其国内总代理出具的唯一投标授权函</w:t>
      </w:r>
      <w:r>
        <w:rPr>
          <w:rFonts w:hint="eastAsia" w:asciiTheme="minorEastAsia" w:hAnsiTheme="minorEastAsia" w:eastAsiaTheme="minorEastAsia"/>
          <w:color w:val="auto"/>
          <w:szCs w:val="21"/>
          <w:highlight w:val="none"/>
        </w:rPr>
        <w:t>。</w:t>
      </w:r>
    </w:p>
    <w:p>
      <w:pPr>
        <w:snapToGrid w:val="0"/>
        <w:spacing w:line="360" w:lineRule="auto"/>
        <w:ind w:firstLine="422"/>
        <w:rPr>
          <w:rFonts w:cs="Arial" w:asciiTheme="minorEastAsia" w:hAnsiTheme="minorEastAsia" w:eastAsiaTheme="minorEastAsia"/>
          <w:b/>
          <w:color w:val="auto"/>
          <w:szCs w:val="21"/>
          <w:highlight w:val="none"/>
        </w:rPr>
      </w:pPr>
      <w:bookmarkStart w:id="13" w:name="_Toc35393623"/>
      <w:bookmarkStart w:id="14" w:name="_Toc35393792"/>
      <w:r>
        <w:rPr>
          <w:rFonts w:hint="eastAsia" w:cs="Arial" w:asciiTheme="minorEastAsia" w:hAnsiTheme="minorEastAsia" w:eastAsiaTheme="minorEastAsia"/>
          <w:b/>
          <w:color w:val="auto"/>
          <w:szCs w:val="21"/>
          <w:highlight w:val="none"/>
        </w:rPr>
        <w:t>三、获取招标文件</w:t>
      </w:r>
      <w:bookmarkEnd w:id="11"/>
      <w:bookmarkEnd w:id="12"/>
      <w:bookmarkEnd w:id="13"/>
      <w:bookmarkEnd w:id="14"/>
    </w:p>
    <w:p>
      <w:pPr>
        <w:snapToGrid w:val="0"/>
        <w:spacing w:line="360" w:lineRule="auto"/>
        <w:ind w:firstLine="411" w:firstLineChars="196"/>
        <w:rPr>
          <w:rFonts w:cs="宋体" w:asciiTheme="minorEastAsia" w:hAnsiTheme="minorEastAsia" w:eastAsiaTheme="minorEastAsia"/>
          <w:b/>
          <w:color w:val="auto"/>
          <w:szCs w:val="21"/>
          <w:highlight w:val="none"/>
        </w:rPr>
      </w:pPr>
      <w:bookmarkStart w:id="15" w:name="_Toc28359005"/>
      <w:bookmarkStart w:id="16" w:name="_Toc28359082"/>
      <w:bookmarkStart w:id="17" w:name="_Toc35393624"/>
      <w:bookmarkStart w:id="18" w:name="_Toc35393793"/>
      <w:r>
        <w:rPr>
          <w:rFonts w:hint="eastAsia" w:cs="宋体" w:asciiTheme="minorEastAsia" w:hAnsiTheme="minorEastAsia" w:eastAsiaTheme="minorEastAsia"/>
          <w:color w:val="auto"/>
          <w:szCs w:val="21"/>
          <w:highlight w:val="none"/>
        </w:rPr>
        <w:t>时间：</w:t>
      </w:r>
      <w:r>
        <w:rPr>
          <w:rFonts w:hint="eastAsia" w:cs="宋体" w:asciiTheme="minorEastAsia" w:hAnsiTheme="minorEastAsia" w:eastAsiaTheme="minorEastAsia"/>
          <w:color w:val="auto"/>
          <w:szCs w:val="21"/>
          <w:highlight w:val="none"/>
          <w:u w:val="single"/>
        </w:rPr>
        <w:t>2024年</w:t>
      </w:r>
      <w:r>
        <w:rPr>
          <w:rFonts w:hint="eastAsia" w:cs="宋体" w:asciiTheme="minorEastAsia" w:hAnsiTheme="minorEastAsia" w:eastAsiaTheme="minorEastAsia"/>
          <w:color w:val="auto"/>
          <w:szCs w:val="21"/>
          <w:highlight w:val="none"/>
          <w:u w:val="single"/>
          <w:lang w:val="en-US" w:eastAsia="zh-CN"/>
        </w:rPr>
        <w:t>3</w:t>
      </w:r>
      <w:r>
        <w:rPr>
          <w:rFonts w:hint="eastAsia" w:cs="宋体" w:asciiTheme="minorEastAsia" w:hAnsiTheme="minorEastAsia" w:eastAsiaTheme="minorEastAsia"/>
          <w:color w:val="auto"/>
          <w:szCs w:val="21"/>
          <w:highlight w:val="none"/>
          <w:u w:val="single"/>
        </w:rPr>
        <w:t>月</w:t>
      </w:r>
      <w:r>
        <w:rPr>
          <w:rFonts w:hint="eastAsia" w:cs="宋体" w:asciiTheme="minorEastAsia" w:hAnsiTheme="minorEastAsia" w:eastAsiaTheme="minorEastAsia"/>
          <w:color w:val="auto"/>
          <w:szCs w:val="21"/>
          <w:highlight w:val="none"/>
          <w:u w:val="single"/>
          <w:lang w:val="en-US" w:eastAsia="zh-CN"/>
        </w:rPr>
        <w:t>20</w:t>
      </w:r>
      <w:r>
        <w:rPr>
          <w:rFonts w:hint="eastAsia" w:cs="宋体" w:asciiTheme="minorEastAsia" w:hAnsiTheme="minorEastAsia" w:eastAsiaTheme="minorEastAsia"/>
          <w:color w:val="auto"/>
          <w:szCs w:val="21"/>
          <w:highlight w:val="none"/>
          <w:u w:val="single"/>
        </w:rPr>
        <w:t>日至2024年</w:t>
      </w:r>
      <w:r>
        <w:rPr>
          <w:rFonts w:hint="eastAsia" w:cs="宋体" w:asciiTheme="minorEastAsia" w:hAnsiTheme="minorEastAsia" w:eastAsiaTheme="minorEastAsia"/>
          <w:color w:val="auto"/>
          <w:szCs w:val="21"/>
          <w:highlight w:val="none"/>
          <w:u w:val="single"/>
          <w:lang w:val="en-US" w:eastAsia="zh-CN"/>
        </w:rPr>
        <w:t>3</w:t>
      </w:r>
      <w:r>
        <w:rPr>
          <w:rFonts w:hint="eastAsia" w:cs="宋体" w:asciiTheme="minorEastAsia" w:hAnsiTheme="minorEastAsia" w:eastAsiaTheme="minorEastAsia"/>
          <w:color w:val="auto"/>
          <w:szCs w:val="21"/>
          <w:highlight w:val="none"/>
          <w:u w:val="single"/>
        </w:rPr>
        <w:t>月</w:t>
      </w:r>
      <w:r>
        <w:rPr>
          <w:rFonts w:hint="eastAsia" w:cs="宋体" w:asciiTheme="minorEastAsia" w:hAnsiTheme="minorEastAsia" w:eastAsiaTheme="minorEastAsia"/>
          <w:color w:val="auto"/>
          <w:szCs w:val="21"/>
          <w:highlight w:val="none"/>
          <w:u w:val="single"/>
          <w:lang w:val="en-US" w:eastAsia="zh-CN"/>
        </w:rPr>
        <w:t>27</w:t>
      </w:r>
      <w:r>
        <w:rPr>
          <w:rFonts w:hint="eastAsia" w:cs="宋体" w:asciiTheme="minorEastAsia" w:hAnsiTheme="minorEastAsia" w:eastAsiaTheme="minorEastAsia"/>
          <w:color w:val="auto"/>
          <w:szCs w:val="21"/>
          <w:highlight w:val="none"/>
          <w:u w:val="single"/>
        </w:rPr>
        <w:t>日</w:t>
      </w:r>
      <w:r>
        <w:rPr>
          <w:rFonts w:hint="eastAsia" w:cs="宋体" w:asciiTheme="minorEastAsia" w:hAnsiTheme="minorEastAsia" w:eastAsiaTheme="minorEastAsia"/>
          <w:color w:val="auto"/>
          <w:szCs w:val="21"/>
          <w:highlight w:val="none"/>
        </w:rPr>
        <w:t>，每天上午</w:t>
      </w:r>
      <w:r>
        <w:rPr>
          <w:rFonts w:cs="宋体" w:asciiTheme="minorEastAsia" w:hAnsiTheme="minorEastAsia" w:eastAsiaTheme="minorEastAsia"/>
          <w:color w:val="auto"/>
          <w:szCs w:val="21"/>
          <w:highlight w:val="none"/>
          <w:u w:val="single"/>
        </w:rPr>
        <w:t>00：00</w:t>
      </w:r>
      <w:r>
        <w:rPr>
          <w:rFonts w:hint="eastAsia" w:cs="宋体" w:asciiTheme="minorEastAsia" w:hAnsiTheme="minorEastAsia" w:eastAsiaTheme="minorEastAsia"/>
          <w:color w:val="auto"/>
          <w:szCs w:val="21"/>
          <w:highlight w:val="none"/>
        </w:rPr>
        <w:t>至</w:t>
      </w:r>
      <w:r>
        <w:rPr>
          <w:rFonts w:cs="宋体" w:asciiTheme="minorEastAsia" w:hAnsiTheme="minorEastAsia" w:eastAsiaTheme="minorEastAsia"/>
          <w:color w:val="auto"/>
          <w:szCs w:val="21"/>
          <w:highlight w:val="none"/>
          <w:u w:val="single"/>
        </w:rPr>
        <w:t>12：00</w:t>
      </w:r>
      <w:r>
        <w:rPr>
          <w:rFonts w:hint="eastAsia" w:cs="宋体" w:asciiTheme="minorEastAsia" w:hAnsiTheme="minorEastAsia" w:eastAsiaTheme="minorEastAsia"/>
          <w:color w:val="auto"/>
          <w:szCs w:val="21"/>
          <w:highlight w:val="none"/>
        </w:rPr>
        <w:t>，下午</w:t>
      </w:r>
      <w:r>
        <w:rPr>
          <w:rFonts w:cs="宋体" w:asciiTheme="minorEastAsia" w:hAnsiTheme="minorEastAsia" w:eastAsiaTheme="minorEastAsia"/>
          <w:color w:val="auto"/>
          <w:szCs w:val="21"/>
          <w:highlight w:val="none"/>
          <w:u w:val="single"/>
        </w:rPr>
        <w:t>12：00</w:t>
      </w:r>
      <w:r>
        <w:rPr>
          <w:rFonts w:hint="eastAsia" w:cs="宋体" w:asciiTheme="minorEastAsia" w:hAnsiTheme="minorEastAsia" w:eastAsiaTheme="minorEastAsia"/>
          <w:color w:val="auto"/>
          <w:szCs w:val="21"/>
          <w:highlight w:val="none"/>
        </w:rPr>
        <w:t>至</w:t>
      </w:r>
      <w:r>
        <w:rPr>
          <w:rFonts w:cs="宋体" w:asciiTheme="minorEastAsia" w:hAnsiTheme="minorEastAsia" w:eastAsiaTheme="minorEastAsia"/>
          <w:color w:val="auto"/>
          <w:szCs w:val="21"/>
          <w:highlight w:val="none"/>
          <w:u w:val="single"/>
        </w:rPr>
        <w:t>23：59</w:t>
      </w:r>
      <w:r>
        <w:rPr>
          <w:rFonts w:hint="eastAsia" w:cs="宋体" w:asciiTheme="minorEastAsia" w:hAnsiTheme="minorEastAsia" w:eastAsiaTheme="minorEastAsia"/>
          <w:color w:val="auto"/>
          <w:szCs w:val="21"/>
          <w:highlight w:val="none"/>
        </w:rPr>
        <w:t>（北京时间，线上获取法定节假日均可，线下获取文件法定节假日除外）</w:t>
      </w:r>
    </w:p>
    <w:p>
      <w:pPr>
        <w:snapToGrid w:val="0"/>
        <w:spacing w:line="360" w:lineRule="auto"/>
        <w:ind w:firstLine="411" w:firstLineChars="196"/>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地点（网址）：</w:t>
      </w:r>
      <w:r>
        <w:rPr>
          <w:rFonts w:hint="eastAsia" w:asciiTheme="minorEastAsia" w:hAnsiTheme="minorEastAsia" w:eastAsiaTheme="minorEastAsia"/>
          <w:color w:val="auto"/>
          <w:szCs w:val="21"/>
          <w:highlight w:val="none"/>
          <w:u w:val="single"/>
        </w:rPr>
        <w:t>政采云平台（</w:t>
      </w:r>
      <w:r>
        <w:rPr>
          <w:rFonts w:asciiTheme="minorEastAsia" w:hAnsiTheme="minorEastAsia" w:eastAsiaTheme="minorEastAsia"/>
          <w:color w:val="auto"/>
          <w:szCs w:val="21"/>
          <w:highlight w:val="none"/>
          <w:u w:val="single"/>
        </w:rPr>
        <w:t>https：//www.zcygov.cn）</w:t>
      </w:r>
    </w:p>
    <w:p>
      <w:pPr>
        <w:snapToGrid w:val="0"/>
        <w:spacing w:line="360" w:lineRule="auto"/>
        <w:ind w:firstLine="411" w:firstLineChars="196"/>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方式：供应商登录政采云平台（</w:t>
      </w:r>
      <w:r>
        <w:rPr>
          <w:rFonts w:cs="Arial" w:asciiTheme="minorEastAsia" w:hAnsiTheme="minorEastAsia" w:eastAsiaTheme="minorEastAsia"/>
          <w:color w:val="auto"/>
          <w:szCs w:val="21"/>
          <w:highlight w:val="none"/>
        </w:rPr>
        <w:t>https://www.zcygov.cn/）在线申请获取采购文件（进入“项目采购”应用，在获取采购文件菜单中选择项目，申请获取采购文件）</w:t>
      </w:r>
    </w:p>
    <w:p>
      <w:pPr>
        <w:snapToGrid w:val="0"/>
        <w:spacing w:line="360" w:lineRule="auto"/>
        <w:ind w:firstLine="411" w:firstLineChars="196"/>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售价（元）：</w:t>
      </w:r>
      <w:r>
        <w:rPr>
          <w:rFonts w:cs="宋体" w:asciiTheme="minorEastAsia" w:hAnsiTheme="minorEastAsia" w:eastAsiaTheme="minorEastAsia"/>
          <w:color w:val="auto"/>
          <w:szCs w:val="21"/>
          <w:highlight w:val="none"/>
        </w:rPr>
        <w:t>0</w:t>
      </w:r>
    </w:p>
    <w:p>
      <w:pPr>
        <w:snapToGrid w:val="0"/>
        <w:spacing w:line="360" w:lineRule="auto"/>
        <w:ind w:firstLine="422"/>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四、提交投标文件</w:t>
      </w:r>
      <w:bookmarkEnd w:id="15"/>
      <w:bookmarkEnd w:id="16"/>
      <w:r>
        <w:rPr>
          <w:rFonts w:hint="eastAsia" w:cs="Arial" w:asciiTheme="minorEastAsia" w:hAnsiTheme="minorEastAsia" w:eastAsiaTheme="minorEastAsia"/>
          <w:b/>
          <w:color w:val="auto"/>
          <w:szCs w:val="21"/>
          <w:highlight w:val="none"/>
        </w:rPr>
        <w:t>截止时间、开标时间和地点</w:t>
      </w:r>
      <w:bookmarkEnd w:id="17"/>
      <w:bookmarkEnd w:id="18"/>
    </w:p>
    <w:p>
      <w:pPr>
        <w:spacing w:line="360" w:lineRule="auto"/>
        <w:ind w:firstLine="420" w:firstLineChars="200"/>
        <w:rPr>
          <w:rFonts w:asciiTheme="minorEastAsia" w:hAnsiTheme="minorEastAsia" w:eastAsiaTheme="minorEastAsia"/>
          <w:bCs/>
          <w:color w:val="auto"/>
          <w:szCs w:val="21"/>
          <w:highlight w:val="none"/>
        </w:rPr>
      </w:pPr>
      <w:bookmarkStart w:id="19" w:name="_Toc28359084"/>
      <w:bookmarkStart w:id="20" w:name="_Toc28359007"/>
      <w:bookmarkStart w:id="21" w:name="_Toc35393625"/>
      <w:bookmarkStart w:id="22" w:name="_Toc35393794"/>
      <w:r>
        <w:rPr>
          <w:rFonts w:hint="eastAsia" w:cs="Arial" w:asciiTheme="minorEastAsia" w:hAnsiTheme="minorEastAsia" w:eastAsiaTheme="minorEastAsia"/>
          <w:color w:val="auto"/>
          <w:szCs w:val="21"/>
          <w:highlight w:val="none"/>
        </w:rPr>
        <w:t>提交投标文件截止时间：</w:t>
      </w:r>
      <w:r>
        <w:rPr>
          <w:rFonts w:cs="宋体" w:asciiTheme="minorEastAsia" w:hAnsiTheme="minorEastAsia" w:eastAsiaTheme="minorEastAsia"/>
          <w:color w:val="auto"/>
          <w:szCs w:val="21"/>
          <w:highlight w:val="none"/>
        </w:rPr>
        <w:t>2024年</w:t>
      </w:r>
      <w:r>
        <w:rPr>
          <w:rFonts w:hint="eastAsia" w:asciiTheme="minorEastAsia" w:hAnsiTheme="minorEastAsia" w:eastAsiaTheme="minorEastAsia"/>
          <w:bCs/>
          <w:color w:val="auto"/>
          <w:szCs w:val="21"/>
          <w:highlight w:val="none"/>
          <w:lang w:val="en-US" w:eastAsia="zh-CN"/>
        </w:rPr>
        <w:t>4</w:t>
      </w:r>
      <w:r>
        <w:rPr>
          <w:rFonts w:hint="eastAsia" w:asciiTheme="minorEastAsia" w:hAnsiTheme="minorEastAsia" w:eastAsiaTheme="minorEastAsia"/>
          <w:bCs/>
          <w:color w:val="auto"/>
          <w:szCs w:val="21"/>
          <w:highlight w:val="none"/>
        </w:rPr>
        <w:t>月</w:t>
      </w:r>
      <w:r>
        <w:rPr>
          <w:rFonts w:hint="eastAsia" w:asciiTheme="minorEastAsia" w:hAnsiTheme="minorEastAsia" w:eastAsiaTheme="minorEastAsia"/>
          <w:bCs/>
          <w:color w:val="auto"/>
          <w:szCs w:val="21"/>
          <w:highlight w:val="none"/>
          <w:lang w:val="en-US" w:eastAsia="zh-CN"/>
        </w:rPr>
        <w:t>10</w:t>
      </w:r>
      <w:r>
        <w:rPr>
          <w:rFonts w:hint="eastAsia" w:asciiTheme="minorEastAsia" w:hAnsiTheme="minorEastAsia" w:eastAsiaTheme="minorEastAsia"/>
          <w:bCs/>
          <w:color w:val="auto"/>
          <w:szCs w:val="21"/>
          <w:highlight w:val="none"/>
        </w:rPr>
        <w:t>日</w:t>
      </w:r>
      <w:r>
        <w:rPr>
          <w:rFonts w:hint="eastAsia" w:asciiTheme="minorEastAsia" w:hAnsiTheme="minorEastAsia" w:eastAsiaTheme="minorEastAsia"/>
          <w:bCs/>
          <w:color w:val="auto"/>
          <w:szCs w:val="21"/>
          <w:highlight w:val="none"/>
          <w:lang w:val="en-US" w:eastAsia="zh-CN"/>
        </w:rPr>
        <w:t>13</w:t>
      </w:r>
      <w:r>
        <w:rPr>
          <w:rFonts w:asciiTheme="minorEastAsia" w:hAnsiTheme="minorEastAsia" w:eastAsiaTheme="minorEastAsia"/>
          <w:bCs/>
          <w:color w:val="auto"/>
          <w:szCs w:val="21"/>
          <w:highlight w:val="none"/>
        </w:rPr>
        <w:t>:</w:t>
      </w:r>
      <w:r>
        <w:rPr>
          <w:rFonts w:hint="eastAsia" w:asciiTheme="minorEastAsia" w:hAnsiTheme="minorEastAsia" w:eastAsiaTheme="minorEastAsia"/>
          <w:bCs/>
          <w:color w:val="auto"/>
          <w:szCs w:val="21"/>
          <w:highlight w:val="none"/>
          <w:lang w:val="en-US" w:eastAsia="zh-CN"/>
        </w:rPr>
        <w:t>30</w:t>
      </w:r>
      <w:r>
        <w:rPr>
          <w:rFonts w:hint="eastAsia" w:asciiTheme="minorEastAsia" w:hAnsiTheme="minorEastAsia" w:eastAsiaTheme="minorEastAsia"/>
          <w:bCs/>
          <w:color w:val="auto"/>
          <w:szCs w:val="21"/>
          <w:highlight w:val="none"/>
        </w:rPr>
        <w:t>（北京时间）</w:t>
      </w:r>
    </w:p>
    <w:p>
      <w:pPr>
        <w:spacing w:line="360" w:lineRule="auto"/>
        <w:ind w:firstLine="420" w:firstLineChars="200"/>
        <w:rPr>
          <w:rFonts w:asciiTheme="minorEastAsia" w:hAnsiTheme="minorEastAsia" w:eastAsiaTheme="minorEastAsia"/>
          <w:bCs/>
          <w:color w:val="auto"/>
          <w:szCs w:val="21"/>
          <w:highlight w:val="none"/>
        </w:rPr>
      </w:pPr>
      <w:r>
        <w:rPr>
          <w:rFonts w:hint="eastAsia" w:cs="Arial" w:asciiTheme="minorEastAsia" w:hAnsiTheme="minorEastAsia" w:eastAsiaTheme="minorEastAsia"/>
          <w:color w:val="auto"/>
          <w:szCs w:val="21"/>
          <w:highlight w:val="none"/>
        </w:rPr>
        <w:t>投标地点（网址）</w:t>
      </w:r>
      <w:r>
        <w:rPr>
          <w:rFonts w:hint="eastAsia" w:asciiTheme="minorEastAsia" w:hAnsiTheme="minorEastAsia" w:eastAsiaTheme="minorEastAsia"/>
          <w:bCs/>
          <w:color w:val="auto"/>
          <w:szCs w:val="21"/>
          <w:highlight w:val="none"/>
        </w:rPr>
        <w:t>：</w:t>
      </w:r>
      <w:r>
        <w:rPr>
          <w:rFonts w:hint="eastAsia" w:asciiTheme="minorEastAsia" w:hAnsiTheme="minorEastAsia" w:eastAsiaTheme="minorEastAsia"/>
          <w:color w:val="auto"/>
          <w:szCs w:val="21"/>
          <w:highlight w:val="none"/>
          <w:u w:val="single"/>
        </w:rPr>
        <w:t>政采云平台（</w:t>
      </w:r>
      <w:r>
        <w:rPr>
          <w:rFonts w:asciiTheme="minorEastAsia" w:hAnsiTheme="minorEastAsia" w:eastAsiaTheme="minorEastAsia"/>
          <w:color w:val="auto"/>
          <w:szCs w:val="21"/>
          <w:highlight w:val="none"/>
          <w:u w:val="single"/>
        </w:rPr>
        <w:t>https://www.zcygov.cn）</w:t>
      </w:r>
    </w:p>
    <w:p>
      <w:pPr>
        <w:spacing w:line="360" w:lineRule="auto"/>
        <w:ind w:firstLine="420" w:firstLineChars="200"/>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开标时间：</w:t>
      </w:r>
      <w:r>
        <w:rPr>
          <w:rFonts w:cs="宋体" w:asciiTheme="minorEastAsia" w:hAnsiTheme="minorEastAsia" w:eastAsiaTheme="minorEastAsia"/>
          <w:color w:val="auto"/>
          <w:szCs w:val="21"/>
          <w:highlight w:val="none"/>
        </w:rPr>
        <w:t>2024年</w:t>
      </w:r>
      <w:r>
        <w:rPr>
          <w:rFonts w:hint="eastAsia" w:cs="宋体" w:asciiTheme="minorEastAsia" w:hAnsiTheme="minorEastAsia" w:eastAsiaTheme="minorEastAsia"/>
          <w:color w:val="auto"/>
          <w:szCs w:val="21"/>
          <w:highlight w:val="none"/>
          <w:lang w:val="en-US" w:eastAsia="zh-CN"/>
        </w:rPr>
        <w:t>4</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lang w:val="en-US" w:eastAsia="zh-CN"/>
        </w:rPr>
        <w:t>10</w:t>
      </w:r>
      <w:r>
        <w:rPr>
          <w:rFonts w:hint="eastAsia" w:cs="宋体" w:asciiTheme="minorEastAsia" w:hAnsiTheme="minorEastAsia" w:eastAsiaTheme="minorEastAsia"/>
          <w:color w:val="auto"/>
          <w:szCs w:val="21"/>
          <w:highlight w:val="none"/>
        </w:rPr>
        <w:t>日</w:t>
      </w:r>
      <w:r>
        <w:rPr>
          <w:rFonts w:hint="eastAsia" w:cs="宋体" w:asciiTheme="minorEastAsia" w:hAnsiTheme="minorEastAsia" w:eastAsiaTheme="minorEastAsia"/>
          <w:color w:val="auto"/>
          <w:szCs w:val="21"/>
          <w:highlight w:val="none"/>
          <w:lang w:val="en-US" w:eastAsia="zh-CN"/>
        </w:rPr>
        <w:t>13</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30</w:t>
      </w:r>
      <w:r>
        <w:rPr>
          <w:rFonts w:hint="eastAsia" w:asciiTheme="minorEastAsia" w:hAnsiTheme="minorEastAsia" w:eastAsiaTheme="minorEastAsia"/>
          <w:bCs/>
          <w:color w:val="auto"/>
          <w:szCs w:val="21"/>
          <w:highlight w:val="none"/>
        </w:rPr>
        <w:t>（北京时间）</w:t>
      </w:r>
    </w:p>
    <w:p>
      <w:pPr>
        <w:spacing w:line="360" w:lineRule="auto"/>
        <w:ind w:firstLine="420" w:firstLineChars="200"/>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开标地点（网址）：</w:t>
      </w:r>
      <w:r>
        <w:rPr>
          <w:rFonts w:hint="eastAsia" w:asciiTheme="minorEastAsia" w:hAnsiTheme="minorEastAsia" w:eastAsiaTheme="minorEastAsia"/>
          <w:bCs/>
          <w:color w:val="auto"/>
          <w:szCs w:val="21"/>
          <w:highlight w:val="none"/>
          <w:u w:val="single"/>
        </w:rPr>
        <w:t>政采云平台（</w:t>
      </w:r>
      <w:r>
        <w:rPr>
          <w:rFonts w:asciiTheme="minorEastAsia" w:hAnsiTheme="minorEastAsia" w:eastAsiaTheme="minorEastAsia"/>
          <w:bCs/>
          <w:color w:val="auto"/>
          <w:szCs w:val="21"/>
          <w:highlight w:val="none"/>
          <w:u w:val="single"/>
        </w:rPr>
        <w:t>https://www.zcygov.cn）</w:t>
      </w:r>
    </w:p>
    <w:p>
      <w:pPr>
        <w:snapToGrid w:val="0"/>
        <w:spacing w:line="360" w:lineRule="auto"/>
        <w:ind w:firstLine="422"/>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五、公告期限</w:t>
      </w:r>
      <w:bookmarkEnd w:id="19"/>
      <w:bookmarkEnd w:id="20"/>
      <w:bookmarkEnd w:id="21"/>
      <w:bookmarkEnd w:id="22"/>
    </w:p>
    <w:p>
      <w:pPr>
        <w:spacing w:line="360" w:lineRule="auto"/>
        <w:ind w:firstLine="420" w:firstLineChars="200"/>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自本公告发布之日起5个工作日。</w:t>
      </w:r>
    </w:p>
    <w:bookmarkEnd w:id="1"/>
    <w:p>
      <w:pPr>
        <w:snapToGrid w:val="0"/>
        <w:spacing w:line="360" w:lineRule="auto"/>
        <w:ind w:firstLine="422"/>
        <w:rPr>
          <w:rFonts w:cs="Arial" w:asciiTheme="minorEastAsia" w:hAnsiTheme="minorEastAsia" w:eastAsiaTheme="minorEastAsia"/>
          <w:b/>
          <w:color w:val="auto"/>
          <w:szCs w:val="21"/>
          <w:highlight w:val="none"/>
        </w:rPr>
      </w:pPr>
      <w:bookmarkStart w:id="23" w:name="_Toc35393626"/>
      <w:bookmarkStart w:id="24" w:name="_Toc35393795"/>
      <w:r>
        <w:rPr>
          <w:rFonts w:hint="eastAsia" w:cs="Arial" w:asciiTheme="minorEastAsia" w:hAnsiTheme="minorEastAsia" w:eastAsiaTheme="minorEastAsia"/>
          <w:b/>
          <w:color w:val="auto"/>
          <w:szCs w:val="21"/>
          <w:highlight w:val="none"/>
        </w:rPr>
        <w:t>六、其他补充事宜</w:t>
      </w:r>
      <w:bookmarkEnd w:id="23"/>
      <w:bookmarkEnd w:id="24"/>
    </w:p>
    <w:p>
      <w:pPr>
        <w:snapToGrid w:val="0"/>
        <w:spacing w:line="360" w:lineRule="auto"/>
        <w:ind w:firstLine="411" w:firstLineChars="196"/>
        <w:rPr>
          <w:rFonts w:ascii="宋体" w:hAnsi="宋体" w:cs="Arial"/>
          <w:color w:val="auto"/>
          <w:szCs w:val="21"/>
          <w:highlight w:val="none"/>
        </w:rPr>
      </w:pPr>
      <w:r>
        <w:rPr>
          <w:rFonts w:hint="eastAsia" w:ascii="宋体" w:hAnsi="宋体" w:cs="Arial"/>
          <w:color w:val="auto"/>
          <w:szCs w:val="21"/>
          <w:highlight w:val="none"/>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snapToGrid w:val="0"/>
        <w:spacing w:line="360" w:lineRule="auto"/>
        <w:ind w:firstLine="411" w:firstLineChars="196"/>
        <w:rPr>
          <w:rFonts w:ascii="宋体" w:hAnsi="宋体" w:cs="Arial"/>
          <w:color w:val="auto"/>
          <w:szCs w:val="21"/>
          <w:highlight w:val="none"/>
        </w:rPr>
      </w:pPr>
      <w:r>
        <w:rPr>
          <w:rFonts w:ascii="宋体" w:hAnsi="宋体" w:cs="Arial"/>
          <w:color w:val="auto"/>
          <w:szCs w:val="21"/>
          <w:highlight w:val="none"/>
        </w:rPr>
        <w:t>2.其他事项：</w:t>
      </w:r>
    </w:p>
    <w:p>
      <w:pPr>
        <w:snapToGrid w:val="0"/>
        <w:spacing w:line="360" w:lineRule="auto"/>
        <w:ind w:firstLine="411" w:firstLineChars="196"/>
        <w:rPr>
          <w:rFonts w:ascii="宋体" w:hAnsi="宋体" w:cs="Arial"/>
          <w:color w:val="auto"/>
          <w:szCs w:val="21"/>
          <w:highlight w:val="none"/>
        </w:rPr>
      </w:pPr>
      <w:r>
        <w:rPr>
          <w:rFonts w:hint="eastAsia" w:ascii="宋体" w:hAnsi="宋体" w:cs="Arial"/>
          <w:color w:val="auto"/>
          <w:szCs w:val="21"/>
          <w:highlight w:val="none"/>
        </w:rPr>
        <w:t>（1）为依法获取本项目招标文件及投标响应，潜在投标人应当按照《浙江省政府采购供应商注册及诚信管理暂行办法》的规定在“浙江政府采购网(</w:t>
      </w:r>
      <w:r>
        <w:rPr>
          <w:rFonts w:ascii="宋体" w:hAnsi="宋体" w:cs="Arial"/>
          <w:color w:val="auto"/>
          <w:szCs w:val="21"/>
          <w:highlight w:val="none"/>
        </w:rPr>
        <w:t>http：//zfcg.czt.zj.gov.cn/</w:t>
      </w:r>
      <w:r>
        <w:rPr>
          <w:rFonts w:hint="eastAsia" w:ascii="宋体" w:hAnsi="宋体" w:cs="Arial"/>
          <w:color w:val="auto"/>
          <w:szCs w:val="21"/>
          <w:highlight w:val="none"/>
        </w:rPr>
        <w:t>)”政采云平台注册登记。中标人必须在采购人支付合同款项前成为注册供应商。</w:t>
      </w:r>
    </w:p>
    <w:p>
      <w:pPr>
        <w:snapToGrid w:val="0"/>
        <w:spacing w:line="360" w:lineRule="auto"/>
        <w:ind w:firstLine="411" w:firstLineChars="196"/>
        <w:rPr>
          <w:rFonts w:ascii="宋体" w:hAnsi="宋体" w:cs="Arial"/>
          <w:color w:val="auto"/>
          <w:szCs w:val="21"/>
          <w:highlight w:val="none"/>
        </w:rPr>
      </w:pPr>
      <w:r>
        <w:rPr>
          <w:rFonts w:hint="eastAsia" w:cs="Arial" w:asciiTheme="minorEastAsia" w:hAnsiTheme="minorEastAsia" w:eastAsiaTheme="minorEastAsia"/>
          <w:color w:val="auto"/>
          <w:szCs w:val="21"/>
          <w:highlight w:val="none"/>
        </w:rPr>
        <w:t>（2）本项目依据《浙江省政府采购项目电子交易管理暂行办法》采用电子交易方式实施采购，电子交易平台为政采云平台(</w:t>
      </w:r>
      <w:r>
        <w:rPr>
          <w:rFonts w:hint="eastAsia" w:asciiTheme="minorEastAsia" w:hAnsiTheme="minorEastAsia" w:eastAsiaTheme="minorEastAsia"/>
          <w:color w:val="auto"/>
          <w:szCs w:val="21"/>
          <w:highlight w:val="none"/>
          <w:u w:val="single"/>
        </w:rPr>
        <w:t>https：//www.zcygov.cn</w:t>
      </w:r>
      <w:r>
        <w:rPr>
          <w:rFonts w:hint="eastAsia" w:cs="Arial" w:asciiTheme="minorEastAsia" w:hAnsiTheme="minorEastAsia" w:eastAsiaTheme="minorEastAsia"/>
          <w:color w:val="auto"/>
          <w:szCs w:val="21"/>
          <w:highlight w:val="none"/>
        </w:rPr>
        <w:t>）。潜在投标人在参与本项目投标前应当完成政采云平台的账号注册、身份认证（CA数字证书申领）、“政采云电子交易客户端</w:t>
      </w:r>
      <w:r>
        <w:rPr>
          <w:rFonts w:hint="eastAsia" w:ascii="宋体" w:hAnsi="宋体" w:cs="Arial"/>
          <w:color w:val="auto"/>
          <w:szCs w:val="21"/>
          <w:highlight w:val="none"/>
        </w:rPr>
        <w:t>”下载安装。</w:t>
      </w:r>
    </w:p>
    <w:p>
      <w:pPr>
        <w:snapToGrid w:val="0"/>
        <w:spacing w:line="360" w:lineRule="auto"/>
        <w:ind w:firstLine="411" w:firstLineChars="196"/>
        <w:rPr>
          <w:rFonts w:ascii="宋体" w:hAnsi="宋体" w:cs="Arial"/>
          <w:color w:val="auto"/>
          <w:szCs w:val="21"/>
          <w:highlight w:val="none"/>
        </w:rPr>
      </w:pPr>
      <w:bookmarkStart w:id="25" w:name="_Toc28359008"/>
      <w:bookmarkStart w:id="26" w:name="_Toc28359085"/>
      <w:bookmarkStart w:id="27" w:name="_Toc35393796"/>
      <w:bookmarkStart w:id="28" w:name="_Toc35393627"/>
      <w:r>
        <w:rPr>
          <w:rFonts w:hint="eastAsia" w:ascii="宋体" w:hAnsi="宋体" w:cs="Arial"/>
          <w:color w:val="auto"/>
          <w:szCs w:val="21"/>
          <w:highlight w:val="none"/>
        </w:rPr>
        <w:t>（</w:t>
      </w:r>
      <w:r>
        <w:rPr>
          <w:rFonts w:ascii="宋体" w:hAnsi="宋体" w:cs="Arial"/>
          <w:color w:val="auto"/>
          <w:szCs w:val="21"/>
          <w:highlight w:val="none"/>
        </w:rPr>
        <w:t>3</w:t>
      </w:r>
      <w:r>
        <w:rPr>
          <w:rFonts w:hint="eastAsia" w:ascii="宋体" w:hAnsi="宋体" w:cs="Arial"/>
          <w:color w:val="auto"/>
          <w:szCs w:val="21"/>
          <w:highlight w:val="none"/>
        </w:rPr>
        <w:t>）投标人</w:t>
      </w:r>
      <w:r>
        <w:rPr>
          <w:rFonts w:ascii="宋体" w:hAnsi="宋体" w:cs="宋体"/>
          <w:color w:val="auto"/>
          <w:szCs w:val="21"/>
          <w:highlight w:val="none"/>
        </w:rPr>
        <w:t>如提供备份投标文件的，应于提交投标文件截止时间前，将以U盘存储的电子备份投标文件</w:t>
      </w:r>
      <w:r>
        <w:rPr>
          <w:rFonts w:hint="eastAsia" w:ascii="宋体" w:hAnsi="宋体" w:cs="宋体"/>
          <w:color w:val="auto"/>
          <w:szCs w:val="21"/>
          <w:highlight w:val="none"/>
        </w:rPr>
        <w:t>按照招标文件的规定密封、标注并盖章后</w:t>
      </w:r>
      <w:r>
        <w:rPr>
          <w:rFonts w:ascii="宋体" w:hAnsi="宋体" w:cs="宋体"/>
          <w:color w:val="auto"/>
          <w:szCs w:val="21"/>
          <w:highlight w:val="none"/>
        </w:rPr>
        <w:t>，递交至</w:t>
      </w:r>
      <w:r>
        <w:rPr>
          <w:rFonts w:hint="eastAsia" w:ascii="宋体" w:hAnsi="宋体" w:cs="Arial"/>
          <w:b/>
          <w:color w:val="auto"/>
          <w:szCs w:val="21"/>
          <w:highlight w:val="none"/>
        </w:rPr>
        <w:t>宁波市海曙区江汇城496号姚江时代14幢3楼</w:t>
      </w:r>
      <w:r>
        <w:rPr>
          <w:rFonts w:ascii="宋体" w:hAnsi="宋体" w:cs="宋体"/>
          <w:color w:val="auto"/>
          <w:szCs w:val="21"/>
          <w:highlight w:val="none"/>
        </w:rPr>
        <w:t>，逾期送达或未</w:t>
      </w:r>
      <w:r>
        <w:rPr>
          <w:rFonts w:hint="eastAsia" w:ascii="宋体" w:hAnsi="宋体" w:cs="宋体"/>
          <w:color w:val="auto"/>
          <w:szCs w:val="21"/>
          <w:highlight w:val="none"/>
        </w:rPr>
        <w:t>按照规定</w:t>
      </w:r>
      <w:r>
        <w:rPr>
          <w:rFonts w:ascii="宋体" w:hAnsi="宋体" w:cs="宋体"/>
          <w:color w:val="auto"/>
          <w:szCs w:val="21"/>
          <w:highlight w:val="none"/>
        </w:rPr>
        <w:t>密封</w:t>
      </w:r>
      <w:r>
        <w:rPr>
          <w:rFonts w:hint="eastAsia" w:ascii="宋体" w:hAnsi="宋体" w:cs="宋体"/>
          <w:color w:val="auto"/>
          <w:szCs w:val="21"/>
          <w:highlight w:val="none"/>
        </w:rPr>
        <w:t>包装的招标代理机构有权拒绝接收</w:t>
      </w:r>
      <w:r>
        <w:rPr>
          <w:rFonts w:ascii="宋体" w:hAnsi="宋体" w:cs="宋体"/>
          <w:color w:val="auto"/>
          <w:szCs w:val="21"/>
          <w:highlight w:val="none"/>
        </w:rPr>
        <w:t>。</w:t>
      </w:r>
    </w:p>
    <w:p>
      <w:pPr>
        <w:snapToGrid w:val="0"/>
        <w:spacing w:line="360" w:lineRule="auto"/>
        <w:ind w:firstLine="411" w:firstLineChars="196"/>
        <w:rPr>
          <w:rFonts w:ascii="宋体" w:hAnsi="宋体"/>
          <w:b/>
          <w:bCs/>
          <w:color w:val="auto"/>
          <w:szCs w:val="21"/>
          <w:highlight w:val="none"/>
        </w:rPr>
      </w:pPr>
      <w:r>
        <w:rPr>
          <w:rFonts w:ascii="宋体" w:hAnsi="宋体"/>
          <w:bCs/>
          <w:color w:val="auto"/>
          <w:szCs w:val="21"/>
          <w:highlight w:val="none"/>
        </w:rPr>
        <w:t>（4）落实政府采购政策：</w:t>
      </w:r>
      <w:r>
        <w:rPr>
          <w:rFonts w:ascii="宋体" w:hAnsi="宋体"/>
          <w:color w:val="auto"/>
          <w:szCs w:val="21"/>
          <w:highlight w:val="none"/>
        </w:rPr>
        <w:t>本项目对符合财政扶持政策的中小企业、监狱企业、残疾人福利性单位给予价格优惠。</w:t>
      </w:r>
    </w:p>
    <w:p>
      <w:pPr>
        <w:snapToGrid w:val="0"/>
        <w:spacing w:line="360" w:lineRule="auto"/>
        <w:ind w:firstLine="422"/>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七、对本次招标提出询问，请按</w:t>
      </w:r>
      <w:r>
        <w:rPr>
          <w:rFonts w:cs="Arial" w:asciiTheme="minorEastAsia" w:hAnsiTheme="minorEastAsia" w:eastAsiaTheme="minorEastAsia"/>
          <w:b/>
          <w:color w:val="auto"/>
          <w:szCs w:val="21"/>
          <w:highlight w:val="none"/>
        </w:rPr>
        <w:t>以下方式</w:t>
      </w:r>
      <w:r>
        <w:rPr>
          <w:rFonts w:hint="eastAsia" w:cs="Arial" w:asciiTheme="minorEastAsia" w:hAnsiTheme="minorEastAsia" w:eastAsiaTheme="minorEastAsia"/>
          <w:b/>
          <w:color w:val="auto"/>
          <w:szCs w:val="21"/>
          <w:highlight w:val="none"/>
        </w:rPr>
        <w:t>联系。</w:t>
      </w:r>
      <w:bookmarkEnd w:id="25"/>
      <w:bookmarkEnd w:id="26"/>
      <w:bookmarkEnd w:id="27"/>
      <w:bookmarkEnd w:id="28"/>
    </w:p>
    <w:p>
      <w:pPr>
        <w:snapToGrid w:val="0"/>
        <w:spacing w:line="360" w:lineRule="auto"/>
        <w:ind w:firstLine="411" w:firstLineChars="196"/>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1.采购人信息</w:t>
      </w:r>
    </w:p>
    <w:p>
      <w:pPr>
        <w:snapToGrid w:val="0"/>
        <w:spacing w:line="360" w:lineRule="auto"/>
        <w:ind w:firstLine="411" w:firstLineChars="19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名称：宁波工程学院</w:t>
      </w:r>
    </w:p>
    <w:p>
      <w:pPr>
        <w:snapToGrid w:val="0"/>
        <w:spacing w:line="360" w:lineRule="auto"/>
        <w:ind w:firstLine="411" w:firstLineChars="19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地址：</w:t>
      </w:r>
      <w:r>
        <w:rPr>
          <w:rFonts w:asciiTheme="minorEastAsia" w:hAnsiTheme="minorEastAsia" w:eastAsiaTheme="minorEastAsia"/>
          <w:color w:val="auto"/>
          <w:szCs w:val="21"/>
          <w:highlight w:val="none"/>
        </w:rPr>
        <w:t>宁波市江北区风华路201号</w:t>
      </w:r>
    </w:p>
    <w:p>
      <w:pPr>
        <w:snapToGrid w:val="0"/>
        <w:spacing w:line="360" w:lineRule="auto"/>
        <w:ind w:firstLine="411" w:firstLineChars="19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传真：/</w:t>
      </w:r>
    </w:p>
    <w:p>
      <w:pPr>
        <w:snapToGrid w:val="0"/>
        <w:spacing w:line="360" w:lineRule="auto"/>
        <w:ind w:firstLine="411" w:firstLineChars="196"/>
        <w:rPr>
          <w:rFonts w:asciiTheme="minorEastAsia" w:hAnsiTheme="minorEastAsia" w:eastAsiaTheme="minorEastAsia"/>
          <w:color w:val="auto"/>
          <w:szCs w:val="21"/>
          <w:highlight w:val="none"/>
        </w:rPr>
      </w:pPr>
      <w:bookmarkStart w:id="29" w:name="_Toc28359086"/>
      <w:bookmarkStart w:id="30" w:name="_Toc28359009"/>
      <w:r>
        <w:rPr>
          <w:rFonts w:hint="eastAsia" w:asciiTheme="minorEastAsia" w:hAnsiTheme="minorEastAsia" w:eastAsiaTheme="minorEastAsia"/>
          <w:color w:val="auto"/>
          <w:szCs w:val="21"/>
          <w:highlight w:val="none"/>
        </w:rPr>
        <w:t>项目联系人（询问）：刘老师</w:t>
      </w:r>
    </w:p>
    <w:p>
      <w:pPr>
        <w:snapToGrid w:val="0"/>
        <w:spacing w:line="360" w:lineRule="auto"/>
        <w:ind w:firstLine="411" w:firstLineChars="19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项目联系方式（询问）：</w:t>
      </w:r>
      <w:r>
        <w:rPr>
          <w:rFonts w:asciiTheme="minorEastAsia" w:hAnsiTheme="minorEastAsia" w:eastAsiaTheme="minorEastAsia"/>
          <w:color w:val="auto"/>
          <w:szCs w:val="21"/>
          <w:highlight w:val="none"/>
        </w:rPr>
        <w:t>0574-87610519</w:t>
      </w:r>
    </w:p>
    <w:p>
      <w:pPr>
        <w:snapToGrid w:val="0"/>
        <w:spacing w:line="360" w:lineRule="auto"/>
        <w:ind w:firstLine="411" w:firstLineChars="19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质疑联系人：应老师</w:t>
      </w:r>
    </w:p>
    <w:p>
      <w:pPr>
        <w:snapToGrid w:val="0"/>
        <w:spacing w:line="360" w:lineRule="auto"/>
        <w:ind w:firstLine="411" w:firstLineChars="19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质疑联系方式：</w:t>
      </w:r>
      <w:r>
        <w:rPr>
          <w:rFonts w:asciiTheme="minorEastAsia" w:hAnsiTheme="minorEastAsia" w:eastAsiaTheme="minorEastAsia"/>
          <w:color w:val="auto"/>
          <w:szCs w:val="21"/>
          <w:highlight w:val="none"/>
        </w:rPr>
        <w:t>0574-87610520</w:t>
      </w:r>
    </w:p>
    <w:p>
      <w:pPr>
        <w:snapToGrid w:val="0"/>
        <w:spacing w:line="360" w:lineRule="auto"/>
        <w:ind w:firstLine="411" w:firstLineChars="196"/>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2.采购代理机构信息</w:t>
      </w:r>
      <w:bookmarkEnd w:id="29"/>
      <w:bookmarkEnd w:id="30"/>
    </w:p>
    <w:p>
      <w:pPr>
        <w:snapToGrid w:val="0"/>
        <w:spacing w:line="360" w:lineRule="auto"/>
        <w:ind w:firstLine="411" w:firstLineChars="196"/>
        <w:rPr>
          <w:rFonts w:asciiTheme="minorEastAsia" w:hAnsiTheme="minorEastAsia" w:eastAsiaTheme="minorEastAsia"/>
          <w:color w:val="auto"/>
          <w:szCs w:val="21"/>
          <w:highlight w:val="none"/>
        </w:rPr>
      </w:pPr>
      <w:bookmarkStart w:id="31" w:name="_Toc28359087"/>
      <w:bookmarkStart w:id="32" w:name="_Toc28359010"/>
      <w:r>
        <w:rPr>
          <w:rFonts w:hint="eastAsia" w:asciiTheme="minorEastAsia" w:hAnsiTheme="minorEastAsia" w:eastAsiaTheme="minorEastAsia"/>
          <w:color w:val="auto"/>
          <w:szCs w:val="21"/>
          <w:highlight w:val="none"/>
        </w:rPr>
        <w:t>名称：宁波名诚招标代理有限公司</w:t>
      </w:r>
    </w:p>
    <w:p>
      <w:pPr>
        <w:snapToGrid w:val="0"/>
        <w:spacing w:line="360" w:lineRule="auto"/>
        <w:ind w:firstLine="411" w:firstLineChars="19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地址：宁波市海曙区江汇城496号姚江时代14幢3楼</w:t>
      </w:r>
    </w:p>
    <w:p>
      <w:pPr>
        <w:snapToGrid w:val="0"/>
        <w:spacing w:line="360" w:lineRule="auto"/>
        <w:ind w:firstLine="411" w:firstLineChars="19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传真：0574-87103586</w:t>
      </w:r>
    </w:p>
    <w:p>
      <w:pPr>
        <w:snapToGrid w:val="0"/>
        <w:spacing w:line="360" w:lineRule="auto"/>
        <w:ind w:firstLine="411" w:firstLineChars="19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项目联系人（询问）：</w:t>
      </w:r>
      <w:r>
        <w:rPr>
          <w:rFonts w:ascii="宋体" w:hAnsi="宋体"/>
          <w:color w:val="auto"/>
          <w:szCs w:val="21"/>
          <w:highlight w:val="none"/>
        </w:rPr>
        <w:t>王立挺、</w:t>
      </w:r>
      <w:r>
        <w:rPr>
          <w:rFonts w:hint="eastAsia" w:ascii="宋体" w:hAnsi="宋体"/>
          <w:color w:val="auto"/>
          <w:szCs w:val="21"/>
          <w:highlight w:val="none"/>
        </w:rPr>
        <w:t>何晟昊、</w:t>
      </w:r>
      <w:r>
        <w:rPr>
          <w:rFonts w:ascii="宋体" w:hAnsi="宋体"/>
          <w:color w:val="auto"/>
          <w:szCs w:val="21"/>
          <w:highlight w:val="none"/>
        </w:rPr>
        <w:t>江森杰、金生华、王裕挺</w:t>
      </w:r>
    </w:p>
    <w:p>
      <w:pPr>
        <w:snapToGrid w:val="0"/>
        <w:spacing w:line="360" w:lineRule="auto"/>
        <w:ind w:firstLine="411" w:firstLineChars="19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项目联系方式（询问）：</w:t>
      </w:r>
      <w:r>
        <w:rPr>
          <w:rFonts w:asciiTheme="minorEastAsia" w:hAnsiTheme="minorEastAsia" w:eastAsiaTheme="minorEastAsia"/>
          <w:color w:val="auto"/>
          <w:szCs w:val="21"/>
          <w:highlight w:val="none"/>
        </w:rPr>
        <w:t>057</w:t>
      </w:r>
      <w:r>
        <w:rPr>
          <w:rFonts w:hint="eastAsia" w:asciiTheme="minorEastAsia" w:hAnsiTheme="minorEastAsia" w:eastAsiaTheme="minorEastAsia"/>
          <w:color w:val="auto"/>
          <w:szCs w:val="21"/>
          <w:highlight w:val="none"/>
        </w:rPr>
        <w:t>4</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87101259</w:t>
      </w:r>
    </w:p>
    <w:p>
      <w:pPr>
        <w:snapToGrid w:val="0"/>
        <w:spacing w:line="360" w:lineRule="auto"/>
        <w:ind w:firstLine="411" w:firstLineChars="19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质疑联系人：方芳</w:t>
      </w:r>
    </w:p>
    <w:p>
      <w:pPr>
        <w:snapToGrid w:val="0"/>
        <w:spacing w:line="360" w:lineRule="auto"/>
        <w:ind w:firstLine="411" w:firstLineChars="19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质疑联系方式：0574-87101271</w:t>
      </w:r>
    </w:p>
    <w:bookmarkEnd w:id="31"/>
    <w:bookmarkEnd w:id="32"/>
    <w:p>
      <w:pPr>
        <w:snapToGrid w:val="0"/>
        <w:spacing w:line="360" w:lineRule="auto"/>
        <w:ind w:firstLine="411" w:firstLineChars="196"/>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3.同级政府采购监督管理部门</w:t>
      </w:r>
    </w:p>
    <w:p>
      <w:pPr>
        <w:snapToGrid w:val="0"/>
        <w:spacing w:line="360" w:lineRule="auto"/>
        <w:ind w:firstLine="411" w:firstLineChars="196"/>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名称：宁波市财政局政府采购办公室</w:t>
      </w:r>
    </w:p>
    <w:p>
      <w:pPr>
        <w:snapToGrid w:val="0"/>
        <w:spacing w:line="360" w:lineRule="auto"/>
        <w:ind w:firstLine="411" w:firstLineChars="196"/>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地址：宁波市海曙区中山西路19号</w:t>
      </w:r>
    </w:p>
    <w:p>
      <w:pPr>
        <w:snapToGrid w:val="0"/>
        <w:spacing w:line="360" w:lineRule="auto"/>
        <w:ind w:firstLine="411" w:firstLineChars="196"/>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传真：/</w:t>
      </w:r>
    </w:p>
    <w:p>
      <w:pPr>
        <w:snapToGrid w:val="0"/>
        <w:spacing w:line="360" w:lineRule="auto"/>
        <w:ind w:firstLine="411" w:firstLineChars="196"/>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联系人：</w:t>
      </w:r>
      <w:r>
        <w:rPr>
          <w:rFonts w:hint="eastAsia" w:asciiTheme="minorEastAsia" w:hAnsiTheme="minorEastAsia" w:eastAsiaTheme="minorEastAsia"/>
          <w:color w:val="auto"/>
          <w:szCs w:val="21"/>
          <w:highlight w:val="none"/>
        </w:rPr>
        <w:t>李</w:t>
      </w:r>
      <w:r>
        <w:rPr>
          <w:rFonts w:asciiTheme="minorEastAsia" w:hAnsiTheme="minorEastAsia" w:eastAsiaTheme="minorEastAsia"/>
          <w:color w:val="auto"/>
          <w:szCs w:val="21"/>
          <w:highlight w:val="none"/>
        </w:rPr>
        <w:t>老师</w:t>
      </w:r>
    </w:p>
    <w:p>
      <w:pPr>
        <w:snapToGrid w:val="0"/>
        <w:spacing w:line="360" w:lineRule="auto"/>
        <w:ind w:firstLine="411" w:firstLineChars="196"/>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监督投诉电话：0574-89388042</w:t>
      </w:r>
    </w:p>
    <w:p>
      <w:pPr>
        <w:pStyle w:val="2"/>
        <w:spacing w:after="0" w:line="360" w:lineRule="auto"/>
        <w:ind w:firstLine="560"/>
        <w:rPr>
          <w:rFonts w:asciiTheme="minorEastAsia" w:hAnsiTheme="minorEastAsia" w:eastAsiaTheme="minorEastAsia"/>
          <w:color w:val="auto"/>
          <w:highlight w:val="none"/>
        </w:rPr>
      </w:pPr>
    </w:p>
    <w:p>
      <w:pPr>
        <w:snapToGrid w:val="0"/>
        <w:spacing w:line="400" w:lineRule="exact"/>
        <w:ind w:firstLine="411" w:firstLineChars="19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若对项目采购电子交易系统操作有疑问，可登录政采云（https://www.zcygov.cn/），点击右侧咨询小采，获取采小蜜智能服务管家帮助，或拨打政采云服务热线</w:t>
      </w:r>
      <w:r>
        <w:rPr>
          <w:rFonts w:asciiTheme="minorEastAsia" w:hAnsiTheme="minorEastAsia" w:eastAsiaTheme="minorEastAsia"/>
          <w:color w:val="auto"/>
          <w:szCs w:val="21"/>
          <w:highlight w:val="none"/>
        </w:rPr>
        <w:t>95763</w:t>
      </w:r>
      <w:r>
        <w:rPr>
          <w:rFonts w:hint="eastAsia" w:asciiTheme="minorEastAsia" w:hAnsiTheme="minorEastAsia" w:eastAsiaTheme="minorEastAsia"/>
          <w:color w:val="auto"/>
          <w:szCs w:val="21"/>
          <w:highlight w:val="none"/>
        </w:rPr>
        <w:t>获取热线服务帮助。</w:t>
      </w:r>
    </w:p>
    <w:p>
      <w:pPr>
        <w:snapToGrid w:val="0"/>
        <w:spacing w:line="400" w:lineRule="exact"/>
        <w:ind w:firstLine="411" w:firstLineChars="19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CA问题联系电话（人工）：汇信CA 400-888-4636；天谷CA 400-087-8198。</w:t>
      </w:r>
    </w:p>
    <w:p>
      <w:pPr>
        <w:pStyle w:val="2"/>
        <w:ind w:firstLine="560"/>
        <w:rPr>
          <w:color w:val="auto"/>
          <w:highlight w:val="none"/>
        </w:rPr>
      </w:pPr>
    </w:p>
    <w:p>
      <w:pPr>
        <w:pStyle w:val="3"/>
        <w:ind w:firstLine="280"/>
        <w:rPr>
          <w:color w:val="auto"/>
          <w:highlight w:val="none"/>
        </w:rPr>
      </w:pPr>
    </w:p>
    <w:p>
      <w:pPr>
        <w:widowControl/>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br w:type="page"/>
      </w:r>
    </w:p>
    <w:p>
      <w:pPr>
        <w:pStyle w:val="4"/>
        <w:spacing w:before="0" w:after="0"/>
        <w:ind w:firstLine="482"/>
        <w:rPr>
          <w:rFonts w:asciiTheme="minorEastAsia" w:hAnsiTheme="minorEastAsia" w:eastAsiaTheme="minorEastAsia"/>
          <w:color w:val="auto"/>
          <w:highlight w:val="none"/>
        </w:rPr>
      </w:pPr>
      <w:bookmarkStart w:id="33" w:name="_Toc118452525"/>
      <w:r>
        <w:rPr>
          <w:rFonts w:hint="eastAsia" w:asciiTheme="minorEastAsia" w:hAnsiTheme="minorEastAsia" w:eastAsiaTheme="minorEastAsia"/>
          <w:color w:val="auto"/>
          <w:highlight w:val="none"/>
        </w:rPr>
        <w:t>第二章  采购需求</w:t>
      </w:r>
      <w:bookmarkEnd w:id="33"/>
    </w:p>
    <w:p>
      <w:pPr>
        <w:spacing w:line="360" w:lineRule="auto"/>
        <w:ind w:firstLine="422"/>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前注</w:t>
      </w:r>
    </w:p>
    <w:p>
      <w:pPr>
        <w:spacing w:line="360" w:lineRule="auto"/>
        <w:ind w:firstLine="420" w:firstLineChars="200"/>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本项目技术和服务的详细要求，投标人必须对其有明确的响应，并如实描述偏离情况。明确要求提供证明材料的，如在投标响应时仅复制粘贴或仅具有文字描述而未在投标文件中提供要求的佐证材料，其产生的影响直至被认定为未实质性响应的后果将由投标人自行承担。</w:t>
      </w:r>
    </w:p>
    <w:p>
      <w:pPr>
        <w:pStyle w:val="3"/>
        <w:ind w:firstLine="211"/>
        <w:rPr>
          <w:b/>
          <w:color w:val="auto"/>
          <w:sz w:val="21"/>
          <w:szCs w:val="21"/>
          <w:highlight w:val="none"/>
        </w:rPr>
      </w:pPr>
      <w:r>
        <w:rPr>
          <w:rFonts w:hint="eastAsia"/>
          <w:b/>
          <w:color w:val="auto"/>
          <w:sz w:val="21"/>
          <w:szCs w:val="21"/>
          <w:highlight w:val="none"/>
        </w:rPr>
        <w:t>标项一：原子力显微镜</w:t>
      </w:r>
    </w:p>
    <w:p>
      <w:pPr>
        <w:pStyle w:val="29"/>
        <w:spacing w:before="120" w:beforeLines="50" w:after="120" w:afterLines="50" w:line="360" w:lineRule="auto"/>
        <w:ind w:firstLine="495" w:firstLineChars="235"/>
        <w:rPr>
          <w:rFonts w:ascii="宋体" w:hAnsi="宋体" w:cs="宋体"/>
          <w:b/>
          <w:bCs/>
          <w:color w:val="auto"/>
          <w:sz w:val="21"/>
          <w:szCs w:val="21"/>
          <w:highlight w:val="none"/>
        </w:rPr>
      </w:pPr>
      <w:r>
        <w:rPr>
          <w:rFonts w:hint="eastAsia" w:ascii="宋体" w:hAnsi="宋体" w:cs="宋体"/>
          <w:b/>
          <w:bCs/>
          <w:color w:val="auto"/>
          <w:sz w:val="21"/>
          <w:szCs w:val="21"/>
          <w:highlight w:val="none"/>
        </w:rPr>
        <w:t>（1）技术要求</w:t>
      </w:r>
    </w:p>
    <w:tbl>
      <w:tblPr>
        <w:tblStyle w:val="44"/>
        <w:tblW w:w="8931" w:type="dxa"/>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0" w:type="dxa"/>
          <w:bottom w:w="0" w:type="dxa"/>
          <w:right w:w="0" w:type="dxa"/>
        </w:tblCellMar>
      </w:tblPr>
      <w:tblGrid>
        <w:gridCol w:w="1134"/>
        <w:gridCol w:w="7797"/>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blHeader/>
        </w:trPr>
        <w:tc>
          <w:tcPr>
            <w:tcW w:w="1134" w:type="dxa"/>
            <w:tcBorders>
              <w:bottom w:val="single" w:color="auto" w:sz="4" w:space="0"/>
            </w:tcBorders>
            <w:vAlign w:val="center"/>
          </w:tcPr>
          <w:p>
            <w:pPr>
              <w:ind w:firstLine="211" w:firstLineChars="100"/>
              <w:rPr>
                <w:rFonts w:ascii="仿宋" w:hAnsi="仿宋" w:cs="宋体"/>
                <w:b/>
                <w:color w:val="auto"/>
                <w:szCs w:val="21"/>
                <w:highlight w:val="none"/>
              </w:rPr>
            </w:pPr>
            <w:r>
              <w:rPr>
                <w:rFonts w:hint="eastAsia" w:ascii="仿宋" w:hAnsi="仿宋" w:cs="宋体"/>
                <w:b/>
                <w:color w:val="auto"/>
                <w:szCs w:val="21"/>
                <w:highlight w:val="none"/>
              </w:rPr>
              <w:t>条款号</w:t>
            </w:r>
          </w:p>
        </w:tc>
        <w:tc>
          <w:tcPr>
            <w:tcW w:w="7797" w:type="dxa"/>
            <w:tcBorders>
              <w:bottom w:val="single" w:color="auto" w:sz="4" w:space="0"/>
            </w:tcBorders>
            <w:vAlign w:val="center"/>
          </w:tcPr>
          <w:p>
            <w:pPr>
              <w:ind w:firstLine="422"/>
              <w:jc w:val="center"/>
              <w:rPr>
                <w:rFonts w:ascii="仿宋" w:hAnsi="仿宋" w:cs="宋体"/>
                <w:b/>
                <w:color w:val="auto"/>
                <w:szCs w:val="21"/>
                <w:highlight w:val="none"/>
              </w:rPr>
            </w:pPr>
            <w:r>
              <w:rPr>
                <w:rFonts w:hint="eastAsia" w:ascii="仿宋" w:hAnsi="仿宋" w:cs="宋体"/>
                <w:b/>
                <w:color w:val="auto"/>
                <w:szCs w:val="21"/>
                <w:highlight w:val="none"/>
              </w:rPr>
              <w:t>招标规格</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134"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一</w:t>
            </w:r>
          </w:p>
        </w:tc>
        <w:tc>
          <w:tcPr>
            <w:tcW w:w="7797"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主要功能与模式：能够观测样品表面微区(纳米及亚微米尺度)三维形貌；同时可对样品表面物理化学特性进行研究，能测试多种材料表面纳米力学特性、电学特性、表面电势、磁场力、静电力、摩擦力等性质。</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134"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1.1</w:t>
            </w:r>
          </w:p>
        </w:tc>
        <w:tc>
          <w:tcPr>
            <w:tcW w:w="7797"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接触模式</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134"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1.2</w:t>
            </w:r>
          </w:p>
        </w:tc>
        <w:tc>
          <w:tcPr>
            <w:tcW w:w="7797"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轻敲模式</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134"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1.3</w:t>
            </w:r>
          </w:p>
        </w:tc>
        <w:tc>
          <w:tcPr>
            <w:tcW w:w="7797"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相位成像模式</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134"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1.4</w:t>
            </w:r>
          </w:p>
        </w:tc>
        <w:tc>
          <w:tcPr>
            <w:tcW w:w="7797"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横向力模式</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134"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1.5</w:t>
            </w:r>
          </w:p>
        </w:tc>
        <w:tc>
          <w:tcPr>
            <w:tcW w:w="7797"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峰值力轻敲模式</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134"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1.6</w:t>
            </w:r>
          </w:p>
        </w:tc>
        <w:tc>
          <w:tcPr>
            <w:tcW w:w="7797"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磁力显微镜功能</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134"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1.7</w:t>
            </w:r>
          </w:p>
        </w:tc>
        <w:tc>
          <w:tcPr>
            <w:tcW w:w="7797"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静电力显微镜功能</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134"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1.8</w:t>
            </w:r>
          </w:p>
        </w:tc>
        <w:tc>
          <w:tcPr>
            <w:tcW w:w="7797"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表面电势测试功能</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134"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1.9</w:t>
            </w:r>
          </w:p>
        </w:tc>
        <w:tc>
          <w:tcPr>
            <w:tcW w:w="7797"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力曲线测试功能</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134"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二</w:t>
            </w:r>
          </w:p>
        </w:tc>
        <w:tc>
          <w:tcPr>
            <w:tcW w:w="7797" w:type="dxa"/>
            <w:tcBorders>
              <w:top w:val="single" w:color="auto" w:sz="2" w:space="0"/>
              <w:bottom w:val="single" w:color="auto" w:sz="2" w:space="0"/>
            </w:tcBorders>
            <w:vAlign w:val="center"/>
          </w:tcPr>
          <w:p>
            <w:pPr>
              <w:ind w:firstLine="422"/>
              <w:rPr>
                <w:rFonts w:ascii="仿宋" w:hAnsi="仿宋" w:cs="宋体"/>
                <w:color w:val="auto"/>
                <w:szCs w:val="21"/>
                <w:highlight w:val="none"/>
              </w:rPr>
            </w:pPr>
            <w:r>
              <w:rPr>
                <w:rFonts w:hint="eastAsia" w:ascii="仿宋" w:hAnsi="仿宋" w:cs="宋体"/>
                <w:b/>
                <w:bCs/>
                <w:color w:val="auto"/>
                <w:szCs w:val="21"/>
                <w:highlight w:val="none"/>
              </w:rPr>
              <w:t>设备组成</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134"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2.1</w:t>
            </w:r>
          </w:p>
        </w:tc>
        <w:tc>
          <w:tcPr>
            <w:tcW w:w="7797"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高速控制器系统</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134"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2.2</w:t>
            </w:r>
          </w:p>
        </w:tc>
        <w:tc>
          <w:tcPr>
            <w:tcW w:w="7797"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原子力显微镜主机</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134"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2.3</w:t>
            </w:r>
          </w:p>
        </w:tc>
        <w:tc>
          <w:tcPr>
            <w:tcW w:w="7797"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XYZ三轴闭环扫描器</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134"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2.4</w:t>
            </w:r>
          </w:p>
        </w:tc>
        <w:tc>
          <w:tcPr>
            <w:tcW w:w="7797"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探针支架</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134"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2.5</w:t>
            </w:r>
          </w:p>
        </w:tc>
        <w:tc>
          <w:tcPr>
            <w:tcW w:w="7797"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200mm马达自动控制样品台</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134"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2.6</w:t>
            </w:r>
          </w:p>
        </w:tc>
        <w:tc>
          <w:tcPr>
            <w:tcW w:w="7797"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辅助光学系统，含高分辩CCD系统</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134"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2.7</w:t>
            </w:r>
          </w:p>
        </w:tc>
        <w:tc>
          <w:tcPr>
            <w:tcW w:w="7797"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一体式防震台</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134"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三</w:t>
            </w:r>
          </w:p>
        </w:tc>
        <w:tc>
          <w:tcPr>
            <w:tcW w:w="7797" w:type="dxa"/>
            <w:tcBorders>
              <w:top w:val="single" w:color="auto" w:sz="2" w:space="0"/>
              <w:bottom w:val="single" w:color="auto" w:sz="2" w:space="0"/>
            </w:tcBorders>
            <w:vAlign w:val="center"/>
          </w:tcPr>
          <w:p>
            <w:pPr>
              <w:ind w:firstLine="422"/>
              <w:rPr>
                <w:rFonts w:ascii="仿宋" w:hAnsi="仿宋" w:cs="宋体"/>
                <w:b/>
                <w:bCs/>
                <w:color w:val="auto"/>
                <w:szCs w:val="21"/>
                <w:highlight w:val="none"/>
              </w:rPr>
            </w:pPr>
            <w:r>
              <w:rPr>
                <w:rFonts w:hint="eastAsia" w:ascii="仿宋" w:hAnsi="仿宋" w:cs="宋体"/>
                <w:b/>
                <w:bCs/>
                <w:color w:val="auto"/>
                <w:szCs w:val="21"/>
                <w:highlight w:val="none"/>
              </w:rPr>
              <w:t>设备技术参数∕指标：</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134"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3.1</w:t>
            </w:r>
          </w:p>
        </w:tc>
        <w:tc>
          <w:tcPr>
            <w:tcW w:w="7797"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扫描器：</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134"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▲3.1.1</w:t>
            </w:r>
          </w:p>
        </w:tc>
        <w:tc>
          <w:tcPr>
            <w:tcW w:w="7797"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XYZ 三轴闭环扫描器，XY方向90微米，Z方向10微米。</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134"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▲3.1.2</w:t>
            </w:r>
          </w:p>
        </w:tc>
        <w:tc>
          <w:tcPr>
            <w:tcW w:w="7797"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要求具备全探针扫描技术的扫描器，扫描过程中由扫描器带动探针进行XYZ三个方向的移动，而样品为完全静止状态，以保证大样品测试的安全和稳定。</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134"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▲3.1.3</w:t>
            </w:r>
          </w:p>
        </w:tc>
        <w:tc>
          <w:tcPr>
            <w:tcW w:w="7797"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Z方向噪声水平:开环控制&lt; 0.3</w:t>
            </w:r>
            <w:r>
              <w:rPr>
                <w:rFonts w:hint="eastAsia" w:ascii="宋体" w:hAnsi="宋体" w:cs="宋体"/>
                <w:color w:val="auto"/>
                <w:szCs w:val="21"/>
                <w:highlight w:val="none"/>
              </w:rPr>
              <w:t>Å</w:t>
            </w:r>
            <w:r>
              <w:rPr>
                <w:rFonts w:hint="eastAsia" w:ascii="仿宋" w:hAnsi="仿宋" w:cs="宋体"/>
                <w:color w:val="auto"/>
                <w:szCs w:val="21"/>
                <w:highlight w:val="none"/>
              </w:rPr>
              <w:t xml:space="preserve"> ，闭环控制&lt; 0.35 </w:t>
            </w:r>
            <w:r>
              <w:rPr>
                <w:rFonts w:hint="eastAsia" w:ascii="宋体" w:hAnsi="宋体" w:cs="宋体"/>
                <w:color w:val="auto"/>
                <w:szCs w:val="21"/>
                <w:highlight w:val="none"/>
              </w:rPr>
              <w:t>Å</w:t>
            </w:r>
            <w:r>
              <w:rPr>
                <w:rFonts w:hint="eastAsia" w:ascii="仿宋" w:hAnsi="仿宋" w:cs="宋体"/>
                <w:color w:val="auto"/>
                <w:szCs w:val="21"/>
                <w:highlight w:val="none"/>
              </w:rPr>
              <w:t>（图象测试）；&lt; 0.5</w:t>
            </w:r>
            <w:r>
              <w:rPr>
                <w:rFonts w:hint="eastAsia" w:ascii="宋体" w:hAnsi="宋体" w:cs="宋体"/>
                <w:color w:val="auto"/>
                <w:szCs w:val="21"/>
                <w:highlight w:val="none"/>
              </w:rPr>
              <w:t>Å</w:t>
            </w:r>
            <w:r>
              <w:rPr>
                <w:rFonts w:hint="eastAsia" w:ascii="仿宋" w:hAnsi="仿宋" w:cs="宋体"/>
                <w:color w:val="auto"/>
                <w:szCs w:val="21"/>
                <w:highlight w:val="none"/>
              </w:rPr>
              <w:t>（力测试）。</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134"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▲3.1.4</w:t>
            </w:r>
          </w:p>
        </w:tc>
        <w:tc>
          <w:tcPr>
            <w:tcW w:w="7797"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XY方向噪音水平:开环控制&lt; 0.1nm, 闭环控制&lt; 0.15nm。</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134"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3.1.5</w:t>
            </w:r>
          </w:p>
        </w:tc>
        <w:tc>
          <w:tcPr>
            <w:tcW w:w="7797"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进针方式:智能自动进针方式，马达加压电陶瓷自动探测的智能进针模式。</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134"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3.2</w:t>
            </w:r>
          </w:p>
        </w:tc>
        <w:tc>
          <w:tcPr>
            <w:tcW w:w="7797"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AFM控制系统及功能：</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134"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3.2.1</w:t>
            </w:r>
          </w:p>
        </w:tc>
        <w:tc>
          <w:tcPr>
            <w:tcW w:w="7797"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智能扫描功能，自动设定扫描，用户只需要选择扫描速度及扫描范围，系统即可自动调整反馈，无需寻找共振峰,无需调整反馈参数gain值，可直接液体环境成像。</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134"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3.2.2</w:t>
            </w:r>
          </w:p>
        </w:tc>
        <w:tc>
          <w:tcPr>
            <w:tcW w:w="7797"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控制器内置三个锁向放大器，控制器反馈响应时间小于等于2微秒。</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134"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3.2.3</w:t>
            </w:r>
          </w:p>
        </w:tc>
        <w:tc>
          <w:tcPr>
            <w:tcW w:w="7797" w:type="dxa"/>
            <w:tcBorders>
              <w:top w:val="single" w:color="auto" w:sz="2" w:space="0"/>
              <w:bottom w:val="single" w:color="auto" w:sz="2" w:space="0"/>
            </w:tcBorders>
            <w:vAlign w:val="center"/>
          </w:tcPr>
          <w:p>
            <w:pPr>
              <w:tabs>
                <w:tab w:val="left" w:pos="7820"/>
              </w:tabs>
              <w:rPr>
                <w:rFonts w:ascii="仿宋" w:hAnsi="仿宋" w:cs="宋体"/>
                <w:color w:val="auto"/>
                <w:szCs w:val="21"/>
                <w:highlight w:val="none"/>
              </w:rPr>
            </w:pPr>
            <w:r>
              <w:rPr>
                <w:rFonts w:hint="eastAsia" w:ascii="仿宋" w:hAnsi="仿宋" w:cs="宋体"/>
                <w:color w:val="auto"/>
                <w:szCs w:val="21"/>
                <w:highlight w:val="none"/>
              </w:rPr>
              <w:t>数据采样率达到50MHZ，控制器≥11个DAC 和 11个ADC。</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134"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3.2.4</w:t>
            </w:r>
          </w:p>
        </w:tc>
        <w:tc>
          <w:tcPr>
            <w:tcW w:w="7797"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标定探针的弹性常数，Thermal Tuning 频率达到 2MHZ。</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134"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3.2.5</w:t>
            </w:r>
          </w:p>
        </w:tc>
        <w:tc>
          <w:tcPr>
            <w:tcW w:w="7797"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每条扫描线可获得据点≥ 16,000。</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134"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3.2.6</w:t>
            </w:r>
          </w:p>
        </w:tc>
        <w:tc>
          <w:tcPr>
            <w:tcW w:w="7797"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系统可实现抬高模式的控制，实现对表面磁学，电学特征的表征。</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134"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3.2.7</w:t>
            </w:r>
          </w:p>
        </w:tc>
        <w:tc>
          <w:tcPr>
            <w:tcW w:w="7797"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力谱线测试模式:可同时测试表面的力曲线的阵列,同时得到表面力的谱图,最大取点密度:256×256。</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134"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3.2.8</w:t>
            </w:r>
          </w:p>
        </w:tc>
        <w:tc>
          <w:tcPr>
            <w:tcW w:w="7797"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控制精度：控制器应在XYZ三个轴上都有三个独立的16位DAC位的数模转换器，（≥9个）用来控制扫描尺寸、扫描形状和偏移量。</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134"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▲3.2.9</w:t>
            </w:r>
          </w:p>
        </w:tc>
        <w:tc>
          <w:tcPr>
            <w:tcW w:w="7797"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峰值力轻敲模式：利用针尖与样品的直接相互作用力作为反馈，可控制针尖与样品的相互作用力低至50pN，减少针尖的磨损，提高了横向分辨率；</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134"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▲3.2.10</w:t>
            </w:r>
          </w:p>
        </w:tc>
        <w:tc>
          <w:tcPr>
            <w:tcW w:w="7797"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智能成像模式：利用力曲线的峰值力做反馈，直接控制针尖对样品的作用力低至50皮牛。所有的参数调整均为计算机自动调整。</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134"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3.3</w:t>
            </w:r>
          </w:p>
        </w:tc>
        <w:tc>
          <w:tcPr>
            <w:tcW w:w="7797"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系统配套部分：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134"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3.3.1</w:t>
            </w:r>
          </w:p>
        </w:tc>
        <w:tc>
          <w:tcPr>
            <w:tcW w:w="7797"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放大范围：285 ~ 1285倍，180-1465</w:t>
            </w:r>
            <w:r>
              <w:rPr>
                <w:rFonts w:hint="eastAsia" w:ascii="宋体" w:hAnsi="宋体" w:cs="宋体"/>
                <w:color w:val="auto"/>
                <w:szCs w:val="21"/>
                <w:highlight w:val="none"/>
              </w:rPr>
              <w:t>µ</w:t>
            </w:r>
            <w:r>
              <w:rPr>
                <w:rFonts w:hint="eastAsia" w:ascii="仿宋" w:hAnsi="仿宋" w:cs="宋体"/>
                <w:color w:val="auto"/>
                <w:szCs w:val="21"/>
                <w:highlight w:val="none"/>
              </w:rPr>
              <w:t>m 视场范围，自动聚焦及缩放，≤1.5</w:t>
            </w:r>
            <w:r>
              <w:rPr>
                <w:rFonts w:hint="eastAsia" w:ascii="宋体" w:hAnsi="宋体" w:cs="宋体"/>
                <w:color w:val="auto"/>
                <w:szCs w:val="21"/>
                <w:highlight w:val="none"/>
              </w:rPr>
              <w:t>µ</w:t>
            </w:r>
            <w:r>
              <w:rPr>
                <w:rFonts w:hint="eastAsia" w:ascii="仿宋" w:hAnsi="仿宋" w:cs="宋体"/>
                <w:color w:val="auto"/>
                <w:szCs w:val="21"/>
                <w:highlight w:val="none"/>
              </w:rPr>
              <w:t>m分辨率，计算机控制照明，彩色CCD摄像头。</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134"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3.3.2</w:t>
            </w:r>
          </w:p>
        </w:tc>
        <w:tc>
          <w:tcPr>
            <w:tcW w:w="7797"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防震：一体封闭式隔音及防电磁屏蔽装置，气浮防震台，带自动充气泵。</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134"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▲3.3.3</w:t>
            </w:r>
          </w:p>
        </w:tc>
        <w:tc>
          <w:tcPr>
            <w:tcW w:w="7797"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全自动可程序控制高精度样品台：可支持的样品XY方向尺寸达200mm，高度方向可测试15mm高度的样品。样品台可高精度程序控制，提供真空吸附的功能，并可以360度旋转。</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134"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四</w:t>
            </w:r>
          </w:p>
        </w:tc>
        <w:tc>
          <w:tcPr>
            <w:tcW w:w="7797"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技术文件∕资料：电子版和纸质版使用说明书各一份，U盘等。</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134"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五</w:t>
            </w:r>
          </w:p>
        </w:tc>
        <w:tc>
          <w:tcPr>
            <w:tcW w:w="7797"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安装、培训：厂家负责免费安排安装、调试、培训和验收，并承担由此发生的一切费用并提交经采购人签字认可的安装调试报告。</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134"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5.1</w:t>
            </w:r>
          </w:p>
        </w:tc>
        <w:tc>
          <w:tcPr>
            <w:tcW w:w="7797"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投标人应对采购人指定的操作人员进行全面、系统、深入的培训，培训内容包括仪器的技术原理、操作、工艺、数据处理、基本维护等。培训应达到如下目的：使操作人员能熟练操作相关设备，能应付突发事件、快速判断故障、进行应急处理等；</w:t>
            </w:r>
          </w:p>
          <w:p>
            <w:pPr>
              <w:rPr>
                <w:rFonts w:ascii="仿宋" w:hAnsi="仿宋" w:cs="宋体"/>
                <w:color w:val="auto"/>
                <w:szCs w:val="21"/>
                <w:highlight w:val="none"/>
              </w:rPr>
            </w:pPr>
            <w:r>
              <w:rPr>
                <w:rFonts w:hint="eastAsia" w:ascii="仿宋" w:hAnsi="仿宋" w:cs="宋体"/>
                <w:color w:val="auto"/>
                <w:szCs w:val="21"/>
                <w:highlight w:val="none"/>
              </w:rPr>
              <w:t>投标人应在投标文件中提供详细的培训计划建议，内容应当包括理论和实践两个方面；所有培训课程需用中文进行，如使用外文讲解，投标人需提供合格的翻译人员；培训时间以参加培训的人员学懂会用为限；所有培训费用包括在投标价中。投标文件中应有培训计划，说明培训人数、时间和主要内容。</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134"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六</w:t>
            </w:r>
          </w:p>
        </w:tc>
        <w:tc>
          <w:tcPr>
            <w:tcW w:w="7797" w:type="dxa"/>
            <w:tcBorders>
              <w:top w:val="single" w:color="auto" w:sz="2" w:space="0"/>
              <w:bottom w:val="single" w:color="auto" w:sz="2" w:space="0"/>
            </w:tcBorders>
            <w:vAlign w:val="center"/>
          </w:tcPr>
          <w:p>
            <w:pPr>
              <w:rPr>
                <w:rFonts w:ascii="仿宋" w:hAnsi="仿宋" w:cs="宋体"/>
                <w:color w:val="auto"/>
                <w:kern w:val="0"/>
                <w:szCs w:val="21"/>
                <w:highlight w:val="none"/>
              </w:rPr>
            </w:pPr>
            <w:r>
              <w:rPr>
                <w:rFonts w:hint="eastAsia" w:ascii="仿宋" w:hAnsi="仿宋" w:cs="宋体"/>
                <w:color w:val="auto"/>
                <w:szCs w:val="21"/>
                <w:highlight w:val="none"/>
              </w:rPr>
              <w:t>售后服务：</w:t>
            </w:r>
            <w:r>
              <w:rPr>
                <w:rFonts w:hint="eastAsia" w:ascii="仿宋" w:hAnsi="仿宋" w:cs="宋体"/>
                <w:color w:val="auto"/>
                <w:kern w:val="0"/>
                <w:szCs w:val="21"/>
                <w:highlight w:val="none"/>
              </w:rPr>
              <w:t>根据采购人实际应用要求，提供全面、优质、及时的售后服务。项目范围内的设备因设计、制造、安装、调试等原因引起设备或部件的缺陷或损坏、运转不灵、达不到性能指标以及出现事故等情况，均由投标人负责，并免费（包括备件、耗材、人工等）为采购人及时修理、更换，更换的设备或部件应是原设备制造厂的产品。</w:t>
            </w:r>
          </w:p>
          <w:p>
            <w:pPr>
              <w:rPr>
                <w:rFonts w:ascii="仿宋" w:hAnsi="仿宋" w:cs="宋体"/>
                <w:color w:val="auto"/>
                <w:kern w:val="0"/>
                <w:szCs w:val="21"/>
                <w:highlight w:val="none"/>
              </w:rPr>
            </w:pPr>
            <w:r>
              <w:rPr>
                <w:rFonts w:hint="eastAsia" w:ascii="仿宋" w:hAnsi="仿宋" w:cs="宋体"/>
                <w:color w:val="auto"/>
                <w:kern w:val="0"/>
                <w:szCs w:val="21"/>
                <w:highlight w:val="none"/>
              </w:rPr>
              <w:t>对所供产品保修时长须满足验收合格之日起至少1年，并保证有充足的部件或配件。</w:t>
            </w:r>
          </w:p>
          <w:p>
            <w:pPr>
              <w:rPr>
                <w:rFonts w:ascii="仿宋" w:hAnsi="仿宋" w:cs="宋体"/>
                <w:color w:val="auto"/>
                <w:kern w:val="0"/>
                <w:szCs w:val="21"/>
                <w:highlight w:val="none"/>
              </w:rPr>
            </w:pPr>
            <w:r>
              <w:rPr>
                <w:rFonts w:hint="eastAsia" w:ascii="仿宋" w:hAnsi="仿宋" w:cs="宋体"/>
                <w:color w:val="auto"/>
                <w:kern w:val="0"/>
                <w:szCs w:val="21"/>
                <w:highlight w:val="none"/>
              </w:rPr>
              <w:t>投标人应建立24小时的报修电话，保修期内在接到用户故障通知后，应在2小时内响应，</w:t>
            </w:r>
            <w:r>
              <w:rPr>
                <w:rFonts w:hint="eastAsia" w:ascii="仿宋" w:hAnsi="仿宋" w:cs="宋体"/>
                <w:color w:val="auto"/>
                <w:szCs w:val="21"/>
                <w:highlight w:val="none"/>
              </w:rPr>
              <w:t>24小时内提出解决方案，如有必要48小时内派出维修人员到达现场</w:t>
            </w:r>
            <w:r>
              <w:rPr>
                <w:rFonts w:hint="eastAsia" w:ascii="仿宋" w:hAnsi="仿宋" w:cs="宋体"/>
                <w:color w:val="auto"/>
                <w:kern w:val="0"/>
                <w:szCs w:val="21"/>
                <w:highlight w:val="none"/>
              </w:rPr>
              <w:t>对用户提出的技术问题和设备故障予以解决，直至故障完全排除，设备完全恢复正常。</w:t>
            </w:r>
          </w:p>
          <w:p>
            <w:pPr>
              <w:rPr>
                <w:rFonts w:ascii="仿宋" w:hAnsi="仿宋" w:cs="宋体"/>
                <w:color w:val="auto"/>
                <w:kern w:val="0"/>
                <w:szCs w:val="21"/>
                <w:highlight w:val="none"/>
              </w:rPr>
            </w:pPr>
            <w:r>
              <w:rPr>
                <w:rFonts w:hint="eastAsia" w:ascii="仿宋" w:hAnsi="仿宋" w:cs="宋体"/>
                <w:color w:val="auto"/>
                <w:kern w:val="0"/>
                <w:szCs w:val="21"/>
                <w:highlight w:val="none"/>
              </w:rPr>
              <w:t>成立由项目负责人、服务工程师及原厂工程师等组成的专职服务项目组。</w:t>
            </w:r>
          </w:p>
        </w:tc>
      </w:tr>
    </w:tbl>
    <w:p>
      <w:pPr>
        <w:pStyle w:val="29"/>
        <w:spacing w:before="120" w:beforeLines="50" w:after="120" w:afterLines="50" w:line="360" w:lineRule="auto"/>
        <w:ind w:firstLine="495" w:firstLineChars="235"/>
        <w:rPr>
          <w:rFonts w:ascii="宋体" w:hAnsi="宋体" w:cs="宋体"/>
          <w:b/>
          <w:bCs/>
          <w:color w:val="auto"/>
          <w:sz w:val="21"/>
          <w:szCs w:val="21"/>
          <w:highlight w:val="none"/>
        </w:rPr>
      </w:pPr>
      <w:r>
        <w:rPr>
          <w:rFonts w:hint="eastAsia" w:ascii="宋体" w:hAnsi="宋体" w:cs="宋体"/>
          <w:b/>
          <w:bCs/>
          <w:color w:val="auto"/>
          <w:sz w:val="21"/>
          <w:szCs w:val="21"/>
          <w:highlight w:val="none"/>
        </w:rPr>
        <w:t>（2）商务要求</w:t>
      </w:r>
    </w:p>
    <w:tbl>
      <w:tblPr>
        <w:tblStyle w:val="44"/>
        <w:tblW w:w="8931" w:type="dxa"/>
        <w:tblInd w:w="108" w:type="dxa"/>
        <w:tblLayout w:type="fixed"/>
        <w:tblCellMar>
          <w:top w:w="0" w:type="dxa"/>
          <w:left w:w="108" w:type="dxa"/>
          <w:bottom w:w="0" w:type="dxa"/>
          <w:right w:w="108" w:type="dxa"/>
        </w:tblCellMar>
      </w:tblPr>
      <w:tblGrid>
        <w:gridCol w:w="709"/>
        <w:gridCol w:w="1559"/>
        <w:gridCol w:w="6663"/>
      </w:tblGrid>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b/>
                <w:color w:val="auto"/>
                <w:szCs w:val="21"/>
                <w:highlight w:val="none"/>
              </w:rPr>
            </w:pPr>
            <w:r>
              <w:rPr>
                <w:rFonts w:hint="eastAsia" w:ascii="仿宋" w:hAnsi="仿宋" w:cs="宋体"/>
                <w:b/>
                <w:color w:val="auto"/>
                <w:szCs w:val="21"/>
                <w:highlight w:val="none"/>
              </w:rPr>
              <w:t>序号</w:t>
            </w:r>
          </w:p>
        </w:tc>
        <w:tc>
          <w:tcPr>
            <w:tcW w:w="1559" w:type="dxa"/>
            <w:tcBorders>
              <w:top w:val="single" w:color="000000" w:sz="4" w:space="0"/>
              <w:left w:val="single" w:color="000000" w:sz="4" w:space="0"/>
              <w:bottom w:val="single" w:color="000000" w:sz="4" w:space="0"/>
              <w:right w:val="single" w:color="000000" w:sz="4" w:space="0"/>
            </w:tcBorders>
            <w:vAlign w:val="center"/>
          </w:tcPr>
          <w:p>
            <w:pPr>
              <w:ind w:firstLine="422"/>
              <w:rPr>
                <w:rFonts w:ascii="仿宋" w:hAnsi="仿宋" w:cs="宋体"/>
                <w:b/>
                <w:color w:val="auto"/>
                <w:szCs w:val="21"/>
                <w:highlight w:val="none"/>
              </w:rPr>
            </w:pPr>
            <w:r>
              <w:rPr>
                <w:rFonts w:hint="eastAsia" w:ascii="仿宋" w:hAnsi="仿宋" w:cs="宋体"/>
                <w:b/>
                <w:color w:val="auto"/>
                <w:szCs w:val="21"/>
                <w:highlight w:val="none"/>
              </w:rPr>
              <w:t>项目</w:t>
            </w:r>
          </w:p>
        </w:tc>
        <w:tc>
          <w:tcPr>
            <w:tcW w:w="6663" w:type="dxa"/>
            <w:tcBorders>
              <w:top w:val="single" w:color="000000" w:sz="4" w:space="0"/>
              <w:left w:val="single" w:color="000000" w:sz="4" w:space="0"/>
              <w:bottom w:val="single" w:color="000000" w:sz="4" w:space="0"/>
              <w:right w:val="single" w:color="000000" w:sz="4" w:space="0"/>
            </w:tcBorders>
            <w:vAlign w:val="center"/>
          </w:tcPr>
          <w:p>
            <w:pPr>
              <w:ind w:firstLine="422"/>
              <w:jc w:val="center"/>
              <w:rPr>
                <w:rFonts w:ascii="仿宋" w:hAnsi="仿宋" w:cs="宋体"/>
                <w:b/>
                <w:color w:val="auto"/>
                <w:szCs w:val="21"/>
                <w:highlight w:val="none"/>
              </w:rPr>
            </w:pPr>
            <w:r>
              <w:rPr>
                <w:rFonts w:hint="eastAsia" w:ascii="仿宋" w:hAnsi="仿宋" w:cs="宋体"/>
                <w:b/>
                <w:color w:val="auto"/>
                <w:szCs w:val="21"/>
                <w:highlight w:val="none"/>
              </w:rPr>
              <w:t>要求</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交货及交付验收时间</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bCs/>
                <w:color w:val="auto"/>
                <w:szCs w:val="21"/>
                <w:highlight w:val="none"/>
              </w:rPr>
              <w:t>合同签订生效之日起210天内到货，</w:t>
            </w:r>
            <w:r>
              <w:rPr>
                <w:rFonts w:hint="eastAsia" w:ascii="仿宋" w:hAnsi="仿宋" w:cs="宋体"/>
                <w:color w:val="auto"/>
                <w:szCs w:val="21"/>
                <w:highlight w:val="none"/>
              </w:rPr>
              <w:t>到货后30天内完成安装调试交付验收。</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2</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交货地点</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bCs/>
                <w:color w:val="auto"/>
                <w:kern w:val="0"/>
                <w:szCs w:val="21"/>
                <w:highlight w:val="none"/>
              </w:rPr>
              <w:t xml:space="preserve">宁波市前湾新区滨海二路769号宁波工程学院新能源学院 </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3</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产品包装要求</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确保所有设备均采用国家或专业标准保护措施进行包装，使包装适应于远距离运输、防潮、防震、防锈和防粗暴装卸，以确保设备安全无损运抵交货现场。设备到货时，所有外包装箱箱体无严重破损或变形，封条应完整无缺，内包装应符合标准运输包装要求，拆箱后设备主体外表无任何磕碰、碎裂、划伤痕迹。运输途中设备出现的任何问题均由中标人负责解决。</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4</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产品及服务质量保证</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（1）投标人所供应的设备及其所有部件必须均是全新原装合格产品,在中国境内采购人拥有合法的产权和使用权。如发生交付设备与合同不符,采购人有权拒收或退货,由此产生的一切责任和后果由中标人承担。</w:t>
            </w:r>
          </w:p>
          <w:p>
            <w:pPr>
              <w:rPr>
                <w:rFonts w:ascii="仿宋" w:hAnsi="仿宋" w:cs="宋体"/>
                <w:color w:val="auto"/>
                <w:szCs w:val="21"/>
                <w:highlight w:val="none"/>
              </w:rPr>
            </w:pPr>
            <w:r>
              <w:rPr>
                <w:rFonts w:hint="eastAsia" w:ascii="仿宋" w:hAnsi="仿宋" w:cs="宋体"/>
                <w:color w:val="auto"/>
                <w:szCs w:val="21"/>
                <w:highlight w:val="none"/>
              </w:rPr>
              <w:t>（2）属于国家强制性产品认证范围的产品必须具有国家法定认证机构颁发的“CCC”认证证书。</w:t>
            </w:r>
          </w:p>
          <w:p>
            <w:pPr>
              <w:rPr>
                <w:rFonts w:ascii="仿宋" w:hAnsi="仿宋" w:cs="宋体"/>
                <w:color w:val="auto"/>
                <w:szCs w:val="21"/>
                <w:highlight w:val="none"/>
              </w:rPr>
            </w:pPr>
            <w:r>
              <w:rPr>
                <w:rFonts w:hint="eastAsia" w:ascii="仿宋" w:hAnsi="仿宋" w:cs="宋体"/>
                <w:color w:val="auto"/>
                <w:szCs w:val="21"/>
                <w:highlight w:val="none"/>
              </w:rPr>
              <w:t>（3）在设备交付时，中标人必须向采购人提供必备的相关资料。</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5</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质量标准</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产品质量必须执行国家相关标准、行业标准、地方标准或者其它标准、规范（从严）：</w:t>
            </w:r>
          </w:p>
          <w:p>
            <w:pPr>
              <w:rPr>
                <w:rFonts w:ascii="仿宋" w:hAnsi="仿宋" w:cs="宋体"/>
                <w:color w:val="auto"/>
                <w:szCs w:val="21"/>
                <w:highlight w:val="none"/>
              </w:rPr>
            </w:pPr>
            <w:r>
              <w:rPr>
                <w:rFonts w:hint="eastAsia" w:ascii="仿宋" w:hAnsi="仿宋" w:cs="宋体"/>
                <w:color w:val="auto"/>
                <w:szCs w:val="21"/>
                <w:highlight w:val="none"/>
              </w:rPr>
              <w:t>具有国家标准及规范的，按最新的标准及规范执行；具有行业标准及规范的，按最新的标准及规范执行；具有其他标准及规范的，按照最新的标准及规范执行；没有相关标准及规范的，按照招标文件的技术及服务要求执行。</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6</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产品保修期</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（1）所有设备提供不少于招标文件规定的免费保修期。</w:t>
            </w:r>
          </w:p>
          <w:p>
            <w:pPr>
              <w:rPr>
                <w:rFonts w:ascii="仿宋" w:hAnsi="仿宋" w:cs="宋体"/>
                <w:color w:val="auto"/>
                <w:szCs w:val="21"/>
                <w:highlight w:val="none"/>
              </w:rPr>
            </w:pPr>
            <w:r>
              <w:rPr>
                <w:rFonts w:hint="eastAsia" w:ascii="仿宋" w:hAnsi="仿宋" w:cs="宋体"/>
                <w:color w:val="auto"/>
                <w:szCs w:val="21"/>
                <w:highlight w:val="none"/>
              </w:rPr>
              <w:t>（2）保修期在双方签署项目最终验收报告之日起计算，在此期间内，任何非因采购人原因造成的设备质量及使用问题均由中标人提供相关保修服务，包括但不仅限于维修或更换，其费用含在投标报价中，相关费用包含达到设备正常使用目标所需的零部件费用、技术人员费用、交通差旅费等，维修必须遵守制造商的技术及零部件使用标准。</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7</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验收</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设备安装调试完成后，双方按照确定的技术标准进行验收。验收前，乙方应向甲方提交所有验收必备资料。</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8</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签订合同时间</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采购人在中标通知书发出之日起30日内与中标人签订书面合同，具体签约时间以采购人通知为准。</w:t>
            </w:r>
          </w:p>
        </w:tc>
      </w:tr>
      <w:tr>
        <w:tblPrEx>
          <w:tblCellMar>
            <w:top w:w="0" w:type="dxa"/>
            <w:left w:w="108" w:type="dxa"/>
            <w:bottom w:w="0" w:type="dxa"/>
            <w:right w:w="108" w:type="dxa"/>
          </w:tblCellMar>
        </w:tblPrEx>
        <w:trPr>
          <w:trHeight w:val="69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9</w:t>
            </w:r>
          </w:p>
        </w:tc>
        <w:tc>
          <w:tcPr>
            <w:tcW w:w="1559"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合同款项支付条件及方式</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shd w:val="clear" w:color="auto" w:fill="FFFFFF"/>
              </w:rPr>
            </w:pPr>
            <w:r>
              <w:rPr>
                <w:rFonts w:hint="eastAsia" w:ascii="仿宋" w:hAnsi="仿宋" w:cs="宋体"/>
                <w:color w:val="auto"/>
                <w:szCs w:val="21"/>
                <w:highlight w:val="none"/>
                <w:shd w:val="clear" w:color="auto" w:fill="FFFFFF"/>
              </w:rPr>
              <w:t>（1）所投标项为国产设备中标的，按照以下条件支付合同款：</w:t>
            </w:r>
          </w:p>
          <w:p>
            <w:pPr>
              <w:rPr>
                <w:rFonts w:ascii="仿宋" w:hAnsi="仿宋" w:cs="宋体"/>
                <w:color w:val="auto"/>
                <w:szCs w:val="21"/>
                <w:highlight w:val="none"/>
                <w:shd w:val="clear" w:color="auto" w:fill="FFFFFF"/>
              </w:rPr>
            </w:pPr>
            <w:r>
              <w:rPr>
                <w:rFonts w:hint="eastAsia" w:ascii="仿宋" w:hAnsi="仿宋" w:cs="宋体"/>
                <w:color w:val="auto"/>
                <w:szCs w:val="21"/>
                <w:highlight w:val="none"/>
                <w:shd w:val="clear" w:color="auto" w:fill="FFFFFF"/>
              </w:rPr>
              <w:t>1）合同签订生效之日起7个工作日内支付合同总价的40%作为预付款。</w:t>
            </w:r>
          </w:p>
          <w:p>
            <w:pPr>
              <w:rPr>
                <w:rFonts w:ascii="仿宋" w:hAnsi="仿宋" w:cs="宋体"/>
                <w:color w:val="auto"/>
                <w:szCs w:val="21"/>
                <w:highlight w:val="none"/>
                <w:shd w:val="clear" w:color="auto" w:fill="FFFFFF"/>
              </w:rPr>
            </w:pPr>
            <w:r>
              <w:rPr>
                <w:rFonts w:hint="eastAsia" w:ascii="仿宋" w:hAnsi="仿宋" w:cs="宋体"/>
                <w:color w:val="auto"/>
                <w:szCs w:val="21"/>
                <w:highlight w:val="none"/>
                <w:shd w:val="clear" w:color="auto" w:fill="FFFFFF"/>
              </w:rPr>
              <w:t>2）所有设备到达指定地点后15日内支付合同总价的50%。</w:t>
            </w:r>
          </w:p>
          <w:p>
            <w:pPr>
              <w:rPr>
                <w:rFonts w:ascii="仿宋" w:hAnsi="仿宋" w:cs="宋体"/>
                <w:color w:val="auto"/>
                <w:szCs w:val="21"/>
                <w:highlight w:val="none"/>
                <w:shd w:val="clear" w:color="auto" w:fill="FFFFFF"/>
              </w:rPr>
            </w:pPr>
            <w:r>
              <w:rPr>
                <w:rFonts w:hint="eastAsia" w:ascii="仿宋" w:hAnsi="仿宋" w:cs="宋体"/>
                <w:color w:val="auto"/>
                <w:szCs w:val="21"/>
                <w:highlight w:val="none"/>
                <w:shd w:val="clear" w:color="auto" w:fill="FFFFFF"/>
              </w:rPr>
              <w:t>3）设备安装调试完毕，且经使用单位验收合格后</w:t>
            </w:r>
            <w:r>
              <w:rPr>
                <w:rFonts w:ascii="仿宋" w:hAnsi="仿宋" w:cs="宋体"/>
                <w:color w:val="auto"/>
                <w:szCs w:val="21"/>
                <w:highlight w:val="none"/>
                <w:shd w:val="clear" w:color="auto" w:fill="FFFFFF"/>
              </w:rPr>
              <w:t>15</w:t>
            </w:r>
            <w:r>
              <w:rPr>
                <w:rFonts w:hint="eastAsia" w:ascii="仿宋" w:hAnsi="仿宋" w:cs="宋体"/>
                <w:color w:val="auto"/>
                <w:szCs w:val="21"/>
                <w:highlight w:val="none"/>
                <w:shd w:val="clear" w:color="auto" w:fill="FFFFFF"/>
              </w:rPr>
              <w:t>日内一次性支付余款。</w:t>
            </w:r>
          </w:p>
          <w:p>
            <w:pPr>
              <w:rPr>
                <w:rFonts w:ascii="仿宋" w:hAnsi="仿宋" w:cs="宋体"/>
                <w:color w:val="auto"/>
                <w:szCs w:val="21"/>
                <w:highlight w:val="none"/>
                <w:shd w:val="clear" w:color="auto" w:fill="FFFFFF"/>
              </w:rPr>
            </w:pPr>
            <w:r>
              <w:rPr>
                <w:rFonts w:hint="eastAsia" w:ascii="仿宋" w:hAnsi="仿宋" w:cs="宋体"/>
                <w:color w:val="auto"/>
                <w:szCs w:val="21"/>
                <w:highlight w:val="none"/>
                <w:shd w:val="clear" w:color="auto" w:fill="FFFFFF"/>
              </w:rPr>
              <w:t>注：中标人于合同签订前书面承诺放弃预付款或降低预付款支付比例的，可不适用本条款且具体支付方式由双方在合同中自行约定。</w:t>
            </w:r>
          </w:p>
          <w:p>
            <w:pPr>
              <w:rPr>
                <w:rFonts w:ascii="仿宋" w:hAnsi="仿宋" w:cs="宋体"/>
                <w:color w:val="auto"/>
                <w:szCs w:val="21"/>
                <w:highlight w:val="none"/>
                <w:shd w:val="clear" w:color="auto" w:fill="FFFFFF"/>
              </w:rPr>
            </w:pPr>
            <w:r>
              <w:rPr>
                <w:rFonts w:hint="eastAsia" w:ascii="仿宋" w:hAnsi="仿宋" w:cs="宋体"/>
                <w:color w:val="auto"/>
                <w:szCs w:val="21"/>
                <w:highlight w:val="none"/>
                <w:shd w:val="clear" w:color="auto" w:fill="FFFFFF"/>
              </w:rPr>
              <w:t>（2）所投标项为进口设备中标的，按照以下条件支付合同款：</w:t>
            </w:r>
          </w:p>
          <w:p>
            <w:pPr>
              <w:rPr>
                <w:rFonts w:ascii="仿宋" w:hAnsi="仿宋" w:cs="宋体"/>
                <w:color w:val="auto"/>
                <w:szCs w:val="21"/>
                <w:highlight w:val="none"/>
                <w:shd w:val="clear" w:color="auto" w:fill="FFFFFF"/>
              </w:rPr>
            </w:pPr>
            <w:r>
              <w:rPr>
                <w:rFonts w:hint="eastAsia" w:ascii="仿宋" w:hAnsi="仿宋" w:cs="宋体"/>
                <w:color w:val="auto"/>
                <w:szCs w:val="21"/>
                <w:highlight w:val="none"/>
                <w:shd w:val="clear" w:color="auto" w:fill="FFFFFF"/>
              </w:rPr>
              <w:t>买方开具100%不可撤消即期信用证。其中80%凭货运单据收取，20%凭宁波工程学院盖章的货物验收合格报告收取。</w:t>
            </w:r>
          </w:p>
        </w:tc>
      </w:tr>
      <w:tr>
        <w:tblPrEx>
          <w:tblCellMar>
            <w:top w:w="0" w:type="dxa"/>
            <w:left w:w="108" w:type="dxa"/>
            <w:bottom w:w="0" w:type="dxa"/>
            <w:right w:w="108" w:type="dxa"/>
          </w:tblCellMar>
        </w:tblPrEx>
        <w:trPr>
          <w:trHeight w:val="541"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10</w:t>
            </w:r>
          </w:p>
        </w:tc>
        <w:tc>
          <w:tcPr>
            <w:tcW w:w="1559"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履约保证金</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本项目要求中标人缴纳合同总额1</w:t>
            </w:r>
            <w:r>
              <w:rPr>
                <w:rFonts w:ascii="仿宋" w:hAnsi="仿宋" w:cs="宋体"/>
                <w:color w:val="auto"/>
                <w:szCs w:val="21"/>
                <w:highlight w:val="none"/>
              </w:rPr>
              <w:t>%</w:t>
            </w:r>
            <w:r>
              <w:rPr>
                <w:rFonts w:hint="eastAsia" w:ascii="仿宋" w:hAnsi="仿宋" w:cs="宋体"/>
                <w:color w:val="auto"/>
                <w:szCs w:val="21"/>
                <w:highlight w:val="none"/>
              </w:rPr>
              <w:t>的履约保证金，在合同签订后7个工作日内以支票、汇票、本票或者金融机构、担保机构出具的保函等非现金形式提交，项目验收合格后一次性退还。</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11</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发票要求</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（1）中标人应在采购人支付费用前，依据相应的金额，向采购人提供足额且符合税法规定的发票。采购人在收到中标人提供的发票后在合同约定的时间内支付相应款项。</w:t>
            </w:r>
          </w:p>
          <w:p>
            <w:pPr>
              <w:rPr>
                <w:rFonts w:ascii="仿宋" w:hAnsi="仿宋" w:cs="宋体"/>
                <w:color w:val="auto"/>
                <w:szCs w:val="21"/>
                <w:highlight w:val="none"/>
              </w:rPr>
            </w:pPr>
            <w:r>
              <w:rPr>
                <w:rFonts w:hint="eastAsia" w:ascii="仿宋" w:hAnsi="仿宋" w:cs="宋体"/>
                <w:color w:val="auto"/>
                <w:szCs w:val="21"/>
                <w:highlight w:val="none"/>
              </w:rPr>
              <w:t>（2）本项目合同签署的中标人名称与发票开具单位及收款单位必须一致，中标人不得以任何理由在合同执行过程中要求调整发票开具单位或收款单位（中标人依法变更单位名称或存在其他特殊情况符合规定要求除外），否则视为中标人违约并自行承担相关责任，且须承担由此对采购人造成的一切损失。</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12</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其他</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在合同履行过程中，中标供应商应承担由于其行为所造成的采购人或第三人的人身伤害、财产损失或损坏的责任，无论何种原因所造成，与采购人无涉，由此导致的损失由中标供应商承担，无论何种原因采购人先行支付的，采购人有权向中标供应商进行追偿。</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13</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知识产权要求</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投标人提供的产品未侵犯他人的知识产权。</w:t>
            </w:r>
          </w:p>
        </w:tc>
      </w:tr>
    </w:tbl>
    <w:p>
      <w:pPr>
        <w:rPr>
          <w:color w:val="auto"/>
          <w:szCs w:val="21"/>
          <w:highlight w:val="none"/>
        </w:rPr>
      </w:pPr>
    </w:p>
    <w:p>
      <w:pPr>
        <w:widowControl/>
        <w:jc w:val="left"/>
        <w:rPr>
          <w:rFonts w:ascii="Calibri" w:hAnsi="Calibri"/>
          <w:color w:val="auto"/>
          <w:kern w:val="0"/>
          <w:szCs w:val="21"/>
          <w:highlight w:val="none"/>
        </w:rPr>
      </w:pPr>
    </w:p>
    <w:p>
      <w:pPr>
        <w:pStyle w:val="3"/>
        <w:ind w:firstLine="211"/>
        <w:rPr>
          <w:b/>
          <w:color w:val="auto"/>
          <w:sz w:val="21"/>
          <w:szCs w:val="21"/>
          <w:highlight w:val="none"/>
        </w:rPr>
      </w:pPr>
      <w:r>
        <w:rPr>
          <w:rFonts w:hint="eastAsia"/>
          <w:b/>
          <w:color w:val="auto"/>
          <w:sz w:val="21"/>
          <w:szCs w:val="21"/>
          <w:highlight w:val="none"/>
        </w:rPr>
        <w:t>标项二：X射线衍射仪</w:t>
      </w:r>
    </w:p>
    <w:p>
      <w:pPr>
        <w:pStyle w:val="29"/>
        <w:spacing w:before="120" w:beforeLines="50" w:after="120" w:afterLines="50" w:line="360" w:lineRule="auto"/>
        <w:ind w:firstLine="495" w:firstLineChars="235"/>
        <w:rPr>
          <w:rFonts w:ascii="宋体" w:hAnsi="宋体" w:cs="宋体"/>
          <w:b/>
          <w:bCs/>
          <w:color w:val="auto"/>
          <w:sz w:val="21"/>
          <w:szCs w:val="21"/>
          <w:highlight w:val="none"/>
        </w:rPr>
      </w:pPr>
      <w:r>
        <w:rPr>
          <w:rFonts w:hint="eastAsia" w:ascii="宋体" w:hAnsi="宋体" w:cs="宋体"/>
          <w:b/>
          <w:bCs/>
          <w:color w:val="auto"/>
          <w:sz w:val="21"/>
          <w:szCs w:val="21"/>
          <w:highlight w:val="none"/>
        </w:rPr>
        <w:t>（1）技术要求</w:t>
      </w:r>
    </w:p>
    <w:tbl>
      <w:tblPr>
        <w:tblStyle w:val="44"/>
        <w:tblW w:w="8931" w:type="dxa"/>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0" w:type="dxa"/>
          <w:bottom w:w="0" w:type="dxa"/>
          <w:right w:w="0" w:type="dxa"/>
        </w:tblCellMar>
      </w:tblPr>
      <w:tblGrid>
        <w:gridCol w:w="960"/>
        <w:gridCol w:w="7971"/>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blHeader/>
        </w:trPr>
        <w:tc>
          <w:tcPr>
            <w:tcW w:w="960" w:type="dxa"/>
            <w:tcBorders>
              <w:bottom w:val="single" w:color="auto" w:sz="4" w:space="0"/>
            </w:tcBorders>
            <w:vAlign w:val="center"/>
          </w:tcPr>
          <w:p>
            <w:pPr>
              <w:rPr>
                <w:rFonts w:ascii="仿宋" w:hAnsi="仿宋" w:cs="宋体"/>
                <w:b/>
                <w:color w:val="auto"/>
                <w:szCs w:val="21"/>
                <w:highlight w:val="none"/>
              </w:rPr>
            </w:pPr>
            <w:r>
              <w:rPr>
                <w:rFonts w:hint="eastAsia" w:ascii="仿宋" w:hAnsi="仿宋" w:cs="宋体"/>
                <w:b/>
                <w:color w:val="auto"/>
                <w:szCs w:val="21"/>
                <w:highlight w:val="none"/>
              </w:rPr>
              <w:t>条款号</w:t>
            </w:r>
          </w:p>
        </w:tc>
        <w:tc>
          <w:tcPr>
            <w:tcW w:w="7971" w:type="dxa"/>
            <w:tcBorders>
              <w:bottom w:val="single" w:color="auto" w:sz="4" w:space="0"/>
            </w:tcBorders>
            <w:vAlign w:val="center"/>
          </w:tcPr>
          <w:p>
            <w:pPr>
              <w:ind w:firstLine="422"/>
              <w:jc w:val="center"/>
              <w:rPr>
                <w:rFonts w:ascii="仿宋" w:hAnsi="仿宋" w:cs="宋体"/>
                <w:b/>
                <w:color w:val="auto"/>
                <w:szCs w:val="21"/>
                <w:highlight w:val="none"/>
              </w:rPr>
            </w:pPr>
            <w:r>
              <w:rPr>
                <w:rFonts w:hint="eastAsia" w:ascii="仿宋" w:hAnsi="仿宋" w:cs="宋体"/>
                <w:b/>
                <w:color w:val="auto"/>
                <w:szCs w:val="21"/>
                <w:highlight w:val="none"/>
              </w:rPr>
              <w:t>招标规格</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一</w:t>
            </w:r>
          </w:p>
        </w:tc>
        <w:tc>
          <w:tcPr>
            <w:tcW w:w="7971"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仪器采用当前最先进的技术，能够精确地对金属和非金属多晶样品进行物相定性定量分析结晶度分析、晶胞参数计算和固溶体分析，微观应力及晶粒大小分析。仪器包括长寿命陶瓷X光管、X射线发生器、高精密测角仪、高灵敏度探测器、高精度样品台、计算机控制系统、数据处理软件、相关应用软件和循环冷却水装置。</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二</w:t>
            </w:r>
          </w:p>
        </w:tc>
        <w:tc>
          <w:tcPr>
            <w:tcW w:w="7971" w:type="dxa"/>
            <w:tcBorders>
              <w:top w:val="single" w:color="auto" w:sz="2" w:space="0"/>
              <w:bottom w:val="single" w:color="auto" w:sz="2" w:space="0"/>
            </w:tcBorders>
            <w:vAlign w:val="center"/>
          </w:tcPr>
          <w:p>
            <w:pPr>
              <w:ind w:firstLine="422"/>
              <w:rPr>
                <w:rFonts w:ascii="仿宋" w:hAnsi="仿宋" w:cs="宋体"/>
                <w:b/>
                <w:bCs/>
                <w:color w:val="auto"/>
                <w:szCs w:val="21"/>
                <w:highlight w:val="none"/>
              </w:rPr>
            </w:pPr>
            <w:r>
              <w:rPr>
                <w:rFonts w:hint="eastAsia" w:ascii="仿宋" w:hAnsi="仿宋" w:cs="宋体"/>
                <w:b/>
                <w:bCs/>
                <w:color w:val="auto"/>
                <w:szCs w:val="21"/>
                <w:highlight w:val="none"/>
              </w:rPr>
              <w:t>设备技术参数∕指标：</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ind w:firstLine="422"/>
              <w:jc w:val="center"/>
              <w:rPr>
                <w:rFonts w:ascii="仿宋" w:hAnsi="仿宋" w:cs="宋体"/>
                <w:color w:val="auto"/>
                <w:szCs w:val="21"/>
                <w:highlight w:val="none"/>
              </w:rPr>
            </w:pPr>
            <w:r>
              <w:rPr>
                <w:rFonts w:hint="eastAsia" w:ascii="仿宋" w:hAnsi="仿宋" w:cs="宋体"/>
                <w:b/>
                <w:color w:val="auto"/>
                <w:szCs w:val="21"/>
                <w:highlight w:val="none"/>
              </w:rPr>
              <w:t>1.</w:t>
            </w:r>
          </w:p>
        </w:tc>
        <w:tc>
          <w:tcPr>
            <w:tcW w:w="7971" w:type="dxa"/>
            <w:tcBorders>
              <w:top w:val="single" w:color="auto" w:sz="2" w:space="0"/>
              <w:bottom w:val="single" w:color="auto" w:sz="2" w:space="0"/>
            </w:tcBorders>
            <w:vAlign w:val="center"/>
          </w:tcPr>
          <w:p>
            <w:pPr>
              <w:ind w:firstLine="422"/>
              <w:jc w:val="left"/>
              <w:rPr>
                <w:rFonts w:ascii="仿宋" w:hAnsi="仿宋" w:cs="宋体"/>
                <w:b/>
                <w:color w:val="auto"/>
                <w:szCs w:val="21"/>
                <w:highlight w:val="none"/>
              </w:rPr>
            </w:pPr>
            <w:r>
              <w:rPr>
                <w:rFonts w:hint="eastAsia" w:ascii="仿宋" w:hAnsi="仿宋" w:cs="宋体"/>
                <w:b/>
                <w:color w:val="auto"/>
                <w:szCs w:val="21"/>
                <w:highlight w:val="none"/>
              </w:rPr>
              <w:t>X射线光源</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1.1.</w:t>
            </w:r>
          </w:p>
        </w:tc>
        <w:tc>
          <w:tcPr>
            <w:tcW w:w="7971" w:type="dxa"/>
            <w:tcBorders>
              <w:top w:val="single" w:color="auto" w:sz="2" w:space="0"/>
              <w:bottom w:val="single" w:color="auto" w:sz="2"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X射线发生器部分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1.1.1</w:t>
            </w:r>
          </w:p>
        </w:tc>
        <w:tc>
          <w:tcPr>
            <w:tcW w:w="7971" w:type="dxa"/>
            <w:tcBorders>
              <w:top w:val="single" w:color="auto" w:sz="2" w:space="0"/>
              <w:bottom w:val="single" w:color="auto" w:sz="2"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最大输出功率：不小于3kW</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1.1.2</w:t>
            </w:r>
          </w:p>
        </w:tc>
        <w:tc>
          <w:tcPr>
            <w:tcW w:w="7971" w:type="dxa"/>
            <w:tcBorders>
              <w:top w:val="single" w:color="auto" w:sz="2" w:space="0"/>
              <w:bottom w:val="single" w:color="auto" w:sz="2"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额定电压：60kV</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1.1.3</w:t>
            </w:r>
          </w:p>
        </w:tc>
        <w:tc>
          <w:tcPr>
            <w:tcW w:w="7971" w:type="dxa"/>
            <w:tcBorders>
              <w:top w:val="single" w:color="auto" w:sz="2" w:space="0"/>
              <w:bottom w:val="single" w:color="auto" w:sz="2"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额定电流：20-80mA</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1.2</w:t>
            </w:r>
          </w:p>
        </w:tc>
        <w:tc>
          <w:tcPr>
            <w:tcW w:w="7971" w:type="dxa"/>
            <w:tcBorders>
              <w:top w:val="single" w:color="auto" w:sz="2" w:space="0"/>
              <w:bottom w:val="single" w:color="auto" w:sz="2"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X射线光管部分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1.2.1</w:t>
            </w:r>
          </w:p>
        </w:tc>
        <w:tc>
          <w:tcPr>
            <w:tcW w:w="7971" w:type="dxa"/>
            <w:tcBorders>
              <w:top w:val="single" w:color="auto" w:sz="2" w:space="0"/>
              <w:bottom w:val="single" w:color="auto" w:sz="2"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X射线光管：Cu,Mo靶陶瓷X光管各一根，2.2 Kw</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▲1.2.2</w:t>
            </w:r>
          </w:p>
        </w:tc>
        <w:tc>
          <w:tcPr>
            <w:tcW w:w="7971" w:type="dxa"/>
            <w:tcBorders>
              <w:top w:val="single" w:color="auto" w:sz="2" w:space="0"/>
              <w:bottom w:val="single" w:color="auto" w:sz="2"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采用旋转光管技术，无需拆卸光管，即可实现光管本身线焦斑和点焦斑的切换。</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1.2.3</w:t>
            </w:r>
          </w:p>
        </w:tc>
        <w:tc>
          <w:tcPr>
            <w:tcW w:w="7971" w:type="dxa"/>
            <w:tcBorders>
              <w:top w:val="single" w:color="auto" w:sz="2" w:space="0"/>
              <w:bottom w:val="single" w:color="auto" w:sz="2"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焦斑大小：小于等于0.4 x 12 mm</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1.2.4</w:t>
            </w:r>
          </w:p>
        </w:tc>
        <w:tc>
          <w:tcPr>
            <w:tcW w:w="7971" w:type="dxa"/>
            <w:tcBorders>
              <w:top w:val="single" w:color="auto" w:sz="2" w:space="0"/>
              <w:bottom w:val="single" w:color="auto" w:sz="2"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X射线光管质保不少于2年或者4000小时，先到为准。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1.3</w:t>
            </w:r>
          </w:p>
        </w:tc>
        <w:tc>
          <w:tcPr>
            <w:tcW w:w="7971" w:type="dxa"/>
            <w:tcBorders>
              <w:top w:val="single" w:color="auto" w:sz="2" w:space="0"/>
              <w:bottom w:val="single" w:color="auto" w:sz="2"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电流电压稳定度：优于</w:t>
            </w:r>
            <w:r>
              <w:rPr>
                <w:rFonts w:hint="eastAsia" w:ascii="仿宋" w:hAnsi="仿宋" w:cs="宋体"/>
                <w:color w:val="auto"/>
                <w:szCs w:val="21"/>
                <w:highlight w:val="none"/>
              </w:rPr>
              <w:sym w:font="Symbol" w:char="F0B1"/>
            </w:r>
            <w:r>
              <w:rPr>
                <w:rFonts w:hint="eastAsia" w:ascii="仿宋" w:hAnsi="仿宋" w:cs="宋体"/>
                <w:color w:val="auto"/>
                <w:szCs w:val="21"/>
                <w:highlight w:val="none"/>
              </w:rPr>
              <w:t>0.005% (外电压波动10%)时</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1.4</w:t>
            </w:r>
          </w:p>
        </w:tc>
        <w:tc>
          <w:tcPr>
            <w:tcW w:w="7971"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X射线防护：安全连锁机构、剂量符合国标;防护罩外任何一点的计量小于1</w:t>
            </w:r>
            <w:r>
              <w:rPr>
                <w:rFonts w:hint="eastAsia" w:ascii="仿宋" w:hAnsi="仿宋" w:cs="宋体"/>
                <w:color w:val="auto"/>
                <w:szCs w:val="21"/>
                <w:highlight w:val="none"/>
              </w:rPr>
              <w:sym w:font="Symbol" w:char="F06D"/>
            </w:r>
            <w:r>
              <w:rPr>
                <w:rFonts w:hint="eastAsia" w:ascii="仿宋" w:hAnsi="仿宋" w:cs="宋体"/>
                <w:color w:val="auto"/>
                <w:szCs w:val="21"/>
                <w:highlight w:val="none"/>
              </w:rPr>
              <w:t>Sv/h</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ind w:firstLine="422"/>
              <w:jc w:val="center"/>
              <w:rPr>
                <w:rFonts w:ascii="仿宋" w:hAnsi="仿宋" w:cs="宋体"/>
                <w:color w:val="auto"/>
                <w:szCs w:val="21"/>
                <w:highlight w:val="none"/>
              </w:rPr>
            </w:pPr>
            <w:r>
              <w:rPr>
                <w:rFonts w:hint="eastAsia" w:ascii="仿宋" w:hAnsi="仿宋" w:cs="宋体"/>
                <w:b/>
                <w:color w:val="auto"/>
                <w:szCs w:val="21"/>
                <w:highlight w:val="none"/>
              </w:rPr>
              <w:t>2.</w:t>
            </w:r>
          </w:p>
        </w:tc>
        <w:tc>
          <w:tcPr>
            <w:tcW w:w="7971" w:type="dxa"/>
            <w:tcBorders>
              <w:top w:val="single" w:color="auto" w:sz="2" w:space="0"/>
              <w:bottom w:val="single" w:color="auto" w:sz="2" w:space="0"/>
            </w:tcBorders>
            <w:vAlign w:val="center"/>
          </w:tcPr>
          <w:p>
            <w:pPr>
              <w:ind w:firstLine="422"/>
              <w:jc w:val="left"/>
              <w:rPr>
                <w:rFonts w:ascii="仿宋" w:hAnsi="仿宋" w:cs="宋体"/>
                <w:b/>
                <w:color w:val="auto"/>
                <w:szCs w:val="21"/>
                <w:highlight w:val="none"/>
              </w:rPr>
            </w:pPr>
            <w:r>
              <w:rPr>
                <w:rFonts w:hint="eastAsia" w:ascii="仿宋" w:hAnsi="仿宋" w:cs="宋体"/>
                <w:b/>
                <w:color w:val="auto"/>
                <w:szCs w:val="21"/>
                <w:highlight w:val="none"/>
              </w:rPr>
              <w:t>测角仪部分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2.1</w:t>
            </w:r>
          </w:p>
        </w:tc>
        <w:tc>
          <w:tcPr>
            <w:tcW w:w="7971" w:type="dxa"/>
            <w:tcBorders>
              <w:top w:val="single" w:color="auto" w:sz="2" w:space="0"/>
              <w:bottom w:val="single" w:color="auto" w:sz="2" w:space="0"/>
            </w:tcBorders>
            <w:vAlign w:val="center"/>
          </w:tcPr>
          <w:p>
            <w:pPr>
              <w:jc w:val="left"/>
              <w:rPr>
                <w:rFonts w:ascii="仿宋" w:hAnsi="仿宋" w:cs="宋体"/>
                <w:b/>
                <w:color w:val="auto"/>
                <w:szCs w:val="21"/>
                <w:highlight w:val="none"/>
              </w:rPr>
            </w:pPr>
            <w:r>
              <w:rPr>
                <w:rFonts w:hint="eastAsia" w:ascii="仿宋" w:hAnsi="仿宋" w:cs="宋体"/>
                <w:color w:val="auto"/>
                <w:szCs w:val="21"/>
                <w:highlight w:val="none"/>
              </w:rPr>
              <w:t>测角仪：采用光学编码器技术与步进马达双重定位</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2.2</w:t>
            </w:r>
          </w:p>
        </w:tc>
        <w:tc>
          <w:tcPr>
            <w:tcW w:w="7971"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扫描方式：立式</w:t>
            </w:r>
            <w:r>
              <w:rPr>
                <w:rFonts w:hint="eastAsia" w:ascii="仿宋" w:hAnsi="仿宋" w:cs="宋体"/>
                <w:color w:val="auto"/>
                <w:szCs w:val="21"/>
                <w:highlight w:val="none"/>
              </w:rPr>
              <w:sym w:font="Symbol" w:char="F071"/>
            </w:r>
            <w:r>
              <w:rPr>
                <w:rFonts w:hint="eastAsia" w:ascii="仿宋" w:hAnsi="仿宋" w:cs="宋体"/>
                <w:color w:val="auto"/>
                <w:szCs w:val="21"/>
                <w:highlight w:val="none"/>
              </w:rPr>
              <w:t>/</w:t>
            </w:r>
            <w:r>
              <w:rPr>
                <w:rFonts w:hint="eastAsia" w:ascii="仿宋" w:hAnsi="仿宋" w:cs="宋体"/>
                <w:color w:val="auto"/>
                <w:szCs w:val="21"/>
                <w:highlight w:val="none"/>
              </w:rPr>
              <w:sym w:font="Symbol" w:char="F071"/>
            </w:r>
            <w:r>
              <w:rPr>
                <w:rFonts w:hint="eastAsia" w:ascii="仿宋" w:hAnsi="仿宋" w:cs="宋体"/>
                <w:color w:val="auto"/>
                <w:szCs w:val="21"/>
                <w:highlight w:val="none"/>
              </w:rPr>
              <w:t>测角仪，测角仪垂直放置</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2.3</w:t>
            </w:r>
          </w:p>
        </w:tc>
        <w:tc>
          <w:tcPr>
            <w:tcW w:w="7971" w:type="dxa"/>
            <w:tcBorders>
              <w:top w:val="single" w:color="auto" w:sz="2" w:space="0"/>
              <w:bottom w:val="single" w:color="auto" w:sz="2"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2</w:t>
            </w:r>
            <w:r>
              <w:rPr>
                <w:rFonts w:hint="eastAsia" w:ascii="仿宋" w:hAnsi="仿宋" w:cs="宋体"/>
                <w:color w:val="auto"/>
                <w:szCs w:val="21"/>
                <w:highlight w:val="none"/>
              </w:rPr>
              <w:sym w:font="Symbol" w:char="F071"/>
            </w:r>
            <w:r>
              <w:rPr>
                <w:rFonts w:hint="eastAsia" w:ascii="仿宋" w:hAnsi="仿宋" w:cs="宋体"/>
                <w:color w:val="auto"/>
                <w:szCs w:val="21"/>
                <w:highlight w:val="none"/>
              </w:rPr>
              <w:t>转动范围：-10</w:t>
            </w:r>
            <w:r>
              <w:rPr>
                <w:rFonts w:hint="eastAsia" w:ascii="仿宋" w:hAnsi="仿宋" w:cs="宋体"/>
                <w:color w:val="auto"/>
                <w:szCs w:val="21"/>
                <w:highlight w:val="none"/>
              </w:rPr>
              <w:sym w:font="Symbol" w:char="F0B0"/>
            </w:r>
            <w:r>
              <w:rPr>
                <w:rFonts w:hint="eastAsia" w:ascii="仿宋" w:hAnsi="仿宋" w:cs="宋体"/>
                <w:color w:val="auto"/>
                <w:szCs w:val="21"/>
                <w:highlight w:val="none"/>
              </w:rPr>
              <w:t>~168</w:t>
            </w:r>
            <w:r>
              <w:rPr>
                <w:rFonts w:hint="eastAsia" w:ascii="仿宋" w:hAnsi="仿宋" w:cs="宋体"/>
                <w:color w:val="auto"/>
                <w:szCs w:val="21"/>
                <w:highlight w:val="none"/>
              </w:rPr>
              <w:sym w:font="Symbol" w:char="F0B0"/>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2.4</w:t>
            </w:r>
          </w:p>
        </w:tc>
        <w:tc>
          <w:tcPr>
            <w:tcW w:w="7971" w:type="dxa"/>
            <w:tcBorders>
              <w:top w:val="single" w:color="auto" w:sz="2" w:space="0"/>
              <w:bottom w:val="single" w:color="auto" w:sz="2"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测角仪半径：</w:t>
            </w:r>
            <w:r>
              <w:rPr>
                <w:rFonts w:hint="eastAsia" w:ascii="仿宋" w:hAnsi="仿宋" w:cs="宋体"/>
                <w:color w:val="auto"/>
                <w:szCs w:val="21"/>
                <w:highlight w:val="none"/>
                <w:lang w:val="en-GB"/>
              </w:rPr>
              <w:t>≥</w:t>
            </w:r>
            <w:r>
              <w:rPr>
                <w:rFonts w:hint="eastAsia" w:ascii="仿宋" w:hAnsi="仿宋" w:cs="宋体"/>
                <w:color w:val="auto"/>
                <w:szCs w:val="21"/>
                <w:highlight w:val="none"/>
              </w:rPr>
              <w:t>200 mm，测角圆直径可连续改变</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2.5</w:t>
            </w:r>
          </w:p>
        </w:tc>
        <w:tc>
          <w:tcPr>
            <w:tcW w:w="7971" w:type="dxa"/>
            <w:tcBorders>
              <w:top w:val="single" w:color="auto" w:sz="2" w:space="0"/>
              <w:bottom w:val="single" w:color="auto" w:sz="2"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可读最小步长：0.0001</w:t>
            </w:r>
            <w:r>
              <w:rPr>
                <w:rFonts w:hint="eastAsia" w:ascii="仿宋" w:hAnsi="仿宋" w:cs="宋体"/>
                <w:color w:val="auto"/>
                <w:szCs w:val="21"/>
                <w:highlight w:val="none"/>
              </w:rPr>
              <w:sym w:font="Symbol" w:char="F0B0"/>
            </w:r>
            <w:r>
              <w:rPr>
                <w:rFonts w:hint="eastAsia" w:ascii="仿宋" w:hAnsi="仿宋" w:cs="宋体"/>
                <w:color w:val="auto"/>
                <w:szCs w:val="21"/>
                <w:highlight w:val="none"/>
              </w:rPr>
              <w:t>，角度重现性：0.0001</w:t>
            </w:r>
            <w:r>
              <w:rPr>
                <w:rFonts w:hint="eastAsia" w:ascii="仿宋" w:hAnsi="仿宋" w:cs="宋体"/>
                <w:color w:val="auto"/>
                <w:szCs w:val="21"/>
                <w:highlight w:val="none"/>
              </w:rPr>
              <w:sym w:font="Symbol" w:char="F0B0"/>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2.6</w:t>
            </w:r>
          </w:p>
        </w:tc>
        <w:tc>
          <w:tcPr>
            <w:tcW w:w="7971"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驱动方式：步进马达驱动</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2.7</w:t>
            </w:r>
          </w:p>
        </w:tc>
        <w:tc>
          <w:tcPr>
            <w:tcW w:w="7971"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最高定位速度：</w:t>
            </w:r>
            <w:r>
              <w:rPr>
                <w:rFonts w:hint="eastAsia" w:ascii="仿宋" w:hAnsi="仿宋" w:cs="宋体"/>
                <w:color w:val="auto"/>
                <w:szCs w:val="21"/>
                <w:highlight w:val="none"/>
                <w:lang w:val="en-GB"/>
              </w:rPr>
              <w:t>≥</w:t>
            </w:r>
            <w:r>
              <w:rPr>
                <w:rFonts w:hint="eastAsia" w:ascii="仿宋" w:hAnsi="仿宋" w:cs="宋体"/>
                <w:color w:val="auto"/>
                <w:szCs w:val="21"/>
                <w:highlight w:val="none"/>
              </w:rPr>
              <w:t>1000</w:t>
            </w:r>
            <w:r>
              <w:rPr>
                <w:rFonts w:hint="eastAsia" w:ascii="仿宋" w:hAnsi="仿宋" w:cs="宋体"/>
                <w:color w:val="auto"/>
                <w:szCs w:val="21"/>
                <w:highlight w:val="none"/>
              </w:rPr>
              <w:sym w:font="Symbol" w:char="F0B0"/>
            </w:r>
            <w:r>
              <w:rPr>
                <w:rFonts w:hint="eastAsia" w:ascii="仿宋" w:hAnsi="仿宋" w:cs="宋体"/>
                <w:color w:val="auto"/>
                <w:szCs w:val="21"/>
                <w:highlight w:val="none"/>
              </w:rPr>
              <w:t>/min</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2.8</w:t>
            </w:r>
          </w:p>
        </w:tc>
        <w:tc>
          <w:tcPr>
            <w:tcW w:w="7971"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采用智能虚拟测角仪全自动控制，硬件自动识别（光路各器件均带智能识别芯片，可被衍射仪自动识别）、自动纠错。</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▲2.9</w:t>
            </w:r>
          </w:p>
        </w:tc>
        <w:tc>
          <w:tcPr>
            <w:tcW w:w="7971" w:type="dxa"/>
            <w:tcBorders>
              <w:top w:val="single" w:color="auto" w:sz="2" w:space="0"/>
              <w:bottom w:val="single" w:color="auto" w:sz="2" w:space="0"/>
            </w:tcBorders>
            <w:vAlign w:val="center"/>
          </w:tcPr>
          <w:p>
            <w:pPr>
              <w:tabs>
                <w:tab w:val="left" w:pos="1080"/>
                <w:tab w:val="left" w:pos="3420"/>
              </w:tabs>
              <w:rPr>
                <w:rFonts w:ascii="仿宋" w:hAnsi="仿宋" w:cs="宋体"/>
                <w:color w:val="auto"/>
                <w:szCs w:val="21"/>
                <w:highlight w:val="none"/>
              </w:rPr>
            </w:pPr>
            <w:r>
              <w:rPr>
                <w:rFonts w:hint="eastAsia" w:ascii="仿宋" w:hAnsi="仿宋" w:cs="宋体"/>
                <w:color w:val="auto"/>
                <w:szCs w:val="21"/>
                <w:highlight w:val="none"/>
              </w:rPr>
              <w:t>验收精度：国际标准样品现场检测，全谱范围内所有峰的角度偏差不超过±0.01度。</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ind w:firstLine="422"/>
              <w:jc w:val="center"/>
              <w:rPr>
                <w:rFonts w:ascii="仿宋" w:hAnsi="仿宋" w:cs="宋体"/>
                <w:b/>
                <w:color w:val="auto"/>
                <w:szCs w:val="21"/>
                <w:highlight w:val="none"/>
              </w:rPr>
            </w:pPr>
            <w:r>
              <w:rPr>
                <w:rFonts w:hint="eastAsia" w:ascii="仿宋" w:hAnsi="仿宋" w:cs="宋体"/>
                <w:b/>
                <w:color w:val="auto"/>
                <w:szCs w:val="21"/>
                <w:highlight w:val="none"/>
              </w:rPr>
              <w:t>3.</w:t>
            </w:r>
          </w:p>
        </w:tc>
        <w:tc>
          <w:tcPr>
            <w:tcW w:w="7971" w:type="dxa"/>
            <w:tcBorders>
              <w:top w:val="single" w:color="auto" w:sz="2" w:space="0"/>
              <w:bottom w:val="single" w:color="auto" w:sz="2" w:space="0"/>
            </w:tcBorders>
            <w:vAlign w:val="center"/>
          </w:tcPr>
          <w:p>
            <w:pPr>
              <w:ind w:firstLine="422"/>
              <w:rPr>
                <w:rFonts w:ascii="仿宋" w:hAnsi="仿宋" w:cs="宋体"/>
                <w:b/>
                <w:color w:val="auto"/>
                <w:szCs w:val="21"/>
                <w:highlight w:val="none"/>
              </w:rPr>
            </w:pPr>
            <w:r>
              <w:rPr>
                <w:rFonts w:hint="eastAsia" w:ascii="仿宋" w:hAnsi="仿宋" w:cs="宋体"/>
                <w:b/>
                <w:color w:val="auto"/>
                <w:szCs w:val="21"/>
                <w:highlight w:val="none"/>
              </w:rPr>
              <w:t>探测器部分：能量色散二维阵列探测器</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▲3.1</w:t>
            </w:r>
          </w:p>
        </w:tc>
        <w:tc>
          <w:tcPr>
            <w:tcW w:w="7971" w:type="dxa"/>
            <w:tcBorders>
              <w:top w:val="single" w:color="auto" w:sz="2" w:space="0"/>
              <w:bottom w:val="single" w:color="auto" w:sz="2" w:space="0"/>
            </w:tcBorders>
            <w:vAlign w:val="center"/>
          </w:tcPr>
          <w:p>
            <w:pPr>
              <w:tabs>
                <w:tab w:val="left" w:pos="1080"/>
                <w:tab w:val="left" w:pos="3420"/>
              </w:tabs>
              <w:rPr>
                <w:rFonts w:ascii="仿宋" w:hAnsi="仿宋" w:cs="宋体"/>
                <w:color w:val="auto"/>
                <w:szCs w:val="21"/>
                <w:highlight w:val="none"/>
              </w:rPr>
            </w:pPr>
            <w:r>
              <w:rPr>
                <w:rFonts w:hint="eastAsia" w:ascii="仿宋" w:hAnsi="仿宋" w:cs="宋体"/>
                <w:color w:val="auto"/>
                <w:szCs w:val="21"/>
                <w:highlight w:val="none"/>
              </w:rPr>
              <w:t>子探测器个数：&gt;15×190个，探测器有效面积: ≥14.4x16 mm，单个探测器的像素不大于75</w:t>
            </w:r>
            <w:r>
              <w:rPr>
                <w:rFonts w:hint="eastAsia" w:ascii="宋体" w:hAnsi="宋体" w:cs="宋体"/>
                <w:color w:val="auto"/>
                <w:szCs w:val="21"/>
                <w:highlight w:val="none"/>
              </w:rPr>
              <w:t>µ</w:t>
            </w:r>
            <w:r>
              <w:rPr>
                <w:rFonts w:hint="eastAsia" w:ascii="仿宋" w:hAnsi="仿宋" w:cs="宋体"/>
                <w:color w:val="auto"/>
                <w:szCs w:val="21"/>
                <w:highlight w:val="none"/>
              </w:rPr>
              <w:t>m。</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3.2</w:t>
            </w:r>
          </w:p>
        </w:tc>
        <w:tc>
          <w:tcPr>
            <w:tcW w:w="7971" w:type="dxa"/>
            <w:tcBorders>
              <w:top w:val="single" w:color="auto" w:sz="2" w:space="0"/>
              <w:bottom w:val="single" w:color="auto" w:sz="2" w:space="0"/>
            </w:tcBorders>
            <w:vAlign w:val="center"/>
          </w:tcPr>
          <w:p>
            <w:pPr>
              <w:tabs>
                <w:tab w:val="left" w:pos="1080"/>
                <w:tab w:val="left" w:pos="3420"/>
              </w:tabs>
              <w:rPr>
                <w:rFonts w:ascii="仿宋" w:hAnsi="仿宋" w:cs="宋体"/>
                <w:color w:val="auto"/>
                <w:szCs w:val="21"/>
                <w:highlight w:val="none"/>
              </w:rPr>
            </w:pPr>
            <w:r>
              <w:rPr>
                <w:rFonts w:hint="eastAsia" w:ascii="仿宋" w:hAnsi="仿宋" w:cs="宋体"/>
                <w:color w:val="auto"/>
                <w:szCs w:val="21"/>
                <w:highlight w:val="none"/>
              </w:rPr>
              <w:t>最大计数： 1 x 10</w:t>
            </w:r>
            <w:r>
              <w:rPr>
                <w:rFonts w:hint="eastAsia" w:ascii="仿宋" w:hAnsi="仿宋" w:cs="宋体"/>
                <w:color w:val="auto"/>
                <w:szCs w:val="21"/>
                <w:highlight w:val="none"/>
                <w:vertAlign w:val="superscript"/>
              </w:rPr>
              <w:t>9</w:t>
            </w:r>
            <w:r>
              <w:rPr>
                <w:rFonts w:hint="eastAsia" w:ascii="仿宋" w:hAnsi="仿宋" w:cs="宋体"/>
                <w:color w:val="auto"/>
                <w:szCs w:val="21"/>
                <w:highlight w:val="none"/>
              </w:rPr>
              <w:t xml:space="preserve"> cps</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3.3</w:t>
            </w:r>
          </w:p>
        </w:tc>
        <w:tc>
          <w:tcPr>
            <w:tcW w:w="7971" w:type="dxa"/>
            <w:tcBorders>
              <w:top w:val="single" w:color="auto" w:sz="2" w:space="0"/>
              <w:bottom w:val="single" w:color="auto" w:sz="2" w:space="0"/>
            </w:tcBorders>
            <w:vAlign w:val="center"/>
          </w:tcPr>
          <w:p>
            <w:pPr>
              <w:tabs>
                <w:tab w:val="left" w:pos="1080"/>
                <w:tab w:val="left" w:pos="3420"/>
              </w:tabs>
              <w:rPr>
                <w:rFonts w:ascii="仿宋" w:hAnsi="仿宋" w:cs="宋体"/>
                <w:color w:val="auto"/>
                <w:szCs w:val="21"/>
                <w:highlight w:val="none"/>
              </w:rPr>
            </w:pPr>
            <w:r>
              <w:rPr>
                <w:rFonts w:hint="eastAsia" w:ascii="仿宋" w:hAnsi="仿宋" w:cs="宋体"/>
                <w:color w:val="auto"/>
                <w:szCs w:val="21"/>
                <w:highlight w:val="none"/>
              </w:rPr>
              <w:t>线性范围：≥4x10</w:t>
            </w:r>
            <w:r>
              <w:rPr>
                <w:rFonts w:hint="eastAsia" w:ascii="仿宋" w:hAnsi="仿宋" w:cs="宋体"/>
                <w:color w:val="auto"/>
                <w:szCs w:val="21"/>
                <w:highlight w:val="none"/>
                <w:vertAlign w:val="superscript"/>
              </w:rPr>
              <w:t>7</w:t>
            </w:r>
            <w:r>
              <w:rPr>
                <w:rFonts w:hint="eastAsia" w:ascii="仿宋" w:hAnsi="仿宋" w:cs="宋体"/>
                <w:color w:val="auto"/>
                <w:szCs w:val="21"/>
                <w:highlight w:val="none"/>
              </w:rPr>
              <w:t xml:space="preserve"> cps</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3.4</w:t>
            </w:r>
          </w:p>
        </w:tc>
        <w:tc>
          <w:tcPr>
            <w:tcW w:w="7971" w:type="dxa"/>
            <w:tcBorders>
              <w:top w:val="single" w:color="auto" w:sz="2" w:space="0"/>
              <w:bottom w:val="single" w:color="auto" w:sz="2" w:space="0"/>
            </w:tcBorders>
            <w:vAlign w:val="center"/>
          </w:tcPr>
          <w:p>
            <w:pPr>
              <w:tabs>
                <w:tab w:val="left" w:pos="1080"/>
                <w:tab w:val="left" w:pos="3420"/>
              </w:tabs>
              <w:rPr>
                <w:rFonts w:ascii="仿宋" w:hAnsi="仿宋" w:cs="宋体"/>
                <w:color w:val="auto"/>
                <w:szCs w:val="21"/>
                <w:highlight w:val="none"/>
              </w:rPr>
            </w:pPr>
            <w:r>
              <w:rPr>
                <w:rFonts w:hint="eastAsia" w:ascii="仿宋" w:hAnsi="仿宋" w:cs="宋体"/>
                <w:color w:val="auto"/>
                <w:szCs w:val="21"/>
                <w:highlight w:val="none"/>
              </w:rPr>
              <w:t>背景：&lt;0.1 cps</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▲3.5</w:t>
            </w:r>
          </w:p>
        </w:tc>
        <w:tc>
          <w:tcPr>
            <w:tcW w:w="7971" w:type="dxa"/>
            <w:tcBorders>
              <w:top w:val="single" w:color="auto" w:sz="2" w:space="0"/>
              <w:bottom w:val="single" w:color="auto" w:sz="2" w:space="0"/>
            </w:tcBorders>
            <w:vAlign w:val="center"/>
          </w:tcPr>
          <w:p>
            <w:pPr>
              <w:tabs>
                <w:tab w:val="left" w:pos="1080"/>
                <w:tab w:val="left" w:pos="3420"/>
              </w:tabs>
              <w:rPr>
                <w:rFonts w:ascii="仿宋" w:hAnsi="仿宋" w:cs="宋体"/>
                <w:color w:val="auto"/>
                <w:szCs w:val="21"/>
                <w:highlight w:val="none"/>
              </w:rPr>
            </w:pPr>
            <w:r>
              <w:rPr>
                <w:rFonts w:hint="eastAsia" w:ascii="仿宋" w:hAnsi="仿宋" w:cs="宋体"/>
                <w:color w:val="auto"/>
                <w:szCs w:val="21"/>
                <w:highlight w:val="none"/>
              </w:rPr>
              <w:t>能量分辨率：探测本身能量分辨率优于380eV(相对于 CuKa能量分辨率优于4.8%)完全能够分辨Ka,Kβ射线，测量时无需在光路上使用滤波片或者其他光学附件过滤Kβ射线。</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3.6</w:t>
            </w:r>
          </w:p>
        </w:tc>
        <w:tc>
          <w:tcPr>
            <w:tcW w:w="7971" w:type="dxa"/>
            <w:tcBorders>
              <w:top w:val="single" w:color="auto" w:sz="2" w:space="0"/>
              <w:bottom w:val="single" w:color="auto" w:sz="2" w:space="0"/>
            </w:tcBorders>
            <w:vAlign w:val="center"/>
          </w:tcPr>
          <w:p>
            <w:pPr>
              <w:tabs>
                <w:tab w:val="left" w:pos="1080"/>
                <w:tab w:val="left" w:pos="3420"/>
              </w:tabs>
              <w:rPr>
                <w:rFonts w:ascii="仿宋" w:hAnsi="仿宋" w:cs="宋体"/>
                <w:color w:val="auto"/>
                <w:szCs w:val="21"/>
                <w:highlight w:val="none"/>
              </w:rPr>
            </w:pPr>
            <w:r>
              <w:rPr>
                <w:rFonts w:hint="eastAsia" w:ascii="仿宋" w:hAnsi="仿宋" w:cs="宋体"/>
                <w:color w:val="auto"/>
                <w:szCs w:val="21"/>
                <w:highlight w:val="none"/>
              </w:rPr>
              <w:t>确保所有子探测器全好，具有静态扫描功能，正常工作半径下最大2thea角 ≥ 3.7度</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3.7</w:t>
            </w:r>
          </w:p>
        </w:tc>
        <w:tc>
          <w:tcPr>
            <w:tcW w:w="7971" w:type="dxa"/>
            <w:tcBorders>
              <w:top w:val="single" w:color="auto" w:sz="2" w:space="0"/>
              <w:bottom w:val="single" w:color="auto" w:sz="2" w:space="0"/>
            </w:tcBorders>
            <w:vAlign w:val="center"/>
          </w:tcPr>
          <w:p>
            <w:pPr>
              <w:tabs>
                <w:tab w:val="left" w:pos="1080"/>
                <w:tab w:val="left" w:pos="3420"/>
              </w:tabs>
              <w:rPr>
                <w:rFonts w:ascii="仿宋" w:hAnsi="仿宋" w:cs="宋体"/>
                <w:color w:val="auto"/>
                <w:szCs w:val="21"/>
                <w:highlight w:val="none"/>
              </w:rPr>
            </w:pPr>
            <w:r>
              <w:rPr>
                <w:rFonts w:hint="eastAsia" w:ascii="仿宋" w:hAnsi="仿宋" w:cs="宋体"/>
                <w:color w:val="auto"/>
                <w:szCs w:val="21"/>
                <w:highlight w:val="none"/>
              </w:rPr>
              <w:t>提供的半导体阵列探测必须适合小角和广角测试，小角最小从0.3度开始</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▲3.8</w:t>
            </w:r>
          </w:p>
        </w:tc>
        <w:tc>
          <w:tcPr>
            <w:tcW w:w="7971" w:type="dxa"/>
            <w:tcBorders>
              <w:top w:val="single" w:color="auto" w:sz="2" w:space="0"/>
              <w:bottom w:val="single" w:color="auto" w:sz="2" w:space="0"/>
            </w:tcBorders>
            <w:vAlign w:val="center"/>
          </w:tcPr>
          <w:p>
            <w:pPr>
              <w:tabs>
                <w:tab w:val="left" w:pos="0"/>
                <w:tab w:val="left" w:pos="3420"/>
              </w:tabs>
              <w:ind w:left="2" w:firstLine="2" w:firstLineChars="1"/>
              <w:rPr>
                <w:rFonts w:ascii="仿宋" w:hAnsi="仿宋" w:cs="宋体"/>
                <w:color w:val="auto"/>
                <w:szCs w:val="21"/>
                <w:highlight w:val="none"/>
              </w:rPr>
            </w:pPr>
            <w:r>
              <w:rPr>
                <w:rFonts w:hint="eastAsia" w:ascii="仿宋" w:hAnsi="仿宋" w:cs="宋体"/>
                <w:color w:val="auto"/>
                <w:szCs w:val="21"/>
                <w:highlight w:val="none"/>
              </w:rPr>
              <w:t>扫描方式：零维模式（点探测器），一维模式（阵列探测器），二维模式（面探测器）</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ind w:firstLine="422"/>
              <w:jc w:val="center"/>
              <w:rPr>
                <w:rFonts w:ascii="仿宋" w:hAnsi="仿宋" w:cs="宋体"/>
                <w:color w:val="auto"/>
                <w:szCs w:val="21"/>
                <w:highlight w:val="none"/>
              </w:rPr>
            </w:pPr>
            <w:r>
              <w:rPr>
                <w:rFonts w:hint="eastAsia" w:ascii="仿宋" w:hAnsi="仿宋" w:cs="宋体"/>
                <w:b/>
                <w:color w:val="auto"/>
                <w:szCs w:val="21"/>
                <w:highlight w:val="none"/>
              </w:rPr>
              <w:t>4.</w:t>
            </w:r>
          </w:p>
        </w:tc>
        <w:tc>
          <w:tcPr>
            <w:tcW w:w="7971" w:type="dxa"/>
            <w:tcBorders>
              <w:top w:val="single" w:color="auto" w:sz="2" w:space="0"/>
              <w:bottom w:val="single" w:color="auto" w:sz="2" w:space="0"/>
            </w:tcBorders>
            <w:vAlign w:val="center"/>
          </w:tcPr>
          <w:p>
            <w:pPr>
              <w:tabs>
                <w:tab w:val="left" w:pos="1080"/>
                <w:tab w:val="left" w:pos="3420"/>
              </w:tabs>
              <w:ind w:firstLine="422"/>
              <w:rPr>
                <w:rFonts w:ascii="仿宋" w:hAnsi="仿宋" w:cs="宋体"/>
                <w:b/>
                <w:color w:val="auto"/>
                <w:szCs w:val="21"/>
                <w:highlight w:val="none"/>
              </w:rPr>
            </w:pPr>
            <w:r>
              <w:rPr>
                <w:rFonts w:hint="eastAsia" w:ascii="仿宋" w:hAnsi="仿宋" w:cs="宋体"/>
                <w:b/>
                <w:color w:val="auto"/>
                <w:szCs w:val="21"/>
                <w:highlight w:val="none"/>
              </w:rPr>
              <w:t>光路部分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4.1</w:t>
            </w:r>
          </w:p>
        </w:tc>
        <w:tc>
          <w:tcPr>
            <w:tcW w:w="7971" w:type="dxa"/>
            <w:tcBorders>
              <w:top w:val="single" w:color="auto" w:sz="2" w:space="0"/>
              <w:bottom w:val="single" w:color="auto" w:sz="2" w:space="0"/>
            </w:tcBorders>
            <w:vAlign w:val="center"/>
          </w:tcPr>
          <w:p>
            <w:pPr>
              <w:tabs>
                <w:tab w:val="left" w:pos="1080"/>
                <w:tab w:val="left" w:pos="3420"/>
              </w:tabs>
              <w:rPr>
                <w:rFonts w:ascii="仿宋" w:hAnsi="仿宋" w:cs="宋体"/>
                <w:color w:val="auto"/>
                <w:szCs w:val="21"/>
                <w:highlight w:val="none"/>
              </w:rPr>
            </w:pPr>
            <w:r>
              <w:rPr>
                <w:rFonts w:hint="eastAsia" w:ascii="仿宋" w:hAnsi="仿宋" w:cs="宋体"/>
                <w:color w:val="auto"/>
                <w:szCs w:val="21"/>
                <w:highlight w:val="none"/>
              </w:rPr>
              <w:t>所有光学附件均采用模块化设计，采用无工具安装、拆卸方式</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4.2</w:t>
            </w:r>
          </w:p>
        </w:tc>
        <w:tc>
          <w:tcPr>
            <w:tcW w:w="7971" w:type="dxa"/>
            <w:tcBorders>
              <w:top w:val="single" w:color="auto" w:sz="2" w:space="0"/>
              <w:bottom w:val="single" w:color="auto" w:sz="2" w:space="0"/>
            </w:tcBorders>
            <w:vAlign w:val="center"/>
          </w:tcPr>
          <w:p>
            <w:pPr>
              <w:tabs>
                <w:tab w:val="left" w:pos="1080"/>
                <w:tab w:val="left" w:pos="3420"/>
              </w:tabs>
              <w:rPr>
                <w:rFonts w:ascii="仿宋" w:hAnsi="仿宋" w:cs="宋体"/>
                <w:color w:val="auto"/>
                <w:szCs w:val="21"/>
                <w:highlight w:val="none"/>
              </w:rPr>
            </w:pPr>
            <w:r>
              <w:rPr>
                <w:rFonts w:hint="eastAsia" w:ascii="仿宋" w:hAnsi="仿宋" w:cs="宋体"/>
                <w:color w:val="auto"/>
                <w:szCs w:val="21"/>
                <w:highlight w:val="none"/>
              </w:rPr>
              <w:t>包括全光路狭缝系统：防散射狭缝、发散狭缝、接收狭缝</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ind w:firstLine="422"/>
              <w:jc w:val="center"/>
              <w:rPr>
                <w:rFonts w:ascii="仿宋" w:hAnsi="仿宋" w:cs="宋体"/>
                <w:color w:val="auto"/>
                <w:szCs w:val="21"/>
                <w:highlight w:val="none"/>
              </w:rPr>
            </w:pPr>
            <w:r>
              <w:rPr>
                <w:rFonts w:hint="eastAsia" w:ascii="仿宋" w:hAnsi="仿宋" w:cs="宋体"/>
                <w:b/>
                <w:color w:val="auto"/>
                <w:szCs w:val="21"/>
                <w:highlight w:val="none"/>
              </w:rPr>
              <w:t>5.</w:t>
            </w:r>
          </w:p>
        </w:tc>
        <w:tc>
          <w:tcPr>
            <w:tcW w:w="7971" w:type="dxa"/>
            <w:tcBorders>
              <w:top w:val="single" w:color="auto" w:sz="2" w:space="0"/>
              <w:bottom w:val="single" w:color="auto" w:sz="2" w:space="0"/>
            </w:tcBorders>
            <w:vAlign w:val="center"/>
          </w:tcPr>
          <w:p>
            <w:pPr>
              <w:ind w:firstLine="422"/>
              <w:rPr>
                <w:rFonts w:ascii="仿宋" w:hAnsi="仿宋" w:cs="宋体"/>
                <w:color w:val="auto"/>
                <w:szCs w:val="21"/>
                <w:highlight w:val="none"/>
              </w:rPr>
            </w:pPr>
            <w:r>
              <w:rPr>
                <w:rFonts w:hint="eastAsia" w:ascii="仿宋" w:hAnsi="仿宋" w:cs="宋体"/>
                <w:b/>
                <w:color w:val="auto"/>
                <w:szCs w:val="21"/>
                <w:highlight w:val="none"/>
              </w:rPr>
              <w:t>样品台：</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5.1</w:t>
            </w:r>
          </w:p>
        </w:tc>
        <w:tc>
          <w:tcPr>
            <w:tcW w:w="7971"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标准样品台</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5.2</w:t>
            </w:r>
          </w:p>
        </w:tc>
        <w:tc>
          <w:tcPr>
            <w:tcW w:w="7971"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原位高温附件：</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▲5.2.1</w:t>
            </w:r>
          </w:p>
        </w:tc>
        <w:tc>
          <w:tcPr>
            <w:tcW w:w="7971"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环境加热段：温度范围：室温到1100度，环境加热，带真空系统与温度控制器</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▲5.2.2</w:t>
            </w:r>
          </w:p>
        </w:tc>
        <w:tc>
          <w:tcPr>
            <w:tcW w:w="7971"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中低温段：液氮到450度，带真空系统与温度控制器</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5.3</w:t>
            </w:r>
          </w:p>
        </w:tc>
        <w:tc>
          <w:tcPr>
            <w:tcW w:w="7971"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原位变温电池附件：温度范围-20度到80度</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5.4</w:t>
            </w:r>
          </w:p>
        </w:tc>
        <w:tc>
          <w:tcPr>
            <w:tcW w:w="7971"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变温软包电池透射样品台：温度范围-20度到80度</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ind w:firstLine="422"/>
              <w:jc w:val="center"/>
              <w:rPr>
                <w:rFonts w:ascii="仿宋" w:hAnsi="仿宋" w:cs="宋体"/>
                <w:color w:val="auto"/>
                <w:szCs w:val="21"/>
                <w:highlight w:val="none"/>
              </w:rPr>
            </w:pPr>
            <w:r>
              <w:rPr>
                <w:rFonts w:hint="eastAsia" w:ascii="仿宋" w:hAnsi="仿宋" w:cs="宋体"/>
                <w:b/>
                <w:color w:val="auto"/>
                <w:szCs w:val="21"/>
                <w:highlight w:val="none"/>
              </w:rPr>
              <w:t>6.</w:t>
            </w:r>
          </w:p>
        </w:tc>
        <w:tc>
          <w:tcPr>
            <w:tcW w:w="7971" w:type="dxa"/>
            <w:tcBorders>
              <w:top w:val="single" w:color="auto" w:sz="2" w:space="0"/>
              <w:bottom w:val="single" w:color="auto" w:sz="2" w:space="0"/>
            </w:tcBorders>
            <w:vAlign w:val="center"/>
          </w:tcPr>
          <w:p>
            <w:pPr>
              <w:ind w:firstLine="422"/>
              <w:jc w:val="left"/>
              <w:rPr>
                <w:rFonts w:ascii="仿宋" w:hAnsi="仿宋" w:cs="宋体"/>
                <w:b/>
                <w:color w:val="auto"/>
                <w:szCs w:val="21"/>
                <w:highlight w:val="none"/>
              </w:rPr>
            </w:pPr>
            <w:r>
              <w:rPr>
                <w:rFonts w:hint="eastAsia" w:ascii="仿宋" w:hAnsi="仿宋" w:cs="宋体"/>
                <w:b/>
                <w:color w:val="auto"/>
                <w:szCs w:val="21"/>
                <w:highlight w:val="none"/>
              </w:rPr>
              <w:t>仪器控制和数据采集系统</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6.1</w:t>
            </w:r>
          </w:p>
        </w:tc>
        <w:tc>
          <w:tcPr>
            <w:tcW w:w="7971"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计算机：不低于双核主频2.26G Hz以上，8G 内存，1THD，CD-RW，27”液晶显示器，网卡</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6.2</w:t>
            </w:r>
          </w:p>
        </w:tc>
        <w:tc>
          <w:tcPr>
            <w:tcW w:w="7971"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仪器控制和数据采集软件。</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ind w:firstLine="422"/>
              <w:jc w:val="center"/>
              <w:rPr>
                <w:rFonts w:ascii="仿宋" w:hAnsi="仿宋" w:cs="宋体"/>
                <w:color w:val="auto"/>
                <w:szCs w:val="21"/>
                <w:highlight w:val="none"/>
              </w:rPr>
            </w:pPr>
            <w:r>
              <w:rPr>
                <w:rFonts w:hint="eastAsia" w:ascii="仿宋" w:hAnsi="仿宋" w:cs="宋体"/>
                <w:b/>
                <w:color w:val="auto"/>
                <w:szCs w:val="21"/>
                <w:highlight w:val="none"/>
              </w:rPr>
              <w:t>7.</w:t>
            </w:r>
          </w:p>
        </w:tc>
        <w:tc>
          <w:tcPr>
            <w:tcW w:w="7971" w:type="dxa"/>
            <w:tcBorders>
              <w:top w:val="single" w:color="auto" w:sz="2" w:space="0"/>
              <w:bottom w:val="single" w:color="auto" w:sz="2" w:space="0"/>
            </w:tcBorders>
            <w:vAlign w:val="center"/>
          </w:tcPr>
          <w:p>
            <w:pPr>
              <w:ind w:firstLine="422"/>
              <w:rPr>
                <w:rFonts w:ascii="仿宋" w:hAnsi="仿宋" w:cs="宋体"/>
                <w:b/>
                <w:color w:val="auto"/>
                <w:szCs w:val="21"/>
                <w:highlight w:val="none"/>
              </w:rPr>
            </w:pPr>
            <w:r>
              <w:rPr>
                <w:rFonts w:hint="eastAsia" w:ascii="仿宋" w:hAnsi="仿宋" w:cs="宋体"/>
                <w:b/>
                <w:color w:val="auto"/>
                <w:szCs w:val="21"/>
                <w:highlight w:val="none"/>
              </w:rPr>
              <w:t>应用软件：要求提供以下应用分析软件</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7.1</w:t>
            </w:r>
          </w:p>
        </w:tc>
        <w:tc>
          <w:tcPr>
            <w:tcW w:w="7971"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物相检索软件：含原始数据直接检索功能</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7.2</w:t>
            </w:r>
          </w:p>
        </w:tc>
        <w:tc>
          <w:tcPr>
            <w:tcW w:w="7971"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数据库：最新的数据库</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7.3</w:t>
            </w:r>
          </w:p>
        </w:tc>
        <w:tc>
          <w:tcPr>
            <w:tcW w:w="7971"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物相定量分析：可编程定量分析软件</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7.4</w:t>
            </w:r>
          </w:p>
        </w:tc>
        <w:tc>
          <w:tcPr>
            <w:tcW w:w="7971"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无标样晶粒大小分析及微观应力分析</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7.5</w:t>
            </w:r>
          </w:p>
        </w:tc>
        <w:tc>
          <w:tcPr>
            <w:tcW w:w="7971"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粉末数据指标化、结构精修、从头结构解析以及无标样定量分析软件</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ind w:firstLine="422"/>
              <w:jc w:val="center"/>
              <w:rPr>
                <w:rFonts w:ascii="仿宋" w:hAnsi="仿宋" w:cs="宋体"/>
                <w:color w:val="auto"/>
                <w:szCs w:val="21"/>
                <w:highlight w:val="none"/>
              </w:rPr>
            </w:pPr>
            <w:r>
              <w:rPr>
                <w:rFonts w:hint="eastAsia" w:ascii="仿宋" w:hAnsi="仿宋" w:cs="宋体"/>
                <w:b/>
                <w:color w:val="auto"/>
                <w:szCs w:val="21"/>
                <w:highlight w:val="none"/>
              </w:rPr>
              <w:t>8.</w:t>
            </w:r>
          </w:p>
        </w:tc>
        <w:tc>
          <w:tcPr>
            <w:tcW w:w="7971" w:type="dxa"/>
            <w:tcBorders>
              <w:top w:val="single" w:color="auto" w:sz="2" w:space="0"/>
              <w:bottom w:val="single" w:color="auto" w:sz="2" w:space="0"/>
            </w:tcBorders>
            <w:vAlign w:val="center"/>
          </w:tcPr>
          <w:p>
            <w:pPr>
              <w:ind w:firstLine="422"/>
              <w:rPr>
                <w:rFonts w:ascii="仿宋" w:hAnsi="仿宋" w:cs="宋体"/>
                <w:b/>
                <w:color w:val="auto"/>
                <w:szCs w:val="21"/>
                <w:highlight w:val="none"/>
              </w:rPr>
            </w:pPr>
            <w:r>
              <w:rPr>
                <w:rFonts w:hint="eastAsia" w:ascii="仿宋" w:hAnsi="仿宋" w:cs="宋体"/>
                <w:b/>
                <w:color w:val="auto"/>
                <w:szCs w:val="21"/>
                <w:highlight w:val="none"/>
              </w:rPr>
              <w:t>其他组件部分：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ind w:firstLine="422"/>
              <w:jc w:val="center"/>
              <w:rPr>
                <w:rFonts w:ascii="仿宋" w:hAnsi="仿宋" w:cs="宋体"/>
                <w:color w:val="auto"/>
                <w:szCs w:val="21"/>
                <w:highlight w:val="none"/>
              </w:rPr>
            </w:pPr>
            <w:r>
              <w:rPr>
                <w:rFonts w:hint="eastAsia" w:ascii="仿宋" w:hAnsi="仿宋" w:cs="宋体"/>
                <w:b/>
                <w:color w:val="auto"/>
                <w:szCs w:val="21"/>
                <w:highlight w:val="none"/>
              </w:rPr>
              <w:t>8.1</w:t>
            </w:r>
          </w:p>
        </w:tc>
        <w:tc>
          <w:tcPr>
            <w:tcW w:w="7971" w:type="dxa"/>
            <w:tcBorders>
              <w:top w:val="single" w:color="auto" w:sz="2" w:space="0"/>
              <w:bottom w:val="single" w:color="auto" w:sz="2" w:space="0"/>
            </w:tcBorders>
            <w:vAlign w:val="center"/>
          </w:tcPr>
          <w:p>
            <w:pPr>
              <w:ind w:firstLine="422"/>
              <w:rPr>
                <w:rFonts w:ascii="仿宋" w:hAnsi="仿宋" w:cs="宋体"/>
                <w:color w:val="auto"/>
                <w:szCs w:val="21"/>
                <w:highlight w:val="none"/>
              </w:rPr>
            </w:pPr>
            <w:r>
              <w:rPr>
                <w:rFonts w:hint="eastAsia" w:ascii="仿宋" w:hAnsi="仿宋" w:cs="宋体"/>
                <w:b/>
                <w:color w:val="auto"/>
                <w:szCs w:val="21"/>
                <w:highlight w:val="none"/>
              </w:rPr>
              <w:t>循环水冷系统：</w:t>
            </w:r>
            <w:r>
              <w:rPr>
                <w:rFonts w:hint="eastAsia" w:ascii="仿宋" w:hAnsi="仿宋" w:cs="宋体"/>
                <w:color w:val="auto"/>
                <w:szCs w:val="21"/>
                <w:highlight w:val="none"/>
              </w:rPr>
              <w:t>满足相应系统连续满功率运行</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8.2</w:t>
            </w:r>
          </w:p>
        </w:tc>
        <w:tc>
          <w:tcPr>
            <w:tcW w:w="7971"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量具量仪实训平台</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ind w:firstLine="422"/>
              <w:jc w:val="center"/>
              <w:rPr>
                <w:rFonts w:ascii="仿宋" w:hAnsi="仿宋" w:cs="宋体"/>
                <w:color w:val="auto"/>
                <w:szCs w:val="21"/>
                <w:highlight w:val="none"/>
              </w:rPr>
            </w:pPr>
            <w:r>
              <w:rPr>
                <w:rFonts w:hint="eastAsia" w:ascii="仿宋" w:hAnsi="仿宋" w:cs="宋体"/>
                <w:b/>
                <w:color w:val="auto"/>
                <w:szCs w:val="21"/>
                <w:highlight w:val="none"/>
              </w:rPr>
              <w:t>9.</w:t>
            </w:r>
          </w:p>
        </w:tc>
        <w:tc>
          <w:tcPr>
            <w:tcW w:w="7971" w:type="dxa"/>
            <w:tcBorders>
              <w:top w:val="single" w:color="auto" w:sz="2" w:space="0"/>
              <w:bottom w:val="single" w:color="auto" w:sz="2" w:space="0"/>
            </w:tcBorders>
            <w:vAlign w:val="center"/>
          </w:tcPr>
          <w:p>
            <w:pPr>
              <w:ind w:firstLine="422"/>
              <w:jc w:val="left"/>
              <w:rPr>
                <w:rFonts w:ascii="仿宋" w:hAnsi="仿宋" w:cs="宋体"/>
                <w:b/>
                <w:color w:val="auto"/>
                <w:szCs w:val="21"/>
                <w:highlight w:val="none"/>
              </w:rPr>
            </w:pPr>
            <w:r>
              <w:rPr>
                <w:rFonts w:hint="eastAsia" w:ascii="仿宋" w:hAnsi="仿宋" w:cs="宋体"/>
                <w:b/>
                <w:color w:val="auto"/>
                <w:szCs w:val="21"/>
                <w:highlight w:val="none"/>
              </w:rPr>
              <w:t>工作条件</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9.1</w:t>
            </w:r>
          </w:p>
        </w:tc>
        <w:tc>
          <w:tcPr>
            <w:tcW w:w="7971"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电力供应：单相220V（</w:t>
            </w:r>
            <w:r>
              <w:rPr>
                <w:rFonts w:hint="eastAsia" w:ascii="仿宋" w:hAnsi="仿宋" w:cs="宋体"/>
                <w:color w:val="auto"/>
                <w:szCs w:val="21"/>
                <w:highlight w:val="none"/>
              </w:rPr>
              <w:sym w:font="Symbol" w:char="F0B1"/>
            </w:r>
            <w:r>
              <w:rPr>
                <w:rFonts w:hint="eastAsia" w:ascii="仿宋" w:hAnsi="仿宋" w:cs="宋体"/>
                <w:color w:val="auto"/>
                <w:szCs w:val="21"/>
                <w:highlight w:val="none"/>
              </w:rPr>
              <w:t>10%），50Hz</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9.2</w:t>
            </w:r>
          </w:p>
        </w:tc>
        <w:tc>
          <w:tcPr>
            <w:tcW w:w="7971"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工作温度：10</w:t>
            </w:r>
            <w:r>
              <w:rPr>
                <w:rFonts w:hint="eastAsia" w:ascii="仿宋" w:hAnsi="仿宋" w:cs="宋体"/>
                <w:color w:val="auto"/>
                <w:szCs w:val="21"/>
                <w:highlight w:val="none"/>
              </w:rPr>
              <w:sym w:font="Symbol" w:char="F0B0"/>
            </w:r>
            <w:r>
              <w:rPr>
                <w:rFonts w:hint="eastAsia" w:ascii="仿宋" w:hAnsi="仿宋" w:cs="宋体"/>
                <w:color w:val="auto"/>
                <w:szCs w:val="21"/>
                <w:highlight w:val="none"/>
              </w:rPr>
              <w:t>C-40</w:t>
            </w:r>
            <w:r>
              <w:rPr>
                <w:rFonts w:hint="eastAsia" w:ascii="仿宋" w:hAnsi="仿宋" w:cs="宋体"/>
                <w:color w:val="auto"/>
                <w:szCs w:val="21"/>
                <w:highlight w:val="none"/>
              </w:rPr>
              <w:sym w:font="Symbol" w:char="F0B0"/>
            </w:r>
            <w:r>
              <w:rPr>
                <w:rFonts w:hint="eastAsia" w:ascii="仿宋" w:hAnsi="仿宋" w:cs="宋体"/>
                <w:color w:val="auto"/>
                <w:szCs w:val="21"/>
                <w:highlight w:val="none"/>
              </w:rPr>
              <w:t>C</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9.3</w:t>
            </w:r>
          </w:p>
        </w:tc>
        <w:tc>
          <w:tcPr>
            <w:tcW w:w="7971"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相对湿度：≤75％</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9.4</w:t>
            </w:r>
          </w:p>
        </w:tc>
        <w:tc>
          <w:tcPr>
            <w:tcW w:w="7971"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仪器运行的持久性：能够满足长时间连续工作</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ind w:firstLine="422"/>
              <w:jc w:val="center"/>
              <w:rPr>
                <w:rFonts w:ascii="仿宋" w:hAnsi="仿宋" w:cs="宋体"/>
                <w:color w:val="auto"/>
                <w:szCs w:val="21"/>
                <w:highlight w:val="none"/>
              </w:rPr>
            </w:pPr>
            <w:r>
              <w:rPr>
                <w:rFonts w:hint="eastAsia" w:ascii="仿宋" w:hAnsi="仿宋" w:cs="宋体"/>
                <w:b/>
                <w:color w:val="auto"/>
                <w:szCs w:val="21"/>
                <w:highlight w:val="none"/>
              </w:rPr>
              <w:t>10.</w:t>
            </w:r>
          </w:p>
        </w:tc>
        <w:tc>
          <w:tcPr>
            <w:tcW w:w="7971" w:type="dxa"/>
            <w:tcBorders>
              <w:top w:val="single" w:color="auto" w:sz="2" w:space="0"/>
              <w:bottom w:val="single" w:color="auto" w:sz="2" w:space="0"/>
            </w:tcBorders>
            <w:vAlign w:val="center"/>
          </w:tcPr>
          <w:p>
            <w:pPr>
              <w:ind w:firstLine="422"/>
              <w:rPr>
                <w:rFonts w:ascii="仿宋" w:hAnsi="仿宋" w:cs="宋体"/>
                <w:b/>
                <w:color w:val="auto"/>
                <w:szCs w:val="21"/>
                <w:highlight w:val="none"/>
              </w:rPr>
            </w:pPr>
            <w:r>
              <w:rPr>
                <w:rFonts w:hint="eastAsia" w:ascii="仿宋" w:hAnsi="仿宋" w:cs="宋体"/>
                <w:b/>
                <w:color w:val="auto"/>
                <w:szCs w:val="21"/>
                <w:highlight w:val="none"/>
              </w:rPr>
              <w:t>仪器生产商须满足的相关标准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10.1</w:t>
            </w:r>
          </w:p>
        </w:tc>
        <w:tc>
          <w:tcPr>
            <w:tcW w:w="7971"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质量标准：ISO9001认证</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三</w:t>
            </w:r>
          </w:p>
        </w:tc>
        <w:tc>
          <w:tcPr>
            <w:tcW w:w="7971"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技术文件：免费提供有关的全套技术文件。</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四</w:t>
            </w:r>
          </w:p>
        </w:tc>
        <w:tc>
          <w:tcPr>
            <w:tcW w:w="7971"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安装、培训：负责免费安排安装、调试、培训和验收，并承担由此发生的一切费用,并提交经采购人签字认可的安装调试报告。</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4.1</w:t>
            </w:r>
          </w:p>
        </w:tc>
        <w:tc>
          <w:tcPr>
            <w:tcW w:w="7971"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投标人应对采购人指定的操作人员进行全面、系统、深入的培训，培训内容包括仪器的技术原理、操作、工艺、数据处理、基本维护等。培训应达到如下目的：使操作人员能熟练操作相关设备，能应付突发事件、快速判断故障、进行应急处理等；</w:t>
            </w:r>
          </w:p>
          <w:p>
            <w:pPr>
              <w:rPr>
                <w:rFonts w:ascii="仿宋" w:hAnsi="仿宋" w:cs="宋体"/>
                <w:color w:val="auto"/>
                <w:szCs w:val="21"/>
                <w:highlight w:val="none"/>
              </w:rPr>
            </w:pPr>
            <w:r>
              <w:rPr>
                <w:rFonts w:hint="eastAsia" w:ascii="仿宋" w:hAnsi="仿宋" w:cs="宋体"/>
                <w:color w:val="auto"/>
                <w:szCs w:val="21"/>
                <w:highlight w:val="none"/>
              </w:rPr>
              <w:t>投标人应在投标文件中提供详细的培训计划建议，内容应当包括理论和实践两个方面；所有培训课程需用中文进行，如使用外文讲解，投标人需提供合格的翻译人员；培训时间以参加培训的人员学懂会用为限；所有培训费用包括在投标价中。投标文件中应有培训计划，说明培训人数、时间和主要内容。</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五</w:t>
            </w:r>
          </w:p>
        </w:tc>
        <w:tc>
          <w:tcPr>
            <w:tcW w:w="7971" w:type="dxa"/>
            <w:tcBorders>
              <w:top w:val="single" w:color="auto" w:sz="2" w:space="0"/>
              <w:bottom w:val="single" w:color="auto" w:sz="2" w:space="0"/>
            </w:tcBorders>
            <w:vAlign w:val="center"/>
          </w:tcPr>
          <w:p>
            <w:pPr>
              <w:rPr>
                <w:rFonts w:ascii="仿宋" w:hAnsi="仿宋" w:cs="宋体"/>
                <w:color w:val="auto"/>
                <w:kern w:val="0"/>
                <w:szCs w:val="21"/>
                <w:highlight w:val="none"/>
              </w:rPr>
            </w:pPr>
            <w:r>
              <w:rPr>
                <w:rFonts w:hint="eastAsia" w:ascii="仿宋" w:hAnsi="仿宋" w:cs="宋体"/>
                <w:color w:val="auto"/>
                <w:szCs w:val="21"/>
                <w:highlight w:val="none"/>
              </w:rPr>
              <w:t>售后服务：</w:t>
            </w:r>
            <w:r>
              <w:rPr>
                <w:rFonts w:hint="eastAsia" w:ascii="仿宋" w:hAnsi="仿宋" w:cs="宋体"/>
                <w:color w:val="auto"/>
                <w:kern w:val="0"/>
                <w:szCs w:val="21"/>
                <w:highlight w:val="none"/>
              </w:rPr>
              <w:t>根据采购人实际应用要求，提供全面、优质、及时的售后服务。项目范围内的设备因设计、制造、安装、调试等原因引起设备或部件的缺陷或损坏、运转不灵、达不到性能指标以及出现事故等情况，均由投标人负责，并免费（包括备件、耗材、人工等）为采购人及时修理、更换，更换的设备或部件应是原设备制造厂的产品。</w:t>
            </w:r>
          </w:p>
          <w:p>
            <w:pPr>
              <w:rPr>
                <w:rFonts w:ascii="仿宋" w:hAnsi="仿宋" w:cs="宋体"/>
                <w:color w:val="auto"/>
                <w:kern w:val="0"/>
                <w:szCs w:val="21"/>
                <w:highlight w:val="none"/>
              </w:rPr>
            </w:pPr>
            <w:r>
              <w:rPr>
                <w:rFonts w:hint="eastAsia" w:ascii="仿宋" w:hAnsi="仿宋" w:cs="宋体"/>
                <w:color w:val="auto"/>
                <w:kern w:val="0"/>
                <w:szCs w:val="21"/>
                <w:highlight w:val="none"/>
              </w:rPr>
              <w:t>主机质保至少一年，并保证有充足的部件或配件。</w:t>
            </w:r>
          </w:p>
          <w:p>
            <w:pPr>
              <w:rPr>
                <w:rFonts w:ascii="仿宋" w:hAnsi="仿宋" w:cs="宋体"/>
                <w:color w:val="auto"/>
                <w:kern w:val="0"/>
                <w:szCs w:val="21"/>
                <w:highlight w:val="none"/>
              </w:rPr>
            </w:pPr>
            <w:r>
              <w:rPr>
                <w:rFonts w:hint="eastAsia" w:ascii="仿宋" w:hAnsi="仿宋" w:cs="宋体"/>
                <w:color w:val="auto"/>
                <w:kern w:val="0"/>
                <w:szCs w:val="21"/>
                <w:highlight w:val="none"/>
              </w:rPr>
              <w:t>投标人应建立24小时的报修电话，保修期内在接到用户故障通知后，应在2小时内响应，</w:t>
            </w:r>
            <w:r>
              <w:rPr>
                <w:rFonts w:hint="eastAsia" w:ascii="仿宋" w:hAnsi="仿宋" w:cs="宋体"/>
                <w:color w:val="auto"/>
                <w:szCs w:val="21"/>
                <w:highlight w:val="none"/>
              </w:rPr>
              <w:t>24小时内提出解决方案，如有必要48小时内派出维修人员到达现场</w:t>
            </w:r>
            <w:r>
              <w:rPr>
                <w:rFonts w:hint="eastAsia" w:ascii="仿宋" w:hAnsi="仿宋" w:cs="宋体"/>
                <w:color w:val="auto"/>
                <w:kern w:val="0"/>
                <w:szCs w:val="21"/>
                <w:highlight w:val="none"/>
              </w:rPr>
              <w:t>对用户提出的技术问题和设备故障予以解决，直至故障完全排除，设备完全恢复正常。</w:t>
            </w:r>
          </w:p>
          <w:p>
            <w:pPr>
              <w:rPr>
                <w:rFonts w:ascii="仿宋" w:hAnsi="仿宋" w:cs="宋体"/>
                <w:color w:val="auto"/>
                <w:kern w:val="0"/>
                <w:szCs w:val="21"/>
                <w:highlight w:val="none"/>
              </w:rPr>
            </w:pPr>
            <w:r>
              <w:rPr>
                <w:rFonts w:hint="eastAsia" w:ascii="仿宋" w:hAnsi="仿宋" w:cs="宋体"/>
                <w:color w:val="auto"/>
                <w:kern w:val="0"/>
                <w:szCs w:val="21"/>
                <w:highlight w:val="none"/>
              </w:rPr>
              <w:t>成立由项目负责人、服务工程师及原厂工程师等组成的专职服务项目组。</w:t>
            </w:r>
          </w:p>
        </w:tc>
      </w:tr>
    </w:tbl>
    <w:p>
      <w:pPr>
        <w:pStyle w:val="29"/>
        <w:spacing w:before="120" w:beforeLines="50" w:after="120" w:afterLines="50" w:line="360" w:lineRule="auto"/>
        <w:ind w:firstLine="495" w:firstLineChars="235"/>
        <w:rPr>
          <w:rFonts w:ascii="宋体" w:hAnsi="宋体" w:cs="宋体"/>
          <w:b/>
          <w:bCs/>
          <w:color w:val="auto"/>
          <w:sz w:val="21"/>
          <w:szCs w:val="21"/>
          <w:highlight w:val="none"/>
        </w:rPr>
      </w:pPr>
      <w:r>
        <w:rPr>
          <w:rFonts w:hint="eastAsia" w:ascii="宋体" w:hAnsi="宋体" w:cs="宋体"/>
          <w:b/>
          <w:bCs/>
          <w:color w:val="auto"/>
          <w:sz w:val="21"/>
          <w:szCs w:val="21"/>
          <w:highlight w:val="none"/>
        </w:rPr>
        <w:t>（二）商务要求</w:t>
      </w:r>
    </w:p>
    <w:tbl>
      <w:tblPr>
        <w:tblStyle w:val="44"/>
        <w:tblW w:w="8931" w:type="dxa"/>
        <w:tblInd w:w="108" w:type="dxa"/>
        <w:tblLayout w:type="fixed"/>
        <w:tblCellMar>
          <w:top w:w="0" w:type="dxa"/>
          <w:left w:w="108" w:type="dxa"/>
          <w:bottom w:w="0" w:type="dxa"/>
          <w:right w:w="108" w:type="dxa"/>
        </w:tblCellMar>
      </w:tblPr>
      <w:tblGrid>
        <w:gridCol w:w="709"/>
        <w:gridCol w:w="1559"/>
        <w:gridCol w:w="6663"/>
      </w:tblGrid>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b/>
                <w:color w:val="auto"/>
                <w:szCs w:val="21"/>
                <w:highlight w:val="none"/>
              </w:rPr>
            </w:pPr>
            <w:r>
              <w:rPr>
                <w:rFonts w:hint="eastAsia" w:ascii="仿宋" w:hAnsi="仿宋" w:cs="宋体"/>
                <w:b/>
                <w:color w:val="auto"/>
                <w:szCs w:val="21"/>
                <w:highlight w:val="none"/>
              </w:rPr>
              <w:t>序号</w:t>
            </w:r>
          </w:p>
        </w:tc>
        <w:tc>
          <w:tcPr>
            <w:tcW w:w="1559" w:type="dxa"/>
            <w:tcBorders>
              <w:top w:val="single" w:color="000000" w:sz="4" w:space="0"/>
              <w:left w:val="single" w:color="000000" w:sz="4" w:space="0"/>
              <w:bottom w:val="single" w:color="000000" w:sz="4" w:space="0"/>
              <w:right w:val="single" w:color="000000" w:sz="4" w:space="0"/>
            </w:tcBorders>
            <w:vAlign w:val="center"/>
          </w:tcPr>
          <w:p>
            <w:pPr>
              <w:ind w:firstLine="422"/>
              <w:jc w:val="center"/>
              <w:rPr>
                <w:rFonts w:ascii="仿宋" w:hAnsi="仿宋" w:cs="宋体"/>
                <w:b/>
                <w:color w:val="auto"/>
                <w:szCs w:val="21"/>
                <w:highlight w:val="none"/>
              </w:rPr>
            </w:pPr>
            <w:r>
              <w:rPr>
                <w:rFonts w:hint="eastAsia" w:ascii="仿宋" w:hAnsi="仿宋" w:cs="宋体"/>
                <w:b/>
                <w:color w:val="auto"/>
                <w:szCs w:val="21"/>
                <w:highlight w:val="none"/>
              </w:rPr>
              <w:t>项目</w:t>
            </w:r>
          </w:p>
        </w:tc>
        <w:tc>
          <w:tcPr>
            <w:tcW w:w="6663" w:type="dxa"/>
            <w:tcBorders>
              <w:top w:val="single" w:color="000000" w:sz="4" w:space="0"/>
              <w:left w:val="single" w:color="000000" w:sz="4" w:space="0"/>
              <w:bottom w:val="single" w:color="000000" w:sz="4" w:space="0"/>
              <w:right w:val="single" w:color="000000" w:sz="4" w:space="0"/>
            </w:tcBorders>
            <w:vAlign w:val="center"/>
          </w:tcPr>
          <w:p>
            <w:pPr>
              <w:ind w:firstLine="422"/>
              <w:jc w:val="center"/>
              <w:rPr>
                <w:rFonts w:ascii="仿宋" w:hAnsi="仿宋" w:cs="宋体"/>
                <w:b/>
                <w:color w:val="auto"/>
                <w:szCs w:val="21"/>
                <w:highlight w:val="none"/>
              </w:rPr>
            </w:pPr>
            <w:r>
              <w:rPr>
                <w:rFonts w:hint="eastAsia" w:ascii="仿宋" w:hAnsi="仿宋" w:cs="宋体"/>
                <w:b/>
                <w:color w:val="auto"/>
                <w:szCs w:val="21"/>
                <w:highlight w:val="none"/>
              </w:rPr>
              <w:t>要求</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交货及交付验收时间</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合同签订生效之日起300天内到货，到货后30天内完成安装调试交付验收。</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2</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交货地点</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bCs/>
                <w:color w:val="auto"/>
                <w:kern w:val="0"/>
                <w:szCs w:val="21"/>
                <w:highlight w:val="none"/>
              </w:rPr>
              <w:t xml:space="preserve">宁波市前湾新区滨海二路769号宁波工程学院新能源学院 </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3</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产品包装要求</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确保所有设备均采用国家或专业标准保护措施进行包装，使包装适应于远距离运输、防潮、防震、防锈和防粗暴装卸，以确保设备安全无损运抵交货现场。设备到货时，所有外包装箱箱体无严重破损或变形，封条应完整无缺，内包装应符合标准运输包装要求，拆箱后设备主体外表无任何磕碰、碎裂、划伤痕迹。运输途中设备出现的任何问题均由中标人负责解决。</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4</w:t>
            </w:r>
          </w:p>
        </w:tc>
        <w:tc>
          <w:tcPr>
            <w:tcW w:w="1559"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产品及服务质量保证</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（1）投标人所供应的设备及其所有部件必须均是全新原装合格产品,在中国境内采购人拥有合法的产权和使用权。如发生交付设备与合同不符,采购人有权拒收或退货,由此产生的一切责任和后果由中标人承担。</w:t>
            </w:r>
          </w:p>
          <w:p>
            <w:pPr>
              <w:rPr>
                <w:rFonts w:ascii="仿宋" w:hAnsi="仿宋" w:cs="宋体"/>
                <w:color w:val="auto"/>
                <w:szCs w:val="21"/>
                <w:highlight w:val="none"/>
              </w:rPr>
            </w:pPr>
            <w:r>
              <w:rPr>
                <w:rFonts w:hint="eastAsia" w:ascii="仿宋" w:hAnsi="仿宋" w:cs="宋体"/>
                <w:color w:val="auto"/>
                <w:szCs w:val="21"/>
                <w:highlight w:val="none"/>
              </w:rPr>
              <w:t>（2）属于国家强制性产品认证范围的产品必须具有国家法定认证机构颁发的“CCC”认证证书。</w:t>
            </w:r>
          </w:p>
          <w:p>
            <w:pPr>
              <w:rPr>
                <w:rFonts w:ascii="仿宋" w:hAnsi="仿宋" w:cs="宋体"/>
                <w:color w:val="auto"/>
                <w:szCs w:val="21"/>
                <w:highlight w:val="none"/>
              </w:rPr>
            </w:pPr>
            <w:r>
              <w:rPr>
                <w:rFonts w:hint="eastAsia" w:ascii="仿宋" w:hAnsi="仿宋" w:cs="宋体"/>
                <w:color w:val="auto"/>
                <w:szCs w:val="21"/>
                <w:highlight w:val="none"/>
              </w:rPr>
              <w:t>（3）在设备交付时，中标人必须向采购人提供必备的相关资料。</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5</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质量标准</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产品质量必须执行国家相关标准、行业标准、地方标准或者其它标准、规范（从严）：</w:t>
            </w:r>
          </w:p>
          <w:p>
            <w:pPr>
              <w:rPr>
                <w:rFonts w:ascii="仿宋" w:hAnsi="仿宋" w:cs="宋体"/>
                <w:color w:val="auto"/>
                <w:szCs w:val="21"/>
                <w:highlight w:val="none"/>
              </w:rPr>
            </w:pPr>
            <w:r>
              <w:rPr>
                <w:rFonts w:hint="eastAsia" w:ascii="仿宋" w:hAnsi="仿宋" w:cs="宋体"/>
                <w:color w:val="auto"/>
                <w:szCs w:val="21"/>
                <w:highlight w:val="none"/>
              </w:rPr>
              <w:t>具有国家标准及规范的，按最新的标准及规范执行；具有行业标准及规范的，按最新的标准及规范执行；具有其他标准及规范的，按照最新的标准及规范执行；没有相关标准及规范的，按照招标文件的技术及服务要求执行。</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6</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产品保修期</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1.所有设备提供不少于招标文件规定的免费保修期。</w:t>
            </w:r>
          </w:p>
          <w:p>
            <w:pPr>
              <w:rPr>
                <w:rFonts w:ascii="仿宋" w:hAnsi="仿宋" w:cs="宋体"/>
                <w:color w:val="auto"/>
                <w:szCs w:val="21"/>
                <w:highlight w:val="none"/>
              </w:rPr>
            </w:pPr>
            <w:r>
              <w:rPr>
                <w:rFonts w:hint="eastAsia" w:ascii="仿宋" w:hAnsi="仿宋" w:cs="宋体"/>
                <w:color w:val="auto"/>
                <w:szCs w:val="21"/>
                <w:highlight w:val="none"/>
              </w:rPr>
              <w:t>2.保修期在双方签署项目最终验收报告之日起计算，在此期间内，任何非因采购人原因造成的设备质量及使用问题均由中标人提供相关保修服务，包括但不仅限于维修或更换，其费用含在投标报价中，相关费用包含达到设备正常使用目标所需的零部件费用、技术人员费用、交通差旅费等，维修必须遵守制造商的技术及零部件使用标准。</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7</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验收</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设备安装调试完成后，双方按照确定的技术标准进行验收。验收前，乙方应向甲方提交所有验收必备资料。</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8</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签订合同时间</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采购人在中标通知书发出之日起30日内与中标人签订书面合同，具体签约时间以采购人通知为准。</w:t>
            </w:r>
          </w:p>
        </w:tc>
      </w:tr>
      <w:tr>
        <w:tblPrEx>
          <w:tblCellMar>
            <w:top w:w="0" w:type="dxa"/>
            <w:left w:w="108" w:type="dxa"/>
            <w:bottom w:w="0" w:type="dxa"/>
            <w:right w:w="108" w:type="dxa"/>
          </w:tblCellMar>
        </w:tblPrEx>
        <w:trPr>
          <w:trHeight w:val="1486"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9</w:t>
            </w:r>
          </w:p>
        </w:tc>
        <w:tc>
          <w:tcPr>
            <w:tcW w:w="1559"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合同款项支付条件及方式</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shd w:val="clear" w:color="auto" w:fill="FFFFFF"/>
              </w:rPr>
            </w:pPr>
            <w:r>
              <w:rPr>
                <w:rFonts w:hint="eastAsia" w:ascii="仿宋" w:hAnsi="仿宋" w:cs="宋体"/>
                <w:color w:val="auto"/>
                <w:szCs w:val="21"/>
                <w:highlight w:val="none"/>
                <w:shd w:val="clear" w:color="auto" w:fill="FFFFFF"/>
              </w:rPr>
              <w:t>（1）所投标项为国产设备中标的，按照以下条件支付合同款：</w:t>
            </w:r>
          </w:p>
          <w:p>
            <w:pPr>
              <w:rPr>
                <w:rFonts w:ascii="仿宋" w:hAnsi="仿宋" w:cs="宋体"/>
                <w:color w:val="auto"/>
                <w:szCs w:val="21"/>
                <w:highlight w:val="none"/>
                <w:shd w:val="clear" w:color="auto" w:fill="FFFFFF"/>
              </w:rPr>
            </w:pPr>
            <w:r>
              <w:rPr>
                <w:rFonts w:hint="eastAsia" w:ascii="仿宋" w:hAnsi="仿宋" w:cs="宋体"/>
                <w:color w:val="auto"/>
                <w:szCs w:val="21"/>
                <w:highlight w:val="none"/>
                <w:shd w:val="clear" w:color="auto" w:fill="FFFFFF"/>
              </w:rPr>
              <w:t>1）合同签订生效之日起7个工作日内支付合同总价的40%作为预付款。</w:t>
            </w:r>
          </w:p>
          <w:p>
            <w:pPr>
              <w:rPr>
                <w:rFonts w:ascii="仿宋" w:hAnsi="仿宋" w:cs="宋体"/>
                <w:color w:val="auto"/>
                <w:szCs w:val="21"/>
                <w:highlight w:val="none"/>
                <w:shd w:val="clear" w:color="auto" w:fill="FFFFFF"/>
              </w:rPr>
            </w:pPr>
            <w:r>
              <w:rPr>
                <w:rFonts w:hint="eastAsia" w:ascii="仿宋" w:hAnsi="仿宋" w:cs="宋体"/>
                <w:color w:val="auto"/>
                <w:szCs w:val="21"/>
                <w:highlight w:val="none"/>
                <w:shd w:val="clear" w:color="auto" w:fill="FFFFFF"/>
              </w:rPr>
              <w:t>2）所有设备到达指定地点后15日内支付合同总价的50%。</w:t>
            </w:r>
          </w:p>
          <w:p>
            <w:pPr>
              <w:rPr>
                <w:rFonts w:ascii="仿宋" w:hAnsi="仿宋" w:cs="宋体"/>
                <w:color w:val="auto"/>
                <w:szCs w:val="21"/>
                <w:highlight w:val="none"/>
                <w:shd w:val="clear" w:color="auto" w:fill="FFFFFF"/>
              </w:rPr>
            </w:pPr>
            <w:r>
              <w:rPr>
                <w:rFonts w:hint="eastAsia" w:ascii="仿宋" w:hAnsi="仿宋" w:cs="宋体"/>
                <w:color w:val="auto"/>
                <w:szCs w:val="21"/>
                <w:highlight w:val="none"/>
                <w:shd w:val="clear" w:color="auto" w:fill="FFFFFF"/>
              </w:rPr>
              <w:t>3）设备安装调试完毕，且经使用单位验收合格后</w:t>
            </w:r>
            <w:r>
              <w:rPr>
                <w:rFonts w:ascii="仿宋" w:hAnsi="仿宋" w:cs="宋体"/>
                <w:color w:val="auto"/>
                <w:szCs w:val="21"/>
                <w:highlight w:val="none"/>
                <w:shd w:val="clear" w:color="auto" w:fill="FFFFFF"/>
              </w:rPr>
              <w:t>15</w:t>
            </w:r>
            <w:r>
              <w:rPr>
                <w:rFonts w:hint="eastAsia" w:ascii="仿宋" w:hAnsi="仿宋" w:cs="宋体"/>
                <w:color w:val="auto"/>
                <w:szCs w:val="21"/>
                <w:highlight w:val="none"/>
                <w:shd w:val="clear" w:color="auto" w:fill="FFFFFF"/>
              </w:rPr>
              <w:t>日内一次性支付余款。</w:t>
            </w:r>
          </w:p>
          <w:p>
            <w:pPr>
              <w:rPr>
                <w:rFonts w:ascii="仿宋" w:hAnsi="仿宋" w:cs="宋体"/>
                <w:color w:val="auto"/>
                <w:szCs w:val="21"/>
                <w:highlight w:val="none"/>
                <w:shd w:val="clear" w:color="auto" w:fill="FFFFFF"/>
              </w:rPr>
            </w:pPr>
            <w:r>
              <w:rPr>
                <w:rFonts w:hint="eastAsia" w:ascii="仿宋" w:hAnsi="仿宋" w:cs="宋体"/>
                <w:color w:val="auto"/>
                <w:szCs w:val="21"/>
                <w:highlight w:val="none"/>
                <w:shd w:val="clear" w:color="auto" w:fill="FFFFFF"/>
              </w:rPr>
              <w:t>注：中标人于合同签订前书面承诺放弃预付款或降低预付款支付比例的，可不适用本条款且具体支付方式由双方在合同中自行约定。</w:t>
            </w:r>
          </w:p>
          <w:p>
            <w:pPr>
              <w:rPr>
                <w:rFonts w:ascii="仿宋" w:hAnsi="仿宋" w:cs="宋体"/>
                <w:color w:val="auto"/>
                <w:szCs w:val="21"/>
                <w:highlight w:val="none"/>
                <w:shd w:val="clear" w:color="auto" w:fill="FFFFFF"/>
              </w:rPr>
            </w:pPr>
            <w:r>
              <w:rPr>
                <w:rFonts w:hint="eastAsia" w:ascii="仿宋" w:hAnsi="仿宋" w:cs="宋体"/>
                <w:color w:val="auto"/>
                <w:szCs w:val="21"/>
                <w:highlight w:val="none"/>
                <w:shd w:val="clear" w:color="auto" w:fill="FFFFFF"/>
              </w:rPr>
              <w:t>（2）所投标项为进口设备中标的，按照以下条件支付合同款：</w:t>
            </w:r>
          </w:p>
          <w:p>
            <w:pPr>
              <w:rPr>
                <w:rFonts w:ascii="仿宋" w:hAnsi="仿宋" w:cs="宋体"/>
                <w:color w:val="auto"/>
                <w:szCs w:val="21"/>
                <w:highlight w:val="none"/>
                <w:shd w:val="clear" w:color="auto" w:fill="FFFFFF"/>
              </w:rPr>
            </w:pPr>
            <w:r>
              <w:rPr>
                <w:rFonts w:hint="eastAsia" w:ascii="仿宋" w:hAnsi="仿宋" w:cs="宋体"/>
                <w:color w:val="auto"/>
                <w:szCs w:val="21"/>
                <w:highlight w:val="none"/>
                <w:shd w:val="clear" w:color="auto" w:fill="FFFFFF"/>
              </w:rPr>
              <w:t>买方开具100%不可撤消即期信用证。其中80%凭货运单据收取，20%凭宁波工程学院盖章的货物验收合格报告收取。</w:t>
            </w:r>
          </w:p>
        </w:tc>
      </w:tr>
      <w:tr>
        <w:tblPrEx>
          <w:tblCellMar>
            <w:top w:w="0" w:type="dxa"/>
            <w:left w:w="108" w:type="dxa"/>
            <w:bottom w:w="0" w:type="dxa"/>
            <w:right w:w="108" w:type="dxa"/>
          </w:tblCellMar>
        </w:tblPrEx>
        <w:trPr>
          <w:trHeight w:val="1486"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10</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发票要求</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（1）中标人应在采购人支付费用前，依据相应的金额，向采购人提供足额且符合税法规定的发票。采购人在收到中标人提供的发票后在合同约定的时间内支付相应款项。</w:t>
            </w:r>
          </w:p>
          <w:p>
            <w:pPr>
              <w:rPr>
                <w:rFonts w:ascii="仿宋" w:hAnsi="仿宋" w:cs="宋体"/>
                <w:color w:val="auto"/>
                <w:szCs w:val="21"/>
                <w:highlight w:val="none"/>
              </w:rPr>
            </w:pPr>
            <w:r>
              <w:rPr>
                <w:rFonts w:hint="eastAsia" w:ascii="仿宋" w:hAnsi="仿宋" w:cs="宋体"/>
                <w:color w:val="auto"/>
                <w:szCs w:val="21"/>
                <w:highlight w:val="none"/>
              </w:rPr>
              <w:t>（2）本项目合同签署的中标人名称与发票开具单位及收款单位必须一致，中标人不得以任何理由在合同执行过程中要求调整发票开具单位或收款单位（中标人依法变更单位名称或存在其他特殊情况符合规定要求除外），否则视为中标人违约并自行承担相关责任，且须承担由此对采购人造成的一切损失。</w:t>
            </w:r>
          </w:p>
        </w:tc>
      </w:tr>
      <w:tr>
        <w:tblPrEx>
          <w:tblCellMar>
            <w:top w:w="0" w:type="dxa"/>
            <w:left w:w="108" w:type="dxa"/>
            <w:bottom w:w="0" w:type="dxa"/>
            <w:right w:w="108" w:type="dxa"/>
          </w:tblCellMar>
        </w:tblPrEx>
        <w:trPr>
          <w:trHeight w:val="541"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11</w:t>
            </w:r>
          </w:p>
        </w:tc>
        <w:tc>
          <w:tcPr>
            <w:tcW w:w="1559"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履约保证金</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本项目要求中标人缴纳合同总额1</w:t>
            </w:r>
            <w:r>
              <w:rPr>
                <w:rFonts w:ascii="仿宋" w:hAnsi="仿宋" w:cs="宋体"/>
                <w:color w:val="auto"/>
                <w:szCs w:val="21"/>
                <w:highlight w:val="none"/>
              </w:rPr>
              <w:t>%</w:t>
            </w:r>
            <w:r>
              <w:rPr>
                <w:rFonts w:hint="eastAsia" w:ascii="仿宋" w:hAnsi="仿宋" w:cs="宋体"/>
                <w:color w:val="auto"/>
                <w:szCs w:val="21"/>
                <w:highlight w:val="none"/>
              </w:rPr>
              <w:t>的履约保证金，在合同签订后7个工作日内以支票、汇票、本票或者金融机构、担保机构出具的保函等非现金形式提交，项目验收合格后一次性退还。</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12</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其他</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在合同履行过程中，中标供应商应承担由于其行为所造成的采购人或第三人的人身伤害、财产损失或损坏的责任，无论何种原因所造成，与采购人无涉，由此导致的损失由中标供应商承担，无论何种原因采购人先行支付的，采购人有权向中标供应商进行追偿。</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13</w:t>
            </w:r>
          </w:p>
        </w:tc>
        <w:tc>
          <w:tcPr>
            <w:tcW w:w="1559"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知识产权要求</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投标人提供的产品未侵犯他人的知识产权。</w:t>
            </w:r>
          </w:p>
        </w:tc>
      </w:tr>
    </w:tbl>
    <w:p>
      <w:pPr>
        <w:pStyle w:val="3"/>
        <w:ind w:firstLine="210"/>
        <w:rPr>
          <w:color w:val="auto"/>
          <w:sz w:val="21"/>
          <w:szCs w:val="21"/>
          <w:highlight w:val="none"/>
        </w:rPr>
      </w:pPr>
    </w:p>
    <w:p>
      <w:pPr>
        <w:pStyle w:val="3"/>
        <w:ind w:firstLine="211"/>
        <w:rPr>
          <w:b/>
          <w:color w:val="auto"/>
          <w:sz w:val="21"/>
          <w:szCs w:val="21"/>
          <w:highlight w:val="none"/>
        </w:rPr>
      </w:pPr>
      <w:bookmarkStart w:id="34" w:name="_Toc434225744"/>
      <w:bookmarkStart w:id="35" w:name="_Toc434225836"/>
      <w:bookmarkStart w:id="36" w:name="_Toc370140169"/>
      <w:r>
        <w:rPr>
          <w:rFonts w:hint="eastAsia"/>
          <w:b/>
          <w:color w:val="auto"/>
          <w:sz w:val="21"/>
          <w:szCs w:val="21"/>
          <w:highlight w:val="none"/>
        </w:rPr>
        <w:t>标项三：扫描电镜系统</w:t>
      </w:r>
    </w:p>
    <w:p>
      <w:pPr>
        <w:pStyle w:val="29"/>
        <w:spacing w:before="120" w:beforeLines="50" w:after="120" w:afterLines="50" w:line="360" w:lineRule="auto"/>
        <w:ind w:firstLine="495" w:firstLineChars="235"/>
        <w:rPr>
          <w:rFonts w:ascii="宋体" w:hAnsi="宋体" w:cs="宋体"/>
          <w:b/>
          <w:bCs/>
          <w:color w:val="auto"/>
          <w:sz w:val="21"/>
          <w:szCs w:val="21"/>
          <w:highlight w:val="none"/>
        </w:rPr>
      </w:pPr>
      <w:r>
        <w:rPr>
          <w:rFonts w:hint="eastAsia" w:ascii="宋体" w:hAnsi="宋体" w:cs="宋体"/>
          <w:b/>
          <w:bCs/>
          <w:color w:val="auto"/>
          <w:sz w:val="21"/>
          <w:szCs w:val="21"/>
          <w:highlight w:val="none"/>
        </w:rPr>
        <w:t>（1）技术要求</w:t>
      </w:r>
    </w:p>
    <w:tbl>
      <w:tblPr>
        <w:tblStyle w:val="44"/>
        <w:tblW w:w="8931"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0" w:type="dxa"/>
          <w:bottom w:w="0" w:type="dxa"/>
          <w:right w:w="0" w:type="dxa"/>
        </w:tblCellMar>
      </w:tblPr>
      <w:tblGrid>
        <w:gridCol w:w="960"/>
        <w:gridCol w:w="7971"/>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blHeader/>
        </w:trPr>
        <w:tc>
          <w:tcPr>
            <w:tcW w:w="960" w:type="dxa"/>
            <w:tcBorders>
              <w:bottom w:val="single" w:color="auto" w:sz="4" w:space="0"/>
            </w:tcBorders>
            <w:vAlign w:val="center"/>
          </w:tcPr>
          <w:p>
            <w:pPr>
              <w:rPr>
                <w:rFonts w:ascii="宋体" w:hAnsi="宋体" w:cs="宋体"/>
                <w:b/>
                <w:color w:val="auto"/>
                <w:szCs w:val="21"/>
                <w:highlight w:val="none"/>
              </w:rPr>
            </w:pPr>
            <w:r>
              <w:rPr>
                <w:rFonts w:hint="eastAsia" w:ascii="宋体" w:hAnsi="宋体" w:cs="宋体"/>
                <w:b/>
                <w:color w:val="auto"/>
                <w:szCs w:val="21"/>
                <w:highlight w:val="none"/>
              </w:rPr>
              <w:t>条款号</w:t>
            </w:r>
          </w:p>
        </w:tc>
        <w:tc>
          <w:tcPr>
            <w:tcW w:w="7971" w:type="dxa"/>
            <w:tcBorders>
              <w:bottom w:val="single" w:color="auto" w:sz="4" w:space="0"/>
            </w:tcBorders>
            <w:vAlign w:val="center"/>
          </w:tcPr>
          <w:p>
            <w:pPr>
              <w:ind w:firstLine="422"/>
              <w:jc w:val="center"/>
              <w:rPr>
                <w:rFonts w:ascii="宋体" w:hAnsi="宋体" w:cs="宋体"/>
                <w:b/>
                <w:color w:val="auto"/>
                <w:szCs w:val="21"/>
                <w:highlight w:val="none"/>
              </w:rPr>
            </w:pPr>
            <w:r>
              <w:rPr>
                <w:rFonts w:hint="eastAsia" w:ascii="宋体" w:hAnsi="宋体" w:cs="宋体"/>
                <w:b/>
                <w:color w:val="auto"/>
                <w:szCs w:val="21"/>
                <w:highlight w:val="none"/>
              </w:rPr>
              <w:t>招标规格</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ind w:firstLine="422"/>
              <w:jc w:val="center"/>
              <w:rPr>
                <w:rFonts w:ascii="宋体" w:hAnsi="宋体" w:cs="宋体"/>
                <w:b/>
                <w:color w:val="auto"/>
                <w:szCs w:val="21"/>
                <w:highlight w:val="none"/>
              </w:rPr>
            </w:pPr>
            <w:r>
              <w:rPr>
                <w:rFonts w:hint="eastAsia" w:ascii="宋体" w:hAnsi="宋体" w:cs="宋体"/>
                <w:b/>
                <w:color w:val="auto"/>
                <w:szCs w:val="21"/>
                <w:highlight w:val="none"/>
              </w:rPr>
              <w:t>一</w:t>
            </w:r>
          </w:p>
        </w:tc>
        <w:tc>
          <w:tcPr>
            <w:tcW w:w="7971" w:type="dxa"/>
            <w:tcBorders>
              <w:top w:val="single" w:color="auto" w:sz="2" w:space="0"/>
              <w:bottom w:val="single" w:color="auto" w:sz="2" w:space="0"/>
            </w:tcBorders>
            <w:vAlign w:val="center"/>
          </w:tcPr>
          <w:p>
            <w:pPr>
              <w:ind w:firstLine="422"/>
              <w:rPr>
                <w:rFonts w:ascii="宋体" w:hAnsi="宋体" w:cs="宋体"/>
                <w:b/>
                <w:color w:val="auto"/>
                <w:szCs w:val="21"/>
                <w:highlight w:val="none"/>
              </w:rPr>
            </w:pPr>
            <w:r>
              <w:rPr>
                <w:rFonts w:hint="eastAsia" w:ascii="宋体" w:hAnsi="宋体" w:cs="宋体"/>
                <w:b/>
                <w:color w:val="auto"/>
                <w:szCs w:val="21"/>
                <w:highlight w:val="none"/>
              </w:rPr>
              <w:t>安装条件</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7971" w:type="dxa"/>
            <w:tcBorders>
              <w:top w:val="single" w:color="auto" w:sz="2" w:space="0"/>
              <w:bottom w:val="single" w:color="auto" w:sz="2" w:space="0"/>
            </w:tcBorders>
            <w:vAlign w:val="center"/>
          </w:tcPr>
          <w:p>
            <w:pPr>
              <w:pStyle w:val="25"/>
              <w:spacing w:beforeLines="0" w:afterLines="0" w:line="240" w:lineRule="auto"/>
              <w:rPr>
                <w:rFonts w:hAnsi="宋体" w:cs="宋体"/>
                <w:color w:val="auto"/>
                <w:sz w:val="21"/>
                <w:szCs w:val="21"/>
                <w:highlight w:val="none"/>
              </w:rPr>
            </w:pPr>
            <w:r>
              <w:rPr>
                <w:rFonts w:hint="eastAsia" w:hAnsi="宋体" w:cs="宋体"/>
                <w:color w:val="auto"/>
                <w:sz w:val="21"/>
                <w:szCs w:val="21"/>
                <w:highlight w:val="none"/>
              </w:rPr>
              <w:t>运行环境：</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1.1</w:t>
            </w:r>
          </w:p>
        </w:tc>
        <w:tc>
          <w:tcPr>
            <w:tcW w:w="7971" w:type="dxa"/>
            <w:tcBorders>
              <w:top w:val="single" w:color="auto" w:sz="2" w:space="0"/>
              <w:bottom w:val="single" w:color="auto" w:sz="2" w:space="0"/>
            </w:tcBorders>
            <w:vAlign w:val="center"/>
          </w:tcPr>
          <w:p>
            <w:pPr>
              <w:pStyle w:val="25"/>
              <w:spacing w:beforeLines="0" w:afterLines="0" w:line="240" w:lineRule="auto"/>
              <w:rPr>
                <w:rFonts w:hAnsi="宋体" w:cs="宋体"/>
                <w:color w:val="auto"/>
                <w:sz w:val="21"/>
                <w:szCs w:val="21"/>
                <w:highlight w:val="none"/>
              </w:rPr>
            </w:pPr>
            <w:r>
              <w:rPr>
                <w:rFonts w:hint="eastAsia" w:hAnsi="宋体" w:cs="宋体"/>
                <w:color w:val="auto"/>
                <w:sz w:val="21"/>
                <w:szCs w:val="21"/>
                <w:highlight w:val="none"/>
              </w:rPr>
              <w:t>房间温度：15 ~ 25℃</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1.2</w:t>
            </w:r>
          </w:p>
        </w:tc>
        <w:tc>
          <w:tcPr>
            <w:tcW w:w="7971" w:type="dxa"/>
            <w:tcBorders>
              <w:top w:val="single" w:color="auto" w:sz="2" w:space="0"/>
              <w:bottom w:val="single" w:color="auto" w:sz="2" w:space="0"/>
            </w:tcBorders>
            <w:vAlign w:val="center"/>
          </w:tcPr>
          <w:p>
            <w:pPr>
              <w:pStyle w:val="25"/>
              <w:spacing w:beforeLines="0" w:afterLines="0" w:line="240" w:lineRule="auto"/>
              <w:rPr>
                <w:rFonts w:hAnsi="宋体" w:cs="宋体"/>
                <w:color w:val="auto"/>
                <w:sz w:val="21"/>
                <w:szCs w:val="21"/>
                <w:highlight w:val="none"/>
              </w:rPr>
            </w:pPr>
            <w:r>
              <w:rPr>
                <w:rFonts w:hint="eastAsia" w:hAnsi="宋体" w:cs="宋体"/>
                <w:color w:val="auto"/>
                <w:sz w:val="21"/>
                <w:szCs w:val="21"/>
                <w:highlight w:val="none"/>
              </w:rPr>
              <w:t>相对湿度：小于60%</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1.3</w:t>
            </w:r>
          </w:p>
        </w:tc>
        <w:tc>
          <w:tcPr>
            <w:tcW w:w="7971" w:type="dxa"/>
            <w:tcBorders>
              <w:top w:val="single" w:color="auto" w:sz="2" w:space="0"/>
              <w:bottom w:val="single" w:color="auto" w:sz="2" w:space="0"/>
            </w:tcBorders>
            <w:vAlign w:val="center"/>
          </w:tcPr>
          <w:p>
            <w:pPr>
              <w:pStyle w:val="25"/>
              <w:spacing w:beforeLines="0" w:afterLines="0" w:line="240" w:lineRule="auto"/>
              <w:rPr>
                <w:rFonts w:hAnsi="宋体" w:cs="宋体"/>
                <w:color w:val="auto"/>
                <w:sz w:val="21"/>
                <w:szCs w:val="21"/>
                <w:highlight w:val="none"/>
              </w:rPr>
            </w:pPr>
            <w:r>
              <w:rPr>
                <w:rFonts w:hint="eastAsia" w:hAnsi="宋体" w:cs="宋体"/>
                <w:color w:val="auto"/>
                <w:sz w:val="21"/>
                <w:szCs w:val="21"/>
                <w:highlight w:val="none"/>
              </w:rPr>
              <w:t>适用电源：单相，100V±10%，50/60Hz，5kVA</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1.4</w:t>
            </w:r>
          </w:p>
        </w:tc>
        <w:tc>
          <w:tcPr>
            <w:tcW w:w="7971" w:type="dxa"/>
            <w:tcBorders>
              <w:top w:val="single" w:color="auto" w:sz="2" w:space="0"/>
              <w:bottom w:val="single" w:color="auto" w:sz="2" w:space="0"/>
            </w:tcBorders>
            <w:vAlign w:val="center"/>
          </w:tcPr>
          <w:p>
            <w:pPr>
              <w:pStyle w:val="25"/>
              <w:spacing w:beforeLines="0" w:afterLines="0" w:line="240" w:lineRule="auto"/>
              <w:rPr>
                <w:rFonts w:hAnsi="宋体" w:cs="宋体"/>
                <w:color w:val="auto"/>
                <w:sz w:val="21"/>
                <w:szCs w:val="21"/>
                <w:highlight w:val="none"/>
              </w:rPr>
            </w:pPr>
            <w:r>
              <w:rPr>
                <w:rFonts w:hint="eastAsia" w:hAnsi="宋体" w:cs="宋体"/>
                <w:color w:val="auto"/>
                <w:sz w:val="21"/>
                <w:szCs w:val="21"/>
                <w:highlight w:val="none"/>
              </w:rPr>
              <w:t>地线：接地电阻不小于40Ω</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ind w:firstLine="422"/>
              <w:jc w:val="center"/>
              <w:rPr>
                <w:rFonts w:ascii="宋体" w:hAnsi="宋体" w:cs="宋体"/>
                <w:b/>
                <w:color w:val="auto"/>
                <w:szCs w:val="21"/>
                <w:highlight w:val="none"/>
              </w:rPr>
            </w:pPr>
            <w:r>
              <w:rPr>
                <w:rFonts w:hint="eastAsia" w:ascii="宋体" w:hAnsi="宋体" w:cs="宋体"/>
                <w:b/>
                <w:color w:val="auto"/>
                <w:szCs w:val="21"/>
                <w:highlight w:val="none"/>
              </w:rPr>
              <w:t>二</w:t>
            </w:r>
          </w:p>
        </w:tc>
        <w:tc>
          <w:tcPr>
            <w:tcW w:w="7971" w:type="dxa"/>
            <w:tcBorders>
              <w:top w:val="single" w:color="auto" w:sz="2" w:space="0"/>
              <w:bottom w:val="single" w:color="auto" w:sz="2" w:space="0"/>
            </w:tcBorders>
            <w:vAlign w:val="center"/>
          </w:tcPr>
          <w:p>
            <w:pPr>
              <w:ind w:firstLine="422"/>
              <w:rPr>
                <w:rFonts w:ascii="宋体" w:hAnsi="宋体" w:cs="宋体"/>
                <w:b/>
                <w:color w:val="auto"/>
                <w:szCs w:val="21"/>
                <w:highlight w:val="none"/>
              </w:rPr>
            </w:pPr>
            <w:r>
              <w:rPr>
                <w:rFonts w:hint="eastAsia" w:ascii="宋体" w:hAnsi="宋体" w:cs="宋体"/>
                <w:b/>
                <w:color w:val="auto"/>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7971" w:type="dxa"/>
            <w:tcBorders>
              <w:top w:val="single" w:color="auto" w:sz="2" w:space="0"/>
              <w:bottom w:val="single" w:color="auto" w:sz="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总则：</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1.1</w:t>
            </w:r>
          </w:p>
        </w:tc>
        <w:tc>
          <w:tcPr>
            <w:tcW w:w="7971" w:type="dxa"/>
            <w:tcBorders>
              <w:top w:val="single" w:color="auto" w:sz="2" w:space="0"/>
              <w:bottom w:val="single" w:color="auto" w:sz="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投标文件内提供相应货物的技术说明书技术规格文件，标明货物的型号、商标名称及生产厂家。</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1.2</w:t>
            </w:r>
          </w:p>
        </w:tc>
        <w:tc>
          <w:tcPr>
            <w:tcW w:w="7971" w:type="dxa"/>
            <w:tcBorders>
              <w:top w:val="single" w:color="auto" w:sz="2" w:space="0"/>
              <w:bottom w:val="single" w:color="auto" w:sz="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货物的制造和检验，必须是按照现行的中国国家标准或通用国际标准。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ind w:firstLine="422"/>
              <w:jc w:val="center"/>
              <w:rPr>
                <w:rFonts w:ascii="宋体" w:hAnsi="宋体" w:cs="宋体"/>
                <w:color w:val="auto"/>
                <w:szCs w:val="21"/>
                <w:highlight w:val="none"/>
              </w:rPr>
            </w:pPr>
            <w:r>
              <w:rPr>
                <w:rFonts w:hint="eastAsia" w:ascii="宋体" w:hAnsi="宋体" w:cs="宋体"/>
                <w:b/>
                <w:color w:val="auto"/>
                <w:szCs w:val="21"/>
                <w:highlight w:val="none"/>
              </w:rPr>
              <w:t>2.</w:t>
            </w:r>
          </w:p>
        </w:tc>
        <w:tc>
          <w:tcPr>
            <w:tcW w:w="7971" w:type="dxa"/>
            <w:tcBorders>
              <w:top w:val="single" w:color="auto" w:sz="2" w:space="0"/>
              <w:bottom w:val="single" w:color="auto" w:sz="2" w:space="0"/>
            </w:tcBorders>
            <w:vAlign w:val="center"/>
          </w:tcPr>
          <w:p>
            <w:pPr>
              <w:ind w:firstLine="422"/>
              <w:rPr>
                <w:rFonts w:ascii="宋体" w:hAnsi="宋体" w:cs="宋体"/>
                <w:b/>
                <w:color w:val="auto"/>
                <w:szCs w:val="21"/>
                <w:highlight w:val="none"/>
              </w:rPr>
            </w:pPr>
            <w:r>
              <w:rPr>
                <w:rFonts w:hint="eastAsia" w:ascii="宋体" w:hAnsi="宋体" w:cs="宋体"/>
                <w:b/>
                <w:color w:val="auto"/>
                <w:szCs w:val="21"/>
                <w:highlight w:val="none"/>
              </w:rPr>
              <w:t>具体技术要求：</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2.1</w:t>
            </w:r>
          </w:p>
        </w:tc>
        <w:tc>
          <w:tcPr>
            <w:tcW w:w="7971" w:type="dxa"/>
            <w:tcBorders>
              <w:top w:val="single" w:color="auto" w:sz="2" w:space="0"/>
              <w:bottom w:val="single" w:color="auto" w:sz="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场发射电子枪，电子束流：最大束流≥20nA；</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▲2.2</w:t>
            </w:r>
          </w:p>
        </w:tc>
        <w:tc>
          <w:tcPr>
            <w:tcW w:w="7971" w:type="dxa"/>
            <w:tcBorders>
              <w:top w:val="single" w:color="auto" w:sz="2" w:space="0"/>
              <w:bottom w:val="single" w:color="auto" w:sz="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二次电子分辨率：≤0.6nm@15kv，≤0.7nm@1kv；</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2.3</w:t>
            </w:r>
          </w:p>
        </w:tc>
        <w:tc>
          <w:tcPr>
            <w:tcW w:w="7971" w:type="dxa"/>
            <w:tcBorders>
              <w:top w:val="single" w:color="auto" w:sz="2" w:space="0"/>
              <w:bottom w:val="single" w:color="auto" w:sz="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底片放大倍率：最小≤20倍，最大≥2,000,000倍；</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2.4</w:t>
            </w:r>
          </w:p>
        </w:tc>
        <w:tc>
          <w:tcPr>
            <w:tcW w:w="7971" w:type="dxa"/>
            <w:tcBorders>
              <w:top w:val="single" w:color="auto" w:sz="2" w:space="0"/>
              <w:bottom w:val="single" w:color="auto" w:sz="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电压</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2.4.1</w:t>
            </w:r>
          </w:p>
        </w:tc>
        <w:tc>
          <w:tcPr>
            <w:tcW w:w="7971" w:type="dxa"/>
            <w:tcBorders>
              <w:top w:val="single" w:color="auto" w:sz="2" w:space="0"/>
              <w:bottom w:val="single" w:color="auto" w:sz="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加速电压0.5～30KV，步进≤10V，连续可调；</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2.4.2</w:t>
            </w:r>
          </w:p>
        </w:tc>
        <w:tc>
          <w:tcPr>
            <w:tcW w:w="7971" w:type="dxa"/>
            <w:tcBorders>
              <w:top w:val="single" w:color="auto" w:sz="2" w:space="0"/>
              <w:bottom w:val="single" w:color="auto" w:sz="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着陆电压0.01～20kV，步进≤10V，连续可调；</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2.5</w:t>
            </w:r>
          </w:p>
        </w:tc>
        <w:tc>
          <w:tcPr>
            <w:tcW w:w="7971" w:type="dxa"/>
            <w:tcBorders>
              <w:top w:val="single" w:color="auto" w:sz="2" w:space="0"/>
              <w:bottom w:val="single" w:color="auto" w:sz="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具备样品台减速功能，可用以在低着陆电压下提供高分辨率成像；</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2.6</w:t>
            </w:r>
          </w:p>
        </w:tc>
        <w:tc>
          <w:tcPr>
            <w:tcW w:w="7971" w:type="dxa"/>
            <w:tcBorders>
              <w:top w:val="single" w:color="auto" w:sz="2" w:space="0"/>
              <w:bottom w:val="single" w:color="auto" w:sz="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自动电子光路对中调整：自动电子束对中，自动光阑对中，自动像散对中，自动对焦调整，自动亮度对比度调整，自动像散调整；</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2.7</w:t>
            </w:r>
          </w:p>
        </w:tc>
        <w:tc>
          <w:tcPr>
            <w:tcW w:w="7971" w:type="dxa"/>
            <w:tcBorders>
              <w:top w:val="single" w:color="auto" w:sz="2" w:space="0"/>
              <w:bottom w:val="single" w:color="auto" w:sz="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信号检测系统：具有高位探测器、低位探测器，可以接收SE、HA-BSE、LA-BSE，可以按比例选择接收SE和BSE信号，并可以在2kV以下对BSE成像</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2.8</w:t>
            </w:r>
          </w:p>
        </w:tc>
        <w:tc>
          <w:tcPr>
            <w:tcW w:w="7971" w:type="dxa"/>
            <w:tcBorders>
              <w:top w:val="single" w:color="auto" w:sz="2" w:space="0"/>
              <w:bottom w:val="single" w:color="auto" w:sz="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样品尺寸：</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2.8.1</w:t>
            </w:r>
          </w:p>
        </w:tc>
        <w:tc>
          <w:tcPr>
            <w:tcW w:w="7971" w:type="dxa"/>
            <w:tcBorders>
              <w:top w:val="single" w:color="auto" w:sz="2" w:space="0"/>
              <w:bottom w:val="single" w:color="auto" w:sz="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样品台驱动：5轴优中心马达驱动；</w:t>
            </w:r>
          </w:p>
          <w:p>
            <w:pPr>
              <w:rPr>
                <w:rFonts w:ascii="宋体" w:hAnsi="宋体" w:cs="宋体"/>
                <w:color w:val="auto"/>
                <w:szCs w:val="21"/>
                <w:highlight w:val="none"/>
              </w:rPr>
            </w:pPr>
            <w:r>
              <w:rPr>
                <w:rFonts w:hint="eastAsia" w:ascii="宋体" w:hAnsi="宋体" w:cs="宋体"/>
                <w:color w:val="auto"/>
                <w:szCs w:val="21"/>
                <w:highlight w:val="none"/>
              </w:rPr>
              <w:t>X：≥110mm，Y：≥110mm，Z：≥40mm，R：360°，T：-4°～70°</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▲2.8.2</w:t>
            </w:r>
          </w:p>
        </w:tc>
        <w:tc>
          <w:tcPr>
            <w:tcW w:w="7971" w:type="dxa"/>
            <w:tcBorders>
              <w:top w:val="single" w:color="auto" w:sz="2" w:space="0"/>
              <w:bottom w:val="single" w:color="auto" w:sz="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样品换样方式；配备预抽室换样</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2.8.3</w:t>
            </w:r>
          </w:p>
        </w:tc>
        <w:tc>
          <w:tcPr>
            <w:tcW w:w="7971" w:type="dxa"/>
            <w:tcBorders>
              <w:top w:val="single" w:color="auto" w:sz="2" w:space="0"/>
              <w:bottom w:val="single" w:color="auto" w:sz="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预抽室可放入样品尺寸不少于6英寸；</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2.8.4</w:t>
            </w:r>
          </w:p>
        </w:tc>
        <w:tc>
          <w:tcPr>
            <w:tcW w:w="7971" w:type="dxa"/>
            <w:tcBorders>
              <w:top w:val="single" w:color="auto" w:sz="2" w:space="0"/>
              <w:bottom w:val="single" w:color="auto" w:sz="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样品台：提供多种样品台，满足不同做样需求；</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2.8.5</w:t>
            </w:r>
          </w:p>
        </w:tc>
        <w:tc>
          <w:tcPr>
            <w:tcW w:w="7971" w:type="dxa"/>
            <w:tcBorders>
              <w:top w:val="single" w:color="auto" w:sz="2" w:space="0"/>
              <w:bottom w:val="single" w:color="auto" w:sz="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具备样品触碰极靴警告或者非接触防碰撞保护功能，无需红外相机即可避免样品台碰撞；</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2.8.6</w:t>
            </w:r>
          </w:p>
        </w:tc>
        <w:tc>
          <w:tcPr>
            <w:tcW w:w="7971" w:type="dxa"/>
            <w:tcBorders>
              <w:top w:val="single" w:color="auto" w:sz="2" w:space="0"/>
              <w:bottom w:val="single" w:color="auto" w:sz="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样品室闲置接口：不少于 12 个；</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2.8.7</w:t>
            </w:r>
          </w:p>
        </w:tc>
        <w:tc>
          <w:tcPr>
            <w:tcW w:w="7971" w:type="dxa"/>
            <w:tcBorders>
              <w:top w:val="single" w:color="auto" w:sz="2" w:space="0"/>
              <w:bottom w:val="single" w:color="auto" w:sz="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具有样品室 IR-CCD 相机实时监控功能或者光镜导航功能；</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2.8.8</w:t>
            </w:r>
          </w:p>
        </w:tc>
        <w:tc>
          <w:tcPr>
            <w:tcW w:w="7971" w:type="dxa"/>
            <w:tcBorders>
              <w:top w:val="single" w:color="auto" w:sz="2" w:space="0"/>
              <w:bottom w:val="single" w:color="auto" w:sz="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物镜光阑：四孔自加热清洁光阑；</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2.9</w:t>
            </w:r>
          </w:p>
        </w:tc>
        <w:tc>
          <w:tcPr>
            <w:tcW w:w="7971" w:type="dxa"/>
            <w:tcBorders>
              <w:top w:val="single" w:color="auto" w:sz="2" w:space="0"/>
              <w:bottom w:val="single" w:color="auto" w:sz="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数字图像记录系统：</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2.9.1</w:t>
            </w:r>
          </w:p>
        </w:tc>
        <w:tc>
          <w:tcPr>
            <w:tcW w:w="7971" w:type="dxa"/>
            <w:tcBorders>
              <w:top w:val="single" w:color="auto" w:sz="2" w:space="0"/>
              <w:bottom w:val="single" w:color="auto" w:sz="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图像处理软件：可以进行图像的处理、测量；</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2.9.2</w:t>
            </w:r>
          </w:p>
        </w:tc>
        <w:tc>
          <w:tcPr>
            <w:tcW w:w="7971" w:type="dxa"/>
            <w:tcBorders>
              <w:top w:val="single" w:color="auto" w:sz="2" w:space="0"/>
              <w:bottom w:val="single" w:color="auto" w:sz="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数据记录：照片包括编号、加速电压、标尺、放大倍率、日期、时间、工作距离等；</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2.9.3</w:t>
            </w:r>
          </w:p>
        </w:tc>
        <w:tc>
          <w:tcPr>
            <w:tcW w:w="7971" w:type="dxa"/>
            <w:tcBorders>
              <w:top w:val="single" w:color="auto" w:sz="2" w:space="0"/>
              <w:bottom w:val="single" w:color="auto" w:sz="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扫描速度：多种扫描速度可选；</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2.9.4</w:t>
            </w:r>
          </w:p>
        </w:tc>
        <w:tc>
          <w:tcPr>
            <w:tcW w:w="7971" w:type="dxa"/>
            <w:tcBorders>
              <w:top w:val="single" w:color="auto" w:sz="2" w:space="0"/>
              <w:bottom w:val="single" w:color="auto" w:sz="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图像显示：支持双显示器双大画面显示（1280×960 像素），支持至少四通道图像实时显示；</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2.9.5</w:t>
            </w:r>
          </w:p>
        </w:tc>
        <w:tc>
          <w:tcPr>
            <w:tcW w:w="7971" w:type="dxa"/>
            <w:tcBorders>
              <w:top w:val="single" w:color="auto" w:sz="2" w:space="0"/>
              <w:bottom w:val="single" w:color="auto" w:sz="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图像储存：最高存储分辨率不小于 10240×7680，照片包括编号、加速电压、标尺、放大倍率、日期、时间、工作距离等信息；</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2.9.6</w:t>
            </w:r>
          </w:p>
        </w:tc>
        <w:tc>
          <w:tcPr>
            <w:tcW w:w="7971" w:type="dxa"/>
            <w:tcBorders>
              <w:top w:val="single" w:color="auto" w:sz="2" w:space="0"/>
              <w:bottom w:val="single" w:color="auto" w:sz="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图像类型： TIFF 、BMP 或 JPEG；</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2.9.7</w:t>
            </w:r>
          </w:p>
        </w:tc>
        <w:tc>
          <w:tcPr>
            <w:tcW w:w="7971" w:type="dxa"/>
            <w:tcBorders>
              <w:top w:val="single" w:color="auto" w:sz="2" w:space="0"/>
              <w:bottom w:val="single" w:color="auto" w:sz="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具有自动化数据采集软件；</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2.10</w:t>
            </w:r>
          </w:p>
        </w:tc>
        <w:tc>
          <w:tcPr>
            <w:tcW w:w="7971" w:type="dxa"/>
            <w:tcBorders>
              <w:top w:val="single" w:color="auto" w:sz="2" w:space="0"/>
              <w:bottom w:val="single" w:color="auto" w:sz="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真空系统：</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2.10.1</w:t>
            </w:r>
          </w:p>
        </w:tc>
        <w:tc>
          <w:tcPr>
            <w:tcW w:w="7971" w:type="dxa"/>
            <w:tcBorders>
              <w:top w:val="single" w:color="auto" w:sz="2" w:space="0"/>
              <w:bottom w:val="single" w:color="auto" w:sz="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排气控制：全自动真空阀；</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2.10.2</w:t>
            </w:r>
          </w:p>
        </w:tc>
        <w:tc>
          <w:tcPr>
            <w:tcW w:w="7971" w:type="dxa"/>
            <w:tcBorders>
              <w:top w:val="single" w:color="auto" w:sz="2" w:space="0"/>
              <w:bottom w:val="single" w:color="auto" w:sz="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真空系统不少于：分子泵×1；机械泵×1；离子泵45L/s×2，NEG×1台；</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2.10.3</w:t>
            </w:r>
          </w:p>
        </w:tc>
        <w:tc>
          <w:tcPr>
            <w:tcW w:w="7971" w:type="dxa"/>
            <w:tcBorders>
              <w:top w:val="single" w:color="auto" w:sz="2" w:space="0"/>
              <w:bottom w:val="single" w:color="auto" w:sz="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真空度：电子枪部分优于 10-8Pa；样品室部分优于10-3Pa；</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2.10.4</w:t>
            </w:r>
          </w:p>
        </w:tc>
        <w:tc>
          <w:tcPr>
            <w:tcW w:w="7971" w:type="dxa"/>
            <w:tcBorders>
              <w:top w:val="single" w:color="auto" w:sz="2" w:space="0"/>
              <w:bottom w:val="single" w:color="auto" w:sz="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真空计：全量程真空规×1，皮拉尼规×2；</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2.10.5</w:t>
            </w:r>
          </w:p>
        </w:tc>
        <w:tc>
          <w:tcPr>
            <w:tcW w:w="7971" w:type="dxa"/>
            <w:tcBorders>
              <w:top w:val="single" w:color="auto" w:sz="2" w:space="0"/>
              <w:bottom w:val="single" w:color="auto" w:sz="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样品更换抽真空时间：≤90秒；</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2.10.6</w:t>
            </w:r>
          </w:p>
        </w:tc>
        <w:tc>
          <w:tcPr>
            <w:tcW w:w="7971" w:type="dxa"/>
            <w:tcBorders>
              <w:top w:val="single" w:color="auto" w:sz="2" w:space="0"/>
              <w:bottom w:val="single" w:color="auto" w:sz="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保护：断电、漏电、真空保护；</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2.10.7</w:t>
            </w:r>
          </w:p>
        </w:tc>
        <w:tc>
          <w:tcPr>
            <w:tcW w:w="7971" w:type="dxa"/>
            <w:tcBorders>
              <w:top w:val="single" w:color="auto" w:sz="2" w:space="0"/>
              <w:bottom w:val="single" w:color="auto" w:sz="2" w:space="0"/>
            </w:tcBorders>
            <w:vAlign w:val="center"/>
          </w:tcPr>
          <w:p>
            <w:pPr>
              <w:pStyle w:val="43"/>
              <w:spacing w:after="0"/>
              <w:ind w:left="0" w:leftChars="0" w:firstLine="0" w:firstLineChars="0"/>
              <w:rPr>
                <w:rFonts w:hAnsi="宋体" w:cs="宋体"/>
                <w:color w:val="auto"/>
                <w:sz w:val="21"/>
                <w:szCs w:val="21"/>
                <w:highlight w:val="none"/>
              </w:rPr>
            </w:pPr>
            <w:r>
              <w:rPr>
                <w:rFonts w:hint="eastAsia" w:hAnsi="宋体" w:cs="宋体"/>
                <w:color w:val="auto"/>
                <w:sz w:val="21"/>
                <w:szCs w:val="21"/>
                <w:highlight w:val="none"/>
              </w:rPr>
              <w:t>配备同品牌真空转移系统1套，原位真空转移接口改造1套</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▲2.10.8</w:t>
            </w:r>
          </w:p>
        </w:tc>
        <w:tc>
          <w:tcPr>
            <w:tcW w:w="7971" w:type="dxa"/>
            <w:tcBorders>
              <w:top w:val="single" w:color="auto" w:sz="2" w:space="0"/>
              <w:bottom w:val="single" w:color="auto" w:sz="2" w:space="0"/>
            </w:tcBorders>
            <w:vAlign w:val="center"/>
          </w:tcPr>
          <w:p>
            <w:pPr>
              <w:pStyle w:val="43"/>
              <w:spacing w:after="0"/>
              <w:ind w:left="0" w:leftChars="0" w:firstLine="0" w:firstLineChars="0"/>
              <w:rPr>
                <w:rFonts w:hAnsi="宋体" w:cs="宋体"/>
                <w:color w:val="auto"/>
                <w:sz w:val="21"/>
                <w:szCs w:val="21"/>
                <w:highlight w:val="none"/>
              </w:rPr>
            </w:pPr>
            <w:r>
              <w:rPr>
                <w:rFonts w:hint="eastAsia" w:hAnsi="宋体" w:cs="宋体"/>
                <w:color w:val="auto"/>
                <w:sz w:val="21"/>
                <w:szCs w:val="21"/>
                <w:highlight w:val="none"/>
              </w:rPr>
              <w:t>灯丝质保10年，10年内免费提供灯丝及更换灯丝服务</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2.11</w:t>
            </w:r>
          </w:p>
        </w:tc>
        <w:tc>
          <w:tcPr>
            <w:tcW w:w="7971" w:type="dxa"/>
            <w:tcBorders>
              <w:top w:val="single" w:color="auto" w:sz="2" w:space="0"/>
              <w:bottom w:val="single" w:color="auto" w:sz="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能谱仪</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2.11.1</w:t>
            </w:r>
          </w:p>
        </w:tc>
        <w:tc>
          <w:tcPr>
            <w:tcW w:w="7971" w:type="dxa"/>
            <w:tcBorders>
              <w:top w:val="single" w:color="auto" w:sz="2" w:space="0"/>
              <w:bottom w:val="single" w:color="auto" w:sz="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探测器：分析型SDD硅漂移电制冷探测器，有效面积≥65mm</w:t>
            </w:r>
            <w:r>
              <w:rPr>
                <w:rFonts w:hint="eastAsia" w:ascii="宋体" w:hAnsi="宋体" w:cs="宋体"/>
                <w:color w:val="auto"/>
                <w:szCs w:val="21"/>
                <w:highlight w:val="none"/>
                <w:vertAlign w:val="superscript"/>
              </w:rPr>
              <w:t>2</w:t>
            </w:r>
            <w:r>
              <w:rPr>
                <w:rFonts w:hint="eastAsia" w:ascii="宋体" w:hAnsi="宋体" w:cs="宋体"/>
                <w:color w:val="auto"/>
                <w:szCs w:val="21"/>
                <w:highlight w:val="none"/>
              </w:rPr>
              <w:t>，高分子超薄窗设计；</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2.11.2</w:t>
            </w:r>
          </w:p>
        </w:tc>
        <w:tc>
          <w:tcPr>
            <w:tcW w:w="7971" w:type="dxa"/>
            <w:tcBorders>
              <w:top w:val="single" w:color="auto" w:sz="2" w:space="0"/>
              <w:bottom w:val="single" w:color="auto" w:sz="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封闭式真空系统，无需借助SEM抽放真空；</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2.11.3</w:t>
            </w:r>
          </w:p>
        </w:tc>
        <w:tc>
          <w:tcPr>
            <w:tcW w:w="7971" w:type="dxa"/>
            <w:tcBorders>
              <w:top w:val="single" w:color="auto" w:sz="2" w:space="0"/>
              <w:bottom w:val="single" w:color="auto" w:sz="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能量分辨率：</w:t>
            </w:r>
          </w:p>
          <w:p>
            <w:pPr>
              <w:rPr>
                <w:rFonts w:ascii="宋体" w:hAnsi="宋体" w:cs="宋体"/>
                <w:color w:val="auto"/>
                <w:szCs w:val="21"/>
                <w:highlight w:val="none"/>
              </w:rPr>
            </w:pPr>
            <w:r>
              <w:rPr>
                <w:rFonts w:hint="eastAsia" w:ascii="宋体" w:hAnsi="宋体" w:cs="宋体"/>
                <w:color w:val="auto"/>
                <w:szCs w:val="21"/>
                <w:highlight w:val="none"/>
              </w:rPr>
              <w:t xml:space="preserve">Mn Ka保证优于127eV（@计数率130,000cps）； </w:t>
            </w:r>
          </w:p>
          <w:p>
            <w:pPr>
              <w:rPr>
                <w:rFonts w:ascii="宋体" w:hAnsi="宋体" w:cs="宋体"/>
                <w:color w:val="auto"/>
                <w:szCs w:val="21"/>
                <w:highlight w:val="none"/>
              </w:rPr>
            </w:pPr>
            <w:r>
              <w:rPr>
                <w:rFonts w:hint="eastAsia" w:ascii="宋体" w:hAnsi="宋体" w:cs="宋体"/>
                <w:color w:val="auto"/>
                <w:szCs w:val="21"/>
                <w:highlight w:val="none"/>
              </w:rPr>
              <w:t>F Ka 保证优于64eV（@计数率130,000cps）；</w:t>
            </w:r>
          </w:p>
          <w:p>
            <w:pPr>
              <w:rPr>
                <w:rFonts w:ascii="宋体" w:hAnsi="宋体" w:cs="宋体"/>
                <w:color w:val="auto"/>
                <w:szCs w:val="21"/>
                <w:highlight w:val="none"/>
              </w:rPr>
            </w:pPr>
            <w:r>
              <w:rPr>
                <w:rFonts w:hint="eastAsia" w:ascii="宋体" w:hAnsi="宋体" w:cs="宋体"/>
                <w:color w:val="auto"/>
                <w:szCs w:val="21"/>
                <w:highlight w:val="none"/>
              </w:rPr>
              <w:t>C Ka 保证优于56eV（@计数率130,000cps）；</w:t>
            </w:r>
          </w:p>
          <w:p>
            <w:pPr>
              <w:rPr>
                <w:rFonts w:ascii="宋体" w:hAnsi="宋体" w:cs="宋体"/>
                <w:color w:val="auto"/>
                <w:szCs w:val="21"/>
                <w:highlight w:val="none"/>
              </w:rPr>
            </w:pPr>
            <w:r>
              <w:rPr>
                <w:rFonts w:hint="eastAsia" w:ascii="宋体" w:hAnsi="宋体" w:cs="宋体"/>
                <w:color w:val="auto"/>
                <w:szCs w:val="21"/>
                <w:highlight w:val="none"/>
              </w:rPr>
              <w:t>保证符合ISO 15632:2012标准。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2.11.4</w:t>
            </w:r>
          </w:p>
        </w:tc>
        <w:tc>
          <w:tcPr>
            <w:tcW w:w="7971" w:type="dxa"/>
            <w:tcBorders>
              <w:top w:val="single" w:color="auto" w:sz="2" w:space="0"/>
              <w:bottom w:val="single" w:color="auto" w:sz="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元素分析范围：Be4～Cf98；</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2.11.5</w:t>
            </w:r>
          </w:p>
        </w:tc>
        <w:tc>
          <w:tcPr>
            <w:tcW w:w="7971" w:type="dxa"/>
            <w:tcBorders>
              <w:top w:val="single" w:color="auto" w:sz="2" w:space="0"/>
              <w:bottom w:val="single" w:color="auto" w:sz="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探测器可软件控制自动伸缩；</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2.11.6</w:t>
            </w:r>
          </w:p>
        </w:tc>
        <w:tc>
          <w:tcPr>
            <w:tcW w:w="7971" w:type="dxa"/>
            <w:tcBorders>
              <w:top w:val="single" w:color="auto" w:sz="2" w:space="0"/>
              <w:bottom w:val="single" w:color="auto" w:sz="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具备元素spectrum Live实时刷新显示功能：可实时观测样品区域变化或者形态转变时，谱图spectrum的动态变化过程；</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2.11.7</w:t>
            </w:r>
          </w:p>
        </w:tc>
        <w:tc>
          <w:tcPr>
            <w:tcW w:w="7971" w:type="dxa"/>
            <w:tcBorders>
              <w:top w:val="single" w:color="auto" w:sz="2" w:space="0"/>
              <w:bottom w:val="single" w:color="auto" w:sz="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具备元素面分布Live实时刷新显示功能：在样品台静止状态、移动及改变放大倍数时，均可实时显示电子图像、不同元素分布以及它们的叠加图。样品停止移动时，自动开启面分布图静态采集模式，得到更高清晰度的面分布图；</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2.11.8</w:t>
            </w:r>
          </w:p>
        </w:tc>
        <w:tc>
          <w:tcPr>
            <w:tcW w:w="7971" w:type="dxa"/>
            <w:tcBorders>
              <w:top w:val="single" w:color="auto" w:sz="2" w:space="0"/>
              <w:bottom w:val="single" w:color="auto" w:sz="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具备零峰修正功能，开机后无需重新修正峰位；</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2.11.9</w:t>
            </w:r>
          </w:p>
        </w:tc>
        <w:tc>
          <w:tcPr>
            <w:tcW w:w="7971" w:type="dxa"/>
            <w:tcBorders>
              <w:top w:val="single" w:color="auto" w:sz="2" w:space="0"/>
              <w:bottom w:val="single" w:color="auto" w:sz="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线扫描分析每条线可包含高达8192点，可从线扫描结果重建单点谱图。可在水平或垂直方向进行多线依次采集；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2.11.10</w:t>
            </w:r>
          </w:p>
        </w:tc>
        <w:tc>
          <w:tcPr>
            <w:tcW w:w="7971" w:type="dxa"/>
            <w:tcBorders>
              <w:top w:val="single" w:color="auto" w:sz="2" w:space="0"/>
              <w:bottom w:val="single" w:color="auto" w:sz="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电子图像最高分辨率达8192×8192像素；元素面分布图分辨率最高达4096×4096像素；可在电子图像上叠加元素分布图；可从面分布图上进行点、线谱图重建；</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2.11.11</w:t>
            </w:r>
          </w:p>
        </w:tc>
        <w:tc>
          <w:tcPr>
            <w:tcW w:w="7971" w:type="dxa"/>
            <w:tcBorders>
              <w:top w:val="single" w:color="auto" w:sz="2" w:space="0"/>
              <w:bottom w:val="single" w:color="auto" w:sz="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定性分析：AutoID可自动标识谱峰，可进行谱重构；</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2.11.12</w:t>
            </w:r>
          </w:p>
        </w:tc>
        <w:tc>
          <w:tcPr>
            <w:tcW w:w="7971" w:type="dxa"/>
            <w:tcBorders>
              <w:top w:val="single" w:color="auto" w:sz="2" w:space="0"/>
              <w:bottom w:val="single" w:color="auto" w:sz="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定量分析：采用XPP定量修正技术；</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2.11.13</w:t>
            </w:r>
          </w:p>
        </w:tc>
        <w:tc>
          <w:tcPr>
            <w:tcW w:w="7971" w:type="dxa"/>
            <w:tcBorders>
              <w:top w:val="single" w:color="auto" w:sz="2" w:space="0"/>
              <w:bottom w:val="single" w:color="auto" w:sz="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除完备的KLM全谱线系外，还有20kV及5kV高低电压定量数据库；</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2.11.14</w:t>
            </w:r>
          </w:p>
        </w:tc>
        <w:tc>
          <w:tcPr>
            <w:tcW w:w="7971" w:type="dxa"/>
            <w:tcBorders>
              <w:top w:val="single" w:color="auto" w:sz="2" w:space="0"/>
              <w:bottom w:val="single" w:color="auto" w:sz="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采用最新脉冲与图像处理器，具备多探头控制能力，最多可同时控制和处理4个能谱探测器；</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2.12</w:t>
            </w:r>
          </w:p>
        </w:tc>
        <w:tc>
          <w:tcPr>
            <w:tcW w:w="7971" w:type="dxa"/>
            <w:tcBorders>
              <w:top w:val="single" w:color="auto" w:sz="2" w:space="0"/>
              <w:bottom w:val="single" w:color="auto" w:sz="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离子溅射仪</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2.12.1</w:t>
            </w:r>
          </w:p>
        </w:tc>
        <w:tc>
          <w:tcPr>
            <w:tcW w:w="7971" w:type="dxa"/>
            <w:tcBorders>
              <w:top w:val="single" w:color="auto" w:sz="2" w:space="0"/>
              <w:bottom w:val="single" w:color="auto" w:sz="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样品仓大小：硼硅酸盐玻璃工作腔室，≥150mm（内径）x 125mm（高）；</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2.12.2</w:t>
            </w:r>
          </w:p>
        </w:tc>
        <w:tc>
          <w:tcPr>
            <w:tcW w:w="7971" w:type="dxa"/>
            <w:tcBorders>
              <w:top w:val="single" w:color="auto" w:sz="2" w:space="0"/>
              <w:bottom w:val="single" w:color="auto" w:sz="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靶面至样品台距离：可调范围为20-50mm；</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2.12.3</w:t>
            </w:r>
          </w:p>
        </w:tc>
        <w:tc>
          <w:tcPr>
            <w:tcW w:w="7971" w:type="dxa"/>
            <w:tcBorders>
              <w:top w:val="single" w:color="auto" w:sz="2" w:space="0"/>
              <w:bottom w:val="single" w:color="auto" w:sz="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溅射电流：0-40mA；</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2.12.4</w:t>
            </w:r>
          </w:p>
        </w:tc>
        <w:tc>
          <w:tcPr>
            <w:tcW w:w="7971" w:type="dxa"/>
            <w:tcBorders>
              <w:top w:val="single" w:color="auto" w:sz="2" w:space="0"/>
              <w:bottom w:val="single" w:color="auto" w:sz="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溅射时间：0-999s；</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2.12.5</w:t>
            </w:r>
          </w:p>
        </w:tc>
        <w:tc>
          <w:tcPr>
            <w:tcW w:w="7971" w:type="dxa"/>
            <w:tcBorders>
              <w:top w:val="single" w:color="auto" w:sz="2" w:space="0"/>
              <w:bottom w:val="single" w:color="auto" w:sz="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溅射速率：在压力为7Pa,放电电流40mA，靶材距离样品30mm时，Pt溅射速度不小于15nm/min，Au不小于35nm/min；</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2.12.6</w:t>
            </w:r>
          </w:p>
        </w:tc>
        <w:tc>
          <w:tcPr>
            <w:tcW w:w="7971" w:type="dxa"/>
            <w:tcBorders>
              <w:top w:val="single" w:color="auto" w:sz="2" w:space="0"/>
              <w:bottom w:val="single" w:color="auto" w:sz="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最大样品尺寸：直径60mm，高度20mm；</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2.12.7</w:t>
            </w:r>
          </w:p>
        </w:tc>
        <w:tc>
          <w:tcPr>
            <w:tcW w:w="7971" w:type="dxa"/>
            <w:tcBorders>
              <w:top w:val="single" w:color="auto" w:sz="2" w:space="0"/>
              <w:bottom w:val="single" w:color="auto" w:sz="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靶材：Au靶材一块，Pt靶材一块</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2.12.8</w:t>
            </w:r>
          </w:p>
        </w:tc>
        <w:tc>
          <w:tcPr>
            <w:tcW w:w="7971" w:type="dxa"/>
            <w:tcBorders>
              <w:top w:val="single" w:color="auto" w:sz="2" w:space="0"/>
              <w:bottom w:val="single" w:color="auto" w:sz="2" w:space="0"/>
            </w:tcBorders>
            <w:vAlign w:val="center"/>
          </w:tcPr>
          <w:p>
            <w:pPr>
              <w:pStyle w:val="43"/>
              <w:spacing w:after="0"/>
              <w:ind w:left="0" w:leftChars="0" w:firstLine="0" w:firstLineChars="0"/>
              <w:rPr>
                <w:rFonts w:hAnsi="宋体" w:cs="宋体"/>
                <w:color w:val="auto"/>
                <w:sz w:val="21"/>
                <w:szCs w:val="21"/>
                <w:highlight w:val="none"/>
              </w:rPr>
            </w:pPr>
            <w:r>
              <w:rPr>
                <w:rFonts w:hint="eastAsia" w:hAnsi="宋体" w:cs="宋体"/>
                <w:color w:val="auto"/>
                <w:sz w:val="21"/>
                <w:szCs w:val="21"/>
                <w:highlight w:val="none"/>
              </w:rPr>
              <w:t>配备喷碳单元，喷碳单元和喷金单元为独立腔体，共用一台机械泵</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2.12.9</w:t>
            </w:r>
          </w:p>
        </w:tc>
        <w:tc>
          <w:tcPr>
            <w:tcW w:w="7971" w:type="dxa"/>
            <w:tcBorders>
              <w:top w:val="single" w:color="auto" w:sz="2" w:space="0"/>
              <w:bottom w:val="single" w:color="auto" w:sz="2" w:space="0"/>
            </w:tcBorders>
            <w:vAlign w:val="center"/>
          </w:tcPr>
          <w:p>
            <w:pPr>
              <w:pStyle w:val="43"/>
              <w:spacing w:after="0"/>
              <w:ind w:left="0" w:leftChars="0" w:firstLine="0" w:firstLineChars="0"/>
              <w:rPr>
                <w:rFonts w:hAnsi="宋体" w:cs="宋体"/>
                <w:color w:val="auto"/>
                <w:sz w:val="21"/>
                <w:szCs w:val="21"/>
                <w:highlight w:val="none"/>
              </w:rPr>
            </w:pPr>
            <w:r>
              <w:rPr>
                <w:rFonts w:hint="eastAsia" w:hAnsi="宋体" w:cs="宋体"/>
                <w:color w:val="auto"/>
                <w:sz w:val="21"/>
                <w:szCs w:val="21"/>
                <w:highlight w:val="none"/>
              </w:rPr>
              <w:t>喷碳单元耗材为铅笔芯</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ind w:firstLine="422"/>
              <w:jc w:val="center"/>
              <w:rPr>
                <w:rFonts w:ascii="宋体" w:hAnsi="宋体" w:cs="宋体"/>
                <w:color w:val="auto"/>
                <w:szCs w:val="21"/>
                <w:highlight w:val="none"/>
              </w:rPr>
            </w:pPr>
            <w:r>
              <w:rPr>
                <w:rFonts w:hint="eastAsia" w:ascii="宋体" w:hAnsi="宋体" w:cs="宋体"/>
                <w:b/>
                <w:color w:val="auto"/>
                <w:szCs w:val="21"/>
                <w:highlight w:val="none"/>
              </w:rPr>
              <w:t>3.</w:t>
            </w:r>
          </w:p>
        </w:tc>
        <w:tc>
          <w:tcPr>
            <w:tcW w:w="7971" w:type="dxa"/>
            <w:tcBorders>
              <w:top w:val="single" w:color="auto" w:sz="2" w:space="0"/>
              <w:bottom w:val="single" w:color="auto" w:sz="2" w:space="0"/>
            </w:tcBorders>
            <w:vAlign w:val="center"/>
          </w:tcPr>
          <w:p>
            <w:pPr>
              <w:ind w:firstLine="422"/>
              <w:rPr>
                <w:rFonts w:ascii="宋体" w:hAnsi="宋体" w:cs="宋体"/>
                <w:b/>
                <w:color w:val="auto"/>
                <w:szCs w:val="21"/>
                <w:highlight w:val="none"/>
              </w:rPr>
            </w:pPr>
            <w:r>
              <w:rPr>
                <w:rFonts w:hint="eastAsia" w:ascii="宋体" w:hAnsi="宋体" w:cs="宋体"/>
                <w:b/>
                <w:color w:val="auto"/>
                <w:szCs w:val="21"/>
                <w:highlight w:val="none"/>
              </w:rPr>
              <w:t>必要配置：</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3.1</w:t>
            </w:r>
          </w:p>
        </w:tc>
        <w:tc>
          <w:tcPr>
            <w:tcW w:w="7971" w:type="dxa"/>
            <w:tcBorders>
              <w:top w:val="single" w:color="auto" w:sz="2" w:space="0"/>
              <w:bottom w:val="single" w:color="auto" w:sz="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主机1台，能谱仪1套，离子溅射仪1台；空气压缩机1台，冷却循环水1台，UPS1套，专用工具和操作手册1套。</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7971" w:type="dxa"/>
            <w:tcBorders>
              <w:top w:val="single" w:color="auto" w:sz="2" w:space="0"/>
              <w:bottom w:val="single" w:color="auto" w:sz="2" w:space="0"/>
            </w:tcBorders>
            <w:vAlign w:val="center"/>
          </w:tcPr>
          <w:p>
            <w:pPr>
              <w:ind w:firstLine="422"/>
              <w:rPr>
                <w:rFonts w:ascii="宋体" w:hAnsi="宋体" w:cs="宋体"/>
                <w:b/>
                <w:color w:val="auto"/>
                <w:szCs w:val="21"/>
                <w:highlight w:val="none"/>
              </w:rPr>
            </w:pPr>
            <w:r>
              <w:rPr>
                <w:rFonts w:hint="eastAsia" w:ascii="宋体" w:hAnsi="宋体" w:cs="宋体"/>
                <w:b/>
                <w:color w:val="auto"/>
                <w:szCs w:val="21"/>
                <w:highlight w:val="none"/>
              </w:rPr>
              <w:t>性能试验与质量保证：</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4.1</w:t>
            </w:r>
          </w:p>
        </w:tc>
        <w:tc>
          <w:tcPr>
            <w:tcW w:w="7971" w:type="dxa"/>
            <w:tcBorders>
              <w:top w:val="single" w:color="auto" w:sz="2" w:space="0"/>
              <w:bottom w:val="single" w:color="auto" w:sz="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中标人应对仪器设备的质量、规格、性能、数量进行详细和全面的检查，并出具检验证明，如有缺失，应负责赔偿。</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三</w:t>
            </w:r>
          </w:p>
        </w:tc>
        <w:tc>
          <w:tcPr>
            <w:tcW w:w="7971" w:type="dxa"/>
            <w:tcBorders>
              <w:top w:val="single" w:color="auto" w:sz="2" w:space="0"/>
              <w:bottom w:val="single" w:color="auto" w:sz="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技术文件∕资料：提供仪器设备的操作手册。</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四</w:t>
            </w:r>
          </w:p>
        </w:tc>
        <w:tc>
          <w:tcPr>
            <w:tcW w:w="7971" w:type="dxa"/>
            <w:tcBorders>
              <w:top w:val="single" w:color="auto" w:sz="2" w:space="0"/>
              <w:bottom w:val="single" w:color="auto" w:sz="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安装、培训：厂家负责免费安排安装、调试、培训和验收，并承担由此发生的一切费用,并提交经采购人签字认可的安装调试报告。</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4.1</w:t>
            </w:r>
          </w:p>
        </w:tc>
        <w:tc>
          <w:tcPr>
            <w:tcW w:w="7971" w:type="dxa"/>
            <w:tcBorders>
              <w:top w:val="single" w:color="auto" w:sz="2" w:space="0"/>
              <w:bottom w:val="single" w:color="auto" w:sz="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投标人应对采购人指定的的操作人员进行全面、系统、深入的培训，培训内容包括仪器设备的基本原理、安装、调试、操作使用和日常保养维修等。培训应达到如下目的：使操作人员能熟练操作相关设备，能应付突发事件、快速判断故障、进行应急处理等；</w:t>
            </w:r>
          </w:p>
          <w:p>
            <w:pPr>
              <w:rPr>
                <w:rFonts w:ascii="宋体" w:hAnsi="宋体" w:cs="宋体"/>
                <w:color w:val="auto"/>
                <w:szCs w:val="21"/>
                <w:highlight w:val="none"/>
              </w:rPr>
            </w:pPr>
            <w:r>
              <w:rPr>
                <w:rFonts w:hint="eastAsia" w:ascii="宋体" w:hAnsi="宋体" w:cs="宋体"/>
                <w:color w:val="auto"/>
                <w:szCs w:val="21"/>
                <w:highlight w:val="none"/>
              </w:rPr>
              <w:t>投标人应在投标文件中提供详细的培训计划建议，内容应当包括理论和实践两个方面；所有培训课程需用中文进行，如使用外文讲解，投标人需提供合格的翻译人员；培训时间以参加培训的人员学懂会用为限；所有培训费用包括在投标价中。投标文件中应有培训计划，说明培训人数、时间和主要内容。</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五</w:t>
            </w:r>
          </w:p>
        </w:tc>
        <w:tc>
          <w:tcPr>
            <w:tcW w:w="7971" w:type="dxa"/>
            <w:tcBorders>
              <w:top w:val="single" w:color="auto" w:sz="2" w:space="0"/>
              <w:bottom w:val="single" w:color="auto" w:sz="2" w:space="0"/>
            </w:tcBorders>
            <w:vAlign w:val="center"/>
          </w:tcPr>
          <w:p>
            <w:pPr>
              <w:rPr>
                <w:rFonts w:ascii="宋体" w:hAnsi="宋体" w:cs="宋体"/>
                <w:color w:val="auto"/>
                <w:kern w:val="0"/>
                <w:szCs w:val="21"/>
                <w:highlight w:val="none"/>
              </w:rPr>
            </w:pPr>
            <w:r>
              <w:rPr>
                <w:rFonts w:hint="eastAsia" w:ascii="宋体" w:hAnsi="宋体" w:cs="宋体"/>
                <w:color w:val="auto"/>
                <w:szCs w:val="21"/>
                <w:highlight w:val="none"/>
              </w:rPr>
              <w:t>售后服务:</w:t>
            </w:r>
            <w:r>
              <w:rPr>
                <w:rFonts w:hint="eastAsia" w:ascii="宋体" w:hAnsi="宋体" w:cs="宋体"/>
                <w:color w:val="auto"/>
                <w:kern w:val="0"/>
                <w:szCs w:val="21"/>
                <w:highlight w:val="none"/>
              </w:rPr>
              <w:t>根据采购人实际应用要求，提供全面、优质、及时的售后服务。项目范围内的设备因设计、制造、安装、调试等原因引起设备或部件的缺陷或损坏、运转不灵、达不到性能指标以及出现事故等情况，均由投标人负责，并免费（包括备件、耗材、人工等）为采购人及时修理、更换，更换的设备或部件应是原设备制造厂的产品。</w:t>
            </w:r>
          </w:p>
          <w:p>
            <w:pPr>
              <w:rPr>
                <w:rFonts w:ascii="宋体" w:hAnsi="宋体" w:cs="宋体"/>
                <w:color w:val="auto"/>
                <w:kern w:val="0"/>
                <w:szCs w:val="21"/>
                <w:highlight w:val="none"/>
              </w:rPr>
            </w:pPr>
            <w:r>
              <w:rPr>
                <w:rFonts w:hint="eastAsia" w:ascii="宋体" w:hAnsi="宋体" w:cs="宋体"/>
                <w:color w:val="auto"/>
                <w:kern w:val="0"/>
                <w:szCs w:val="21"/>
                <w:highlight w:val="none"/>
              </w:rPr>
              <w:t>对所供产品保修时长须满足验收合格之日起至少1年（特别说明的除外），并保证有充足的部件或配件。</w:t>
            </w:r>
          </w:p>
          <w:p>
            <w:pPr>
              <w:rPr>
                <w:rFonts w:ascii="宋体" w:hAnsi="宋体" w:cs="宋体"/>
                <w:color w:val="auto"/>
                <w:kern w:val="0"/>
                <w:szCs w:val="21"/>
                <w:highlight w:val="none"/>
              </w:rPr>
            </w:pPr>
            <w:r>
              <w:rPr>
                <w:rFonts w:hint="eastAsia" w:ascii="宋体" w:hAnsi="宋体" w:cs="宋体"/>
                <w:color w:val="auto"/>
                <w:kern w:val="0"/>
                <w:szCs w:val="21"/>
                <w:highlight w:val="none"/>
              </w:rPr>
              <w:t>投标人应建立24小时的报修电话，保修期内在接到用户故障通知后，应在4小时内响应，</w:t>
            </w:r>
            <w:r>
              <w:rPr>
                <w:rFonts w:hint="eastAsia" w:ascii="宋体" w:hAnsi="宋体" w:cs="宋体"/>
                <w:color w:val="auto"/>
                <w:szCs w:val="21"/>
                <w:highlight w:val="none"/>
              </w:rPr>
              <w:t>24小时内提出解决方案，如有必要48小时内派出维修人员到达现场</w:t>
            </w:r>
            <w:r>
              <w:rPr>
                <w:rFonts w:hint="eastAsia" w:ascii="宋体" w:hAnsi="宋体" w:cs="宋体"/>
                <w:color w:val="auto"/>
                <w:kern w:val="0"/>
                <w:szCs w:val="21"/>
                <w:highlight w:val="none"/>
              </w:rPr>
              <w:t>对用户提出的技术问题和设备故障予以解决，直至故障完全排除，设备完全恢复正常。</w:t>
            </w:r>
          </w:p>
          <w:p>
            <w:pPr>
              <w:rPr>
                <w:rFonts w:ascii="宋体" w:hAnsi="宋体" w:cs="宋体"/>
                <w:color w:val="auto"/>
                <w:kern w:val="0"/>
                <w:szCs w:val="21"/>
                <w:highlight w:val="none"/>
              </w:rPr>
            </w:pPr>
            <w:r>
              <w:rPr>
                <w:rFonts w:hint="eastAsia" w:ascii="宋体" w:hAnsi="宋体" w:cs="宋体"/>
                <w:color w:val="auto"/>
                <w:kern w:val="0"/>
                <w:szCs w:val="21"/>
                <w:highlight w:val="none"/>
              </w:rPr>
              <w:t>成立由项目负责人、服务工程师及原厂工程师等组成的专职服务项目组。</w:t>
            </w:r>
          </w:p>
        </w:tc>
      </w:tr>
    </w:tbl>
    <w:p>
      <w:pPr>
        <w:pStyle w:val="29"/>
        <w:spacing w:before="120" w:beforeLines="50" w:after="120" w:afterLines="50" w:line="360" w:lineRule="auto"/>
        <w:ind w:firstLine="495" w:firstLineChars="235"/>
        <w:rPr>
          <w:rFonts w:ascii="宋体" w:hAnsi="宋体" w:cs="宋体"/>
          <w:b/>
          <w:bCs/>
          <w:color w:val="auto"/>
          <w:sz w:val="21"/>
          <w:szCs w:val="21"/>
          <w:highlight w:val="none"/>
        </w:rPr>
      </w:pPr>
      <w:r>
        <w:rPr>
          <w:rFonts w:hint="eastAsia" w:ascii="宋体" w:hAnsi="宋体" w:cs="宋体"/>
          <w:b/>
          <w:bCs/>
          <w:color w:val="auto"/>
          <w:sz w:val="21"/>
          <w:szCs w:val="21"/>
          <w:highlight w:val="none"/>
        </w:rPr>
        <w:t>（2）商务要求</w:t>
      </w:r>
    </w:p>
    <w:tbl>
      <w:tblPr>
        <w:tblStyle w:val="44"/>
        <w:tblW w:w="8931" w:type="dxa"/>
        <w:tblInd w:w="108" w:type="dxa"/>
        <w:tblLayout w:type="fixed"/>
        <w:tblCellMar>
          <w:top w:w="0" w:type="dxa"/>
          <w:left w:w="108" w:type="dxa"/>
          <w:bottom w:w="0" w:type="dxa"/>
          <w:right w:w="108" w:type="dxa"/>
        </w:tblCellMar>
      </w:tblPr>
      <w:tblGrid>
        <w:gridCol w:w="709"/>
        <w:gridCol w:w="1559"/>
        <w:gridCol w:w="6663"/>
      </w:tblGrid>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b/>
                <w:color w:val="auto"/>
                <w:szCs w:val="21"/>
                <w:highlight w:val="none"/>
              </w:rPr>
            </w:pPr>
            <w:r>
              <w:rPr>
                <w:rFonts w:hint="eastAsia" w:ascii="仿宋" w:hAnsi="仿宋" w:cs="宋体"/>
                <w:b/>
                <w:color w:val="auto"/>
                <w:szCs w:val="21"/>
                <w:highlight w:val="none"/>
              </w:rPr>
              <w:t>序号</w:t>
            </w:r>
          </w:p>
        </w:tc>
        <w:tc>
          <w:tcPr>
            <w:tcW w:w="1559" w:type="dxa"/>
            <w:tcBorders>
              <w:top w:val="single" w:color="000000" w:sz="4" w:space="0"/>
              <w:left w:val="single" w:color="000000" w:sz="4" w:space="0"/>
              <w:bottom w:val="single" w:color="000000" w:sz="4" w:space="0"/>
              <w:right w:val="single" w:color="000000" w:sz="4" w:space="0"/>
            </w:tcBorders>
            <w:vAlign w:val="center"/>
          </w:tcPr>
          <w:p>
            <w:pPr>
              <w:ind w:firstLine="422"/>
              <w:jc w:val="center"/>
              <w:rPr>
                <w:rFonts w:ascii="仿宋" w:hAnsi="仿宋" w:cs="宋体"/>
                <w:b/>
                <w:color w:val="auto"/>
                <w:szCs w:val="21"/>
                <w:highlight w:val="none"/>
              </w:rPr>
            </w:pPr>
            <w:r>
              <w:rPr>
                <w:rFonts w:hint="eastAsia" w:ascii="仿宋" w:hAnsi="仿宋" w:cs="宋体"/>
                <w:b/>
                <w:color w:val="auto"/>
                <w:szCs w:val="21"/>
                <w:highlight w:val="none"/>
              </w:rPr>
              <w:t>项目</w:t>
            </w:r>
          </w:p>
        </w:tc>
        <w:tc>
          <w:tcPr>
            <w:tcW w:w="6663" w:type="dxa"/>
            <w:tcBorders>
              <w:top w:val="single" w:color="000000" w:sz="4" w:space="0"/>
              <w:left w:val="single" w:color="000000" w:sz="4" w:space="0"/>
              <w:bottom w:val="single" w:color="000000" w:sz="4" w:space="0"/>
              <w:right w:val="single" w:color="000000" w:sz="4" w:space="0"/>
            </w:tcBorders>
            <w:vAlign w:val="center"/>
          </w:tcPr>
          <w:p>
            <w:pPr>
              <w:ind w:firstLine="422"/>
              <w:jc w:val="center"/>
              <w:rPr>
                <w:rFonts w:ascii="仿宋" w:hAnsi="仿宋" w:cs="宋体"/>
                <w:b/>
                <w:color w:val="auto"/>
                <w:szCs w:val="21"/>
                <w:highlight w:val="none"/>
              </w:rPr>
            </w:pPr>
            <w:r>
              <w:rPr>
                <w:rFonts w:hint="eastAsia" w:ascii="仿宋" w:hAnsi="仿宋" w:cs="宋体"/>
                <w:b/>
                <w:color w:val="auto"/>
                <w:szCs w:val="21"/>
                <w:highlight w:val="none"/>
              </w:rPr>
              <w:t>要求</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交货及交付验收时间</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合同签订生效之日起</w:t>
            </w:r>
            <w:r>
              <w:rPr>
                <w:rFonts w:ascii="仿宋" w:hAnsi="仿宋" w:cs="宋体"/>
                <w:color w:val="auto"/>
                <w:szCs w:val="21"/>
                <w:highlight w:val="none"/>
              </w:rPr>
              <w:t>270</w:t>
            </w:r>
            <w:r>
              <w:rPr>
                <w:rFonts w:hint="eastAsia" w:ascii="仿宋" w:hAnsi="仿宋" w:cs="宋体"/>
                <w:color w:val="auto"/>
                <w:szCs w:val="21"/>
                <w:highlight w:val="none"/>
              </w:rPr>
              <w:t>天内到货，到货后30天内完成安装调试交付验收。</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2</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交货地点</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bCs/>
                <w:color w:val="auto"/>
                <w:kern w:val="0"/>
                <w:szCs w:val="21"/>
                <w:highlight w:val="none"/>
              </w:rPr>
              <w:t xml:space="preserve">宁波市前湾新区滨海二路769号宁波工程学院新能源学院 </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3</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产品包装要求</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确保所有设备均采用国家或专业标准保护措施进行包装，使包装适应于远距离运输、防潮、防震、防锈和防粗暴装卸，以确保设备安全无损运抵交货现场。设备到货时，所有外包装箱箱体无严重破损或变形，封条应完整无缺，内包装应符合标准运输包装要求，拆箱后设备主体外表无任何磕碰、碎裂、划伤痕迹。运输途中设备出现的任何问题均由中标人负责解决。</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4</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产品及服务质量保证</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（1）投标人所供应的设备及其所有部件必须均是全新原装合格产品,在中国境内采购人拥有合法的产权和使用权。如发生交付设备与合同不符,采购人有权拒收或退货,由此产生的一切责任和后果由中标人承担。</w:t>
            </w:r>
          </w:p>
          <w:p>
            <w:pPr>
              <w:rPr>
                <w:rFonts w:ascii="仿宋" w:hAnsi="仿宋" w:cs="宋体"/>
                <w:color w:val="auto"/>
                <w:szCs w:val="21"/>
                <w:highlight w:val="none"/>
              </w:rPr>
            </w:pPr>
            <w:r>
              <w:rPr>
                <w:rFonts w:hint="eastAsia" w:ascii="仿宋" w:hAnsi="仿宋" w:cs="宋体"/>
                <w:color w:val="auto"/>
                <w:szCs w:val="21"/>
                <w:highlight w:val="none"/>
              </w:rPr>
              <w:t>（2）属于国家强制性产品认证范围的产品必须具有国家法定认证机构颁发的“CCC”认证证书。</w:t>
            </w:r>
          </w:p>
          <w:p>
            <w:pPr>
              <w:rPr>
                <w:rFonts w:ascii="仿宋" w:hAnsi="仿宋" w:cs="宋体"/>
                <w:color w:val="auto"/>
                <w:szCs w:val="21"/>
                <w:highlight w:val="none"/>
              </w:rPr>
            </w:pPr>
            <w:r>
              <w:rPr>
                <w:rFonts w:hint="eastAsia" w:ascii="仿宋" w:hAnsi="仿宋" w:cs="宋体"/>
                <w:color w:val="auto"/>
                <w:szCs w:val="21"/>
                <w:highlight w:val="none"/>
              </w:rPr>
              <w:t>（3）在设备交付时，中标人必须向采购人提供必备的相关资料。</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5</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质量标准</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产品质量必须执行国家相关标准、行业标准、地方标准或者其它标准、规范（从严）：</w:t>
            </w:r>
          </w:p>
          <w:p>
            <w:pPr>
              <w:rPr>
                <w:rFonts w:ascii="仿宋" w:hAnsi="仿宋" w:cs="宋体"/>
                <w:color w:val="auto"/>
                <w:szCs w:val="21"/>
                <w:highlight w:val="none"/>
              </w:rPr>
            </w:pPr>
            <w:r>
              <w:rPr>
                <w:rFonts w:hint="eastAsia" w:ascii="仿宋" w:hAnsi="仿宋" w:cs="宋体"/>
                <w:color w:val="auto"/>
                <w:szCs w:val="21"/>
                <w:highlight w:val="none"/>
              </w:rPr>
              <w:t>具有国家标准及规范的，按最新的标准及规范执行；具有行业标准及规范的，按最新的标准及规范执行；具有其他标准及规范的，按照最新的标准及规范执行；没有相关标准及规范的，按照招标文件的技术及服务要求执行。</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6</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产品保修期</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（1）所有设备提供不少于招标文件规定的免费保修期。</w:t>
            </w:r>
          </w:p>
          <w:p>
            <w:pPr>
              <w:rPr>
                <w:rFonts w:ascii="仿宋" w:hAnsi="仿宋" w:cs="宋体"/>
                <w:color w:val="auto"/>
                <w:szCs w:val="21"/>
                <w:highlight w:val="none"/>
              </w:rPr>
            </w:pPr>
            <w:r>
              <w:rPr>
                <w:rFonts w:hint="eastAsia" w:ascii="仿宋" w:hAnsi="仿宋" w:cs="宋体"/>
                <w:color w:val="auto"/>
                <w:szCs w:val="21"/>
                <w:highlight w:val="none"/>
              </w:rPr>
              <w:t>（2）保修期在双方签署项目最终验收报告之日起计算，在此期间内，任何非因采购人原因造成的设备质量及使用问题均由中标人提供相关保修服务，包括但不仅限于维修或更换，其费用含在投标报价中，相关费用包含达到设备正常使用目标所需的零部件费用、技术人员费用、交通差旅费等，维修必须遵守制造商的技术及零部件使用标准。</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7</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验收</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设备安装调试完成后，双方按照确定的技术标准进行验收。验收前，乙方应向甲方提交所有验收必备资料。</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8</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签订合同时间</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采购人在中标通知书发出之日起30日内与中标人签订书面合同，具体签约时间以采购人通知为准。</w:t>
            </w:r>
          </w:p>
        </w:tc>
      </w:tr>
      <w:tr>
        <w:tblPrEx>
          <w:tblCellMar>
            <w:top w:w="0" w:type="dxa"/>
            <w:left w:w="108" w:type="dxa"/>
            <w:bottom w:w="0" w:type="dxa"/>
            <w:right w:w="108" w:type="dxa"/>
          </w:tblCellMar>
        </w:tblPrEx>
        <w:trPr>
          <w:trHeight w:val="1486"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9</w:t>
            </w:r>
          </w:p>
        </w:tc>
        <w:tc>
          <w:tcPr>
            <w:tcW w:w="1559"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合同款项支付条件及方式</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shd w:val="clear" w:color="auto" w:fill="FFFFFF"/>
              </w:rPr>
            </w:pPr>
            <w:r>
              <w:rPr>
                <w:rFonts w:hint="eastAsia" w:ascii="仿宋" w:hAnsi="仿宋" w:cs="宋体"/>
                <w:color w:val="auto"/>
                <w:szCs w:val="21"/>
                <w:highlight w:val="none"/>
                <w:shd w:val="clear" w:color="auto" w:fill="FFFFFF"/>
              </w:rPr>
              <w:t>（1）所投标项为国产设备中标的，按照以下条件支付合同款：</w:t>
            </w:r>
          </w:p>
          <w:p>
            <w:pPr>
              <w:rPr>
                <w:rFonts w:ascii="仿宋" w:hAnsi="仿宋" w:cs="宋体"/>
                <w:color w:val="auto"/>
                <w:szCs w:val="21"/>
                <w:highlight w:val="none"/>
                <w:shd w:val="clear" w:color="auto" w:fill="FFFFFF"/>
              </w:rPr>
            </w:pPr>
            <w:r>
              <w:rPr>
                <w:rFonts w:hint="eastAsia" w:ascii="仿宋" w:hAnsi="仿宋" w:cs="宋体"/>
                <w:color w:val="auto"/>
                <w:szCs w:val="21"/>
                <w:highlight w:val="none"/>
                <w:shd w:val="clear" w:color="auto" w:fill="FFFFFF"/>
              </w:rPr>
              <w:t>1）合同签订生效之日起7个工作日内支付合同总价的40%作为预付款。</w:t>
            </w:r>
          </w:p>
          <w:p>
            <w:pPr>
              <w:rPr>
                <w:rFonts w:ascii="仿宋" w:hAnsi="仿宋" w:cs="宋体"/>
                <w:color w:val="auto"/>
                <w:szCs w:val="21"/>
                <w:highlight w:val="none"/>
                <w:shd w:val="clear" w:color="auto" w:fill="FFFFFF"/>
              </w:rPr>
            </w:pPr>
            <w:r>
              <w:rPr>
                <w:rFonts w:hint="eastAsia" w:ascii="仿宋" w:hAnsi="仿宋" w:cs="宋体"/>
                <w:color w:val="auto"/>
                <w:szCs w:val="21"/>
                <w:highlight w:val="none"/>
                <w:shd w:val="clear" w:color="auto" w:fill="FFFFFF"/>
              </w:rPr>
              <w:t>2）所有设备到达指定地点后15日内支付合同总价的50%。</w:t>
            </w:r>
          </w:p>
          <w:p>
            <w:pPr>
              <w:rPr>
                <w:rFonts w:ascii="仿宋" w:hAnsi="仿宋" w:cs="宋体"/>
                <w:color w:val="auto"/>
                <w:szCs w:val="21"/>
                <w:highlight w:val="none"/>
                <w:shd w:val="clear" w:color="auto" w:fill="FFFFFF"/>
              </w:rPr>
            </w:pPr>
            <w:r>
              <w:rPr>
                <w:rFonts w:hint="eastAsia" w:ascii="仿宋" w:hAnsi="仿宋" w:cs="宋体"/>
                <w:color w:val="auto"/>
                <w:szCs w:val="21"/>
                <w:highlight w:val="none"/>
                <w:shd w:val="clear" w:color="auto" w:fill="FFFFFF"/>
              </w:rPr>
              <w:t>3）设备安装调试完毕，且经使用单位验收合格后</w:t>
            </w:r>
            <w:r>
              <w:rPr>
                <w:rFonts w:ascii="仿宋" w:hAnsi="仿宋" w:cs="宋体"/>
                <w:color w:val="auto"/>
                <w:szCs w:val="21"/>
                <w:highlight w:val="none"/>
                <w:shd w:val="clear" w:color="auto" w:fill="FFFFFF"/>
              </w:rPr>
              <w:t>15</w:t>
            </w:r>
            <w:r>
              <w:rPr>
                <w:rFonts w:hint="eastAsia" w:ascii="仿宋" w:hAnsi="仿宋" w:cs="宋体"/>
                <w:color w:val="auto"/>
                <w:szCs w:val="21"/>
                <w:highlight w:val="none"/>
                <w:shd w:val="clear" w:color="auto" w:fill="FFFFFF"/>
              </w:rPr>
              <w:t>日内一次性支付余款。</w:t>
            </w:r>
          </w:p>
          <w:p>
            <w:pPr>
              <w:rPr>
                <w:rFonts w:ascii="仿宋" w:hAnsi="仿宋" w:cs="宋体"/>
                <w:color w:val="auto"/>
                <w:szCs w:val="21"/>
                <w:highlight w:val="none"/>
                <w:shd w:val="clear" w:color="auto" w:fill="FFFFFF"/>
              </w:rPr>
            </w:pPr>
            <w:r>
              <w:rPr>
                <w:rFonts w:hint="eastAsia" w:ascii="仿宋" w:hAnsi="仿宋" w:cs="宋体"/>
                <w:color w:val="auto"/>
                <w:szCs w:val="21"/>
                <w:highlight w:val="none"/>
                <w:shd w:val="clear" w:color="auto" w:fill="FFFFFF"/>
              </w:rPr>
              <w:t>注：中标人于合同签订前书面承诺放弃预付款或降低预付款支付比例的，可不适用本条款且具体支付方式由双方在合同中自行约定。</w:t>
            </w:r>
          </w:p>
          <w:p>
            <w:pPr>
              <w:rPr>
                <w:rFonts w:ascii="仿宋" w:hAnsi="仿宋" w:cs="宋体"/>
                <w:color w:val="auto"/>
                <w:szCs w:val="21"/>
                <w:highlight w:val="none"/>
                <w:shd w:val="clear" w:color="auto" w:fill="FFFFFF"/>
              </w:rPr>
            </w:pPr>
            <w:r>
              <w:rPr>
                <w:rFonts w:hint="eastAsia" w:ascii="仿宋" w:hAnsi="仿宋" w:cs="宋体"/>
                <w:color w:val="auto"/>
                <w:szCs w:val="21"/>
                <w:highlight w:val="none"/>
                <w:shd w:val="clear" w:color="auto" w:fill="FFFFFF"/>
              </w:rPr>
              <w:t>（2）所投标项为进口设备中标的，按照以下条件支付合同款：</w:t>
            </w:r>
          </w:p>
          <w:p>
            <w:pPr>
              <w:rPr>
                <w:rFonts w:ascii="仿宋" w:hAnsi="仿宋" w:cs="宋体"/>
                <w:color w:val="auto"/>
                <w:szCs w:val="21"/>
                <w:highlight w:val="none"/>
                <w:shd w:val="clear" w:color="auto" w:fill="FFFFFF"/>
              </w:rPr>
            </w:pPr>
            <w:r>
              <w:rPr>
                <w:rFonts w:hint="eastAsia" w:ascii="仿宋" w:hAnsi="仿宋" w:cs="宋体"/>
                <w:color w:val="auto"/>
                <w:szCs w:val="21"/>
                <w:highlight w:val="none"/>
                <w:shd w:val="clear" w:color="auto" w:fill="FFFFFF"/>
              </w:rPr>
              <w:t>买方开具100%不可撤消即期信用证。其中80%凭货运单据收取，20%凭宁波工程学院盖章的货物验收合格报告收取。</w:t>
            </w:r>
          </w:p>
        </w:tc>
      </w:tr>
      <w:tr>
        <w:tblPrEx>
          <w:tblCellMar>
            <w:top w:w="0" w:type="dxa"/>
            <w:left w:w="108" w:type="dxa"/>
            <w:bottom w:w="0" w:type="dxa"/>
            <w:right w:w="108" w:type="dxa"/>
          </w:tblCellMar>
        </w:tblPrEx>
        <w:trPr>
          <w:trHeight w:val="1486"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10</w:t>
            </w:r>
          </w:p>
        </w:tc>
        <w:tc>
          <w:tcPr>
            <w:tcW w:w="1559"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发票要求</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（1）中标人应在采购人支付费用前，依据相应的金额，向采购人提供足额且符合税法规定的发票。采购人在收到中标人提供的发票后在合同约定的时间内支付相应款项。</w:t>
            </w:r>
          </w:p>
          <w:p>
            <w:pPr>
              <w:rPr>
                <w:rFonts w:ascii="仿宋" w:hAnsi="仿宋" w:cs="宋体"/>
                <w:color w:val="auto"/>
                <w:szCs w:val="21"/>
                <w:highlight w:val="none"/>
                <w:shd w:val="clear" w:color="auto" w:fill="FFFFFF"/>
              </w:rPr>
            </w:pPr>
            <w:r>
              <w:rPr>
                <w:rFonts w:hint="eastAsia" w:ascii="仿宋" w:hAnsi="仿宋" w:cs="宋体"/>
                <w:color w:val="auto"/>
                <w:szCs w:val="21"/>
                <w:highlight w:val="none"/>
              </w:rPr>
              <w:t>（2）本项目合同签署的中标人名称与发票开具单位及收款单位必须一致，中标人不得以任何理由在合同执行过程中要求调整发票开具单位或收款单位（中标人依法变更单位名称或存在其他特殊情况符合规定要求除外），否则视为中标人违约并自行承担相关责任，且须承担由此对采购人造成的一切损失。</w:t>
            </w:r>
          </w:p>
        </w:tc>
      </w:tr>
      <w:tr>
        <w:tblPrEx>
          <w:tblCellMar>
            <w:top w:w="0" w:type="dxa"/>
            <w:left w:w="108" w:type="dxa"/>
            <w:bottom w:w="0" w:type="dxa"/>
            <w:right w:w="108" w:type="dxa"/>
          </w:tblCellMar>
        </w:tblPrEx>
        <w:trPr>
          <w:trHeight w:val="541"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11</w:t>
            </w:r>
          </w:p>
        </w:tc>
        <w:tc>
          <w:tcPr>
            <w:tcW w:w="1559"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履约保证金</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本项目要求中标人缴纳合同总额1</w:t>
            </w:r>
            <w:r>
              <w:rPr>
                <w:rFonts w:ascii="仿宋" w:hAnsi="仿宋" w:cs="宋体"/>
                <w:color w:val="auto"/>
                <w:szCs w:val="21"/>
                <w:highlight w:val="none"/>
              </w:rPr>
              <w:t>%</w:t>
            </w:r>
            <w:r>
              <w:rPr>
                <w:rFonts w:hint="eastAsia" w:ascii="仿宋" w:hAnsi="仿宋" w:cs="宋体"/>
                <w:color w:val="auto"/>
                <w:szCs w:val="21"/>
                <w:highlight w:val="none"/>
              </w:rPr>
              <w:t>的履约保证金，在合同签订后7个工作日内以支票、汇票、本票或者金融机构、担保机构出具的保函等非现金形式提交，项目验收合格后一次性退还。</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12</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其他</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在合同履行过程中，中标供应商应承担由于其行为所造成的采购人或第三人的人身伤害、财产损失或损坏的责任，无论何种原因所造成，与采购人无涉，由此导致的损失由中标供应商承担，无论何种原因采购人先行支付的，采购人有权向中标供应商进行追偿。</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13</w:t>
            </w:r>
          </w:p>
        </w:tc>
        <w:tc>
          <w:tcPr>
            <w:tcW w:w="1559"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知识产权要求</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投标人提供的产品未侵犯他人的知识产权。</w:t>
            </w:r>
          </w:p>
        </w:tc>
      </w:tr>
    </w:tbl>
    <w:p>
      <w:pPr>
        <w:pStyle w:val="2"/>
        <w:rPr>
          <w:color w:val="auto"/>
          <w:sz w:val="21"/>
          <w:szCs w:val="21"/>
          <w:highlight w:val="none"/>
        </w:rPr>
      </w:pPr>
    </w:p>
    <w:p>
      <w:pPr>
        <w:pStyle w:val="3"/>
        <w:ind w:firstLine="211"/>
        <w:rPr>
          <w:b/>
          <w:color w:val="auto"/>
          <w:sz w:val="21"/>
          <w:szCs w:val="21"/>
          <w:highlight w:val="none"/>
        </w:rPr>
      </w:pPr>
      <w:r>
        <w:rPr>
          <w:rFonts w:hint="eastAsia"/>
          <w:b/>
          <w:color w:val="auto"/>
          <w:sz w:val="21"/>
          <w:szCs w:val="21"/>
          <w:highlight w:val="none"/>
        </w:rPr>
        <w:t>标项四：动态光散射粒度分析仪、比表面分析仪</w:t>
      </w:r>
    </w:p>
    <w:p>
      <w:pPr>
        <w:pStyle w:val="29"/>
        <w:spacing w:before="120" w:beforeLines="50" w:after="120" w:afterLines="50" w:line="360" w:lineRule="auto"/>
        <w:ind w:firstLine="495" w:firstLineChars="235"/>
        <w:rPr>
          <w:rFonts w:ascii="宋体" w:hAnsi="宋体" w:cs="宋体"/>
          <w:b/>
          <w:bCs/>
          <w:color w:val="auto"/>
          <w:sz w:val="21"/>
          <w:szCs w:val="21"/>
          <w:highlight w:val="none"/>
        </w:rPr>
      </w:pPr>
      <w:r>
        <w:rPr>
          <w:rFonts w:hint="eastAsia" w:ascii="宋体" w:hAnsi="宋体" w:cs="宋体"/>
          <w:b/>
          <w:bCs/>
          <w:color w:val="auto"/>
          <w:sz w:val="21"/>
          <w:szCs w:val="21"/>
          <w:highlight w:val="none"/>
        </w:rPr>
        <w:t>（1）技术要求</w:t>
      </w:r>
    </w:p>
    <w:p>
      <w:pPr>
        <w:pStyle w:val="29"/>
        <w:spacing w:before="120" w:beforeLines="50" w:after="120" w:afterLines="50" w:line="360" w:lineRule="auto"/>
        <w:ind w:firstLine="495" w:firstLineChars="235"/>
        <w:rPr>
          <w:rFonts w:ascii="宋体" w:hAnsi="宋体" w:cs="宋体"/>
          <w:b/>
          <w:bCs/>
          <w:color w:val="auto"/>
          <w:sz w:val="21"/>
          <w:szCs w:val="21"/>
          <w:highlight w:val="none"/>
        </w:rPr>
      </w:pPr>
      <w:r>
        <w:rPr>
          <w:rFonts w:hint="eastAsia" w:ascii="宋体" w:hAnsi="宋体" w:cs="宋体"/>
          <w:b/>
          <w:bCs/>
          <w:color w:val="auto"/>
          <w:sz w:val="21"/>
          <w:szCs w:val="21"/>
          <w:highlight w:val="none"/>
        </w:rPr>
        <w:t>序号1：动态光散射粒度分析仪</w:t>
      </w:r>
    </w:p>
    <w:tbl>
      <w:tblPr>
        <w:tblStyle w:val="44"/>
        <w:tblW w:w="8931"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0" w:type="dxa"/>
          <w:bottom w:w="0" w:type="dxa"/>
          <w:right w:w="0" w:type="dxa"/>
        </w:tblCellMar>
      </w:tblPr>
      <w:tblGrid>
        <w:gridCol w:w="960"/>
        <w:gridCol w:w="7971"/>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blHeader/>
        </w:trPr>
        <w:tc>
          <w:tcPr>
            <w:tcW w:w="960" w:type="dxa"/>
            <w:tcBorders>
              <w:bottom w:val="single" w:color="auto" w:sz="4" w:space="0"/>
            </w:tcBorders>
            <w:vAlign w:val="center"/>
          </w:tcPr>
          <w:p>
            <w:pPr>
              <w:rPr>
                <w:rFonts w:ascii="宋体" w:hAnsi="宋体" w:cs="宋体"/>
                <w:b/>
                <w:color w:val="auto"/>
                <w:szCs w:val="21"/>
                <w:highlight w:val="none"/>
              </w:rPr>
            </w:pPr>
            <w:r>
              <w:rPr>
                <w:rFonts w:hint="eastAsia" w:ascii="宋体" w:hAnsi="宋体" w:cs="宋体"/>
                <w:b/>
                <w:color w:val="auto"/>
                <w:szCs w:val="21"/>
                <w:highlight w:val="none"/>
              </w:rPr>
              <w:t>条款号</w:t>
            </w:r>
          </w:p>
        </w:tc>
        <w:tc>
          <w:tcPr>
            <w:tcW w:w="7971" w:type="dxa"/>
            <w:tcBorders>
              <w:bottom w:val="single" w:color="auto" w:sz="4" w:space="0"/>
            </w:tcBorders>
            <w:vAlign w:val="center"/>
          </w:tcPr>
          <w:p>
            <w:pPr>
              <w:ind w:firstLine="422"/>
              <w:jc w:val="center"/>
              <w:rPr>
                <w:rFonts w:ascii="宋体" w:hAnsi="宋体" w:cs="宋体"/>
                <w:b/>
                <w:color w:val="auto"/>
                <w:szCs w:val="21"/>
                <w:highlight w:val="none"/>
              </w:rPr>
            </w:pPr>
            <w:r>
              <w:rPr>
                <w:rFonts w:hint="eastAsia" w:ascii="宋体" w:hAnsi="宋体" w:cs="宋体"/>
                <w:b/>
                <w:color w:val="auto"/>
                <w:szCs w:val="21"/>
                <w:highlight w:val="none"/>
              </w:rPr>
              <w:t>招标规格</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ind w:firstLine="422"/>
              <w:jc w:val="center"/>
              <w:rPr>
                <w:rFonts w:ascii="宋体" w:hAnsi="宋体" w:cs="宋体"/>
                <w:b/>
                <w:color w:val="auto"/>
                <w:szCs w:val="21"/>
                <w:highlight w:val="none"/>
              </w:rPr>
            </w:pPr>
            <w:r>
              <w:rPr>
                <w:rFonts w:hint="eastAsia" w:ascii="宋体" w:hAnsi="宋体" w:cs="宋体"/>
                <w:b/>
                <w:color w:val="auto"/>
                <w:szCs w:val="21"/>
                <w:highlight w:val="none"/>
              </w:rPr>
              <w:t>一</w:t>
            </w:r>
          </w:p>
        </w:tc>
        <w:tc>
          <w:tcPr>
            <w:tcW w:w="7971" w:type="dxa"/>
            <w:tcBorders>
              <w:top w:val="single" w:color="auto" w:sz="2" w:space="0"/>
              <w:bottom w:val="single" w:color="auto" w:sz="2" w:space="0"/>
            </w:tcBorders>
            <w:vAlign w:val="center"/>
          </w:tcPr>
          <w:p>
            <w:pPr>
              <w:rPr>
                <w:rFonts w:ascii="宋体" w:hAnsi="宋体" w:cs="宋体"/>
                <w:b/>
                <w:color w:val="auto"/>
                <w:szCs w:val="21"/>
                <w:highlight w:val="none"/>
              </w:rPr>
            </w:pPr>
            <w:r>
              <w:rPr>
                <w:rFonts w:ascii="宋体" w:hAnsi="宋体"/>
                <w:color w:val="auto"/>
                <w:szCs w:val="21"/>
                <w:highlight w:val="none"/>
              </w:rPr>
              <w:t>系统</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▲1.1</w:t>
            </w:r>
          </w:p>
        </w:tc>
        <w:tc>
          <w:tcPr>
            <w:tcW w:w="7971" w:type="dxa"/>
            <w:tcBorders>
              <w:top w:val="single" w:color="auto" w:sz="2" w:space="0"/>
              <w:bottom w:val="single" w:color="auto" w:sz="2" w:space="0"/>
            </w:tcBorders>
            <w:vAlign w:val="center"/>
          </w:tcPr>
          <w:p>
            <w:pPr>
              <w:pStyle w:val="25"/>
              <w:spacing w:beforeLines="0" w:afterLines="0" w:line="240" w:lineRule="auto"/>
              <w:rPr>
                <w:rFonts w:hAnsi="宋体" w:cs="宋体"/>
                <w:color w:val="auto"/>
                <w:sz w:val="21"/>
                <w:szCs w:val="21"/>
                <w:highlight w:val="none"/>
              </w:rPr>
            </w:pPr>
            <w:r>
              <w:rPr>
                <w:rFonts w:hint="eastAsia" w:hAnsi="宋体" w:cs="宋体"/>
                <w:color w:val="auto"/>
                <w:sz w:val="21"/>
                <w:szCs w:val="21"/>
                <w:highlight w:val="none"/>
              </w:rPr>
              <w:t>激光器类型：高性能He-Ne激光器，功率：10 mW，波长：633 nm</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ascii="宋体" w:hAnsi="宋体"/>
                <w:color w:val="auto"/>
                <w:szCs w:val="21"/>
                <w:highlight w:val="none"/>
              </w:rPr>
              <w:t>1.2</w:t>
            </w:r>
          </w:p>
        </w:tc>
        <w:tc>
          <w:tcPr>
            <w:tcW w:w="7971" w:type="dxa"/>
            <w:tcBorders>
              <w:top w:val="single" w:color="auto" w:sz="2" w:space="0"/>
              <w:bottom w:val="single" w:color="auto" w:sz="2" w:space="0"/>
            </w:tcBorders>
            <w:vAlign w:val="center"/>
          </w:tcPr>
          <w:p>
            <w:pPr>
              <w:rPr>
                <w:rFonts w:ascii="宋体" w:hAnsi="宋体"/>
                <w:color w:val="auto"/>
                <w:szCs w:val="21"/>
                <w:highlight w:val="none"/>
              </w:rPr>
            </w:pPr>
            <w:r>
              <w:rPr>
                <w:rFonts w:ascii="宋体" w:hAnsi="宋体"/>
                <w:color w:val="auto"/>
                <w:szCs w:val="21"/>
                <w:highlight w:val="none"/>
              </w:rPr>
              <w:t>激光衰减：自动，透射率100%至0.0003%</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3</w:t>
            </w:r>
          </w:p>
        </w:tc>
        <w:tc>
          <w:tcPr>
            <w:tcW w:w="7971" w:type="dxa"/>
            <w:tcBorders>
              <w:top w:val="single" w:color="auto" w:sz="2" w:space="0"/>
              <w:bottom w:val="single" w:color="auto" w:sz="2" w:space="0"/>
            </w:tcBorders>
            <w:vAlign w:val="center"/>
          </w:tcPr>
          <w:p>
            <w:pPr>
              <w:rPr>
                <w:rFonts w:ascii="宋体" w:hAnsi="宋体"/>
                <w:color w:val="auto"/>
                <w:szCs w:val="21"/>
                <w:highlight w:val="none"/>
              </w:rPr>
            </w:pPr>
            <w:r>
              <w:rPr>
                <w:rFonts w:ascii="宋体" w:hAnsi="宋体"/>
                <w:color w:val="auto"/>
                <w:szCs w:val="21"/>
                <w:highlight w:val="none"/>
              </w:rPr>
              <w:t>检测器：雪崩光电二极管（APD）</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4</w:t>
            </w:r>
          </w:p>
        </w:tc>
        <w:tc>
          <w:tcPr>
            <w:tcW w:w="7971" w:type="dxa"/>
            <w:tcBorders>
              <w:top w:val="single" w:color="auto" w:sz="2" w:space="0"/>
              <w:bottom w:val="single" w:color="auto" w:sz="2" w:space="0"/>
            </w:tcBorders>
            <w:vAlign w:val="center"/>
          </w:tcPr>
          <w:p>
            <w:pPr>
              <w:pStyle w:val="25"/>
              <w:spacing w:beforeLines="0" w:afterLines="0" w:line="240" w:lineRule="auto"/>
              <w:rPr>
                <w:rFonts w:hAnsi="宋体" w:cs="宋体"/>
                <w:color w:val="auto"/>
                <w:sz w:val="21"/>
                <w:szCs w:val="21"/>
                <w:highlight w:val="none"/>
              </w:rPr>
            </w:pPr>
            <w:r>
              <w:rPr>
                <w:rFonts w:hAnsi="宋体"/>
                <w:color w:val="auto"/>
                <w:sz w:val="21"/>
                <w:szCs w:val="21"/>
                <w:highlight w:val="none"/>
              </w:rPr>
              <w:t>滤光装置：荧光滤光片，水平和垂直偏振片</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5</w:t>
            </w:r>
          </w:p>
        </w:tc>
        <w:tc>
          <w:tcPr>
            <w:tcW w:w="7971" w:type="dxa"/>
            <w:tcBorders>
              <w:top w:val="single" w:color="auto" w:sz="2" w:space="0"/>
              <w:bottom w:val="single" w:color="auto" w:sz="2" w:space="0"/>
            </w:tcBorders>
            <w:vAlign w:val="center"/>
          </w:tcPr>
          <w:p>
            <w:pPr>
              <w:pStyle w:val="25"/>
              <w:spacing w:beforeLines="0" w:afterLines="0" w:line="240" w:lineRule="auto"/>
              <w:rPr>
                <w:rFonts w:hAnsi="宋体" w:cs="宋体"/>
                <w:color w:val="auto"/>
                <w:sz w:val="21"/>
                <w:szCs w:val="21"/>
                <w:highlight w:val="none"/>
              </w:rPr>
            </w:pPr>
            <w:r>
              <w:rPr>
                <w:rFonts w:hAnsi="宋体"/>
                <w:color w:val="auto"/>
                <w:sz w:val="21"/>
                <w:szCs w:val="21"/>
                <w:highlight w:val="none"/>
              </w:rPr>
              <w:t>冷凝控制：采用干燥空气/氮气的净化装置</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b/>
                <w:color w:val="auto"/>
                <w:szCs w:val="21"/>
                <w:highlight w:val="none"/>
              </w:rPr>
            </w:pPr>
            <w:r>
              <w:rPr>
                <w:rFonts w:ascii="宋体" w:hAnsi="宋体"/>
                <w:color w:val="auto"/>
                <w:szCs w:val="21"/>
                <w:highlight w:val="none"/>
              </w:rPr>
              <w:t>▲1.</w:t>
            </w:r>
            <w:r>
              <w:rPr>
                <w:rFonts w:hint="eastAsia" w:ascii="宋体" w:hAnsi="宋体"/>
                <w:color w:val="auto"/>
                <w:szCs w:val="21"/>
                <w:highlight w:val="none"/>
              </w:rPr>
              <w:t>6</w:t>
            </w:r>
          </w:p>
        </w:tc>
        <w:tc>
          <w:tcPr>
            <w:tcW w:w="7971" w:type="dxa"/>
            <w:tcBorders>
              <w:top w:val="single" w:color="auto" w:sz="2" w:space="0"/>
              <w:bottom w:val="single" w:color="auto" w:sz="2" w:space="0"/>
            </w:tcBorders>
            <w:vAlign w:val="center"/>
          </w:tcPr>
          <w:p>
            <w:pPr>
              <w:rPr>
                <w:rFonts w:ascii="宋体" w:hAnsi="宋体"/>
                <w:color w:val="auto"/>
                <w:szCs w:val="21"/>
                <w:highlight w:val="none"/>
              </w:rPr>
            </w:pPr>
            <w:r>
              <w:rPr>
                <w:rFonts w:ascii="宋体" w:hAnsi="宋体"/>
                <w:color w:val="auto"/>
                <w:szCs w:val="21"/>
                <w:highlight w:val="none"/>
              </w:rPr>
              <w:t>温度控制范围：0°C - 120°C</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二</w:t>
            </w:r>
          </w:p>
        </w:tc>
        <w:tc>
          <w:tcPr>
            <w:tcW w:w="7971" w:type="dxa"/>
            <w:tcBorders>
              <w:top w:val="single" w:color="auto" w:sz="2" w:space="0"/>
              <w:bottom w:val="single" w:color="auto" w:sz="2" w:space="0"/>
            </w:tcBorders>
            <w:vAlign w:val="center"/>
          </w:tcPr>
          <w:p>
            <w:pPr>
              <w:rPr>
                <w:rFonts w:ascii="宋体" w:hAnsi="宋体"/>
                <w:color w:val="auto"/>
                <w:szCs w:val="21"/>
                <w:highlight w:val="none"/>
              </w:rPr>
            </w:pPr>
            <w:r>
              <w:rPr>
                <w:rFonts w:hint="eastAsia" w:ascii="宋体" w:hAnsi="宋体"/>
                <w:color w:val="auto"/>
                <w:szCs w:val="21"/>
                <w:highlight w:val="none"/>
              </w:rPr>
              <w:t>粒度</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.1</w:t>
            </w:r>
          </w:p>
        </w:tc>
        <w:tc>
          <w:tcPr>
            <w:tcW w:w="7971" w:type="dxa"/>
            <w:tcBorders>
              <w:top w:val="single" w:color="auto" w:sz="2" w:space="0"/>
              <w:bottom w:val="single" w:color="auto" w:sz="2" w:space="0"/>
            </w:tcBorders>
            <w:vAlign w:val="center"/>
          </w:tcPr>
          <w:p>
            <w:pPr>
              <w:rPr>
                <w:rFonts w:ascii="宋体" w:hAnsi="宋体"/>
                <w:color w:val="auto"/>
                <w:szCs w:val="21"/>
                <w:highlight w:val="none"/>
              </w:rPr>
            </w:pPr>
            <w:r>
              <w:rPr>
                <w:rFonts w:hint="eastAsia" w:ascii="宋体" w:hAnsi="宋体"/>
                <w:color w:val="auto"/>
                <w:szCs w:val="21"/>
                <w:highlight w:val="none"/>
              </w:rPr>
              <w:t>测量技术：动态光散射（非侵入式背散射-NIBS）</w:t>
            </w:r>
          </w:p>
          <w:p>
            <w:pP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动态光散射（13°, </w:t>
            </w:r>
            <w:r>
              <w:rPr>
                <w:rFonts w:ascii="宋体" w:hAnsi="宋体"/>
                <w:color w:val="auto"/>
                <w:szCs w:val="21"/>
                <w:highlight w:val="none"/>
              </w:rPr>
              <w:t>90</w:t>
            </w:r>
            <w:r>
              <w:rPr>
                <w:rFonts w:hint="eastAsia" w:ascii="宋体" w:hAnsi="宋体"/>
                <w:color w:val="auto"/>
                <w:szCs w:val="21"/>
                <w:highlight w:val="none"/>
              </w:rPr>
              <w:t>°）</w:t>
            </w:r>
          </w:p>
          <w:p>
            <w:pPr>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多角度动态光散射（MADLS）</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ascii="宋体" w:hAnsi="宋体"/>
                <w:color w:val="auto"/>
                <w:szCs w:val="21"/>
                <w:highlight w:val="none"/>
              </w:rPr>
              <w:t>▲2.2</w:t>
            </w:r>
          </w:p>
        </w:tc>
        <w:tc>
          <w:tcPr>
            <w:tcW w:w="7971" w:type="dxa"/>
            <w:tcBorders>
              <w:top w:val="single" w:color="auto" w:sz="2" w:space="0"/>
              <w:bottom w:val="single" w:color="auto" w:sz="2" w:space="0"/>
            </w:tcBorders>
            <w:vAlign w:val="center"/>
          </w:tcPr>
          <w:p>
            <w:pPr>
              <w:rPr>
                <w:rFonts w:ascii="宋体" w:hAnsi="宋体" w:cs="宋体"/>
                <w:color w:val="auto"/>
                <w:szCs w:val="21"/>
                <w:highlight w:val="none"/>
              </w:rPr>
            </w:pPr>
            <w:r>
              <w:rPr>
                <w:rFonts w:hint="eastAsia" w:ascii="宋体" w:hAnsi="宋体"/>
                <w:color w:val="auto"/>
                <w:szCs w:val="21"/>
                <w:highlight w:val="none"/>
              </w:rPr>
              <w:t>多角度动态光散射：MADLS技术，从背向, 侧向和前向散射角获得信息</w:t>
            </w:r>
            <w:r>
              <w:rPr>
                <w:rFonts w:ascii="宋体" w:hAnsi="宋体"/>
                <w:color w:val="auto"/>
                <w:szCs w:val="21"/>
                <w:highlight w:val="none"/>
              </w:rPr>
              <w:t>并将其综合起来提供更加完整的颗粒粒径分布，得到的结果不依赖于角度，具有更高的分辨率。</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ascii="宋体" w:hAnsi="宋体"/>
                <w:color w:val="auto"/>
                <w:szCs w:val="21"/>
                <w:highlight w:val="none"/>
              </w:rPr>
              <w:t>2.3</w:t>
            </w:r>
          </w:p>
        </w:tc>
        <w:tc>
          <w:tcPr>
            <w:tcW w:w="7971" w:type="dxa"/>
            <w:tcBorders>
              <w:top w:val="single" w:color="auto" w:sz="2" w:space="0"/>
              <w:bottom w:val="single" w:color="auto" w:sz="2" w:space="0"/>
            </w:tcBorders>
            <w:vAlign w:val="center"/>
          </w:tcPr>
          <w:p>
            <w:pPr>
              <w:rPr>
                <w:rFonts w:ascii="宋体" w:hAnsi="宋体"/>
                <w:color w:val="auto"/>
                <w:szCs w:val="21"/>
                <w:highlight w:val="none"/>
              </w:rPr>
            </w:pPr>
            <w:r>
              <w:rPr>
                <w:rFonts w:ascii="宋体" w:hAnsi="宋体"/>
                <w:color w:val="auto"/>
                <w:szCs w:val="21"/>
                <w:highlight w:val="none"/>
              </w:rPr>
              <w:t>测量角：173°, 13°, 90°</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ascii="宋体" w:hAnsi="宋体"/>
                <w:color w:val="auto"/>
                <w:szCs w:val="21"/>
                <w:highlight w:val="none"/>
              </w:rPr>
              <w:t>▲2.4</w:t>
            </w:r>
          </w:p>
        </w:tc>
        <w:tc>
          <w:tcPr>
            <w:tcW w:w="7971" w:type="dxa"/>
            <w:tcBorders>
              <w:top w:val="single" w:color="auto" w:sz="2" w:space="0"/>
              <w:bottom w:val="single" w:color="auto" w:sz="2" w:space="0"/>
            </w:tcBorders>
            <w:vAlign w:val="center"/>
          </w:tcPr>
          <w:p>
            <w:pPr>
              <w:rPr>
                <w:rFonts w:ascii="宋体" w:hAnsi="宋体"/>
                <w:color w:val="auto"/>
                <w:szCs w:val="21"/>
                <w:highlight w:val="none"/>
              </w:rPr>
            </w:pPr>
            <w:r>
              <w:rPr>
                <w:rFonts w:ascii="宋体" w:hAnsi="宋体"/>
                <w:color w:val="auto"/>
                <w:szCs w:val="21"/>
                <w:highlight w:val="none"/>
              </w:rPr>
              <w:t>测量位置（背向角）：检测位置可自动连续移动</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ascii="宋体" w:hAnsi="宋体"/>
                <w:color w:val="auto"/>
                <w:szCs w:val="21"/>
                <w:highlight w:val="none"/>
              </w:rPr>
              <w:t>2.5</w:t>
            </w:r>
          </w:p>
        </w:tc>
        <w:tc>
          <w:tcPr>
            <w:tcW w:w="7971" w:type="dxa"/>
            <w:tcBorders>
              <w:top w:val="single" w:color="auto" w:sz="2" w:space="0"/>
              <w:bottom w:val="single" w:color="auto" w:sz="2" w:space="0"/>
            </w:tcBorders>
            <w:vAlign w:val="center"/>
          </w:tcPr>
          <w:p>
            <w:pPr>
              <w:rPr>
                <w:rFonts w:ascii="宋体" w:hAnsi="宋体"/>
                <w:color w:val="auto"/>
                <w:szCs w:val="21"/>
                <w:highlight w:val="none"/>
              </w:rPr>
            </w:pPr>
            <w:r>
              <w:rPr>
                <w:rFonts w:ascii="宋体" w:hAnsi="宋体"/>
                <w:color w:val="auto"/>
                <w:szCs w:val="21"/>
                <w:highlight w:val="none"/>
              </w:rPr>
              <w:t>测量范围（直径）：0.3 nm - 15 μm</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ascii="宋体" w:hAnsi="宋体"/>
                <w:color w:val="auto"/>
                <w:szCs w:val="21"/>
                <w:highlight w:val="none"/>
              </w:rPr>
              <w:t>2.6</w:t>
            </w:r>
          </w:p>
        </w:tc>
        <w:tc>
          <w:tcPr>
            <w:tcW w:w="7971" w:type="dxa"/>
            <w:tcBorders>
              <w:top w:val="single" w:color="auto" w:sz="2" w:space="0"/>
              <w:bottom w:val="single" w:color="auto" w:sz="2" w:space="0"/>
            </w:tcBorders>
            <w:vAlign w:val="center"/>
          </w:tcPr>
          <w:p>
            <w:pPr>
              <w:rPr>
                <w:rFonts w:ascii="宋体" w:hAnsi="宋体"/>
                <w:color w:val="auto"/>
                <w:szCs w:val="21"/>
                <w:highlight w:val="none"/>
              </w:rPr>
            </w:pPr>
            <w:r>
              <w:rPr>
                <w:rFonts w:ascii="宋体" w:hAnsi="宋体"/>
                <w:color w:val="auto"/>
                <w:szCs w:val="21"/>
                <w:highlight w:val="none"/>
              </w:rPr>
              <w:t>最小样品体积：3 μL</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ascii="宋体" w:hAnsi="宋体"/>
                <w:color w:val="auto"/>
                <w:szCs w:val="21"/>
                <w:highlight w:val="none"/>
              </w:rPr>
              <w:t>2.7</w:t>
            </w:r>
          </w:p>
        </w:tc>
        <w:tc>
          <w:tcPr>
            <w:tcW w:w="7971" w:type="dxa"/>
            <w:tcBorders>
              <w:top w:val="single" w:color="auto" w:sz="2" w:space="0"/>
              <w:bottom w:val="single" w:color="auto" w:sz="2" w:space="0"/>
            </w:tcBorders>
            <w:vAlign w:val="center"/>
          </w:tcPr>
          <w:p>
            <w:pPr>
              <w:rPr>
                <w:rFonts w:ascii="宋体" w:hAnsi="宋体"/>
                <w:color w:val="auto"/>
                <w:szCs w:val="21"/>
                <w:highlight w:val="none"/>
              </w:rPr>
            </w:pPr>
            <w:r>
              <w:rPr>
                <w:rFonts w:ascii="宋体" w:hAnsi="宋体"/>
                <w:color w:val="auto"/>
                <w:szCs w:val="21"/>
                <w:highlight w:val="none"/>
              </w:rPr>
              <w:t>最小样品浓度：0.1 mg/mL</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ascii="宋体" w:hAnsi="宋体"/>
                <w:color w:val="auto"/>
                <w:szCs w:val="21"/>
                <w:highlight w:val="none"/>
              </w:rPr>
              <w:t>2.8</w:t>
            </w:r>
          </w:p>
        </w:tc>
        <w:tc>
          <w:tcPr>
            <w:tcW w:w="7971" w:type="dxa"/>
            <w:tcBorders>
              <w:top w:val="single" w:color="auto" w:sz="2" w:space="0"/>
              <w:bottom w:val="single" w:color="auto" w:sz="2" w:space="0"/>
            </w:tcBorders>
            <w:vAlign w:val="center"/>
          </w:tcPr>
          <w:p>
            <w:pPr>
              <w:rPr>
                <w:rFonts w:ascii="宋体" w:hAnsi="宋体"/>
                <w:color w:val="auto"/>
                <w:szCs w:val="21"/>
                <w:highlight w:val="none"/>
              </w:rPr>
            </w:pPr>
            <w:r>
              <w:rPr>
                <w:rFonts w:hint="eastAsia" w:ascii="宋体" w:hAnsi="宋体"/>
                <w:color w:val="auto"/>
                <w:szCs w:val="21"/>
                <w:highlight w:val="none"/>
              </w:rPr>
              <w:t>最大样品浓度：</w:t>
            </w:r>
            <w:r>
              <w:rPr>
                <w:rFonts w:ascii="宋体" w:hAnsi="宋体"/>
                <w:color w:val="auto"/>
                <w:szCs w:val="21"/>
                <w:highlight w:val="none"/>
              </w:rPr>
              <w:t>40% w/v</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三</w:t>
            </w:r>
          </w:p>
        </w:tc>
        <w:tc>
          <w:tcPr>
            <w:tcW w:w="7971" w:type="dxa"/>
            <w:tcBorders>
              <w:top w:val="single" w:color="auto" w:sz="2" w:space="0"/>
              <w:bottom w:val="single" w:color="auto" w:sz="2" w:space="0"/>
            </w:tcBorders>
            <w:vAlign w:val="center"/>
          </w:tcPr>
          <w:p>
            <w:pPr>
              <w:rPr>
                <w:rFonts w:ascii="宋体" w:hAnsi="宋体"/>
                <w:bCs/>
                <w:color w:val="auto"/>
                <w:szCs w:val="21"/>
                <w:highlight w:val="none"/>
              </w:rPr>
            </w:pPr>
            <w:r>
              <w:rPr>
                <w:rFonts w:ascii="宋体" w:hAnsi="宋体"/>
                <w:bCs/>
                <w:color w:val="auto"/>
                <w:szCs w:val="21"/>
                <w:highlight w:val="none"/>
              </w:rPr>
              <w:t>Z</w:t>
            </w:r>
            <w:r>
              <w:rPr>
                <w:rFonts w:hint="eastAsia" w:ascii="宋体" w:hAnsi="宋体"/>
                <w:bCs/>
                <w:color w:val="auto"/>
                <w:szCs w:val="21"/>
                <w:highlight w:val="none"/>
              </w:rPr>
              <w:t>eta电位</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ascii="宋体" w:hAnsi="宋体"/>
                <w:color w:val="auto"/>
                <w:szCs w:val="21"/>
                <w:highlight w:val="none"/>
              </w:rPr>
              <w:t>3.1</w:t>
            </w:r>
          </w:p>
        </w:tc>
        <w:tc>
          <w:tcPr>
            <w:tcW w:w="7971" w:type="dxa"/>
            <w:tcBorders>
              <w:top w:val="single" w:color="auto" w:sz="2" w:space="0"/>
              <w:bottom w:val="single" w:color="auto" w:sz="2" w:space="0"/>
            </w:tcBorders>
            <w:vAlign w:val="center"/>
          </w:tcPr>
          <w:p>
            <w:pPr>
              <w:rPr>
                <w:rFonts w:ascii="宋体" w:hAnsi="宋体"/>
                <w:color w:val="auto"/>
                <w:szCs w:val="21"/>
                <w:highlight w:val="none"/>
              </w:rPr>
            </w:pPr>
            <w:r>
              <w:rPr>
                <w:rFonts w:hint="eastAsia" w:ascii="宋体" w:hAnsi="宋体"/>
                <w:color w:val="auto"/>
                <w:szCs w:val="21"/>
                <w:highlight w:val="none"/>
              </w:rPr>
              <w:t>测量技术：混合模式测量，相位分析光散射（M3-PALS），具有恒流模式，采用高频快场+低频慢场测量技术，解决了毛细管电渗对测试的影响，在一次测试过程中，同时得到Zeta电位平均值和分布曲线。</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ascii="宋体" w:hAnsi="宋体"/>
                <w:color w:val="auto"/>
                <w:szCs w:val="21"/>
                <w:highlight w:val="none"/>
              </w:rPr>
              <w:t>3.2</w:t>
            </w:r>
          </w:p>
        </w:tc>
        <w:tc>
          <w:tcPr>
            <w:tcW w:w="7971" w:type="dxa"/>
            <w:tcBorders>
              <w:top w:val="single" w:color="auto" w:sz="2" w:space="0"/>
              <w:bottom w:val="single" w:color="auto" w:sz="2" w:space="0"/>
            </w:tcBorders>
            <w:vAlign w:val="center"/>
          </w:tcPr>
          <w:p>
            <w:pPr>
              <w:rPr>
                <w:rFonts w:ascii="宋体" w:hAnsi="宋体"/>
                <w:color w:val="auto"/>
                <w:szCs w:val="21"/>
                <w:highlight w:val="none"/>
              </w:rPr>
            </w:pPr>
            <w:r>
              <w:rPr>
                <w:rFonts w:hint="eastAsia" w:ascii="宋体" w:hAnsi="宋体"/>
                <w:color w:val="auto"/>
                <w:szCs w:val="21"/>
                <w:highlight w:val="none"/>
              </w:rPr>
              <w:t>适合测量的粒度范围（直径）：</w:t>
            </w:r>
            <w:r>
              <w:rPr>
                <w:rFonts w:ascii="宋体" w:hAnsi="宋体"/>
                <w:color w:val="auto"/>
                <w:szCs w:val="21"/>
                <w:highlight w:val="none"/>
              </w:rPr>
              <w:t>3.8 nm – 100 μm</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ascii="宋体" w:hAnsi="宋体"/>
                <w:color w:val="auto"/>
                <w:szCs w:val="21"/>
                <w:highlight w:val="none"/>
              </w:rPr>
              <w:t>3.3</w:t>
            </w:r>
          </w:p>
        </w:tc>
        <w:tc>
          <w:tcPr>
            <w:tcW w:w="7971" w:type="dxa"/>
            <w:tcBorders>
              <w:top w:val="single" w:color="auto" w:sz="2" w:space="0"/>
              <w:bottom w:val="single" w:color="auto" w:sz="2" w:space="0"/>
            </w:tcBorders>
            <w:vAlign w:val="center"/>
          </w:tcPr>
          <w:p>
            <w:pPr>
              <w:rPr>
                <w:rFonts w:ascii="宋体" w:hAnsi="宋体"/>
                <w:color w:val="auto"/>
                <w:szCs w:val="21"/>
                <w:highlight w:val="none"/>
              </w:rPr>
            </w:pPr>
            <w:r>
              <w:rPr>
                <w:rFonts w:hint="eastAsia" w:ascii="宋体" w:hAnsi="宋体"/>
                <w:color w:val="auto"/>
                <w:szCs w:val="21"/>
                <w:highlight w:val="none"/>
              </w:rPr>
              <w:t>Zeta电位范围：无实际限制</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ascii="宋体" w:hAnsi="宋体"/>
                <w:color w:val="auto"/>
                <w:szCs w:val="21"/>
                <w:highlight w:val="none"/>
              </w:rPr>
              <w:t>3.4</w:t>
            </w:r>
          </w:p>
        </w:tc>
        <w:tc>
          <w:tcPr>
            <w:tcW w:w="7971" w:type="dxa"/>
            <w:tcBorders>
              <w:top w:val="single" w:color="auto" w:sz="2" w:space="0"/>
              <w:bottom w:val="single" w:color="auto" w:sz="2" w:space="0"/>
            </w:tcBorders>
            <w:vAlign w:val="center"/>
          </w:tcPr>
          <w:p>
            <w:pPr>
              <w:rPr>
                <w:rFonts w:ascii="宋体" w:hAnsi="宋体" w:cs="宋体"/>
                <w:color w:val="auto"/>
                <w:szCs w:val="21"/>
                <w:highlight w:val="none"/>
              </w:rPr>
            </w:pPr>
            <w:r>
              <w:rPr>
                <w:rFonts w:hint="eastAsia" w:ascii="宋体" w:hAnsi="宋体"/>
                <w:color w:val="auto"/>
                <w:szCs w:val="21"/>
                <w:highlight w:val="none"/>
              </w:rPr>
              <w:t>最小样品体积：</w:t>
            </w:r>
            <w:r>
              <w:rPr>
                <w:rFonts w:ascii="宋体" w:hAnsi="宋体"/>
                <w:color w:val="auto"/>
                <w:szCs w:val="21"/>
                <w:highlight w:val="none"/>
              </w:rPr>
              <w:t>20 μL</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ascii="宋体" w:hAnsi="宋体"/>
                <w:color w:val="auto"/>
                <w:szCs w:val="21"/>
                <w:highlight w:val="none"/>
              </w:rPr>
              <w:t>3.5</w:t>
            </w:r>
          </w:p>
        </w:tc>
        <w:tc>
          <w:tcPr>
            <w:tcW w:w="7971" w:type="dxa"/>
            <w:tcBorders>
              <w:top w:val="single" w:color="auto" w:sz="2" w:space="0"/>
              <w:bottom w:val="single" w:color="auto" w:sz="2" w:space="0"/>
            </w:tcBorders>
            <w:vAlign w:val="center"/>
          </w:tcPr>
          <w:p>
            <w:pPr>
              <w:rPr>
                <w:rFonts w:ascii="宋体" w:hAnsi="宋体" w:cs="宋体"/>
                <w:color w:val="auto"/>
                <w:szCs w:val="21"/>
                <w:highlight w:val="none"/>
              </w:rPr>
            </w:pPr>
            <w:r>
              <w:rPr>
                <w:rFonts w:hint="eastAsia" w:ascii="宋体" w:hAnsi="宋体"/>
                <w:color w:val="auto"/>
                <w:szCs w:val="21"/>
                <w:highlight w:val="none"/>
              </w:rPr>
              <w:t>最小样品浓度：</w:t>
            </w:r>
            <w:r>
              <w:rPr>
                <w:rFonts w:ascii="宋体" w:hAnsi="宋体"/>
                <w:color w:val="auto"/>
                <w:szCs w:val="21"/>
                <w:highlight w:val="none"/>
              </w:rPr>
              <w:t>1 mg/mL</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ascii="宋体" w:hAnsi="宋体"/>
                <w:color w:val="auto"/>
                <w:szCs w:val="21"/>
                <w:highlight w:val="none"/>
              </w:rPr>
              <w:t>3.6</w:t>
            </w:r>
          </w:p>
        </w:tc>
        <w:tc>
          <w:tcPr>
            <w:tcW w:w="7971" w:type="dxa"/>
            <w:tcBorders>
              <w:top w:val="single" w:color="auto" w:sz="2" w:space="0"/>
              <w:bottom w:val="single" w:color="auto" w:sz="2" w:space="0"/>
            </w:tcBorders>
            <w:vAlign w:val="center"/>
          </w:tcPr>
          <w:p>
            <w:pPr>
              <w:rPr>
                <w:rFonts w:ascii="宋体" w:hAnsi="宋体"/>
                <w:color w:val="auto"/>
                <w:szCs w:val="21"/>
                <w:highlight w:val="none"/>
              </w:rPr>
            </w:pPr>
            <w:r>
              <w:rPr>
                <w:rFonts w:hint="eastAsia" w:ascii="宋体" w:hAnsi="宋体"/>
                <w:color w:val="auto"/>
                <w:szCs w:val="21"/>
                <w:highlight w:val="none"/>
              </w:rPr>
              <w:t>最大样品浓度：</w:t>
            </w:r>
            <w:r>
              <w:rPr>
                <w:rFonts w:ascii="宋体" w:hAnsi="宋体"/>
                <w:color w:val="auto"/>
                <w:szCs w:val="21"/>
                <w:highlight w:val="none"/>
              </w:rPr>
              <w:t>40% w/v</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ascii="宋体" w:hAnsi="宋体"/>
                <w:color w:val="auto"/>
                <w:szCs w:val="21"/>
                <w:highlight w:val="none"/>
              </w:rPr>
              <w:t>▲3.7</w:t>
            </w:r>
          </w:p>
        </w:tc>
        <w:tc>
          <w:tcPr>
            <w:tcW w:w="7971" w:type="dxa"/>
            <w:tcBorders>
              <w:top w:val="single" w:color="auto" w:sz="2" w:space="0"/>
              <w:bottom w:val="single" w:color="auto" w:sz="2" w:space="0"/>
            </w:tcBorders>
            <w:vAlign w:val="center"/>
          </w:tcPr>
          <w:p>
            <w:pPr>
              <w:rPr>
                <w:rFonts w:ascii="宋体" w:hAnsi="宋体" w:cs="宋体"/>
                <w:color w:val="auto"/>
                <w:szCs w:val="21"/>
                <w:highlight w:val="none"/>
              </w:rPr>
            </w:pPr>
            <w:r>
              <w:rPr>
                <w:rFonts w:hint="eastAsia" w:ascii="宋体" w:hAnsi="宋体"/>
                <w:color w:val="auto"/>
                <w:szCs w:val="21"/>
                <w:highlight w:val="none"/>
              </w:rPr>
              <w:t>最大样品电导率：</w:t>
            </w:r>
            <w:r>
              <w:rPr>
                <w:rFonts w:ascii="宋体" w:hAnsi="宋体"/>
                <w:color w:val="auto"/>
                <w:szCs w:val="21"/>
                <w:highlight w:val="none"/>
              </w:rPr>
              <w:t>260 mS/cm</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ascii="宋体" w:hAnsi="宋体"/>
                <w:color w:val="auto"/>
                <w:szCs w:val="21"/>
                <w:highlight w:val="none"/>
              </w:rPr>
              <w:t>▲3.8</w:t>
            </w:r>
          </w:p>
        </w:tc>
        <w:tc>
          <w:tcPr>
            <w:tcW w:w="7971" w:type="dxa"/>
            <w:tcBorders>
              <w:top w:val="single" w:color="auto" w:sz="2" w:space="0"/>
              <w:bottom w:val="single" w:color="auto" w:sz="2" w:space="0"/>
            </w:tcBorders>
            <w:vAlign w:val="center"/>
          </w:tcPr>
          <w:p>
            <w:pPr>
              <w:rPr>
                <w:rFonts w:ascii="宋体" w:hAnsi="宋体" w:cs="宋体"/>
                <w:color w:val="auto"/>
                <w:szCs w:val="21"/>
                <w:highlight w:val="none"/>
              </w:rPr>
            </w:pPr>
            <w:r>
              <w:rPr>
                <w:rFonts w:hint="eastAsia" w:ascii="宋体" w:hAnsi="宋体"/>
                <w:color w:val="auto"/>
                <w:szCs w:val="21"/>
                <w:highlight w:val="none"/>
              </w:rPr>
              <w:t>可抛弃型弯曲毛细管样品池：可抛弃型，避免交叉污染，结合M3测试方法分辨不同种类颗粒的电泳迁移，完全消除电渗。可改善高导电率样品的热性能，以减少焦耳热。</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四</w:t>
            </w:r>
          </w:p>
        </w:tc>
        <w:tc>
          <w:tcPr>
            <w:tcW w:w="7971" w:type="dxa"/>
            <w:tcBorders>
              <w:top w:val="single" w:color="auto" w:sz="2" w:space="0"/>
              <w:bottom w:val="single" w:color="auto" w:sz="2" w:space="0"/>
            </w:tcBorders>
            <w:vAlign w:val="center"/>
          </w:tcPr>
          <w:p>
            <w:pPr>
              <w:rPr>
                <w:rFonts w:ascii="宋体" w:hAnsi="宋体"/>
                <w:color w:val="auto"/>
                <w:szCs w:val="21"/>
                <w:highlight w:val="none"/>
              </w:rPr>
            </w:pPr>
            <w:r>
              <w:rPr>
                <w:rFonts w:hint="eastAsia" w:ascii="宋体" w:hAnsi="宋体"/>
                <w:color w:val="auto"/>
                <w:szCs w:val="21"/>
                <w:highlight w:val="none"/>
              </w:rPr>
              <w:t>颗粒浓度</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ascii="宋体" w:hAnsi="宋体"/>
                <w:color w:val="auto"/>
                <w:szCs w:val="21"/>
                <w:highlight w:val="none"/>
              </w:rPr>
              <w:t>▲</w:t>
            </w:r>
            <w:r>
              <w:rPr>
                <w:rFonts w:hint="eastAsia" w:ascii="宋体" w:hAnsi="宋体"/>
                <w:bCs/>
                <w:color w:val="auto"/>
                <w:szCs w:val="21"/>
                <w:highlight w:val="none"/>
              </w:rPr>
              <w:t>4</w:t>
            </w:r>
            <w:r>
              <w:rPr>
                <w:rFonts w:ascii="宋体" w:hAnsi="宋体"/>
                <w:bCs/>
                <w:color w:val="auto"/>
                <w:szCs w:val="21"/>
                <w:highlight w:val="none"/>
              </w:rPr>
              <w:t>.1</w:t>
            </w:r>
          </w:p>
        </w:tc>
        <w:tc>
          <w:tcPr>
            <w:tcW w:w="7971" w:type="dxa"/>
            <w:tcBorders>
              <w:top w:val="single" w:color="auto" w:sz="2" w:space="0"/>
              <w:bottom w:val="single" w:color="auto" w:sz="2" w:space="0"/>
            </w:tcBorders>
            <w:vAlign w:val="center"/>
          </w:tcPr>
          <w:p>
            <w:pPr>
              <w:rPr>
                <w:rFonts w:ascii="宋体" w:hAnsi="宋体" w:cs="宋体"/>
                <w:color w:val="auto"/>
                <w:szCs w:val="21"/>
                <w:highlight w:val="none"/>
              </w:rPr>
            </w:pPr>
            <w:r>
              <w:rPr>
                <w:rFonts w:hint="eastAsia" w:ascii="宋体" w:hAnsi="宋体"/>
                <w:bCs/>
                <w:color w:val="auto"/>
                <w:szCs w:val="21"/>
                <w:highlight w:val="none"/>
              </w:rPr>
              <w:t>浓度范围：</w:t>
            </w:r>
            <w:r>
              <w:rPr>
                <w:rFonts w:ascii="宋体" w:hAnsi="宋体"/>
                <w:bCs/>
                <w:color w:val="auto"/>
                <w:szCs w:val="21"/>
                <w:highlight w:val="none"/>
              </w:rPr>
              <w:t>1 x 10</w:t>
            </w:r>
            <w:r>
              <w:rPr>
                <w:rFonts w:ascii="宋体" w:hAnsi="宋体"/>
                <w:bCs/>
                <w:color w:val="auto"/>
                <w:szCs w:val="21"/>
                <w:highlight w:val="none"/>
                <w:vertAlign w:val="superscript"/>
              </w:rPr>
              <w:t>8</w:t>
            </w:r>
            <w:r>
              <w:rPr>
                <w:rFonts w:ascii="宋体" w:hAnsi="宋体"/>
                <w:bCs/>
                <w:color w:val="auto"/>
                <w:szCs w:val="21"/>
                <w:highlight w:val="none"/>
              </w:rPr>
              <w:t xml:space="preserve"> - 1 x 10</w:t>
            </w:r>
            <w:r>
              <w:rPr>
                <w:rFonts w:ascii="宋体" w:hAnsi="宋体"/>
                <w:bCs/>
                <w:color w:val="auto"/>
                <w:szCs w:val="21"/>
                <w:highlight w:val="none"/>
                <w:vertAlign w:val="superscript"/>
              </w:rPr>
              <w:t xml:space="preserve">12 </w:t>
            </w:r>
            <w:r>
              <w:rPr>
                <w:rFonts w:ascii="宋体" w:hAnsi="宋体"/>
                <w:bCs/>
                <w:color w:val="auto"/>
                <w:szCs w:val="21"/>
                <w:highlight w:val="none"/>
              </w:rPr>
              <w:t>个颗粒/mL</w:t>
            </w:r>
            <w:r>
              <w:rPr>
                <w:rFonts w:hint="eastAsia" w:ascii="宋体" w:hAnsi="宋体"/>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五</w:t>
            </w:r>
          </w:p>
        </w:tc>
        <w:tc>
          <w:tcPr>
            <w:tcW w:w="7971" w:type="dxa"/>
            <w:tcBorders>
              <w:top w:val="single" w:color="auto" w:sz="2" w:space="0"/>
              <w:bottom w:val="single" w:color="auto" w:sz="2" w:space="0"/>
            </w:tcBorders>
            <w:vAlign w:val="center"/>
          </w:tcPr>
          <w:p>
            <w:pPr>
              <w:rPr>
                <w:rFonts w:ascii="宋体" w:hAnsi="宋体"/>
                <w:bCs/>
                <w:color w:val="auto"/>
                <w:szCs w:val="21"/>
                <w:highlight w:val="none"/>
              </w:rPr>
            </w:pPr>
            <w:r>
              <w:rPr>
                <w:rFonts w:hint="eastAsia" w:ascii="宋体" w:hAnsi="宋体"/>
                <w:bCs/>
                <w:color w:val="auto"/>
                <w:szCs w:val="21"/>
                <w:highlight w:val="none"/>
              </w:rPr>
              <w:t>软件</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ascii="宋体" w:hAnsi="宋体"/>
                <w:color w:val="auto"/>
                <w:szCs w:val="21"/>
                <w:highlight w:val="none"/>
              </w:rPr>
              <w:t>▲</w:t>
            </w:r>
            <w:r>
              <w:rPr>
                <w:rFonts w:ascii="宋体" w:hAnsi="宋体"/>
                <w:bCs/>
                <w:color w:val="auto"/>
                <w:szCs w:val="21"/>
                <w:highlight w:val="none"/>
              </w:rPr>
              <w:t>5.1</w:t>
            </w:r>
          </w:p>
        </w:tc>
        <w:tc>
          <w:tcPr>
            <w:tcW w:w="7971" w:type="dxa"/>
            <w:tcBorders>
              <w:top w:val="single" w:color="auto" w:sz="2" w:space="0"/>
              <w:bottom w:val="single" w:color="auto" w:sz="2" w:space="0"/>
            </w:tcBorders>
            <w:vAlign w:val="center"/>
          </w:tcPr>
          <w:p>
            <w:pPr>
              <w:rPr>
                <w:rFonts w:ascii="宋体" w:hAnsi="宋体"/>
                <w:bCs/>
                <w:color w:val="auto"/>
                <w:szCs w:val="21"/>
                <w:highlight w:val="none"/>
              </w:rPr>
            </w:pPr>
            <w:r>
              <w:rPr>
                <w:rFonts w:hint="eastAsia" w:ascii="宋体" w:hAnsi="宋体"/>
                <w:bCs/>
                <w:color w:val="auto"/>
                <w:szCs w:val="21"/>
                <w:highlight w:val="none"/>
              </w:rPr>
              <w:t>“自适应相关”算法：可使软件确定最佳测量持续时间，并识别与瞬态伪影相关的数据，生成可靠且可重复的数据，结果分为稳态 (大量的有代表性的数据), 瞬态 (异常数据)，未过滤结果 (未分类)。</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bCs/>
                <w:color w:val="auto"/>
                <w:szCs w:val="21"/>
                <w:highlight w:val="none"/>
              </w:rPr>
              <w:t>5</w:t>
            </w:r>
            <w:r>
              <w:rPr>
                <w:rFonts w:ascii="宋体" w:hAnsi="宋体"/>
                <w:bCs/>
                <w:color w:val="auto"/>
                <w:szCs w:val="21"/>
                <w:highlight w:val="none"/>
              </w:rPr>
              <w:t>.2</w:t>
            </w:r>
          </w:p>
        </w:tc>
        <w:tc>
          <w:tcPr>
            <w:tcW w:w="7971" w:type="dxa"/>
            <w:tcBorders>
              <w:top w:val="single" w:color="auto" w:sz="2" w:space="0"/>
              <w:bottom w:val="single" w:color="auto" w:sz="2" w:space="0"/>
            </w:tcBorders>
            <w:vAlign w:val="center"/>
          </w:tcPr>
          <w:p>
            <w:pPr>
              <w:rPr>
                <w:rFonts w:ascii="宋体" w:hAnsi="宋体" w:cs="宋体"/>
                <w:color w:val="auto"/>
                <w:szCs w:val="21"/>
                <w:highlight w:val="none"/>
              </w:rPr>
            </w:pPr>
            <w:r>
              <w:rPr>
                <w:rFonts w:hint="eastAsia" w:ascii="宋体" w:hAnsi="宋体"/>
                <w:bCs/>
                <w:color w:val="auto"/>
                <w:szCs w:val="21"/>
                <w:highlight w:val="none"/>
              </w:rPr>
              <w:t>专家指导系统：质量指导系统可以智能地运用集成专家知识，快速显示数据质量。</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ascii="宋体" w:hAnsi="宋体"/>
                <w:bCs/>
                <w:color w:val="auto"/>
                <w:szCs w:val="21"/>
                <w:highlight w:val="none"/>
              </w:rPr>
              <w:t>5.3</w:t>
            </w:r>
          </w:p>
        </w:tc>
        <w:tc>
          <w:tcPr>
            <w:tcW w:w="7971" w:type="dxa"/>
            <w:tcBorders>
              <w:top w:val="single" w:color="auto" w:sz="2" w:space="0"/>
              <w:bottom w:val="single" w:color="auto" w:sz="2" w:space="0"/>
            </w:tcBorders>
            <w:vAlign w:val="center"/>
          </w:tcPr>
          <w:p>
            <w:pPr>
              <w:rPr>
                <w:rFonts w:ascii="宋体" w:hAnsi="宋体" w:cs="宋体"/>
                <w:color w:val="auto"/>
                <w:szCs w:val="21"/>
                <w:highlight w:val="none"/>
              </w:rPr>
            </w:pPr>
            <w:r>
              <w:rPr>
                <w:rFonts w:hint="eastAsia" w:ascii="宋体" w:hAnsi="宋体"/>
                <w:bCs/>
                <w:color w:val="auto"/>
                <w:szCs w:val="21"/>
                <w:highlight w:val="none"/>
              </w:rPr>
              <w:t>结果计算：平均结果，标准偏差自动计算。</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六</w:t>
            </w:r>
          </w:p>
        </w:tc>
        <w:tc>
          <w:tcPr>
            <w:tcW w:w="7971" w:type="dxa"/>
            <w:tcBorders>
              <w:top w:val="single" w:color="auto" w:sz="2" w:space="0"/>
              <w:bottom w:val="single" w:color="auto" w:sz="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技术文件∕资料：提供仪器设备的操作手册。</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七</w:t>
            </w:r>
          </w:p>
        </w:tc>
        <w:tc>
          <w:tcPr>
            <w:tcW w:w="7971" w:type="dxa"/>
            <w:tcBorders>
              <w:top w:val="single" w:color="auto" w:sz="2" w:space="0"/>
              <w:bottom w:val="single" w:color="auto" w:sz="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安装、培训：厂家负责免费安排安装、调试、培训和验收，并承担由此发生的一切费用,并提交经采购人签字认可的安装调试报告。</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7.1</w:t>
            </w:r>
          </w:p>
        </w:tc>
        <w:tc>
          <w:tcPr>
            <w:tcW w:w="7971" w:type="dxa"/>
            <w:tcBorders>
              <w:top w:val="single" w:color="auto" w:sz="2" w:space="0"/>
              <w:bottom w:val="single" w:color="auto" w:sz="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投标人应对采购人指定的的操作人员进行全面、系统、深入的培训，培训内容包括仪器设备的基本原理、安装、调试、操作使用和日常保养维修等。培训应达到如下目的：使操作人员能熟练操作相关设备，能应付突发事件、快速判断故障、进行应急处理等；</w:t>
            </w:r>
          </w:p>
          <w:p>
            <w:pPr>
              <w:rPr>
                <w:rFonts w:ascii="宋体" w:hAnsi="宋体" w:cs="宋体"/>
                <w:color w:val="auto"/>
                <w:szCs w:val="21"/>
                <w:highlight w:val="none"/>
              </w:rPr>
            </w:pPr>
            <w:r>
              <w:rPr>
                <w:rFonts w:hint="eastAsia" w:ascii="宋体" w:hAnsi="宋体" w:cs="宋体"/>
                <w:color w:val="auto"/>
                <w:szCs w:val="21"/>
                <w:highlight w:val="none"/>
              </w:rPr>
              <w:t>投标人应在投标文件中提供详细的培训计划建议，内容应当包括理论和实践两个方面；所有培训课程需用中文进行，如使用外文讲解，投标人需提供合格的翻译人员；培训时间以参加培训的人员学懂会用为限；所有培训费用包括在投标价中。投标文件中应有培训计划，说明培训人数、时间和主要内容。</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八</w:t>
            </w:r>
          </w:p>
        </w:tc>
        <w:tc>
          <w:tcPr>
            <w:tcW w:w="7971" w:type="dxa"/>
            <w:tcBorders>
              <w:top w:val="single" w:color="auto" w:sz="2" w:space="0"/>
              <w:bottom w:val="single" w:color="auto" w:sz="2" w:space="0"/>
            </w:tcBorders>
            <w:vAlign w:val="center"/>
          </w:tcPr>
          <w:p>
            <w:pPr>
              <w:rPr>
                <w:rFonts w:ascii="宋体" w:hAnsi="宋体" w:cs="宋体"/>
                <w:color w:val="auto"/>
                <w:kern w:val="0"/>
                <w:szCs w:val="21"/>
                <w:highlight w:val="none"/>
              </w:rPr>
            </w:pPr>
            <w:r>
              <w:rPr>
                <w:rFonts w:hint="eastAsia" w:ascii="宋体" w:hAnsi="宋体" w:cs="宋体"/>
                <w:color w:val="auto"/>
                <w:szCs w:val="21"/>
                <w:highlight w:val="none"/>
              </w:rPr>
              <w:t>售后服务:</w:t>
            </w:r>
            <w:r>
              <w:rPr>
                <w:rFonts w:hint="eastAsia" w:ascii="宋体" w:hAnsi="宋体" w:cs="宋体"/>
                <w:color w:val="auto"/>
                <w:kern w:val="0"/>
                <w:szCs w:val="21"/>
                <w:highlight w:val="none"/>
              </w:rPr>
              <w:t>根据采购人实际应用要求，提供全面、优质、及时的售后服务。项目范围内的设备因设计、制造、安装、调试等原因引起设备或部件的缺陷或损坏、运转不灵、达不到性能指标以及出现事故等情况，均由投标人负责，并免费（包括备件、耗材、人工等）为采购人及时修理、更换，更换的设备或部件应是原设备制造厂的产品。</w:t>
            </w:r>
          </w:p>
          <w:p>
            <w:pPr>
              <w:rPr>
                <w:rFonts w:ascii="宋体" w:hAnsi="宋体" w:cs="宋体"/>
                <w:color w:val="auto"/>
                <w:kern w:val="0"/>
                <w:szCs w:val="21"/>
                <w:highlight w:val="none"/>
              </w:rPr>
            </w:pPr>
            <w:r>
              <w:rPr>
                <w:rFonts w:hint="eastAsia" w:ascii="宋体" w:hAnsi="宋体" w:cs="宋体"/>
                <w:color w:val="auto"/>
                <w:kern w:val="0"/>
                <w:szCs w:val="21"/>
                <w:highlight w:val="none"/>
              </w:rPr>
              <w:t>对所供产品保修时长须满足验收合格之日起至少1年（特别说明的除外），并保证有充足的部件或配件。</w:t>
            </w:r>
          </w:p>
          <w:p>
            <w:pPr>
              <w:rPr>
                <w:rFonts w:ascii="宋体" w:hAnsi="宋体" w:cs="宋体"/>
                <w:color w:val="auto"/>
                <w:kern w:val="0"/>
                <w:szCs w:val="21"/>
                <w:highlight w:val="none"/>
              </w:rPr>
            </w:pPr>
            <w:r>
              <w:rPr>
                <w:rFonts w:hint="eastAsia" w:ascii="宋体" w:hAnsi="宋体" w:cs="宋体"/>
                <w:color w:val="auto"/>
                <w:kern w:val="0"/>
                <w:szCs w:val="21"/>
                <w:highlight w:val="none"/>
              </w:rPr>
              <w:t>投标人应建立24小时的报修电话，保修期内在接到用户故障通知后，应在4小时内响应，</w:t>
            </w:r>
            <w:r>
              <w:rPr>
                <w:rFonts w:hint="eastAsia" w:ascii="宋体" w:hAnsi="宋体" w:cs="宋体"/>
                <w:color w:val="auto"/>
                <w:szCs w:val="21"/>
                <w:highlight w:val="none"/>
              </w:rPr>
              <w:t>24小时内提出解决方案，如有必要48小时内派出维修人员到达现场</w:t>
            </w:r>
            <w:r>
              <w:rPr>
                <w:rFonts w:hint="eastAsia" w:ascii="宋体" w:hAnsi="宋体" w:cs="宋体"/>
                <w:color w:val="auto"/>
                <w:kern w:val="0"/>
                <w:szCs w:val="21"/>
                <w:highlight w:val="none"/>
              </w:rPr>
              <w:t>对用户提出的技术问题和设备故障予以解决，直至故障完全排除，设备完全恢复正常。</w:t>
            </w:r>
          </w:p>
          <w:p>
            <w:pPr>
              <w:rPr>
                <w:rFonts w:ascii="宋体" w:hAnsi="宋体" w:cs="宋体"/>
                <w:color w:val="auto"/>
                <w:kern w:val="0"/>
                <w:szCs w:val="21"/>
                <w:highlight w:val="none"/>
              </w:rPr>
            </w:pPr>
            <w:r>
              <w:rPr>
                <w:rFonts w:hint="eastAsia" w:ascii="宋体" w:hAnsi="宋体" w:cs="宋体"/>
                <w:color w:val="auto"/>
                <w:kern w:val="0"/>
                <w:szCs w:val="21"/>
                <w:highlight w:val="none"/>
              </w:rPr>
              <w:t>成立由项目负责人、服务工程师及原厂工程师等组成的专职服务项目组。</w:t>
            </w:r>
          </w:p>
        </w:tc>
      </w:tr>
    </w:tbl>
    <w:p>
      <w:pPr>
        <w:pStyle w:val="29"/>
        <w:spacing w:before="120" w:beforeLines="50" w:after="120" w:afterLines="50" w:line="360" w:lineRule="auto"/>
        <w:ind w:firstLine="493" w:firstLineChars="235"/>
        <w:rPr>
          <w:rFonts w:ascii="宋体" w:hAnsi="宋体" w:cs="宋体"/>
          <w:b/>
          <w:bCs/>
          <w:color w:val="auto"/>
          <w:sz w:val="21"/>
          <w:szCs w:val="21"/>
          <w:highlight w:val="none"/>
        </w:rPr>
      </w:pPr>
      <w:r>
        <w:rPr>
          <w:rFonts w:hint="eastAsia" w:asciiTheme="minorEastAsia" w:hAnsiTheme="minorEastAsia" w:eastAsiaTheme="minorEastAsia"/>
          <w:bCs/>
          <w:color w:val="auto"/>
          <w:sz w:val="21"/>
          <w:szCs w:val="21"/>
          <w:highlight w:val="none"/>
        </w:rPr>
        <w:t>●</w:t>
      </w:r>
      <w:r>
        <w:rPr>
          <w:rFonts w:hint="eastAsia" w:ascii="宋体" w:hAnsi="宋体" w:cs="宋体"/>
          <w:b/>
          <w:bCs/>
          <w:color w:val="auto"/>
          <w:sz w:val="21"/>
          <w:szCs w:val="21"/>
          <w:highlight w:val="none"/>
        </w:rPr>
        <w:t>序号2：比表面分析仪</w:t>
      </w:r>
    </w:p>
    <w:tbl>
      <w:tblPr>
        <w:tblStyle w:val="44"/>
        <w:tblW w:w="8931" w:type="dxa"/>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0" w:type="dxa"/>
          <w:bottom w:w="0" w:type="dxa"/>
          <w:right w:w="0" w:type="dxa"/>
        </w:tblCellMar>
      </w:tblPr>
      <w:tblGrid>
        <w:gridCol w:w="993"/>
        <w:gridCol w:w="7938"/>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457" w:hRule="atLeast"/>
          <w:tblHeader/>
        </w:trPr>
        <w:tc>
          <w:tcPr>
            <w:tcW w:w="993" w:type="dxa"/>
            <w:tcBorders>
              <w:bottom w:val="single" w:color="auto" w:sz="4" w:space="0"/>
            </w:tcBorders>
            <w:vAlign w:val="center"/>
          </w:tcPr>
          <w:p>
            <w:pPr>
              <w:rPr>
                <w:rFonts w:ascii="仿宋" w:hAnsi="仿宋" w:cs="仿宋"/>
                <w:b/>
                <w:color w:val="auto"/>
                <w:szCs w:val="21"/>
                <w:highlight w:val="none"/>
              </w:rPr>
            </w:pPr>
            <w:r>
              <w:rPr>
                <w:rFonts w:hint="eastAsia" w:ascii="仿宋" w:hAnsi="仿宋" w:cs="仿宋"/>
                <w:b/>
                <w:color w:val="auto"/>
                <w:szCs w:val="21"/>
                <w:highlight w:val="none"/>
              </w:rPr>
              <w:t>条款号</w:t>
            </w:r>
          </w:p>
        </w:tc>
        <w:tc>
          <w:tcPr>
            <w:tcW w:w="7938" w:type="dxa"/>
            <w:tcBorders>
              <w:bottom w:val="single" w:color="auto" w:sz="4" w:space="0"/>
            </w:tcBorders>
            <w:vAlign w:val="center"/>
          </w:tcPr>
          <w:p>
            <w:pPr>
              <w:ind w:firstLine="422"/>
              <w:jc w:val="center"/>
              <w:rPr>
                <w:rFonts w:ascii="仿宋" w:hAnsi="仿宋" w:cs="仿宋"/>
                <w:b/>
                <w:color w:val="auto"/>
                <w:szCs w:val="21"/>
                <w:highlight w:val="none"/>
              </w:rPr>
            </w:pPr>
            <w:r>
              <w:rPr>
                <w:rFonts w:hint="eastAsia" w:ascii="仿宋" w:hAnsi="仿宋" w:cs="仿宋"/>
                <w:b/>
                <w:color w:val="auto"/>
                <w:szCs w:val="21"/>
                <w:highlight w:val="none"/>
              </w:rPr>
              <w:t>招标规格</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93" w:type="dxa"/>
            <w:tcBorders>
              <w:top w:val="single" w:color="auto" w:sz="2" w:space="0"/>
              <w:bottom w:val="single" w:color="auto" w:sz="2" w:space="0"/>
            </w:tcBorders>
            <w:vAlign w:val="center"/>
          </w:tcPr>
          <w:p>
            <w:pPr>
              <w:spacing w:line="0" w:lineRule="atLeast"/>
              <w:jc w:val="center"/>
              <w:rPr>
                <w:rFonts w:ascii="仿宋" w:hAnsi="仿宋" w:cs="仿宋"/>
                <w:bCs/>
                <w:color w:val="auto"/>
                <w:szCs w:val="21"/>
                <w:highlight w:val="none"/>
              </w:rPr>
            </w:pPr>
            <w:r>
              <w:rPr>
                <w:rFonts w:hint="eastAsia" w:ascii="仿宋" w:hAnsi="仿宋" w:cs="仿宋"/>
                <w:bCs/>
                <w:color w:val="auto"/>
                <w:szCs w:val="21"/>
                <w:highlight w:val="none"/>
              </w:rPr>
              <w:t>一</w:t>
            </w:r>
          </w:p>
        </w:tc>
        <w:tc>
          <w:tcPr>
            <w:tcW w:w="7938" w:type="dxa"/>
            <w:tcBorders>
              <w:top w:val="single" w:color="auto" w:sz="2" w:space="0"/>
              <w:bottom w:val="single" w:color="auto" w:sz="2" w:space="0"/>
            </w:tcBorders>
            <w:vAlign w:val="center"/>
          </w:tcPr>
          <w:p>
            <w:pPr>
              <w:rPr>
                <w:rFonts w:ascii="仿宋" w:hAnsi="仿宋" w:cs="仿宋"/>
                <w:color w:val="auto"/>
                <w:szCs w:val="21"/>
                <w:highlight w:val="none"/>
              </w:rPr>
            </w:pPr>
            <w:r>
              <w:rPr>
                <w:rFonts w:hint="eastAsia" w:ascii="仿宋" w:hAnsi="仿宋" w:cs="仿宋"/>
                <w:color w:val="auto"/>
                <w:szCs w:val="21"/>
                <w:highlight w:val="none"/>
              </w:rPr>
              <w:t>对分析仪的整体要求：</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93" w:type="dxa"/>
            <w:tcBorders>
              <w:top w:val="single" w:color="auto" w:sz="2" w:space="0"/>
              <w:bottom w:val="single" w:color="auto" w:sz="2" w:space="0"/>
            </w:tcBorders>
            <w:vAlign w:val="center"/>
          </w:tcPr>
          <w:p>
            <w:pPr>
              <w:jc w:val="center"/>
              <w:rPr>
                <w:rFonts w:ascii="仿宋" w:hAnsi="仿宋" w:cs="仿宋"/>
                <w:color w:val="auto"/>
                <w:szCs w:val="21"/>
                <w:highlight w:val="none"/>
              </w:rPr>
            </w:pPr>
            <w:r>
              <w:rPr>
                <w:rFonts w:ascii="仿宋" w:hAnsi="仿宋" w:cs="仿宋"/>
                <w:color w:val="auto"/>
                <w:szCs w:val="21"/>
                <w:highlight w:val="none"/>
              </w:rPr>
              <w:t>1.1</w:t>
            </w:r>
          </w:p>
        </w:tc>
        <w:tc>
          <w:tcPr>
            <w:tcW w:w="7938" w:type="dxa"/>
            <w:tcBorders>
              <w:top w:val="single" w:color="auto" w:sz="2" w:space="0"/>
              <w:bottom w:val="single" w:color="auto" w:sz="2" w:space="0"/>
            </w:tcBorders>
            <w:vAlign w:val="center"/>
          </w:tcPr>
          <w:p>
            <w:pPr>
              <w:rPr>
                <w:rFonts w:ascii="仿宋" w:hAnsi="仿宋" w:cs="仿宋"/>
                <w:color w:val="auto"/>
                <w:szCs w:val="21"/>
                <w:highlight w:val="none"/>
              </w:rPr>
            </w:pPr>
            <w:r>
              <w:rPr>
                <w:rFonts w:hint="eastAsia" w:ascii="仿宋" w:hAnsi="仿宋" w:cs="仿宋"/>
                <w:color w:val="auto"/>
                <w:szCs w:val="21"/>
                <w:highlight w:val="none"/>
              </w:rPr>
              <w:t>要求分析仪是全自动运行，采用真空容量法原理，可对样品（如沸石，活性炭，金属氧化物，MOF，COF，石墨烯等多孔材料）进行比表面积，孔径分布，孔隙度，孔容和吸附热等分析。</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93" w:type="dxa"/>
            <w:tcBorders>
              <w:top w:val="single" w:color="auto" w:sz="2" w:space="0"/>
              <w:bottom w:val="single" w:color="auto" w:sz="2" w:space="0"/>
            </w:tcBorders>
            <w:vAlign w:val="center"/>
          </w:tcPr>
          <w:p>
            <w:pPr>
              <w:jc w:val="center"/>
              <w:rPr>
                <w:rFonts w:ascii="仿宋" w:hAnsi="仿宋" w:cs="仿宋"/>
                <w:color w:val="auto"/>
                <w:szCs w:val="21"/>
                <w:highlight w:val="none"/>
              </w:rPr>
            </w:pPr>
            <w:r>
              <w:rPr>
                <w:rFonts w:hint="eastAsia" w:ascii="仿宋" w:hAnsi="仿宋" w:cs="仿宋"/>
                <w:color w:val="auto"/>
                <w:szCs w:val="21"/>
                <w:highlight w:val="none"/>
              </w:rPr>
              <w:t>二</w:t>
            </w:r>
          </w:p>
        </w:tc>
        <w:tc>
          <w:tcPr>
            <w:tcW w:w="7938" w:type="dxa"/>
            <w:tcBorders>
              <w:top w:val="single" w:color="auto" w:sz="2" w:space="0"/>
              <w:bottom w:val="single" w:color="auto" w:sz="2" w:space="0"/>
            </w:tcBorders>
            <w:vAlign w:val="center"/>
          </w:tcPr>
          <w:p>
            <w:pPr>
              <w:rPr>
                <w:rFonts w:ascii="仿宋" w:hAnsi="仿宋" w:cs="仿宋"/>
                <w:color w:val="auto"/>
                <w:szCs w:val="21"/>
                <w:highlight w:val="none"/>
              </w:rPr>
            </w:pPr>
            <w:r>
              <w:rPr>
                <w:rFonts w:hint="eastAsia" w:ascii="仿宋" w:hAnsi="仿宋" w:cs="仿宋"/>
                <w:color w:val="auto"/>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93" w:type="dxa"/>
            <w:vAlign w:val="center"/>
          </w:tcPr>
          <w:p>
            <w:pPr>
              <w:jc w:val="center"/>
              <w:rPr>
                <w:rFonts w:ascii="仿宋" w:hAnsi="仿宋" w:cs="仿宋"/>
                <w:color w:val="auto"/>
                <w:szCs w:val="21"/>
                <w:highlight w:val="none"/>
              </w:rPr>
            </w:pPr>
            <w:r>
              <w:rPr>
                <w:rFonts w:ascii="仿宋" w:hAnsi="仿宋"/>
                <w:color w:val="auto"/>
                <w:szCs w:val="21"/>
                <w:highlight w:val="none"/>
              </w:rPr>
              <w:t>▲</w:t>
            </w:r>
            <w:r>
              <w:rPr>
                <w:rFonts w:ascii="仿宋" w:hAnsi="仿宋" w:cs="仿宋"/>
                <w:color w:val="auto"/>
                <w:szCs w:val="21"/>
                <w:highlight w:val="none"/>
              </w:rPr>
              <w:t>2.1</w:t>
            </w:r>
          </w:p>
        </w:tc>
        <w:tc>
          <w:tcPr>
            <w:tcW w:w="7938" w:type="dxa"/>
          </w:tcPr>
          <w:p>
            <w:pPr>
              <w:rPr>
                <w:rFonts w:ascii="仿宋" w:hAnsi="仿宋" w:cs="仿宋"/>
                <w:color w:val="auto"/>
                <w:szCs w:val="21"/>
                <w:highlight w:val="none"/>
              </w:rPr>
            </w:pPr>
            <w:r>
              <w:rPr>
                <w:rFonts w:hint="eastAsia" w:ascii="仿宋" w:hAnsi="仿宋" w:cs="仿宋"/>
                <w:color w:val="auto"/>
                <w:szCs w:val="21"/>
                <w:highlight w:val="none"/>
              </w:rPr>
              <w:t>要求配置</w:t>
            </w:r>
            <w:r>
              <w:rPr>
                <w:rFonts w:ascii="仿宋" w:hAnsi="仿宋" w:cs="仿宋"/>
                <w:color w:val="auto"/>
                <w:szCs w:val="21"/>
                <w:highlight w:val="none"/>
              </w:rPr>
              <w:t>6</w:t>
            </w:r>
            <w:r>
              <w:rPr>
                <w:rFonts w:hint="eastAsia" w:ascii="仿宋" w:hAnsi="仿宋" w:cs="仿宋"/>
                <w:color w:val="auto"/>
                <w:szCs w:val="21"/>
                <w:highlight w:val="none"/>
              </w:rPr>
              <w:t>个全自动程序升温脱气站和2个微孔分析站，脱气站和分析站为一体机，分子泵极限真空度：5×10-10mbar</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93" w:type="dxa"/>
            <w:vAlign w:val="center"/>
          </w:tcPr>
          <w:p>
            <w:pPr>
              <w:jc w:val="center"/>
              <w:rPr>
                <w:rFonts w:ascii="仿宋" w:hAnsi="仿宋" w:cs="仿宋"/>
                <w:color w:val="auto"/>
                <w:szCs w:val="21"/>
                <w:highlight w:val="none"/>
              </w:rPr>
            </w:pPr>
            <w:r>
              <w:rPr>
                <w:rFonts w:hint="eastAsia" w:ascii="仿宋" w:hAnsi="仿宋" w:cs="仿宋"/>
                <w:color w:val="auto"/>
                <w:szCs w:val="21"/>
                <w:highlight w:val="none"/>
              </w:rPr>
              <w:t>2</w:t>
            </w:r>
            <w:r>
              <w:rPr>
                <w:rFonts w:ascii="仿宋" w:hAnsi="仿宋" w:cs="仿宋"/>
                <w:color w:val="auto"/>
                <w:szCs w:val="21"/>
                <w:highlight w:val="none"/>
              </w:rPr>
              <w:t>.2</w:t>
            </w:r>
          </w:p>
        </w:tc>
        <w:tc>
          <w:tcPr>
            <w:tcW w:w="7938" w:type="dxa"/>
          </w:tcPr>
          <w:p>
            <w:pPr>
              <w:rPr>
                <w:rFonts w:ascii="仿宋" w:hAnsi="仿宋" w:cs="仿宋"/>
                <w:color w:val="auto"/>
                <w:szCs w:val="21"/>
                <w:highlight w:val="none"/>
              </w:rPr>
            </w:pPr>
            <w:r>
              <w:rPr>
                <w:rFonts w:hint="eastAsia" w:ascii="仿宋" w:hAnsi="仿宋" w:cs="仿宋"/>
                <w:color w:val="auto"/>
                <w:szCs w:val="21"/>
                <w:highlight w:val="none"/>
              </w:rPr>
              <w:t>比表面积范围：≥0.01m2/g（N2吸附）</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93" w:type="dxa"/>
            <w:vAlign w:val="center"/>
          </w:tcPr>
          <w:p>
            <w:pPr>
              <w:jc w:val="center"/>
              <w:rPr>
                <w:rFonts w:ascii="仿宋" w:hAnsi="仿宋" w:cs="仿宋"/>
                <w:color w:val="auto"/>
                <w:szCs w:val="21"/>
                <w:highlight w:val="none"/>
              </w:rPr>
            </w:pPr>
            <w:r>
              <w:rPr>
                <w:rFonts w:hint="eastAsia" w:ascii="仿宋" w:hAnsi="仿宋" w:cs="仿宋"/>
                <w:color w:val="auto"/>
                <w:szCs w:val="21"/>
                <w:highlight w:val="none"/>
              </w:rPr>
              <w:t>2</w:t>
            </w:r>
            <w:r>
              <w:rPr>
                <w:rFonts w:ascii="仿宋" w:hAnsi="仿宋" w:cs="仿宋"/>
                <w:color w:val="auto"/>
                <w:szCs w:val="21"/>
                <w:highlight w:val="none"/>
              </w:rPr>
              <w:t>.3</w:t>
            </w:r>
          </w:p>
        </w:tc>
        <w:tc>
          <w:tcPr>
            <w:tcW w:w="7938" w:type="dxa"/>
          </w:tcPr>
          <w:p>
            <w:pPr>
              <w:rPr>
                <w:rFonts w:ascii="仿宋" w:hAnsi="仿宋" w:cs="仿宋"/>
                <w:color w:val="auto"/>
                <w:szCs w:val="21"/>
                <w:highlight w:val="none"/>
              </w:rPr>
            </w:pPr>
            <w:r>
              <w:rPr>
                <w:rFonts w:hint="eastAsia" w:ascii="仿宋" w:hAnsi="仿宋" w:cs="仿宋"/>
                <w:color w:val="auto"/>
                <w:szCs w:val="21"/>
                <w:highlight w:val="none"/>
              </w:rPr>
              <w:t>孔径范围：0.35nm–500 nm</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93" w:type="dxa"/>
            <w:vAlign w:val="center"/>
          </w:tcPr>
          <w:p>
            <w:pPr>
              <w:jc w:val="center"/>
              <w:rPr>
                <w:rFonts w:ascii="仿宋" w:hAnsi="仿宋" w:cs="仿宋"/>
                <w:color w:val="auto"/>
                <w:szCs w:val="21"/>
                <w:highlight w:val="none"/>
              </w:rPr>
            </w:pPr>
            <w:r>
              <w:rPr>
                <w:rFonts w:ascii="仿宋" w:hAnsi="仿宋" w:cs="仿宋"/>
                <w:color w:val="auto"/>
                <w:szCs w:val="21"/>
                <w:highlight w:val="none"/>
              </w:rPr>
              <w:t>2.4</w:t>
            </w:r>
          </w:p>
        </w:tc>
        <w:tc>
          <w:tcPr>
            <w:tcW w:w="7938" w:type="dxa"/>
          </w:tcPr>
          <w:p>
            <w:pPr>
              <w:rPr>
                <w:rFonts w:ascii="仿宋" w:hAnsi="仿宋" w:cs="仿宋"/>
                <w:color w:val="auto"/>
                <w:szCs w:val="21"/>
                <w:highlight w:val="none"/>
              </w:rPr>
            </w:pPr>
            <w:r>
              <w:rPr>
                <w:rFonts w:hint="eastAsia" w:ascii="仿宋" w:hAnsi="仿宋" w:cs="仿宋"/>
                <w:color w:val="auto"/>
                <w:szCs w:val="21"/>
                <w:highlight w:val="none"/>
              </w:rPr>
              <w:t>P/Po 范围:1 x 10-7– 0.99</w:t>
            </w:r>
            <w:r>
              <w:rPr>
                <w:rFonts w:ascii="仿宋" w:hAnsi="仿宋" w:cs="仿宋"/>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93" w:type="dxa"/>
            <w:vAlign w:val="center"/>
          </w:tcPr>
          <w:p>
            <w:pPr>
              <w:jc w:val="center"/>
              <w:rPr>
                <w:rFonts w:ascii="仿宋" w:hAnsi="仿宋" w:cs="仿宋"/>
                <w:color w:val="auto"/>
                <w:szCs w:val="21"/>
                <w:highlight w:val="none"/>
              </w:rPr>
            </w:pPr>
            <w:r>
              <w:rPr>
                <w:rFonts w:ascii="仿宋" w:hAnsi="仿宋"/>
                <w:color w:val="auto"/>
                <w:szCs w:val="21"/>
                <w:highlight w:val="none"/>
              </w:rPr>
              <w:t>▲</w:t>
            </w:r>
            <w:r>
              <w:rPr>
                <w:rFonts w:hint="eastAsia" w:ascii="仿宋" w:hAnsi="仿宋" w:cs="仿宋"/>
                <w:color w:val="auto"/>
                <w:szCs w:val="21"/>
                <w:highlight w:val="none"/>
              </w:rPr>
              <w:t>2</w:t>
            </w:r>
            <w:r>
              <w:rPr>
                <w:rFonts w:ascii="仿宋" w:hAnsi="仿宋" w:cs="仿宋"/>
                <w:color w:val="auto"/>
                <w:szCs w:val="21"/>
                <w:highlight w:val="none"/>
              </w:rPr>
              <w:t>.5</w:t>
            </w:r>
          </w:p>
        </w:tc>
        <w:tc>
          <w:tcPr>
            <w:tcW w:w="793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仿宋"/>
                <w:color w:val="auto"/>
                <w:szCs w:val="21"/>
                <w:highlight w:val="none"/>
              </w:rPr>
            </w:pPr>
            <w:r>
              <w:rPr>
                <w:rFonts w:hint="eastAsia" w:ascii="仿宋" w:hAnsi="仿宋" w:cs="仿宋"/>
                <w:color w:val="auto"/>
                <w:szCs w:val="21"/>
                <w:highlight w:val="none"/>
              </w:rPr>
              <w:t>为保证有效的微孔分析，脱气站可进行分子泵脱气，分子泵极限真空度：5×10-10mbar，且配有原装分子泵保护冷阱</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93" w:type="dxa"/>
            <w:vAlign w:val="center"/>
          </w:tcPr>
          <w:p>
            <w:pPr>
              <w:jc w:val="center"/>
              <w:rPr>
                <w:rFonts w:ascii="仿宋" w:hAnsi="仿宋" w:cs="仿宋"/>
                <w:color w:val="auto"/>
                <w:szCs w:val="21"/>
                <w:highlight w:val="none"/>
              </w:rPr>
            </w:pPr>
            <w:r>
              <w:rPr>
                <w:rFonts w:ascii="仿宋" w:hAnsi="仿宋"/>
                <w:color w:val="auto"/>
                <w:szCs w:val="21"/>
                <w:highlight w:val="none"/>
              </w:rPr>
              <w:t>▲</w:t>
            </w:r>
            <w:r>
              <w:rPr>
                <w:rFonts w:hint="eastAsia" w:ascii="仿宋" w:hAnsi="仿宋" w:cs="仿宋"/>
                <w:color w:val="auto"/>
                <w:szCs w:val="21"/>
                <w:highlight w:val="none"/>
              </w:rPr>
              <w:t>2</w:t>
            </w:r>
            <w:r>
              <w:rPr>
                <w:rFonts w:ascii="仿宋" w:hAnsi="仿宋" w:cs="仿宋"/>
                <w:color w:val="auto"/>
                <w:szCs w:val="21"/>
                <w:highlight w:val="none"/>
              </w:rPr>
              <w:t>.6</w:t>
            </w:r>
          </w:p>
        </w:tc>
        <w:tc>
          <w:tcPr>
            <w:tcW w:w="793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仿宋"/>
                <w:color w:val="auto"/>
                <w:szCs w:val="21"/>
                <w:highlight w:val="none"/>
              </w:rPr>
            </w:pPr>
            <w:r>
              <w:rPr>
                <w:rFonts w:hint="eastAsia" w:ascii="仿宋" w:hAnsi="仿宋" w:cs="仿宋"/>
                <w:color w:val="auto"/>
                <w:szCs w:val="21"/>
                <w:highlight w:val="none"/>
              </w:rPr>
              <w:t>至少具有2个微孔分析站，每个微孔分析站上独立配有三级压力传感器，每个分析站独立配有1</w:t>
            </w:r>
            <w:r>
              <w:rPr>
                <w:rFonts w:ascii="仿宋" w:hAnsi="仿宋" w:cs="仿宋"/>
                <w:color w:val="auto"/>
                <w:szCs w:val="21"/>
                <w:highlight w:val="none"/>
              </w:rPr>
              <w:t>55</w:t>
            </w:r>
            <w:r>
              <w:rPr>
                <w:rFonts w:hint="eastAsia" w:ascii="仿宋" w:hAnsi="仿宋" w:cs="仿宋"/>
                <w:color w:val="auto"/>
                <w:szCs w:val="21"/>
                <w:highlight w:val="none"/>
              </w:rPr>
              <w:t>0torr,10torr和1torr三级压力传感器，分析站不能共用低压压力传感器。分析站上至少具有2个1torr和2个10torr压力传感器</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93" w:type="dxa"/>
            <w:vAlign w:val="center"/>
          </w:tcPr>
          <w:p>
            <w:pPr>
              <w:jc w:val="center"/>
              <w:rPr>
                <w:rFonts w:ascii="仿宋" w:hAnsi="仿宋" w:cs="仿宋"/>
                <w:color w:val="auto"/>
                <w:szCs w:val="21"/>
                <w:highlight w:val="none"/>
              </w:rPr>
            </w:pPr>
            <w:r>
              <w:rPr>
                <w:rFonts w:hint="eastAsia" w:ascii="仿宋" w:hAnsi="仿宋" w:cs="仿宋"/>
                <w:color w:val="auto"/>
                <w:szCs w:val="21"/>
                <w:highlight w:val="none"/>
              </w:rPr>
              <w:t>2</w:t>
            </w:r>
            <w:r>
              <w:rPr>
                <w:rFonts w:ascii="仿宋" w:hAnsi="仿宋" w:cs="仿宋"/>
                <w:color w:val="auto"/>
                <w:szCs w:val="21"/>
                <w:highlight w:val="none"/>
              </w:rPr>
              <w:t>.7</w:t>
            </w:r>
          </w:p>
        </w:tc>
        <w:tc>
          <w:tcPr>
            <w:tcW w:w="793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仿宋"/>
                <w:color w:val="auto"/>
                <w:szCs w:val="21"/>
                <w:highlight w:val="none"/>
              </w:rPr>
            </w:pPr>
            <w:r>
              <w:rPr>
                <w:rFonts w:hint="eastAsia" w:ascii="仿宋" w:hAnsi="仿宋" w:cs="仿宋"/>
                <w:color w:val="auto"/>
                <w:szCs w:val="21"/>
                <w:highlight w:val="none"/>
              </w:rPr>
              <w:t>P0管拥有独立测量的压力传感器，以进行不间断的连续测量</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93" w:type="dxa"/>
            <w:vAlign w:val="center"/>
          </w:tcPr>
          <w:p>
            <w:pPr>
              <w:jc w:val="center"/>
              <w:rPr>
                <w:rFonts w:ascii="仿宋" w:hAnsi="仿宋" w:cs="仿宋"/>
                <w:color w:val="auto"/>
                <w:szCs w:val="21"/>
                <w:highlight w:val="none"/>
              </w:rPr>
            </w:pPr>
            <w:r>
              <w:rPr>
                <w:rFonts w:hint="eastAsia" w:ascii="仿宋" w:hAnsi="仿宋" w:cs="仿宋"/>
                <w:color w:val="auto"/>
                <w:szCs w:val="21"/>
                <w:highlight w:val="none"/>
              </w:rPr>
              <w:t>2</w:t>
            </w:r>
            <w:r>
              <w:rPr>
                <w:rFonts w:ascii="仿宋" w:hAnsi="仿宋" w:cs="仿宋"/>
                <w:color w:val="auto"/>
                <w:szCs w:val="21"/>
                <w:highlight w:val="none"/>
              </w:rPr>
              <w:t>.8</w:t>
            </w:r>
          </w:p>
        </w:tc>
        <w:tc>
          <w:tcPr>
            <w:tcW w:w="793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仿宋"/>
                <w:color w:val="auto"/>
                <w:szCs w:val="21"/>
                <w:highlight w:val="none"/>
              </w:rPr>
            </w:pPr>
            <w:r>
              <w:rPr>
                <w:rFonts w:hint="eastAsia" w:ascii="仿宋" w:hAnsi="仿宋" w:cs="仿宋"/>
                <w:color w:val="auto"/>
                <w:szCs w:val="21"/>
                <w:highlight w:val="none"/>
              </w:rPr>
              <w:t>压力传感器精度：0.15 %</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93" w:type="dxa"/>
            <w:vAlign w:val="center"/>
          </w:tcPr>
          <w:p>
            <w:pPr>
              <w:jc w:val="center"/>
              <w:rPr>
                <w:rFonts w:ascii="仿宋" w:hAnsi="仿宋" w:cs="仿宋"/>
                <w:color w:val="auto"/>
                <w:szCs w:val="21"/>
                <w:highlight w:val="none"/>
              </w:rPr>
            </w:pPr>
            <w:r>
              <w:rPr>
                <w:rFonts w:hint="eastAsia" w:ascii="仿宋" w:hAnsi="仿宋" w:cs="仿宋"/>
                <w:color w:val="auto"/>
                <w:szCs w:val="21"/>
                <w:highlight w:val="none"/>
              </w:rPr>
              <w:t>2</w:t>
            </w:r>
            <w:r>
              <w:rPr>
                <w:rFonts w:ascii="仿宋" w:hAnsi="仿宋" w:cs="仿宋"/>
                <w:color w:val="auto"/>
                <w:szCs w:val="21"/>
                <w:highlight w:val="none"/>
              </w:rPr>
              <w:t>.9</w:t>
            </w:r>
          </w:p>
        </w:tc>
        <w:tc>
          <w:tcPr>
            <w:tcW w:w="793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仿宋"/>
                <w:color w:val="auto"/>
                <w:szCs w:val="21"/>
                <w:highlight w:val="none"/>
              </w:rPr>
            </w:pPr>
            <w:r>
              <w:rPr>
                <w:rFonts w:hint="eastAsia" w:ascii="仿宋" w:hAnsi="仿宋" w:cs="仿宋"/>
                <w:color w:val="auto"/>
                <w:szCs w:val="21"/>
                <w:highlight w:val="none"/>
              </w:rPr>
              <w:t>配备自动液位控制系统，可控制冷浴液面，检测液氮，水等质量，保证分析的准确度。不接受等温夹套和其他方式</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93" w:type="dxa"/>
            <w:vAlign w:val="center"/>
          </w:tcPr>
          <w:p>
            <w:pPr>
              <w:jc w:val="center"/>
              <w:rPr>
                <w:rFonts w:ascii="仿宋" w:hAnsi="仿宋" w:cs="仿宋"/>
                <w:color w:val="auto"/>
                <w:szCs w:val="21"/>
                <w:highlight w:val="none"/>
              </w:rPr>
            </w:pPr>
            <w:r>
              <w:rPr>
                <w:rFonts w:hint="eastAsia" w:ascii="仿宋" w:hAnsi="仿宋" w:cs="仿宋"/>
                <w:color w:val="auto"/>
                <w:szCs w:val="21"/>
                <w:highlight w:val="none"/>
              </w:rPr>
              <w:t>2</w:t>
            </w:r>
            <w:r>
              <w:rPr>
                <w:rFonts w:ascii="仿宋" w:hAnsi="仿宋" w:cs="仿宋"/>
                <w:color w:val="auto"/>
                <w:szCs w:val="21"/>
                <w:highlight w:val="none"/>
              </w:rPr>
              <w:t>.10</w:t>
            </w:r>
          </w:p>
        </w:tc>
        <w:tc>
          <w:tcPr>
            <w:tcW w:w="793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仿宋"/>
                <w:color w:val="auto"/>
                <w:szCs w:val="21"/>
                <w:highlight w:val="none"/>
              </w:rPr>
            </w:pPr>
            <w:r>
              <w:rPr>
                <w:rFonts w:hint="eastAsia" w:ascii="仿宋" w:hAnsi="仿宋" w:cs="仿宋"/>
                <w:color w:val="auto"/>
                <w:szCs w:val="21"/>
                <w:highlight w:val="none"/>
              </w:rPr>
              <w:t>吸附质气体:N2, Kr, Ar, CO2 及其它非腐蚀性气体</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93" w:type="dxa"/>
            <w:vAlign w:val="center"/>
          </w:tcPr>
          <w:p>
            <w:pPr>
              <w:jc w:val="center"/>
              <w:rPr>
                <w:rFonts w:ascii="仿宋" w:hAnsi="仿宋" w:cs="仿宋"/>
                <w:color w:val="auto"/>
                <w:szCs w:val="21"/>
                <w:highlight w:val="none"/>
              </w:rPr>
            </w:pPr>
            <w:r>
              <w:rPr>
                <w:rFonts w:hint="eastAsia" w:ascii="仿宋" w:hAnsi="仿宋" w:cs="仿宋"/>
                <w:color w:val="auto"/>
                <w:szCs w:val="21"/>
                <w:highlight w:val="none"/>
              </w:rPr>
              <w:t>2</w:t>
            </w:r>
            <w:r>
              <w:rPr>
                <w:rFonts w:ascii="仿宋" w:hAnsi="仿宋" w:cs="仿宋"/>
                <w:color w:val="auto"/>
                <w:szCs w:val="21"/>
                <w:highlight w:val="none"/>
              </w:rPr>
              <w:t>.11</w:t>
            </w:r>
          </w:p>
        </w:tc>
        <w:tc>
          <w:tcPr>
            <w:tcW w:w="793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仿宋"/>
                <w:color w:val="auto"/>
                <w:szCs w:val="21"/>
                <w:highlight w:val="none"/>
              </w:rPr>
            </w:pPr>
            <w:r>
              <w:rPr>
                <w:rFonts w:hint="eastAsia" w:ascii="仿宋" w:hAnsi="仿宋" w:cs="仿宋"/>
                <w:color w:val="auto"/>
                <w:szCs w:val="21"/>
                <w:highlight w:val="none"/>
              </w:rPr>
              <w:t>至少具备7个气体进气口</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93" w:type="dxa"/>
            <w:vAlign w:val="center"/>
          </w:tcPr>
          <w:p>
            <w:pPr>
              <w:jc w:val="center"/>
              <w:rPr>
                <w:rFonts w:ascii="仿宋" w:hAnsi="仿宋" w:cs="仿宋"/>
                <w:color w:val="auto"/>
                <w:szCs w:val="21"/>
                <w:highlight w:val="none"/>
              </w:rPr>
            </w:pPr>
            <w:r>
              <w:rPr>
                <w:rFonts w:hint="eastAsia" w:ascii="仿宋" w:hAnsi="仿宋" w:cs="仿宋"/>
                <w:color w:val="auto"/>
                <w:szCs w:val="21"/>
                <w:highlight w:val="none"/>
              </w:rPr>
              <w:t>2</w:t>
            </w:r>
            <w:r>
              <w:rPr>
                <w:rFonts w:ascii="仿宋" w:hAnsi="仿宋" w:cs="仿宋"/>
                <w:color w:val="auto"/>
                <w:szCs w:val="21"/>
                <w:highlight w:val="none"/>
              </w:rPr>
              <w:t>.12</w:t>
            </w:r>
          </w:p>
        </w:tc>
        <w:tc>
          <w:tcPr>
            <w:tcW w:w="793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仿宋"/>
                <w:color w:val="auto"/>
                <w:szCs w:val="21"/>
                <w:highlight w:val="none"/>
              </w:rPr>
            </w:pPr>
            <w:r>
              <w:rPr>
                <w:rFonts w:hint="eastAsia" w:ascii="仿宋" w:hAnsi="仿宋" w:cs="仿宋"/>
                <w:color w:val="auto"/>
                <w:szCs w:val="21"/>
                <w:highlight w:val="none"/>
              </w:rPr>
              <w:t>配备不小于3L的分析杜瓦瓶，杜瓦瓶可以连续工作90小时以上，分析中途可以添加冷浴，分析时间无上限</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93" w:type="dxa"/>
            <w:vAlign w:val="center"/>
          </w:tcPr>
          <w:p>
            <w:pPr>
              <w:jc w:val="center"/>
              <w:rPr>
                <w:rFonts w:ascii="仿宋" w:hAnsi="仿宋" w:cs="仿宋"/>
                <w:color w:val="auto"/>
                <w:szCs w:val="21"/>
                <w:highlight w:val="none"/>
              </w:rPr>
            </w:pPr>
            <w:r>
              <w:rPr>
                <w:rFonts w:ascii="仿宋" w:hAnsi="仿宋"/>
                <w:color w:val="auto"/>
                <w:szCs w:val="21"/>
                <w:highlight w:val="none"/>
              </w:rPr>
              <w:t>▲</w:t>
            </w:r>
            <w:r>
              <w:rPr>
                <w:rFonts w:hint="eastAsia" w:ascii="仿宋" w:hAnsi="仿宋" w:cs="仿宋"/>
                <w:color w:val="auto"/>
                <w:szCs w:val="21"/>
                <w:highlight w:val="none"/>
              </w:rPr>
              <w:t>2</w:t>
            </w:r>
            <w:r>
              <w:rPr>
                <w:rFonts w:ascii="仿宋" w:hAnsi="仿宋" w:cs="仿宋"/>
                <w:color w:val="auto"/>
                <w:szCs w:val="21"/>
                <w:highlight w:val="none"/>
              </w:rPr>
              <w:t>.13</w:t>
            </w:r>
          </w:p>
        </w:tc>
        <w:tc>
          <w:tcPr>
            <w:tcW w:w="793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仿宋"/>
                <w:color w:val="auto"/>
                <w:szCs w:val="21"/>
                <w:highlight w:val="none"/>
              </w:rPr>
            </w:pPr>
            <w:r>
              <w:rPr>
                <w:rFonts w:hint="eastAsia" w:ascii="仿宋" w:hAnsi="仿宋" w:cs="仿宋"/>
                <w:color w:val="auto"/>
                <w:szCs w:val="21"/>
                <w:highlight w:val="none"/>
              </w:rPr>
              <w:t>歧管可控温，控温温度: 35 °C to 50 °C，稳定性: ± 0.05 °C。</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93" w:type="dxa"/>
            <w:vAlign w:val="center"/>
          </w:tcPr>
          <w:p>
            <w:pPr>
              <w:jc w:val="center"/>
              <w:rPr>
                <w:rFonts w:ascii="仿宋" w:hAnsi="仿宋" w:cs="仿宋"/>
                <w:color w:val="auto"/>
                <w:szCs w:val="21"/>
                <w:highlight w:val="none"/>
              </w:rPr>
            </w:pPr>
            <w:r>
              <w:rPr>
                <w:rFonts w:hint="eastAsia" w:ascii="仿宋" w:hAnsi="仿宋" w:cs="仿宋"/>
                <w:color w:val="auto"/>
                <w:szCs w:val="21"/>
                <w:highlight w:val="none"/>
              </w:rPr>
              <w:t>2</w:t>
            </w:r>
            <w:r>
              <w:rPr>
                <w:rFonts w:ascii="仿宋" w:hAnsi="仿宋" w:cs="仿宋"/>
                <w:color w:val="auto"/>
                <w:szCs w:val="21"/>
                <w:highlight w:val="none"/>
              </w:rPr>
              <w:t>.14</w:t>
            </w:r>
          </w:p>
        </w:tc>
        <w:tc>
          <w:tcPr>
            <w:tcW w:w="793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仿宋"/>
                <w:color w:val="auto"/>
                <w:szCs w:val="21"/>
                <w:highlight w:val="none"/>
              </w:rPr>
            </w:pPr>
            <w:r>
              <w:rPr>
                <w:rFonts w:hint="eastAsia" w:ascii="仿宋" w:hAnsi="仿宋" w:cs="仿宋"/>
                <w:color w:val="auto"/>
                <w:szCs w:val="21"/>
                <w:highlight w:val="none"/>
              </w:rPr>
              <w:t>脱气站可以指定进气口并可编程回填压力，单独的数字式温度控制和温度显示，升温/恒温/自校正等全自动程序控制</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93" w:type="dxa"/>
            <w:vAlign w:val="center"/>
          </w:tcPr>
          <w:p>
            <w:pPr>
              <w:jc w:val="center"/>
              <w:rPr>
                <w:rFonts w:ascii="仿宋" w:hAnsi="仿宋" w:cs="仿宋"/>
                <w:color w:val="auto"/>
                <w:szCs w:val="21"/>
                <w:highlight w:val="none"/>
              </w:rPr>
            </w:pPr>
            <w:r>
              <w:rPr>
                <w:rFonts w:ascii="仿宋" w:hAnsi="仿宋"/>
                <w:color w:val="auto"/>
                <w:szCs w:val="21"/>
                <w:highlight w:val="none"/>
              </w:rPr>
              <w:t>▲</w:t>
            </w:r>
            <w:r>
              <w:rPr>
                <w:rFonts w:hint="eastAsia" w:ascii="仿宋" w:hAnsi="仿宋" w:cs="仿宋"/>
                <w:color w:val="auto"/>
                <w:szCs w:val="21"/>
                <w:highlight w:val="none"/>
              </w:rPr>
              <w:t>2</w:t>
            </w:r>
            <w:r>
              <w:rPr>
                <w:rFonts w:ascii="仿宋" w:hAnsi="仿宋" w:cs="仿宋"/>
                <w:color w:val="auto"/>
                <w:szCs w:val="21"/>
                <w:highlight w:val="none"/>
              </w:rPr>
              <w:t>.15</w:t>
            </w:r>
          </w:p>
        </w:tc>
        <w:tc>
          <w:tcPr>
            <w:tcW w:w="793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仿宋"/>
                <w:color w:val="auto"/>
                <w:szCs w:val="21"/>
                <w:highlight w:val="none"/>
              </w:rPr>
            </w:pPr>
            <w:r>
              <w:rPr>
                <w:rFonts w:hint="eastAsia" w:ascii="仿宋" w:hAnsi="仿宋" w:cs="仿宋"/>
                <w:color w:val="auto"/>
                <w:szCs w:val="21"/>
                <w:highlight w:val="none"/>
              </w:rPr>
              <w:t>至少具有</w:t>
            </w:r>
            <w:r>
              <w:rPr>
                <w:rFonts w:ascii="仿宋" w:hAnsi="仿宋" w:cs="仿宋"/>
                <w:color w:val="auto"/>
                <w:szCs w:val="21"/>
                <w:highlight w:val="none"/>
              </w:rPr>
              <w:t>6</w:t>
            </w:r>
            <w:r>
              <w:rPr>
                <w:rFonts w:hint="eastAsia" w:ascii="仿宋" w:hAnsi="仿宋" w:cs="仿宋"/>
                <w:color w:val="auto"/>
                <w:szCs w:val="21"/>
                <w:highlight w:val="none"/>
              </w:rPr>
              <w:t xml:space="preserve">个脱气站。脱气站可以全自动程序升温编辑控制。脱气站可实现：计算机软件控制，可针对处理时间、处理温度和抽空速率进行软件编排，实现预处理的程序升温全自动控制，温度范围：室温至 </w:t>
            </w:r>
            <w:r>
              <w:rPr>
                <w:rFonts w:ascii="仿宋" w:hAnsi="仿宋" w:cs="仿宋"/>
                <w:color w:val="auto"/>
                <w:szCs w:val="21"/>
                <w:highlight w:val="none"/>
              </w:rPr>
              <w:t>4</w:t>
            </w:r>
            <w:r>
              <w:rPr>
                <w:rFonts w:hint="eastAsia" w:ascii="仿宋" w:hAnsi="仿宋" w:cs="仿宋"/>
                <w:color w:val="auto"/>
                <w:szCs w:val="21"/>
                <w:highlight w:val="none"/>
              </w:rPr>
              <w:t>50℃，温度可以1℃递进。分析站和脱气站在一台仪器上完成无需另外单独配脱气站，脱气站配有独立的1</w:t>
            </w:r>
            <w:r>
              <w:rPr>
                <w:rFonts w:ascii="仿宋" w:hAnsi="仿宋" w:cs="仿宋"/>
                <w:color w:val="auto"/>
                <w:szCs w:val="21"/>
                <w:highlight w:val="none"/>
              </w:rPr>
              <w:t>55</w:t>
            </w:r>
            <w:r>
              <w:rPr>
                <w:rFonts w:hint="eastAsia" w:ascii="仿宋" w:hAnsi="仿宋" w:cs="仿宋"/>
                <w:color w:val="auto"/>
                <w:szCs w:val="21"/>
                <w:highlight w:val="none"/>
              </w:rPr>
              <w:t>0</w:t>
            </w:r>
            <w:r>
              <w:rPr>
                <w:rFonts w:ascii="仿宋" w:hAnsi="仿宋" w:cs="仿宋"/>
                <w:color w:val="auto"/>
                <w:szCs w:val="21"/>
                <w:highlight w:val="none"/>
              </w:rPr>
              <w:t xml:space="preserve"> </w:t>
            </w:r>
            <w:r>
              <w:rPr>
                <w:rFonts w:hint="eastAsia" w:ascii="仿宋" w:hAnsi="仿宋" w:cs="仿宋"/>
                <w:color w:val="auto"/>
                <w:szCs w:val="21"/>
                <w:highlight w:val="none"/>
              </w:rPr>
              <w:t>torr压力传感器和真空规实时监测压力变化</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93" w:type="dxa"/>
            <w:vAlign w:val="center"/>
          </w:tcPr>
          <w:p>
            <w:pPr>
              <w:jc w:val="center"/>
              <w:rPr>
                <w:rFonts w:ascii="仿宋" w:hAnsi="仿宋" w:cs="仿宋"/>
                <w:color w:val="auto"/>
                <w:szCs w:val="21"/>
                <w:highlight w:val="none"/>
              </w:rPr>
            </w:pPr>
            <w:r>
              <w:rPr>
                <w:rFonts w:ascii="仿宋" w:hAnsi="仿宋"/>
                <w:color w:val="auto"/>
                <w:szCs w:val="21"/>
                <w:highlight w:val="none"/>
              </w:rPr>
              <w:t>▲</w:t>
            </w:r>
            <w:r>
              <w:rPr>
                <w:rFonts w:hint="eastAsia" w:ascii="仿宋" w:hAnsi="仿宋" w:cs="仿宋"/>
                <w:color w:val="auto"/>
                <w:szCs w:val="21"/>
                <w:highlight w:val="none"/>
              </w:rPr>
              <w:t>2</w:t>
            </w:r>
            <w:r>
              <w:rPr>
                <w:rFonts w:ascii="仿宋" w:hAnsi="仿宋" w:cs="仿宋"/>
                <w:color w:val="auto"/>
                <w:szCs w:val="21"/>
                <w:highlight w:val="none"/>
              </w:rPr>
              <w:t>.16</w:t>
            </w:r>
          </w:p>
        </w:tc>
        <w:tc>
          <w:tcPr>
            <w:tcW w:w="793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仿宋"/>
                <w:color w:val="auto"/>
                <w:szCs w:val="21"/>
                <w:highlight w:val="none"/>
              </w:rPr>
            </w:pPr>
            <w:r>
              <w:rPr>
                <w:rFonts w:hint="eastAsia" w:ascii="仿宋" w:hAnsi="仿宋" w:cs="仿宋"/>
                <w:color w:val="auto"/>
                <w:szCs w:val="21"/>
                <w:highlight w:val="none"/>
              </w:rPr>
              <w:t>两个分析站共用一个杜瓦瓶，以保证死体积最小，提高分析精度，降低运行成本；两个分析站可同时进行两种不同气体在不同温度下的吸附；</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93" w:type="dxa"/>
            <w:vAlign w:val="center"/>
          </w:tcPr>
          <w:p>
            <w:pPr>
              <w:jc w:val="center"/>
              <w:rPr>
                <w:rFonts w:ascii="仿宋" w:hAnsi="仿宋" w:cs="仿宋"/>
                <w:color w:val="auto"/>
                <w:szCs w:val="21"/>
                <w:highlight w:val="none"/>
              </w:rPr>
            </w:pPr>
            <w:r>
              <w:rPr>
                <w:rFonts w:hint="eastAsia" w:ascii="仿宋" w:hAnsi="仿宋" w:cs="仿宋"/>
                <w:color w:val="auto"/>
                <w:szCs w:val="21"/>
                <w:highlight w:val="none"/>
              </w:rPr>
              <w:t>2</w:t>
            </w:r>
            <w:r>
              <w:rPr>
                <w:rFonts w:ascii="仿宋" w:hAnsi="仿宋" w:cs="仿宋"/>
                <w:color w:val="auto"/>
                <w:szCs w:val="21"/>
                <w:highlight w:val="none"/>
              </w:rPr>
              <w:t>.17</w:t>
            </w:r>
          </w:p>
        </w:tc>
        <w:tc>
          <w:tcPr>
            <w:tcW w:w="793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仿宋"/>
                <w:color w:val="auto"/>
                <w:szCs w:val="21"/>
                <w:highlight w:val="none"/>
              </w:rPr>
            </w:pPr>
            <w:r>
              <w:rPr>
                <w:rFonts w:hint="eastAsia" w:ascii="仿宋" w:hAnsi="仿宋" w:cs="仿宋"/>
                <w:color w:val="auto"/>
                <w:szCs w:val="21"/>
                <w:highlight w:val="none"/>
              </w:rPr>
              <w:t>可进行迟滞环扫描</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93" w:type="dxa"/>
            <w:vAlign w:val="center"/>
          </w:tcPr>
          <w:p>
            <w:pPr>
              <w:jc w:val="center"/>
              <w:rPr>
                <w:rFonts w:ascii="仿宋" w:hAnsi="仿宋" w:cs="仿宋"/>
                <w:color w:val="auto"/>
                <w:szCs w:val="21"/>
                <w:highlight w:val="none"/>
              </w:rPr>
            </w:pPr>
            <w:r>
              <w:rPr>
                <w:rFonts w:hint="eastAsia" w:ascii="仿宋" w:hAnsi="仿宋" w:cs="仿宋"/>
                <w:color w:val="auto"/>
                <w:szCs w:val="21"/>
                <w:highlight w:val="none"/>
              </w:rPr>
              <w:t>2</w:t>
            </w:r>
            <w:r>
              <w:rPr>
                <w:rFonts w:ascii="仿宋" w:hAnsi="仿宋" w:cs="仿宋"/>
                <w:color w:val="auto"/>
                <w:szCs w:val="21"/>
                <w:highlight w:val="none"/>
              </w:rPr>
              <w:t>.18</w:t>
            </w:r>
          </w:p>
        </w:tc>
        <w:tc>
          <w:tcPr>
            <w:tcW w:w="793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仿宋"/>
                <w:color w:val="auto"/>
                <w:szCs w:val="21"/>
                <w:highlight w:val="none"/>
              </w:rPr>
            </w:pPr>
            <w:r>
              <w:rPr>
                <w:rFonts w:hint="eastAsia" w:ascii="仿宋" w:hAnsi="仿宋" w:cs="仿宋"/>
                <w:color w:val="auto"/>
                <w:szCs w:val="21"/>
                <w:highlight w:val="none"/>
              </w:rPr>
              <w:t>具有专用微孔分析比表面积助手</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93" w:type="dxa"/>
            <w:vAlign w:val="center"/>
          </w:tcPr>
          <w:p>
            <w:pPr>
              <w:jc w:val="center"/>
              <w:rPr>
                <w:rFonts w:ascii="仿宋" w:hAnsi="仿宋" w:cs="仿宋"/>
                <w:color w:val="auto"/>
                <w:szCs w:val="21"/>
                <w:highlight w:val="none"/>
              </w:rPr>
            </w:pPr>
            <w:r>
              <w:rPr>
                <w:rFonts w:hint="eastAsia" w:ascii="仿宋" w:hAnsi="仿宋" w:cs="仿宋"/>
                <w:color w:val="auto"/>
                <w:szCs w:val="21"/>
                <w:highlight w:val="none"/>
              </w:rPr>
              <w:t>2</w:t>
            </w:r>
            <w:r>
              <w:rPr>
                <w:rFonts w:ascii="仿宋" w:hAnsi="仿宋" w:cs="仿宋"/>
                <w:color w:val="auto"/>
                <w:szCs w:val="21"/>
                <w:highlight w:val="none"/>
              </w:rPr>
              <w:t>.19</w:t>
            </w:r>
          </w:p>
        </w:tc>
        <w:tc>
          <w:tcPr>
            <w:tcW w:w="793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仿宋"/>
                <w:color w:val="auto"/>
                <w:szCs w:val="21"/>
                <w:highlight w:val="none"/>
              </w:rPr>
            </w:pPr>
            <w:r>
              <w:rPr>
                <w:rFonts w:hint="eastAsia" w:ascii="仿宋" w:hAnsi="仿宋" w:cs="仿宋"/>
                <w:color w:val="auto"/>
                <w:szCs w:val="21"/>
                <w:highlight w:val="none"/>
              </w:rPr>
              <w:t>具有NK、FHH分形维数模型</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93" w:type="dxa"/>
            <w:vAlign w:val="center"/>
          </w:tcPr>
          <w:p>
            <w:pPr>
              <w:jc w:val="center"/>
              <w:rPr>
                <w:rFonts w:ascii="仿宋" w:hAnsi="仿宋" w:cs="仿宋"/>
                <w:color w:val="auto"/>
                <w:szCs w:val="21"/>
                <w:highlight w:val="none"/>
              </w:rPr>
            </w:pPr>
            <w:r>
              <w:rPr>
                <w:rFonts w:ascii="仿宋" w:hAnsi="仿宋"/>
                <w:color w:val="auto"/>
                <w:szCs w:val="21"/>
                <w:highlight w:val="none"/>
              </w:rPr>
              <w:t>▲</w:t>
            </w:r>
            <w:r>
              <w:rPr>
                <w:rFonts w:hint="eastAsia" w:ascii="仿宋" w:hAnsi="仿宋" w:cs="仿宋"/>
                <w:color w:val="auto"/>
                <w:szCs w:val="21"/>
                <w:highlight w:val="none"/>
              </w:rPr>
              <w:t>2</w:t>
            </w:r>
            <w:r>
              <w:rPr>
                <w:rFonts w:ascii="仿宋" w:hAnsi="仿宋" w:cs="仿宋"/>
                <w:color w:val="auto"/>
                <w:szCs w:val="21"/>
                <w:highlight w:val="none"/>
              </w:rPr>
              <w:t>.20</w:t>
            </w:r>
          </w:p>
        </w:tc>
        <w:tc>
          <w:tcPr>
            <w:tcW w:w="793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仿宋"/>
                <w:color w:val="auto"/>
                <w:szCs w:val="21"/>
                <w:highlight w:val="none"/>
              </w:rPr>
            </w:pPr>
            <w:r>
              <w:rPr>
                <w:rFonts w:hint="eastAsia" w:ascii="仿宋" w:hAnsi="仿宋" w:cs="仿宋"/>
                <w:color w:val="auto"/>
                <w:szCs w:val="21"/>
                <w:highlight w:val="none"/>
              </w:rPr>
              <w:t>至少提供23种密度函数理论DFT数据库。包括非定义域密度函数理论NLDFT等模型，并提供详细的列表</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93" w:type="dxa"/>
            <w:vAlign w:val="center"/>
          </w:tcPr>
          <w:p>
            <w:pPr>
              <w:jc w:val="center"/>
              <w:rPr>
                <w:rFonts w:ascii="仿宋" w:hAnsi="仿宋" w:cs="仿宋"/>
                <w:color w:val="auto"/>
                <w:szCs w:val="21"/>
                <w:highlight w:val="none"/>
              </w:rPr>
            </w:pPr>
            <w:r>
              <w:rPr>
                <w:rFonts w:hint="eastAsia" w:ascii="仿宋" w:hAnsi="仿宋" w:cs="仿宋"/>
                <w:color w:val="auto"/>
                <w:szCs w:val="21"/>
                <w:highlight w:val="none"/>
              </w:rPr>
              <w:t>2</w:t>
            </w:r>
            <w:r>
              <w:rPr>
                <w:rFonts w:ascii="仿宋" w:hAnsi="仿宋" w:cs="仿宋"/>
                <w:color w:val="auto"/>
                <w:szCs w:val="21"/>
                <w:highlight w:val="none"/>
              </w:rPr>
              <w:t>.21</w:t>
            </w:r>
          </w:p>
        </w:tc>
        <w:tc>
          <w:tcPr>
            <w:tcW w:w="793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仿宋"/>
                <w:color w:val="auto"/>
                <w:szCs w:val="21"/>
                <w:highlight w:val="none"/>
              </w:rPr>
            </w:pPr>
            <w:r>
              <w:rPr>
                <w:rFonts w:hint="eastAsia" w:ascii="仿宋" w:hAnsi="仿宋" w:cs="仿宋"/>
                <w:color w:val="auto"/>
                <w:szCs w:val="21"/>
                <w:highlight w:val="none"/>
              </w:rPr>
              <w:t>软件包括多种投气方式，可定压力和定投气量。可支持中文操作和分析。</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93" w:type="dxa"/>
            <w:vAlign w:val="center"/>
          </w:tcPr>
          <w:p>
            <w:pPr>
              <w:jc w:val="center"/>
              <w:rPr>
                <w:rFonts w:ascii="仿宋" w:hAnsi="仿宋" w:cs="仿宋"/>
                <w:color w:val="auto"/>
                <w:szCs w:val="21"/>
                <w:highlight w:val="none"/>
              </w:rPr>
            </w:pPr>
            <w:r>
              <w:rPr>
                <w:rFonts w:hint="eastAsia" w:ascii="仿宋" w:hAnsi="仿宋" w:cs="仿宋"/>
                <w:color w:val="auto"/>
                <w:szCs w:val="21"/>
                <w:highlight w:val="none"/>
              </w:rPr>
              <w:t>三</w:t>
            </w:r>
          </w:p>
        </w:tc>
        <w:tc>
          <w:tcPr>
            <w:tcW w:w="793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仿宋"/>
                <w:color w:val="auto"/>
                <w:szCs w:val="21"/>
                <w:highlight w:val="none"/>
              </w:rPr>
            </w:pPr>
            <w:r>
              <w:rPr>
                <w:rFonts w:hint="eastAsia" w:ascii="仿宋" w:hAnsi="仿宋" w:cs="仿宋"/>
                <w:color w:val="auto"/>
                <w:szCs w:val="21"/>
                <w:highlight w:val="none"/>
              </w:rPr>
              <w:t>配置清单</w:t>
            </w:r>
          </w:p>
          <w:p>
            <w:pPr>
              <w:rPr>
                <w:rFonts w:ascii="仿宋" w:hAnsi="仿宋" w:cs="仿宋"/>
                <w:color w:val="auto"/>
                <w:szCs w:val="21"/>
                <w:highlight w:val="none"/>
              </w:rPr>
            </w:pPr>
            <w:r>
              <w:rPr>
                <w:rFonts w:hint="eastAsia" w:ascii="仿宋" w:hAnsi="仿宋" w:cs="仿宋"/>
                <w:color w:val="auto"/>
                <w:szCs w:val="21"/>
                <w:highlight w:val="none"/>
              </w:rPr>
              <w:t>1.液位传感器2根</w:t>
            </w:r>
          </w:p>
          <w:p>
            <w:pPr>
              <w:rPr>
                <w:rFonts w:ascii="仿宋" w:hAnsi="仿宋" w:cs="仿宋"/>
                <w:color w:val="auto"/>
                <w:szCs w:val="21"/>
                <w:highlight w:val="none"/>
              </w:rPr>
            </w:pPr>
            <w:r>
              <w:rPr>
                <w:rFonts w:hint="eastAsia" w:ascii="仿宋" w:hAnsi="仿宋" w:cs="仿宋"/>
                <w:color w:val="auto"/>
                <w:szCs w:val="21"/>
                <w:highlight w:val="none"/>
              </w:rPr>
              <w:t>2.加热包≥2个</w:t>
            </w:r>
          </w:p>
          <w:p>
            <w:pPr>
              <w:rPr>
                <w:rFonts w:ascii="仿宋" w:hAnsi="仿宋" w:cs="仿宋"/>
                <w:color w:val="auto"/>
                <w:szCs w:val="21"/>
                <w:highlight w:val="none"/>
              </w:rPr>
            </w:pPr>
            <w:r>
              <w:rPr>
                <w:rFonts w:hint="eastAsia" w:ascii="仿宋" w:hAnsi="仿宋" w:cs="仿宋"/>
                <w:color w:val="auto"/>
                <w:szCs w:val="21"/>
                <w:highlight w:val="none"/>
              </w:rPr>
              <w:t>3.3L杜瓦瓶1个</w:t>
            </w:r>
          </w:p>
          <w:p>
            <w:pPr>
              <w:rPr>
                <w:rFonts w:ascii="仿宋" w:hAnsi="仿宋" w:cs="仿宋"/>
                <w:color w:val="auto"/>
                <w:szCs w:val="21"/>
                <w:highlight w:val="none"/>
              </w:rPr>
            </w:pPr>
            <w:r>
              <w:rPr>
                <w:rFonts w:hint="eastAsia" w:ascii="仿宋" w:hAnsi="仿宋" w:cs="仿宋"/>
                <w:color w:val="auto"/>
                <w:szCs w:val="21"/>
                <w:highlight w:val="none"/>
              </w:rPr>
              <w:t>4.冷阱杜瓦瓶1个</w:t>
            </w:r>
          </w:p>
          <w:p>
            <w:pPr>
              <w:rPr>
                <w:rFonts w:ascii="仿宋" w:hAnsi="仿宋" w:cs="仿宋"/>
                <w:color w:val="auto"/>
                <w:szCs w:val="21"/>
                <w:highlight w:val="none"/>
              </w:rPr>
            </w:pPr>
            <w:r>
              <w:rPr>
                <w:rFonts w:hint="eastAsia" w:ascii="仿宋" w:hAnsi="仿宋" w:cs="仿宋"/>
                <w:color w:val="auto"/>
                <w:szCs w:val="21"/>
                <w:highlight w:val="none"/>
              </w:rPr>
              <w:t>5.样品管≥20根</w:t>
            </w:r>
          </w:p>
          <w:p>
            <w:pPr>
              <w:rPr>
                <w:rFonts w:ascii="仿宋" w:hAnsi="仿宋" w:cs="仿宋"/>
                <w:color w:val="auto"/>
                <w:szCs w:val="21"/>
                <w:highlight w:val="none"/>
              </w:rPr>
            </w:pPr>
            <w:r>
              <w:rPr>
                <w:rFonts w:hint="eastAsia" w:ascii="仿宋" w:hAnsi="仿宋" w:cs="仿宋"/>
                <w:color w:val="auto"/>
                <w:szCs w:val="21"/>
                <w:highlight w:val="none"/>
              </w:rPr>
              <w:t>6.O型圈≥20个</w:t>
            </w:r>
          </w:p>
          <w:p>
            <w:pPr>
              <w:rPr>
                <w:rFonts w:ascii="仿宋" w:hAnsi="仿宋" w:cs="仿宋"/>
                <w:color w:val="auto"/>
                <w:szCs w:val="21"/>
                <w:highlight w:val="none"/>
              </w:rPr>
            </w:pPr>
            <w:r>
              <w:rPr>
                <w:rFonts w:hint="eastAsia" w:ascii="仿宋" w:hAnsi="仿宋" w:cs="仿宋"/>
                <w:color w:val="auto"/>
                <w:szCs w:val="21"/>
                <w:highlight w:val="none"/>
              </w:rPr>
              <w:t>7.配套电脑1台</w:t>
            </w:r>
          </w:p>
          <w:p>
            <w:pPr>
              <w:rPr>
                <w:rFonts w:ascii="仿宋" w:hAnsi="仿宋" w:cs="仿宋"/>
                <w:color w:val="auto"/>
                <w:szCs w:val="21"/>
                <w:highlight w:val="none"/>
              </w:rPr>
            </w:pPr>
            <w:r>
              <w:rPr>
                <w:rFonts w:hint="eastAsia" w:ascii="仿宋" w:hAnsi="仿宋" w:cs="仿宋"/>
                <w:color w:val="auto"/>
                <w:szCs w:val="21"/>
                <w:highlight w:val="none"/>
              </w:rPr>
              <w:t>8.30L杜瓦瓶1个</w:t>
            </w:r>
          </w:p>
          <w:p>
            <w:pPr>
              <w:rPr>
                <w:rFonts w:ascii="仿宋" w:hAnsi="仿宋" w:cs="仿宋"/>
                <w:color w:val="auto"/>
                <w:szCs w:val="21"/>
                <w:highlight w:val="none"/>
              </w:rPr>
            </w:pPr>
            <w:r>
              <w:rPr>
                <w:rFonts w:hint="eastAsia" w:ascii="仿宋" w:hAnsi="仿宋" w:cs="仿宋"/>
                <w:color w:val="auto"/>
                <w:szCs w:val="21"/>
                <w:highlight w:val="none"/>
              </w:rPr>
              <w:t>9.减压阀2个</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93" w:type="dxa"/>
            <w:vAlign w:val="center"/>
          </w:tcPr>
          <w:p>
            <w:pPr>
              <w:jc w:val="center"/>
              <w:rPr>
                <w:rFonts w:ascii="仿宋" w:hAnsi="仿宋" w:cs="仿宋"/>
                <w:color w:val="auto"/>
                <w:szCs w:val="21"/>
                <w:highlight w:val="none"/>
              </w:rPr>
            </w:pPr>
            <w:r>
              <w:rPr>
                <w:rFonts w:hint="eastAsia" w:ascii="仿宋" w:hAnsi="仿宋" w:cs="仿宋"/>
                <w:color w:val="auto"/>
                <w:szCs w:val="21"/>
                <w:highlight w:val="none"/>
              </w:rPr>
              <w:t>四</w:t>
            </w:r>
          </w:p>
        </w:tc>
        <w:tc>
          <w:tcPr>
            <w:tcW w:w="793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仿宋"/>
                <w:color w:val="auto"/>
                <w:szCs w:val="21"/>
                <w:highlight w:val="none"/>
              </w:rPr>
            </w:pPr>
            <w:r>
              <w:rPr>
                <w:rFonts w:hint="eastAsia" w:ascii="仿宋" w:hAnsi="仿宋" w:cs="仿宋"/>
                <w:color w:val="auto"/>
                <w:szCs w:val="21"/>
                <w:highlight w:val="none"/>
              </w:rPr>
              <w:t>售后服务：</w:t>
            </w:r>
          </w:p>
          <w:p>
            <w:pPr>
              <w:rPr>
                <w:rFonts w:ascii="仿宋" w:hAnsi="仿宋" w:cs="仿宋"/>
                <w:color w:val="auto"/>
                <w:szCs w:val="21"/>
                <w:highlight w:val="none"/>
              </w:rPr>
            </w:pPr>
            <w:r>
              <w:rPr>
                <w:rFonts w:hint="eastAsia" w:ascii="仿宋" w:hAnsi="仿宋" w:cs="仿宋"/>
                <w:color w:val="auto"/>
                <w:szCs w:val="21"/>
                <w:highlight w:val="none"/>
              </w:rPr>
              <w:t>1.质保期：3年。质保期自验收签字之日起计算。在设备质保期内外，保证可以提供及时的售后服务以及免费的技术咨询。</w:t>
            </w:r>
          </w:p>
          <w:p>
            <w:pPr>
              <w:rPr>
                <w:rFonts w:ascii="仿宋" w:hAnsi="仿宋" w:cs="仿宋"/>
                <w:color w:val="auto"/>
                <w:szCs w:val="21"/>
                <w:highlight w:val="none"/>
              </w:rPr>
            </w:pPr>
            <w:r>
              <w:rPr>
                <w:rFonts w:hint="eastAsia" w:ascii="仿宋" w:hAnsi="仿宋" w:cs="仿宋"/>
                <w:color w:val="auto"/>
                <w:szCs w:val="21"/>
                <w:highlight w:val="none"/>
              </w:rPr>
              <w:t>2.维修响应时间：接到用户维修邀请后，应在2个小时内对用户的服务要求做出响应，一般问题应在24小时内解决，若需现场维修，48小时现场响应。</w:t>
            </w:r>
          </w:p>
          <w:p>
            <w:pPr>
              <w:rPr>
                <w:rFonts w:ascii="仿宋" w:hAnsi="仿宋" w:cs="仿宋"/>
                <w:color w:val="auto"/>
                <w:szCs w:val="21"/>
                <w:highlight w:val="none"/>
              </w:rPr>
            </w:pPr>
            <w:r>
              <w:rPr>
                <w:rFonts w:hint="eastAsia" w:ascii="仿宋" w:hAnsi="仿宋" w:cs="仿宋"/>
                <w:color w:val="auto"/>
                <w:szCs w:val="21"/>
                <w:highlight w:val="none"/>
              </w:rPr>
              <w:t>3</w:t>
            </w:r>
            <w:r>
              <w:rPr>
                <w:rFonts w:ascii="仿宋" w:hAnsi="仿宋" w:cs="仿宋"/>
                <w:color w:val="auto"/>
                <w:szCs w:val="21"/>
                <w:highlight w:val="none"/>
              </w:rPr>
              <w:t>.</w:t>
            </w:r>
            <w:r>
              <w:rPr>
                <w:rFonts w:hint="eastAsia" w:ascii="仿宋" w:hAnsi="仿宋" w:cs="仿宋"/>
                <w:color w:val="auto"/>
                <w:szCs w:val="21"/>
                <w:highlight w:val="none"/>
              </w:rPr>
              <w:t>质保期内包括2次原厂保养，每次保养时间不少于1天。</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93" w:type="dxa"/>
            <w:vAlign w:val="center"/>
          </w:tcPr>
          <w:p>
            <w:pPr>
              <w:jc w:val="center"/>
              <w:rPr>
                <w:rFonts w:ascii="仿宋" w:hAnsi="仿宋" w:cs="仿宋"/>
                <w:color w:val="auto"/>
                <w:szCs w:val="21"/>
                <w:highlight w:val="none"/>
              </w:rPr>
            </w:pPr>
            <w:r>
              <w:rPr>
                <w:rFonts w:hint="eastAsia" w:ascii="仿宋" w:hAnsi="仿宋" w:cs="仿宋"/>
                <w:color w:val="auto"/>
                <w:szCs w:val="21"/>
                <w:highlight w:val="none"/>
              </w:rPr>
              <w:t>五</w:t>
            </w:r>
          </w:p>
        </w:tc>
        <w:tc>
          <w:tcPr>
            <w:tcW w:w="793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仿宋"/>
                <w:color w:val="auto"/>
                <w:szCs w:val="21"/>
                <w:highlight w:val="none"/>
              </w:rPr>
            </w:pPr>
            <w:r>
              <w:rPr>
                <w:rFonts w:hint="eastAsia" w:ascii="仿宋" w:hAnsi="仿宋" w:cs="仿宋"/>
                <w:color w:val="auto"/>
                <w:szCs w:val="21"/>
                <w:highlight w:val="none"/>
              </w:rPr>
              <w:t>货期：收到信用证4个月发货</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93" w:type="dxa"/>
            <w:vAlign w:val="center"/>
          </w:tcPr>
          <w:p>
            <w:pPr>
              <w:jc w:val="center"/>
              <w:rPr>
                <w:rFonts w:ascii="仿宋" w:hAnsi="仿宋" w:cs="仿宋"/>
                <w:color w:val="auto"/>
                <w:szCs w:val="21"/>
                <w:highlight w:val="none"/>
              </w:rPr>
            </w:pPr>
            <w:r>
              <w:rPr>
                <w:rFonts w:hint="eastAsia" w:ascii="仿宋" w:hAnsi="仿宋" w:cs="仿宋"/>
                <w:color w:val="auto"/>
                <w:szCs w:val="21"/>
                <w:highlight w:val="none"/>
              </w:rPr>
              <w:t>六</w:t>
            </w:r>
          </w:p>
        </w:tc>
        <w:tc>
          <w:tcPr>
            <w:tcW w:w="793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仿宋"/>
                <w:color w:val="auto"/>
                <w:szCs w:val="21"/>
                <w:highlight w:val="none"/>
              </w:rPr>
            </w:pPr>
            <w:r>
              <w:rPr>
                <w:rFonts w:hint="eastAsia" w:ascii="仿宋" w:hAnsi="仿宋" w:cs="仿宋"/>
                <w:color w:val="auto"/>
                <w:szCs w:val="21"/>
                <w:highlight w:val="none"/>
              </w:rPr>
              <w:t>其他要求：投标文件内提供相应的制造商样本彩页或制造商盖章技术资料或者官网网站信息，以便核实。</w:t>
            </w:r>
          </w:p>
        </w:tc>
      </w:tr>
    </w:tbl>
    <w:p>
      <w:pPr>
        <w:pStyle w:val="29"/>
        <w:spacing w:before="120" w:beforeLines="50" w:after="120" w:afterLines="50" w:line="360" w:lineRule="auto"/>
        <w:ind w:firstLine="495" w:firstLineChars="235"/>
        <w:rPr>
          <w:rFonts w:ascii="宋体" w:hAnsi="宋体" w:cs="宋体"/>
          <w:b/>
          <w:bCs/>
          <w:color w:val="auto"/>
          <w:sz w:val="21"/>
          <w:szCs w:val="21"/>
          <w:highlight w:val="none"/>
        </w:rPr>
      </w:pPr>
      <w:r>
        <w:rPr>
          <w:rFonts w:hint="eastAsia" w:ascii="宋体" w:hAnsi="宋体" w:cs="宋体"/>
          <w:b/>
          <w:bCs/>
          <w:color w:val="auto"/>
          <w:sz w:val="21"/>
          <w:szCs w:val="21"/>
          <w:highlight w:val="none"/>
        </w:rPr>
        <w:t>（2）商务要求</w:t>
      </w:r>
    </w:p>
    <w:tbl>
      <w:tblPr>
        <w:tblStyle w:val="44"/>
        <w:tblW w:w="8931" w:type="dxa"/>
        <w:tblInd w:w="108" w:type="dxa"/>
        <w:tblLayout w:type="fixed"/>
        <w:tblCellMar>
          <w:top w:w="0" w:type="dxa"/>
          <w:left w:w="108" w:type="dxa"/>
          <w:bottom w:w="0" w:type="dxa"/>
          <w:right w:w="108" w:type="dxa"/>
        </w:tblCellMar>
      </w:tblPr>
      <w:tblGrid>
        <w:gridCol w:w="709"/>
        <w:gridCol w:w="1559"/>
        <w:gridCol w:w="6663"/>
      </w:tblGrid>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b/>
                <w:color w:val="auto"/>
                <w:szCs w:val="21"/>
                <w:highlight w:val="none"/>
              </w:rPr>
            </w:pPr>
            <w:r>
              <w:rPr>
                <w:rFonts w:hint="eastAsia" w:ascii="仿宋" w:hAnsi="仿宋" w:cs="宋体"/>
                <w:b/>
                <w:color w:val="auto"/>
                <w:szCs w:val="21"/>
                <w:highlight w:val="none"/>
              </w:rPr>
              <w:t>序号</w:t>
            </w:r>
          </w:p>
        </w:tc>
        <w:tc>
          <w:tcPr>
            <w:tcW w:w="1559" w:type="dxa"/>
            <w:tcBorders>
              <w:top w:val="single" w:color="000000" w:sz="4" w:space="0"/>
              <w:left w:val="single" w:color="000000" w:sz="4" w:space="0"/>
              <w:bottom w:val="single" w:color="000000" w:sz="4" w:space="0"/>
              <w:right w:val="single" w:color="000000" w:sz="4" w:space="0"/>
            </w:tcBorders>
            <w:vAlign w:val="center"/>
          </w:tcPr>
          <w:p>
            <w:pPr>
              <w:ind w:firstLine="422"/>
              <w:jc w:val="center"/>
              <w:rPr>
                <w:rFonts w:ascii="仿宋" w:hAnsi="仿宋" w:cs="宋体"/>
                <w:b/>
                <w:color w:val="auto"/>
                <w:szCs w:val="21"/>
                <w:highlight w:val="none"/>
              </w:rPr>
            </w:pPr>
            <w:r>
              <w:rPr>
                <w:rFonts w:hint="eastAsia" w:ascii="仿宋" w:hAnsi="仿宋" w:cs="宋体"/>
                <w:b/>
                <w:color w:val="auto"/>
                <w:szCs w:val="21"/>
                <w:highlight w:val="none"/>
              </w:rPr>
              <w:t>项目</w:t>
            </w:r>
          </w:p>
        </w:tc>
        <w:tc>
          <w:tcPr>
            <w:tcW w:w="6663" w:type="dxa"/>
            <w:tcBorders>
              <w:top w:val="single" w:color="000000" w:sz="4" w:space="0"/>
              <w:left w:val="single" w:color="000000" w:sz="4" w:space="0"/>
              <w:bottom w:val="single" w:color="000000" w:sz="4" w:space="0"/>
              <w:right w:val="single" w:color="000000" w:sz="4" w:space="0"/>
            </w:tcBorders>
            <w:vAlign w:val="center"/>
          </w:tcPr>
          <w:p>
            <w:pPr>
              <w:ind w:firstLine="422"/>
              <w:jc w:val="center"/>
              <w:rPr>
                <w:rFonts w:ascii="仿宋" w:hAnsi="仿宋" w:cs="宋体"/>
                <w:b/>
                <w:color w:val="auto"/>
                <w:szCs w:val="21"/>
                <w:highlight w:val="none"/>
              </w:rPr>
            </w:pPr>
            <w:r>
              <w:rPr>
                <w:rFonts w:hint="eastAsia" w:ascii="仿宋" w:hAnsi="仿宋" w:cs="宋体"/>
                <w:b/>
                <w:color w:val="auto"/>
                <w:szCs w:val="21"/>
                <w:highlight w:val="none"/>
              </w:rPr>
              <w:t>要求</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交货及交付验收时间</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宋体" w:hAnsi="宋体" w:cs="宋体"/>
                <w:bCs/>
                <w:color w:val="auto"/>
                <w:szCs w:val="21"/>
                <w:highlight w:val="none"/>
              </w:rPr>
              <w:t>动态光散射粒度分析仪在</w:t>
            </w:r>
            <w:r>
              <w:rPr>
                <w:rFonts w:hint="eastAsia" w:ascii="仿宋" w:hAnsi="仿宋" w:cs="宋体"/>
                <w:color w:val="auto"/>
                <w:szCs w:val="21"/>
                <w:highlight w:val="none"/>
              </w:rPr>
              <w:t>合同签订生效之日起</w:t>
            </w:r>
            <w:r>
              <w:rPr>
                <w:rFonts w:ascii="仿宋" w:hAnsi="仿宋" w:cs="宋体"/>
                <w:color w:val="auto"/>
                <w:szCs w:val="21"/>
                <w:highlight w:val="none"/>
              </w:rPr>
              <w:t>150</w:t>
            </w:r>
            <w:r>
              <w:rPr>
                <w:rFonts w:hint="eastAsia" w:ascii="仿宋" w:hAnsi="仿宋" w:cs="宋体"/>
                <w:color w:val="auto"/>
                <w:szCs w:val="21"/>
                <w:highlight w:val="none"/>
              </w:rPr>
              <w:t xml:space="preserve">天内到货，到货后 </w:t>
            </w:r>
            <w:r>
              <w:rPr>
                <w:rFonts w:ascii="仿宋" w:hAnsi="仿宋" w:cs="宋体"/>
                <w:color w:val="auto"/>
                <w:szCs w:val="21"/>
                <w:highlight w:val="none"/>
              </w:rPr>
              <w:t>30</w:t>
            </w:r>
            <w:r>
              <w:rPr>
                <w:rFonts w:hint="eastAsia" w:ascii="仿宋" w:hAnsi="仿宋" w:cs="宋体"/>
                <w:color w:val="auto"/>
                <w:szCs w:val="21"/>
                <w:highlight w:val="none"/>
              </w:rPr>
              <w:t>天内完成安装调试交付验收；</w:t>
            </w:r>
            <w:r>
              <w:rPr>
                <w:rFonts w:hint="eastAsia" w:ascii="宋体" w:hAnsi="宋体" w:cs="宋体"/>
                <w:bCs/>
                <w:color w:val="auto"/>
                <w:szCs w:val="21"/>
                <w:highlight w:val="none"/>
              </w:rPr>
              <w:t>比表面分析仪在</w:t>
            </w:r>
            <w:r>
              <w:rPr>
                <w:rFonts w:hint="eastAsia" w:ascii="仿宋" w:hAnsi="仿宋" w:cs="宋体"/>
                <w:color w:val="auto"/>
                <w:szCs w:val="21"/>
                <w:highlight w:val="none"/>
              </w:rPr>
              <w:t>合同签订生效之日起1</w:t>
            </w:r>
            <w:r>
              <w:rPr>
                <w:rFonts w:ascii="仿宋" w:hAnsi="仿宋" w:cs="宋体"/>
                <w:color w:val="auto"/>
                <w:szCs w:val="21"/>
                <w:highlight w:val="none"/>
              </w:rPr>
              <w:t>2</w:t>
            </w:r>
            <w:r>
              <w:rPr>
                <w:rFonts w:hint="eastAsia" w:ascii="仿宋" w:hAnsi="仿宋" w:cs="宋体"/>
                <w:color w:val="auto"/>
                <w:szCs w:val="21"/>
                <w:highlight w:val="none"/>
              </w:rPr>
              <w:t>0天内到货，到货后</w:t>
            </w:r>
            <w:r>
              <w:rPr>
                <w:rFonts w:ascii="仿宋" w:hAnsi="仿宋" w:cs="宋体"/>
                <w:color w:val="auto"/>
                <w:szCs w:val="21"/>
                <w:highlight w:val="none"/>
              </w:rPr>
              <w:t>30</w:t>
            </w:r>
            <w:r>
              <w:rPr>
                <w:rFonts w:hint="eastAsia" w:ascii="仿宋" w:hAnsi="仿宋" w:cs="宋体"/>
                <w:color w:val="auto"/>
                <w:szCs w:val="21"/>
                <w:highlight w:val="none"/>
              </w:rPr>
              <w:t>天内完成安装调试交付验收。</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2</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交货地点</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bCs/>
                <w:color w:val="auto"/>
                <w:kern w:val="0"/>
                <w:szCs w:val="21"/>
                <w:highlight w:val="none"/>
              </w:rPr>
              <w:t xml:space="preserve">宁波市前湾新区滨海二路769号宁波工程学院新能源学院 </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3</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产品包装要求</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确保所有设备均采用国家或专业标准保护措施进行包装，使包装适应于远距离运输、防潮、防震、防锈和防粗暴装卸，以确保设备安全无损运抵交货现场。设备到货时，所有外包装箱箱体无严重破损或变形，封条应完整无缺，内包装应符合标准运输包装要求，拆箱后设备主体外表无任何磕碰、碎裂、划伤痕迹。运输途中设备出现的任何问题均由中标人负责解决。</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4</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产品及服务质量保证</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（1）投标人所供应的设备及其所有部件必须均是全新原装合格产品,在中国境内采购人拥有合法的产权和使用权。如发生交付设备与合同不符,采购人有权拒收或退货,由此产生的一切责任和后果由中标人承担。</w:t>
            </w:r>
          </w:p>
          <w:p>
            <w:pPr>
              <w:rPr>
                <w:rFonts w:ascii="仿宋" w:hAnsi="仿宋" w:cs="宋体"/>
                <w:color w:val="auto"/>
                <w:szCs w:val="21"/>
                <w:highlight w:val="none"/>
              </w:rPr>
            </w:pPr>
            <w:r>
              <w:rPr>
                <w:rFonts w:hint="eastAsia" w:ascii="仿宋" w:hAnsi="仿宋" w:cs="宋体"/>
                <w:color w:val="auto"/>
                <w:szCs w:val="21"/>
                <w:highlight w:val="none"/>
              </w:rPr>
              <w:t>（2）属于国家强制性产品认证范围的产品必须具有国家法定认证机构颁发的“CCC”认证证书。</w:t>
            </w:r>
          </w:p>
          <w:p>
            <w:pPr>
              <w:rPr>
                <w:rFonts w:ascii="仿宋" w:hAnsi="仿宋" w:cs="宋体"/>
                <w:color w:val="auto"/>
                <w:szCs w:val="21"/>
                <w:highlight w:val="none"/>
              </w:rPr>
            </w:pPr>
            <w:r>
              <w:rPr>
                <w:rFonts w:hint="eastAsia" w:ascii="仿宋" w:hAnsi="仿宋" w:cs="宋体"/>
                <w:color w:val="auto"/>
                <w:szCs w:val="21"/>
                <w:highlight w:val="none"/>
              </w:rPr>
              <w:t>（3）在设备交付时，中标人必须向采购人提供必备的相关资料。</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5</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质量标准</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产品质量必须执行国家相关标准、行业标准、地方标准或者其它标准、规范（从严）：</w:t>
            </w:r>
          </w:p>
          <w:p>
            <w:pPr>
              <w:rPr>
                <w:rFonts w:ascii="仿宋" w:hAnsi="仿宋" w:cs="宋体"/>
                <w:color w:val="auto"/>
                <w:szCs w:val="21"/>
                <w:highlight w:val="none"/>
              </w:rPr>
            </w:pPr>
            <w:r>
              <w:rPr>
                <w:rFonts w:hint="eastAsia" w:ascii="仿宋" w:hAnsi="仿宋" w:cs="宋体"/>
                <w:color w:val="auto"/>
                <w:szCs w:val="21"/>
                <w:highlight w:val="none"/>
              </w:rPr>
              <w:t>具有国家标准及规范的，按最新的标准及规范执行；具有行业标准及规范的，按最新的标准及规范执行；具有其他标准及规范的，按照最新的标准及规范执行；没有相关标准及规范的，按照招标文件的技术及服务要求执行。</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6</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产品保修期</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（1）</w:t>
            </w:r>
            <w:r>
              <w:rPr>
                <w:rFonts w:hint="eastAsia" w:ascii="宋体" w:hAnsi="宋体" w:cs="宋体"/>
                <w:bCs/>
                <w:color w:val="auto"/>
                <w:szCs w:val="21"/>
                <w:highlight w:val="none"/>
              </w:rPr>
              <w:t>动态光散射粒度分析仪</w:t>
            </w:r>
            <w:r>
              <w:rPr>
                <w:rFonts w:hint="eastAsia" w:ascii="仿宋" w:hAnsi="仿宋" w:cs="宋体"/>
                <w:color w:val="auto"/>
                <w:szCs w:val="21"/>
                <w:highlight w:val="none"/>
              </w:rPr>
              <w:t>提供不少于</w:t>
            </w:r>
            <w:r>
              <w:rPr>
                <w:rFonts w:ascii="仿宋" w:hAnsi="仿宋" w:cs="宋体"/>
                <w:color w:val="auto"/>
                <w:szCs w:val="21"/>
                <w:highlight w:val="none"/>
              </w:rPr>
              <w:t>1</w:t>
            </w:r>
            <w:r>
              <w:rPr>
                <w:rFonts w:hint="eastAsia" w:ascii="仿宋" w:hAnsi="仿宋" w:cs="宋体"/>
                <w:color w:val="auto"/>
                <w:szCs w:val="21"/>
                <w:highlight w:val="none"/>
              </w:rPr>
              <w:t>年免费保修期；</w:t>
            </w:r>
            <w:r>
              <w:rPr>
                <w:rFonts w:hint="eastAsia" w:ascii="宋体" w:hAnsi="宋体" w:cs="宋体"/>
                <w:bCs/>
                <w:color w:val="auto"/>
                <w:szCs w:val="21"/>
                <w:highlight w:val="none"/>
              </w:rPr>
              <w:t>比表面分析仪</w:t>
            </w:r>
            <w:r>
              <w:rPr>
                <w:rFonts w:hint="eastAsia" w:ascii="仿宋" w:hAnsi="仿宋" w:cs="宋体"/>
                <w:color w:val="auto"/>
                <w:szCs w:val="21"/>
                <w:highlight w:val="none"/>
              </w:rPr>
              <w:t>提供不少于</w:t>
            </w:r>
            <w:r>
              <w:rPr>
                <w:rFonts w:ascii="仿宋" w:hAnsi="仿宋" w:cs="宋体"/>
                <w:color w:val="auto"/>
                <w:szCs w:val="21"/>
                <w:highlight w:val="none"/>
              </w:rPr>
              <w:t>3</w:t>
            </w:r>
            <w:r>
              <w:rPr>
                <w:rFonts w:hint="eastAsia" w:ascii="仿宋" w:hAnsi="仿宋" w:cs="宋体"/>
                <w:color w:val="auto"/>
                <w:szCs w:val="21"/>
                <w:highlight w:val="none"/>
              </w:rPr>
              <w:t>年免费保修期。</w:t>
            </w:r>
          </w:p>
          <w:p>
            <w:pPr>
              <w:rPr>
                <w:rFonts w:ascii="仿宋" w:hAnsi="仿宋" w:cs="宋体"/>
                <w:color w:val="auto"/>
                <w:szCs w:val="21"/>
                <w:highlight w:val="none"/>
              </w:rPr>
            </w:pPr>
            <w:r>
              <w:rPr>
                <w:rFonts w:hint="eastAsia" w:ascii="仿宋" w:hAnsi="仿宋" w:cs="宋体"/>
                <w:color w:val="auto"/>
                <w:szCs w:val="21"/>
                <w:highlight w:val="none"/>
              </w:rPr>
              <w:t>（2）保修期在双方签署项目最终验收报告之日起计算，在此期间内，任何非因采购人原因造成的设备质量及使用问题均由中标人提供相关保修服务，包括但不仅限于维修或更换，其费用含在投标报价中，相关费用包含达到设备正常使用目标所需的零部件费用、技术人员费用、交通差旅费等，维修必须遵守制造商的技术及零部件使用标准。</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7</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验收</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设备安装调试完成后，双方按照确定的技术标准进行验收。验收前，乙方应向甲方提交所有验收必备资料。</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8</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签订合同时间</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采购人在中标通知书发出之日起30日内与中标人签订书面合同，具体签约时间以采购人通知为准。</w:t>
            </w:r>
          </w:p>
        </w:tc>
      </w:tr>
      <w:tr>
        <w:tblPrEx>
          <w:tblCellMar>
            <w:top w:w="0" w:type="dxa"/>
            <w:left w:w="108" w:type="dxa"/>
            <w:bottom w:w="0" w:type="dxa"/>
            <w:right w:w="108" w:type="dxa"/>
          </w:tblCellMar>
        </w:tblPrEx>
        <w:trPr>
          <w:trHeight w:val="1486"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9</w:t>
            </w:r>
          </w:p>
        </w:tc>
        <w:tc>
          <w:tcPr>
            <w:tcW w:w="1559"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合同款项支付条件及方式</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shd w:val="clear" w:color="auto" w:fill="FFFFFF"/>
              </w:rPr>
            </w:pPr>
            <w:r>
              <w:rPr>
                <w:rFonts w:hint="eastAsia" w:ascii="仿宋" w:hAnsi="仿宋" w:cs="宋体"/>
                <w:color w:val="auto"/>
                <w:szCs w:val="21"/>
                <w:highlight w:val="none"/>
                <w:shd w:val="clear" w:color="auto" w:fill="FFFFFF"/>
              </w:rPr>
              <w:t>（1）所投标项为国产设备中标的，按照以下条件支付合同款：</w:t>
            </w:r>
          </w:p>
          <w:p>
            <w:pPr>
              <w:rPr>
                <w:rFonts w:ascii="仿宋" w:hAnsi="仿宋" w:cs="宋体"/>
                <w:color w:val="auto"/>
                <w:szCs w:val="21"/>
                <w:highlight w:val="none"/>
                <w:shd w:val="clear" w:color="auto" w:fill="FFFFFF"/>
              </w:rPr>
            </w:pPr>
            <w:r>
              <w:rPr>
                <w:rFonts w:hint="eastAsia" w:ascii="仿宋" w:hAnsi="仿宋" w:cs="宋体"/>
                <w:color w:val="auto"/>
                <w:szCs w:val="21"/>
                <w:highlight w:val="none"/>
                <w:shd w:val="clear" w:color="auto" w:fill="FFFFFF"/>
              </w:rPr>
              <w:t>1）合同签订生效之日起7个工作日内支付合同总价的40%作为预付款。</w:t>
            </w:r>
          </w:p>
          <w:p>
            <w:pPr>
              <w:rPr>
                <w:rFonts w:ascii="仿宋" w:hAnsi="仿宋" w:cs="宋体"/>
                <w:color w:val="auto"/>
                <w:szCs w:val="21"/>
                <w:highlight w:val="none"/>
                <w:shd w:val="clear" w:color="auto" w:fill="FFFFFF"/>
              </w:rPr>
            </w:pPr>
            <w:r>
              <w:rPr>
                <w:rFonts w:hint="eastAsia" w:ascii="仿宋" w:hAnsi="仿宋" w:cs="宋体"/>
                <w:color w:val="auto"/>
                <w:szCs w:val="21"/>
                <w:highlight w:val="none"/>
                <w:shd w:val="clear" w:color="auto" w:fill="FFFFFF"/>
              </w:rPr>
              <w:t>2）所有设备到达指定地点后15日内支付合同总价的50%。</w:t>
            </w:r>
          </w:p>
          <w:p>
            <w:pPr>
              <w:rPr>
                <w:rFonts w:ascii="仿宋" w:hAnsi="仿宋" w:cs="宋体"/>
                <w:color w:val="auto"/>
                <w:szCs w:val="21"/>
                <w:highlight w:val="none"/>
                <w:shd w:val="clear" w:color="auto" w:fill="FFFFFF"/>
              </w:rPr>
            </w:pPr>
            <w:r>
              <w:rPr>
                <w:rFonts w:hint="eastAsia" w:ascii="仿宋" w:hAnsi="仿宋" w:cs="宋体"/>
                <w:color w:val="auto"/>
                <w:szCs w:val="21"/>
                <w:highlight w:val="none"/>
                <w:shd w:val="clear" w:color="auto" w:fill="FFFFFF"/>
              </w:rPr>
              <w:t>3）设备安装调试完毕，且经使用单位验收合格后</w:t>
            </w:r>
            <w:r>
              <w:rPr>
                <w:rFonts w:ascii="仿宋" w:hAnsi="仿宋" w:cs="宋体"/>
                <w:color w:val="auto"/>
                <w:szCs w:val="21"/>
                <w:highlight w:val="none"/>
                <w:shd w:val="clear" w:color="auto" w:fill="FFFFFF"/>
              </w:rPr>
              <w:t>15</w:t>
            </w:r>
            <w:r>
              <w:rPr>
                <w:rFonts w:hint="eastAsia" w:ascii="仿宋" w:hAnsi="仿宋" w:cs="宋体"/>
                <w:color w:val="auto"/>
                <w:szCs w:val="21"/>
                <w:highlight w:val="none"/>
                <w:shd w:val="clear" w:color="auto" w:fill="FFFFFF"/>
              </w:rPr>
              <w:t>日内一次性支付余款。</w:t>
            </w:r>
          </w:p>
          <w:p>
            <w:pPr>
              <w:rPr>
                <w:rFonts w:ascii="仿宋" w:hAnsi="仿宋" w:cs="宋体"/>
                <w:color w:val="auto"/>
                <w:szCs w:val="21"/>
                <w:highlight w:val="none"/>
                <w:shd w:val="clear" w:color="auto" w:fill="FFFFFF"/>
              </w:rPr>
            </w:pPr>
            <w:r>
              <w:rPr>
                <w:rFonts w:hint="eastAsia" w:ascii="仿宋" w:hAnsi="仿宋" w:cs="宋体"/>
                <w:color w:val="auto"/>
                <w:szCs w:val="21"/>
                <w:highlight w:val="none"/>
                <w:shd w:val="clear" w:color="auto" w:fill="FFFFFF"/>
              </w:rPr>
              <w:t>注：中标人于合同签订前书面承诺放弃预付款或降低预付款支付比例的，可不适用本条款且具体支付方式由双方在合同中自行约定。</w:t>
            </w:r>
          </w:p>
          <w:p>
            <w:pPr>
              <w:rPr>
                <w:rFonts w:ascii="仿宋" w:hAnsi="仿宋" w:cs="宋体"/>
                <w:color w:val="auto"/>
                <w:szCs w:val="21"/>
                <w:highlight w:val="none"/>
                <w:shd w:val="clear" w:color="auto" w:fill="FFFFFF"/>
              </w:rPr>
            </w:pPr>
            <w:r>
              <w:rPr>
                <w:rFonts w:hint="eastAsia" w:ascii="仿宋" w:hAnsi="仿宋" w:cs="宋体"/>
                <w:color w:val="auto"/>
                <w:szCs w:val="21"/>
                <w:highlight w:val="none"/>
                <w:shd w:val="clear" w:color="auto" w:fill="FFFFFF"/>
              </w:rPr>
              <w:t>（2）所投标项为进口设备中标的，按照以下条件支付合同款：</w:t>
            </w:r>
          </w:p>
          <w:p>
            <w:pPr>
              <w:rPr>
                <w:rFonts w:ascii="仿宋" w:hAnsi="仿宋" w:cs="宋体"/>
                <w:color w:val="auto"/>
                <w:szCs w:val="21"/>
                <w:highlight w:val="none"/>
                <w:shd w:val="clear" w:color="auto" w:fill="FFFFFF"/>
              </w:rPr>
            </w:pPr>
            <w:r>
              <w:rPr>
                <w:rFonts w:hint="eastAsia" w:ascii="仿宋" w:hAnsi="仿宋" w:cs="宋体"/>
                <w:color w:val="auto"/>
                <w:szCs w:val="21"/>
                <w:highlight w:val="none"/>
                <w:shd w:val="clear" w:color="auto" w:fill="FFFFFF"/>
              </w:rPr>
              <w:t>买方开具100%不可撤消即期信用证。其中80%凭货运单据收取，20%凭宁波工程学院盖章的货物验收合格报告收取。</w:t>
            </w:r>
          </w:p>
        </w:tc>
      </w:tr>
      <w:tr>
        <w:tblPrEx>
          <w:tblCellMar>
            <w:top w:w="0" w:type="dxa"/>
            <w:left w:w="108" w:type="dxa"/>
            <w:bottom w:w="0" w:type="dxa"/>
            <w:right w:w="108" w:type="dxa"/>
          </w:tblCellMar>
        </w:tblPrEx>
        <w:trPr>
          <w:trHeight w:val="552"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10</w:t>
            </w:r>
          </w:p>
        </w:tc>
        <w:tc>
          <w:tcPr>
            <w:tcW w:w="1559"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发票要求</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（1）中标人应在采购人支付费用前，依据相应的金额，向采购人提供足额且符合税法规定的发票。采购人在收到中标人提供的发票后在合同约定的时间内支付相应款项。</w:t>
            </w:r>
          </w:p>
          <w:p>
            <w:pPr>
              <w:rPr>
                <w:rFonts w:ascii="仿宋" w:hAnsi="仿宋" w:cs="宋体"/>
                <w:color w:val="auto"/>
                <w:szCs w:val="21"/>
                <w:highlight w:val="none"/>
                <w:shd w:val="clear" w:color="auto" w:fill="FFFFFF"/>
              </w:rPr>
            </w:pPr>
            <w:r>
              <w:rPr>
                <w:rFonts w:hint="eastAsia" w:ascii="仿宋" w:hAnsi="仿宋" w:cs="宋体"/>
                <w:color w:val="auto"/>
                <w:szCs w:val="21"/>
                <w:highlight w:val="none"/>
              </w:rPr>
              <w:t>（2）本项目合同签署的中标人名称与发票开具单位及收款单位必须一致，中标人不得以任何理由在合同执行过程中要求调整发票开具单位或收款单位（中标人依法变更单位名称或存在其他特殊情况符合规定要求除外），否则视为中标人违约并自行承担相关责任，且须承担由此对采购人造成的一切损失。</w:t>
            </w:r>
          </w:p>
        </w:tc>
      </w:tr>
      <w:tr>
        <w:tblPrEx>
          <w:tblCellMar>
            <w:top w:w="0" w:type="dxa"/>
            <w:left w:w="108" w:type="dxa"/>
            <w:bottom w:w="0" w:type="dxa"/>
            <w:right w:w="108" w:type="dxa"/>
          </w:tblCellMar>
        </w:tblPrEx>
        <w:trPr>
          <w:trHeight w:val="541"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11</w:t>
            </w:r>
          </w:p>
        </w:tc>
        <w:tc>
          <w:tcPr>
            <w:tcW w:w="1559"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履约保证金</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本项目要求中标人缴纳合同总额1</w:t>
            </w:r>
            <w:r>
              <w:rPr>
                <w:rFonts w:ascii="仿宋" w:hAnsi="仿宋" w:cs="宋体"/>
                <w:color w:val="auto"/>
                <w:szCs w:val="21"/>
                <w:highlight w:val="none"/>
              </w:rPr>
              <w:t>%</w:t>
            </w:r>
            <w:r>
              <w:rPr>
                <w:rFonts w:hint="eastAsia" w:ascii="仿宋" w:hAnsi="仿宋" w:cs="宋体"/>
                <w:color w:val="auto"/>
                <w:szCs w:val="21"/>
                <w:highlight w:val="none"/>
              </w:rPr>
              <w:t>的履约保证金，在合同签订后7个工作日内以支票、汇票、本票或者金融机构、担保机构出具的保函等非现金形式提交，项目验收合格后一次性退还。</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12</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其他</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在合同履行过程中，中标供应商应承担由于其行为所造成的采购人或第三人的人身伤害、财产损失或损坏的责任，无论何种原因所造成，与采购人无涉，由此导致的损失由中标供应商承担，无论何种原因采购人先行支付的，采购人有权向中标供应商进行追偿。</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13</w:t>
            </w:r>
          </w:p>
        </w:tc>
        <w:tc>
          <w:tcPr>
            <w:tcW w:w="1559"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知识产权要求</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投标人提供的产品未侵犯他人的知识产权。</w:t>
            </w:r>
          </w:p>
        </w:tc>
      </w:tr>
    </w:tbl>
    <w:p>
      <w:pPr>
        <w:pStyle w:val="3"/>
        <w:ind w:firstLine="211"/>
        <w:rPr>
          <w:b/>
          <w:color w:val="auto"/>
          <w:sz w:val="21"/>
          <w:szCs w:val="21"/>
          <w:highlight w:val="none"/>
        </w:rPr>
      </w:pPr>
      <w:r>
        <w:rPr>
          <w:rFonts w:hint="eastAsia"/>
          <w:b/>
          <w:color w:val="auto"/>
          <w:sz w:val="21"/>
          <w:szCs w:val="21"/>
          <w:highlight w:val="none"/>
        </w:rPr>
        <w:t>标项五：核磁共振波谱仪</w:t>
      </w:r>
    </w:p>
    <w:p>
      <w:pPr>
        <w:pStyle w:val="29"/>
        <w:spacing w:before="120" w:beforeLines="50" w:after="120" w:afterLines="50" w:line="360" w:lineRule="auto"/>
        <w:ind w:firstLine="495" w:firstLineChars="235"/>
        <w:rPr>
          <w:rFonts w:ascii="宋体" w:hAnsi="宋体" w:cs="宋体"/>
          <w:b/>
          <w:bCs/>
          <w:color w:val="auto"/>
          <w:sz w:val="21"/>
          <w:szCs w:val="21"/>
          <w:highlight w:val="none"/>
        </w:rPr>
      </w:pPr>
      <w:r>
        <w:rPr>
          <w:rFonts w:hint="eastAsia" w:ascii="宋体" w:hAnsi="宋体" w:cs="宋体"/>
          <w:b/>
          <w:bCs/>
          <w:color w:val="auto"/>
          <w:sz w:val="21"/>
          <w:szCs w:val="21"/>
          <w:highlight w:val="none"/>
        </w:rPr>
        <w:t>（1）技术要求</w:t>
      </w:r>
    </w:p>
    <w:tbl>
      <w:tblPr>
        <w:tblStyle w:val="44"/>
        <w:tblW w:w="8931"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0" w:type="dxa"/>
          <w:bottom w:w="0" w:type="dxa"/>
          <w:right w:w="0" w:type="dxa"/>
        </w:tblCellMar>
      </w:tblPr>
      <w:tblGrid>
        <w:gridCol w:w="960"/>
        <w:gridCol w:w="7971"/>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blHeader/>
        </w:trPr>
        <w:tc>
          <w:tcPr>
            <w:tcW w:w="960" w:type="dxa"/>
            <w:tcBorders>
              <w:bottom w:val="single" w:color="auto" w:sz="4" w:space="0"/>
            </w:tcBorders>
            <w:vAlign w:val="center"/>
          </w:tcPr>
          <w:p>
            <w:pPr>
              <w:rPr>
                <w:rFonts w:ascii="仿宋" w:hAnsi="仿宋" w:cs="宋体"/>
                <w:b/>
                <w:color w:val="auto"/>
                <w:szCs w:val="21"/>
                <w:highlight w:val="none"/>
              </w:rPr>
            </w:pPr>
            <w:r>
              <w:rPr>
                <w:rFonts w:hint="eastAsia" w:ascii="仿宋" w:hAnsi="仿宋" w:cs="宋体"/>
                <w:b/>
                <w:color w:val="auto"/>
                <w:szCs w:val="21"/>
                <w:highlight w:val="none"/>
              </w:rPr>
              <w:t>条款号</w:t>
            </w:r>
          </w:p>
        </w:tc>
        <w:tc>
          <w:tcPr>
            <w:tcW w:w="7971" w:type="dxa"/>
            <w:tcBorders>
              <w:bottom w:val="single" w:color="auto" w:sz="4" w:space="0"/>
            </w:tcBorders>
            <w:vAlign w:val="center"/>
          </w:tcPr>
          <w:p>
            <w:pPr>
              <w:ind w:firstLine="422"/>
              <w:jc w:val="center"/>
              <w:rPr>
                <w:rFonts w:ascii="仿宋" w:hAnsi="仿宋" w:cs="宋体"/>
                <w:b/>
                <w:color w:val="auto"/>
                <w:szCs w:val="21"/>
                <w:highlight w:val="none"/>
              </w:rPr>
            </w:pPr>
            <w:r>
              <w:rPr>
                <w:rFonts w:hint="eastAsia" w:ascii="仿宋" w:hAnsi="仿宋" w:cs="宋体"/>
                <w:b/>
                <w:color w:val="auto"/>
                <w:szCs w:val="21"/>
                <w:highlight w:val="none"/>
              </w:rPr>
              <w:t>招标规格</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一</w:t>
            </w:r>
          </w:p>
        </w:tc>
        <w:tc>
          <w:tcPr>
            <w:tcW w:w="7971" w:type="dxa"/>
            <w:tcBorders>
              <w:top w:val="single" w:color="auto" w:sz="2" w:space="0"/>
              <w:bottom w:val="single" w:color="auto" w:sz="2"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ind w:firstLine="422"/>
              <w:jc w:val="center"/>
              <w:rPr>
                <w:rFonts w:ascii="仿宋" w:hAnsi="仿宋" w:cs="宋体"/>
                <w:b/>
                <w:color w:val="auto"/>
                <w:szCs w:val="21"/>
                <w:highlight w:val="none"/>
              </w:rPr>
            </w:pPr>
            <w:r>
              <w:rPr>
                <w:rFonts w:hint="eastAsia" w:ascii="仿宋" w:hAnsi="仿宋"/>
                <w:b/>
                <w:color w:val="auto"/>
                <w:szCs w:val="21"/>
                <w:highlight w:val="none"/>
              </w:rPr>
              <w:t>1</w:t>
            </w:r>
          </w:p>
        </w:tc>
        <w:tc>
          <w:tcPr>
            <w:tcW w:w="7971" w:type="dxa"/>
            <w:tcBorders>
              <w:top w:val="single" w:color="auto" w:sz="2" w:space="0"/>
              <w:bottom w:val="single" w:color="auto" w:sz="2" w:space="0"/>
            </w:tcBorders>
            <w:vAlign w:val="center"/>
          </w:tcPr>
          <w:p>
            <w:pPr>
              <w:adjustRightInd w:val="0"/>
              <w:snapToGrid w:val="0"/>
              <w:ind w:firstLine="422"/>
              <w:rPr>
                <w:rFonts w:ascii="仿宋" w:hAnsi="仿宋"/>
                <w:b/>
                <w:color w:val="auto"/>
                <w:szCs w:val="21"/>
                <w:highlight w:val="none"/>
              </w:rPr>
            </w:pPr>
            <w:r>
              <w:rPr>
                <w:rFonts w:hint="eastAsia" w:ascii="仿宋" w:hAnsi="仿宋"/>
                <w:b/>
                <w:color w:val="auto"/>
                <w:szCs w:val="21"/>
                <w:highlight w:val="none"/>
              </w:rPr>
              <w:t>400 MHz 超导磁体</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ascii="仿宋" w:hAnsi="仿宋"/>
                <w:color w:val="auto"/>
                <w:szCs w:val="21"/>
                <w:highlight w:val="none"/>
              </w:rPr>
              <w:t>1.1</w:t>
            </w:r>
          </w:p>
        </w:tc>
        <w:tc>
          <w:tcPr>
            <w:tcW w:w="7971" w:type="dxa"/>
            <w:tcBorders>
              <w:top w:val="single" w:color="auto" w:sz="2" w:space="0"/>
              <w:bottom w:val="single" w:color="auto" w:sz="2" w:space="0"/>
            </w:tcBorders>
            <w:vAlign w:val="center"/>
          </w:tcPr>
          <w:p>
            <w:pPr>
              <w:adjustRightInd w:val="0"/>
              <w:snapToGrid w:val="0"/>
              <w:rPr>
                <w:rFonts w:ascii="仿宋" w:hAnsi="仿宋"/>
                <w:color w:val="auto"/>
                <w:szCs w:val="21"/>
                <w:highlight w:val="none"/>
              </w:rPr>
            </w:pPr>
            <w:r>
              <w:rPr>
                <w:rFonts w:hint="eastAsia" w:ascii="仿宋" w:hAnsi="仿宋"/>
                <w:color w:val="auto"/>
                <w:szCs w:val="21"/>
                <w:highlight w:val="none"/>
              </w:rPr>
              <w:t>9.4T 54mm超导自屏蔽磁体；</w:t>
            </w:r>
            <w:r>
              <w:rPr>
                <w:rFonts w:ascii="仿宋" w:hAnsi="仿宋"/>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ascii="仿宋" w:hAnsi="仿宋"/>
                <w:color w:val="auto"/>
                <w:szCs w:val="21"/>
                <w:highlight w:val="none"/>
              </w:rPr>
              <w:t>1.2</w:t>
            </w:r>
          </w:p>
        </w:tc>
        <w:tc>
          <w:tcPr>
            <w:tcW w:w="7971" w:type="dxa"/>
            <w:tcBorders>
              <w:top w:val="single" w:color="auto" w:sz="2" w:space="0"/>
              <w:bottom w:val="single" w:color="auto" w:sz="2" w:space="0"/>
            </w:tcBorders>
            <w:vAlign w:val="center"/>
          </w:tcPr>
          <w:p>
            <w:pPr>
              <w:adjustRightInd w:val="0"/>
              <w:snapToGrid w:val="0"/>
              <w:rPr>
                <w:rFonts w:ascii="仿宋" w:hAnsi="仿宋"/>
                <w:color w:val="auto"/>
                <w:szCs w:val="21"/>
                <w:highlight w:val="none"/>
              </w:rPr>
            </w:pPr>
            <w:r>
              <w:rPr>
                <w:rFonts w:hint="eastAsia" w:ascii="仿宋" w:hAnsi="仿宋"/>
                <w:color w:val="auto"/>
                <w:szCs w:val="21"/>
                <w:highlight w:val="none"/>
              </w:rPr>
              <w:t>室温腔直径：≤54mm；</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ascii="仿宋" w:hAnsi="仿宋"/>
                <w:color w:val="auto"/>
                <w:szCs w:val="21"/>
                <w:highlight w:val="none"/>
              </w:rPr>
              <w:t>1.3</w:t>
            </w:r>
          </w:p>
        </w:tc>
        <w:tc>
          <w:tcPr>
            <w:tcW w:w="7971" w:type="dxa"/>
            <w:tcBorders>
              <w:top w:val="single" w:color="auto" w:sz="2" w:space="0"/>
              <w:bottom w:val="single" w:color="auto" w:sz="2" w:space="0"/>
            </w:tcBorders>
            <w:vAlign w:val="center"/>
          </w:tcPr>
          <w:p>
            <w:pPr>
              <w:adjustRightInd w:val="0"/>
              <w:snapToGrid w:val="0"/>
              <w:rPr>
                <w:rFonts w:ascii="仿宋" w:hAnsi="仿宋"/>
                <w:color w:val="auto"/>
                <w:szCs w:val="21"/>
                <w:highlight w:val="none"/>
              </w:rPr>
            </w:pPr>
            <w:r>
              <w:rPr>
                <w:rFonts w:hint="eastAsia" w:ascii="仿宋" w:hAnsi="仿宋"/>
                <w:color w:val="auto"/>
                <w:szCs w:val="21"/>
                <w:highlight w:val="none"/>
              </w:rPr>
              <w:t>水平5G半径≤0.5 m；垂直5G半径≤1m，磁场漂移≤4 Hz/hr；</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ascii="仿宋" w:hAnsi="仿宋"/>
                <w:color w:val="auto"/>
                <w:szCs w:val="21"/>
                <w:highlight w:val="none"/>
              </w:rPr>
              <w:t>1.4</w:t>
            </w:r>
          </w:p>
        </w:tc>
        <w:tc>
          <w:tcPr>
            <w:tcW w:w="7971" w:type="dxa"/>
            <w:tcBorders>
              <w:top w:val="single" w:color="auto" w:sz="2" w:space="0"/>
              <w:bottom w:val="single" w:color="auto" w:sz="2" w:space="0"/>
            </w:tcBorders>
            <w:vAlign w:val="center"/>
          </w:tcPr>
          <w:p>
            <w:pPr>
              <w:adjustRightInd w:val="0"/>
              <w:snapToGrid w:val="0"/>
              <w:rPr>
                <w:rFonts w:ascii="仿宋" w:hAnsi="仿宋"/>
                <w:color w:val="auto"/>
                <w:szCs w:val="21"/>
                <w:highlight w:val="none"/>
              </w:rPr>
            </w:pPr>
            <w:r>
              <w:rPr>
                <w:rFonts w:hint="eastAsia" w:ascii="仿宋" w:hAnsi="仿宋"/>
                <w:color w:val="auto"/>
                <w:szCs w:val="21"/>
                <w:highlight w:val="none"/>
              </w:rPr>
              <w:t>配有大型防震装置；</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ascii="仿宋" w:hAnsi="仿宋"/>
                <w:color w:val="auto"/>
                <w:szCs w:val="21"/>
                <w:highlight w:val="none"/>
              </w:rPr>
              <w:t>▲1.5</w:t>
            </w:r>
          </w:p>
        </w:tc>
        <w:tc>
          <w:tcPr>
            <w:tcW w:w="7971" w:type="dxa"/>
            <w:tcBorders>
              <w:top w:val="single" w:color="auto" w:sz="2" w:space="0"/>
              <w:bottom w:val="single" w:color="auto" w:sz="2" w:space="0"/>
            </w:tcBorders>
            <w:vAlign w:val="center"/>
          </w:tcPr>
          <w:p>
            <w:pPr>
              <w:adjustRightInd w:val="0"/>
              <w:snapToGrid w:val="0"/>
              <w:rPr>
                <w:rFonts w:ascii="仿宋" w:hAnsi="仿宋"/>
                <w:color w:val="auto"/>
                <w:szCs w:val="21"/>
                <w:highlight w:val="none"/>
              </w:rPr>
            </w:pPr>
            <w:r>
              <w:rPr>
                <w:rFonts w:hint="eastAsia" w:ascii="仿宋" w:hAnsi="仿宋"/>
                <w:color w:val="auto"/>
                <w:szCs w:val="21"/>
                <w:highlight w:val="none"/>
              </w:rPr>
              <w:t>液氦维持时间 ≥365天；</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b/>
                <w:color w:val="auto"/>
                <w:szCs w:val="21"/>
                <w:highlight w:val="none"/>
              </w:rPr>
            </w:pPr>
            <w:r>
              <w:rPr>
                <w:rFonts w:ascii="仿宋" w:hAnsi="仿宋"/>
                <w:color w:val="auto"/>
                <w:szCs w:val="21"/>
                <w:highlight w:val="none"/>
              </w:rPr>
              <w:t>1.6</w:t>
            </w:r>
          </w:p>
        </w:tc>
        <w:tc>
          <w:tcPr>
            <w:tcW w:w="7971" w:type="dxa"/>
            <w:tcBorders>
              <w:top w:val="single" w:color="auto" w:sz="2" w:space="0"/>
              <w:bottom w:val="single" w:color="auto" w:sz="2" w:space="0"/>
            </w:tcBorders>
            <w:vAlign w:val="center"/>
          </w:tcPr>
          <w:p>
            <w:pPr>
              <w:adjustRightInd w:val="0"/>
              <w:snapToGrid w:val="0"/>
              <w:rPr>
                <w:rFonts w:ascii="仿宋" w:hAnsi="仿宋"/>
                <w:color w:val="auto"/>
                <w:szCs w:val="21"/>
                <w:highlight w:val="none"/>
              </w:rPr>
            </w:pPr>
            <w:r>
              <w:rPr>
                <w:rFonts w:hint="eastAsia" w:ascii="仿宋" w:hAnsi="仿宋"/>
                <w:color w:val="auto"/>
                <w:szCs w:val="21"/>
                <w:highlight w:val="none"/>
              </w:rPr>
              <w:t>液氦挥发量 ≤ 14 ml/hr；</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w:t>
            </w:r>
            <w:r>
              <w:rPr>
                <w:rFonts w:ascii="仿宋" w:hAnsi="仿宋" w:cs="宋体"/>
                <w:color w:val="auto"/>
                <w:szCs w:val="21"/>
                <w:highlight w:val="none"/>
              </w:rPr>
              <w:t>.7</w:t>
            </w:r>
          </w:p>
        </w:tc>
        <w:tc>
          <w:tcPr>
            <w:tcW w:w="7971" w:type="dxa"/>
            <w:tcBorders>
              <w:top w:val="single" w:color="auto" w:sz="2" w:space="0"/>
              <w:bottom w:val="single" w:color="auto" w:sz="2" w:space="0"/>
            </w:tcBorders>
            <w:vAlign w:val="center"/>
          </w:tcPr>
          <w:p>
            <w:pPr>
              <w:adjustRightInd w:val="0"/>
              <w:snapToGrid w:val="0"/>
              <w:rPr>
                <w:rFonts w:ascii="仿宋" w:hAnsi="仿宋"/>
                <w:color w:val="auto"/>
                <w:szCs w:val="21"/>
                <w:highlight w:val="none"/>
              </w:rPr>
            </w:pPr>
            <w:r>
              <w:rPr>
                <w:rFonts w:hint="eastAsia" w:ascii="仿宋" w:hAnsi="仿宋"/>
                <w:color w:val="auto"/>
                <w:szCs w:val="21"/>
                <w:highlight w:val="none"/>
              </w:rPr>
              <w:t>液氮维持时间 ≥14天；</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ascii="仿宋" w:hAnsi="仿宋"/>
                <w:color w:val="auto"/>
                <w:szCs w:val="21"/>
                <w:highlight w:val="none"/>
              </w:rPr>
              <w:t>1.8</w:t>
            </w:r>
          </w:p>
        </w:tc>
        <w:tc>
          <w:tcPr>
            <w:tcW w:w="7971" w:type="dxa"/>
            <w:tcBorders>
              <w:top w:val="single" w:color="auto" w:sz="2" w:space="0"/>
              <w:bottom w:val="single" w:color="auto" w:sz="2" w:space="0"/>
            </w:tcBorders>
            <w:vAlign w:val="center"/>
          </w:tcPr>
          <w:p>
            <w:pPr>
              <w:adjustRightInd w:val="0"/>
              <w:snapToGrid w:val="0"/>
              <w:rPr>
                <w:rFonts w:ascii="仿宋" w:hAnsi="仿宋"/>
                <w:color w:val="auto"/>
                <w:szCs w:val="21"/>
                <w:highlight w:val="none"/>
              </w:rPr>
            </w:pPr>
            <w:r>
              <w:rPr>
                <w:rFonts w:hint="eastAsia" w:ascii="仿宋" w:hAnsi="仿宋"/>
                <w:color w:val="auto"/>
                <w:szCs w:val="21"/>
                <w:highlight w:val="none"/>
              </w:rPr>
              <w:t>液氮挥发量≤ 188 ml/hr；</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ascii="仿宋" w:hAnsi="仿宋"/>
                <w:color w:val="auto"/>
                <w:szCs w:val="21"/>
                <w:highlight w:val="none"/>
              </w:rPr>
              <w:t>1.9</w:t>
            </w:r>
          </w:p>
        </w:tc>
        <w:tc>
          <w:tcPr>
            <w:tcW w:w="7971" w:type="dxa"/>
            <w:tcBorders>
              <w:top w:val="single" w:color="auto" w:sz="2" w:space="0"/>
              <w:bottom w:val="single" w:color="auto" w:sz="2" w:space="0"/>
            </w:tcBorders>
            <w:vAlign w:val="center"/>
          </w:tcPr>
          <w:p>
            <w:pPr>
              <w:adjustRightInd w:val="0"/>
              <w:snapToGrid w:val="0"/>
              <w:rPr>
                <w:rFonts w:ascii="仿宋" w:hAnsi="仿宋"/>
                <w:color w:val="auto"/>
                <w:szCs w:val="21"/>
                <w:highlight w:val="none"/>
              </w:rPr>
            </w:pPr>
            <w:r>
              <w:rPr>
                <w:rFonts w:hint="eastAsia" w:ascii="仿宋" w:hAnsi="仿宋"/>
                <w:color w:val="auto"/>
                <w:szCs w:val="21"/>
                <w:highlight w:val="none"/>
              </w:rPr>
              <w:t>具有液氦和液氮液面自动监测系统；</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2</w:t>
            </w:r>
          </w:p>
        </w:tc>
        <w:tc>
          <w:tcPr>
            <w:tcW w:w="7971" w:type="dxa"/>
            <w:tcBorders>
              <w:top w:val="single" w:color="auto" w:sz="2" w:space="0"/>
              <w:bottom w:val="single" w:color="auto" w:sz="2" w:space="0"/>
            </w:tcBorders>
            <w:vAlign w:val="center"/>
          </w:tcPr>
          <w:p>
            <w:pPr>
              <w:adjustRightInd w:val="0"/>
              <w:snapToGrid w:val="0"/>
              <w:ind w:firstLine="422"/>
              <w:rPr>
                <w:rFonts w:ascii="仿宋" w:hAnsi="仿宋"/>
                <w:b/>
                <w:color w:val="auto"/>
                <w:szCs w:val="21"/>
                <w:highlight w:val="none"/>
              </w:rPr>
            </w:pPr>
            <w:r>
              <w:rPr>
                <w:rFonts w:hint="eastAsia" w:ascii="仿宋" w:hAnsi="仿宋"/>
                <w:b/>
                <w:color w:val="auto"/>
                <w:szCs w:val="21"/>
                <w:highlight w:val="none"/>
              </w:rPr>
              <w:t>射频发射系统</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ascii="仿宋" w:hAnsi="仿宋"/>
                <w:color w:val="auto"/>
                <w:szCs w:val="21"/>
                <w:highlight w:val="none"/>
              </w:rPr>
              <w:t>2.1</w:t>
            </w:r>
            <w:r>
              <w:rPr>
                <w:rFonts w:hint="eastAsia" w:ascii="仿宋" w:hAnsi="仿宋"/>
                <w:color w:val="auto"/>
                <w:szCs w:val="21"/>
                <w:highlight w:val="none"/>
              </w:rPr>
              <w:t>、</w:t>
            </w:r>
          </w:p>
        </w:tc>
        <w:tc>
          <w:tcPr>
            <w:tcW w:w="7971" w:type="dxa"/>
            <w:tcBorders>
              <w:top w:val="single" w:color="auto" w:sz="2" w:space="0"/>
              <w:bottom w:val="single" w:color="auto" w:sz="2" w:space="0"/>
            </w:tcBorders>
            <w:vAlign w:val="center"/>
          </w:tcPr>
          <w:p>
            <w:pPr>
              <w:adjustRightInd w:val="0"/>
              <w:snapToGrid w:val="0"/>
              <w:rPr>
                <w:rFonts w:ascii="仿宋" w:hAnsi="仿宋"/>
                <w:color w:val="auto"/>
                <w:szCs w:val="21"/>
                <w:highlight w:val="none"/>
              </w:rPr>
            </w:pPr>
            <w:r>
              <w:rPr>
                <w:rFonts w:hint="eastAsia" w:ascii="仿宋" w:hAnsi="仿宋"/>
                <w:color w:val="auto"/>
                <w:szCs w:val="21"/>
                <w:highlight w:val="none"/>
              </w:rPr>
              <w:t>谱仪配有两组射频发射通道；</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ascii="仿宋" w:hAnsi="仿宋"/>
                <w:color w:val="auto"/>
                <w:szCs w:val="21"/>
                <w:highlight w:val="none"/>
              </w:rPr>
              <w:t>2.2</w:t>
            </w:r>
            <w:r>
              <w:rPr>
                <w:rFonts w:hint="eastAsia" w:ascii="仿宋" w:hAnsi="仿宋"/>
                <w:color w:val="auto"/>
                <w:szCs w:val="21"/>
                <w:highlight w:val="none"/>
              </w:rPr>
              <w:t>、</w:t>
            </w:r>
          </w:p>
        </w:tc>
        <w:tc>
          <w:tcPr>
            <w:tcW w:w="7971" w:type="dxa"/>
            <w:tcBorders>
              <w:top w:val="single" w:color="auto" w:sz="2" w:space="0"/>
              <w:bottom w:val="single" w:color="auto" w:sz="2" w:space="0"/>
            </w:tcBorders>
            <w:vAlign w:val="center"/>
          </w:tcPr>
          <w:p>
            <w:pPr>
              <w:adjustRightInd w:val="0"/>
              <w:snapToGrid w:val="0"/>
              <w:rPr>
                <w:rFonts w:ascii="仿宋" w:hAnsi="仿宋"/>
                <w:color w:val="auto"/>
                <w:szCs w:val="21"/>
                <w:highlight w:val="none"/>
              </w:rPr>
            </w:pPr>
            <w:r>
              <w:rPr>
                <w:rFonts w:hint="eastAsia" w:ascii="仿宋" w:hAnsi="仿宋"/>
                <w:color w:val="auto"/>
                <w:szCs w:val="21"/>
                <w:highlight w:val="none"/>
              </w:rPr>
              <w:t>各通道配有频率发生器、传输通道和放大器，具有观测及去耦功能；</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ascii="仿宋" w:hAnsi="仿宋"/>
                <w:color w:val="auto"/>
                <w:szCs w:val="21"/>
                <w:highlight w:val="none"/>
              </w:rPr>
              <w:t>▲2.3</w:t>
            </w:r>
          </w:p>
        </w:tc>
        <w:tc>
          <w:tcPr>
            <w:tcW w:w="7971" w:type="dxa"/>
            <w:tcBorders>
              <w:top w:val="single" w:color="auto" w:sz="2" w:space="0"/>
              <w:bottom w:val="single" w:color="auto" w:sz="2" w:space="0"/>
            </w:tcBorders>
            <w:vAlign w:val="center"/>
          </w:tcPr>
          <w:p>
            <w:pPr>
              <w:adjustRightInd w:val="0"/>
              <w:snapToGrid w:val="0"/>
              <w:rPr>
                <w:rFonts w:ascii="仿宋" w:hAnsi="仿宋"/>
                <w:color w:val="auto"/>
                <w:szCs w:val="21"/>
                <w:highlight w:val="none"/>
              </w:rPr>
            </w:pPr>
            <w:r>
              <w:rPr>
                <w:rFonts w:hint="eastAsia" w:ascii="仿宋" w:hAnsi="仿宋"/>
                <w:color w:val="auto"/>
                <w:szCs w:val="21"/>
                <w:highlight w:val="none"/>
              </w:rPr>
              <w:t>最小事件时间：≤5ns；</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ascii="仿宋" w:hAnsi="仿宋"/>
                <w:color w:val="auto"/>
                <w:szCs w:val="21"/>
                <w:highlight w:val="none"/>
              </w:rPr>
              <w:t>2.4</w:t>
            </w:r>
          </w:p>
        </w:tc>
        <w:tc>
          <w:tcPr>
            <w:tcW w:w="7971" w:type="dxa"/>
            <w:tcBorders>
              <w:top w:val="single" w:color="auto" w:sz="2" w:space="0"/>
              <w:bottom w:val="single" w:color="auto" w:sz="2" w:space="0"/>
            </w:tcBorders>
            <w:vAlign w:val="center"/>
          </w:tcPr>
          <w:p>
            <w:pPr>
              <w:adjustRightInd w:val="0"/>
              <w:snapToGrid w:val="0"/>
              <w:rPr>
                <w:rFonts w:ascii="仿宋" w:hAnsi="仿宋"/>
                <w:color w:val="auto"/>
                <w:szCs w:val="21"/>
                <w:highlight w:val="none"/>
              </w:rPr>
            </w:pPr>
            <w:r>
              <w:rPr>
                <w:rFonts w:hint="eastAsia" w:ascii="仿宋" w:hAnsi="仿宋"/>
                <w:color w:val="auto"/>
                <w:szCs w:val="21"/>
                <w:highlight w:val="none"/>
              </w:rPr>
              <w:t>频率分辨率 ≤0.001 Hz；</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2</w:t>
            </w:r>
            <w:r>
              <w:rPr>
                <w:rFonts w:ascii="仿宋" w:hAnsi="仿宋" w:cs="宋体"/>
                <w:color w:val="auto"/>
                <w:szCs w:val="21"/>
                <w:highlight w:val="none"/>
              </w:rPr>
              <w:t>.5</w:t>
            </w:r>
          </w:p>
        </w:tc>
        <w:tc>
          <w:tcPr>
            <w:tcW w:w="7971" w:type="dxa"/>
            <w:tcBorders>
              <w:top w:val="single" w:color="auto" w:sz="2" w:space="0"/>
              <w:bottom w:val="single" w:color="auto" w:sz="2" w:space="0"/>
            </w:tcBorders>
            <w:vAlign w:val="center"/>
          </w:tcPr>
          <w:p>
            <w:pPr>
              <w:adjustRightInd w:val="0"/>
              <w:snapToGrid w:val="0"/>
              <w:rPr>
                <w:rFonts w:ascii="仿宋" w:hAnsi="仿宋"/>
                <w:color w:val="auto"/>
                <w:szCs w:val="21"/>
                <w:highlight w:val="none"/>
              </w:rPr>
            </w:pPr>
            <w:r>
              <w:rPr>
                <w:rFonts w:hint="eastAsia" w:ascii="仿宋" w:hAnsi="仿宋"/>
                <w:color w:val="auto"/>
                <w:szCs w:val="21"/>
                <w:highlight w:val="none"/>
              </w:rPr>
              <w:t>相位分辨率 ≤0.005°；</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2</w:t>
            </w:r>
            <w:r>
              <w:rPr>
                <w:rFonts w:ascii="仿宋" w:hAnsi="仿宋" w:cs="宋体"/>
                <w:color w:val="auto"/>
                <w:szCs w:val="21"/>
                <w:highlight w:val="none"/>
              </w:rPr>
              <w:t>.6</w:t>
            </w:r>
          </w:p>
        </w:tc>
        <w:tc>
          <w:tcPr>
            <w:tcW w:w="7971" w:type="dxa"/>
            <w:tcBorders>
              <w:top w:val="single" w:color="auto" w:sz="2" w:space="0"/>
              <w:bottom w:val="single" w:color="auto" w:sz="2" w:space="0"/>
            </w:tcBorders>
            <w:vAlign w:val="center"/>
          </w:tcPr>
          <w:p>
            <w:pPr>
              <w:adjustRightInd w:val="0"/>
              <w:snapToGrid w:val="0"/>
              <w:rPr>
                <w:rFonts w:ascii="仿宋" w:hAnsi="仿宋"/>
                <w:color w:val="auto"/>
                <w:szCs w:val="21"/>
                <w:highlight w:val="none"/>
              </w:rPr>
            </w:pPr>
            <w:r>
              <w:rPr>
                <w:rFonts w:hint="eastAsia" w:ascii="仿宋" w:hAnsi="仿宋"/>
                <w:color w:val="auto"/>
                <w:szCs w:val="21"/>
                <w:highlight w:val="none"/>
              </w:rPr>
              <w:t>幅度范围 ≥159dB；</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2</w:t>
            </w:r>
            <w:r>
              <w:rPr>
                <w:rFonts w:ascii="仿宋" w:hAnsi="仿宋" w:cs="宋体"/>
                <w:color w:val="auto"/>
                <w:szCs w:val="21"/>
                <w:highlight w:val="none"/>
              </w:rPr>
              <w:t>.7</w:t>
            </w:r>
          </w:p>
        </w:tc>
        <w:tc>
          <w:tcPr>
            <w:tcW w:w="7971" w:type="dxa"/>
            <w:tcBorders>
              <w:top w:val="single" w:color="auto" w:sz="2" w:space="0"/>
              <w:bottom w:val="single" w:color="auto" w:sz="2" w:space="0"/>
            </w:tcBorders>
            <w:vAlign w:val="center"/>
          </w:tcPr>
          <w:p>
            <w:pPr>
              <w:rPr>
                <w:rFonts w:ascii="仿宋" w:hAnsi="仿宋"/>
                <w:color w:val="auto"/>
                <w:szCs w:val="21"/>
                <w:highlight w:val="none"/>
              </w:rPr>
            </w:pPr>
            <w:r>
              <w:rPr>
                <w:rFonts w:hint="eastAsia" w:ascii="仿宋" w:hAnsi="仿宋"/>
                <w:color w:val="auto"/>
                <w:szCs w:val="21"/>
                <w:highlight w:val="none"/>
              </w:rPr>
              <w:t>配有高频和低频两个线性功率放大器：高频≥50W；低频≥150W；</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3</w:t>
            </w:r>
          </w:p>
        </w:tc>
        <w:tc>
          <w:tcPr>
            <w:tcW w:w="7971" w:type="dxa"/>
            <w:tcBorders>
              <w:top w:val="single" w:color="auto" w:sz="2" w:space="0"/>
              <w:bottom w:val="single" w:color="auto" w:sz="2" w:space="0"/>
            </w:tcBorders>
            <w:vAlign w:val="center"/>
          </w:tcPr>
          <w:p>
            <w:pPr>
              <w:adjustRightInd w:val="0"/>
              <w:snapToGrid w:val="0"/>
              <w:ind w:firstLine="422"/>
              <w:rPr>
                <w:rFonts w:ascii="仿宋" w:hAnsi="仿宋"/>
                <w:b/>
                <w:color w:val="auto"/>
                <w:szCs w:val="21"/>
                <w:highlight w:val="none"/>
              </w:rPr>
            </w:pPr>
            <w:r>
              <w:rPr>
                <w:rFonts w:hint="eastAsia" w:ascii="仿宋" w:hAnsi="仿宋"/>
                <w:b/>
                <w:color w:val="auto"/>
                <w:szCs w:val="21"/>
                <w:highlight w:val="none"/>
              </w:rPr>
              <w:t xml:space="preserve">接收系统及进样： </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ascii="仿宋" w:hAnsi="仿宋"/>
                <w:color w:val="auto"/>
                <w:szCs w:val="21"/>
                <w:highlight w:val="none"/>
              </w:rPr>
              <w:t>▲</w:t>
            </w:r>
            <w:r>
              <w:rPr>
                <w:rFonts w:hint="eastAsia" w:ascii="仿宋" w:hAnsi="仿宋" w:cs="宋体"/>
                <w:color w:val="auto"/>
                <w:szCs w:val="21"/>
                <w:highlight w:val="none"/>
              </w:rPr>
              <w:t>3</w:t>
            </w:r>
            <w:r>
              <w:rPr>
                <w:rFonts w:ascii="仿宋" w:hAnsi="仿宋" w:cs="宋体"/>
                <w:color w:val="auto"/>
                <w:szCs w:val="21"/>
                <w:highlight w:val="none"/>
              </w:rPr>
              <w:t>.1</w:t>
            </w:r>
          </w:p>
        </w:tc>
        <w:tc>
          <w:tcPr>
            <w:tcW w:w="7971" w:type="dxa"/>
            <w:tcBorders>
              <w:top w:val="single" w:color="auto" w:sz="2" w:space="0"/>
              <w:bottom w:val="single" w:color="auto" w:sz="2" w:space="0"/>
            </w:tcBorders>
            <w:vAlign w:val="center"/>
          </w:tcPr>
          <w:p>
            <w:pPr>
              <w:adjustRightInd w:val="0"/>
              <w:snapToGrid w:val="0"/>
              <w:rPr>
                <w:rFonts w:ascii="仿宋" w:hAnsi="仿宋"/>
                <w:color w:val="auto"/>
                <w:szCs w:val="21"/>
                <w:highlight w:val="none"/>
              </w:rPr>
            </w:pPr>
            <w:r>
              <w:rPr>
                <w:rFonts w:hint="eastAsia" w:ascii="仿宋" w:hAnsi="仿宋"/>
                <w:color w:val="auto"/>
                <w:szCs w:val="21"/>
                <w:highlight w:val="none"/>
              </w:rPr>
              <w:t>采用数字正交接收器，最大谱宽为10MHz。</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3</w:t>
            </w:r>
            <w:r>
              <w:rPr>
                <w:rFonts w:ascii="仿宋" w:hAnsi="仿宋" w:cs="宋体"/>
                <w:color w:val="auto"/>
                <w:szCs w:val="21"/>
                <w:highlight w:val="none"/>
              </w:rPr>
              <w:t>.2</w:t>
            </w:r>
          </w:p>
        </w:tc>
        <w:tc>
          <w:tcPr>
            <w:tcW w:w="7971" w:type="dxa"/>
            <w:tcBorders>
              <w:top w:val="single" w:color="auto" w:sz="2" w:space="0"/>
              <w:bottom w:val="single" w:color="auto" w:sz="2" w:space="0"/>
            </w:tcBorders>
            <w:vAlign w:val="center"/>
          </w:tcPr>
          <w:p>
            <w:pPr>
              <w:adjustRightInd w:val="0"/>
              <w:snapToGrid w:val="0"/>
              <w:rPr>
                <w:rFonts w:ascii="仿宋" w:hAnsi="仿宋"/>
                <w:color w:val="auto"/>
                <w:szCs w:val="21"/>
                <w:highlight w:val="none"/>
              </w:rPr>
            </w:pPr>
            <w:r>
              <w:rPr>
                <w:rFonts w:hint="eastAsia" w:ascii="仿宋" w:hAnsi="仿宋"/>
                <w:color w:val="auto"/>
                <w:szCs w:val="21"/>
                <w:highlight w:val="none"/>
              </w:rPr>
              <w:t>可以独立控制实验进程，随时贮存采集的数据，即使工作站和谱仪断开连接，采集的数据不会丢失。</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ascii="仿宋" w:hAnsi="仿宋"/>
                <w:color w:val="auto"/>
                <w:szCs w:val="21"/>
                <w:highlight w:val="none"/>
              </w:rPr>
              <w:t>▲</w:t>
            </w:r>
            <w:r>
              <w:rPr>
                <w:rFonts w:hint="eastAsia" w:ascii="仿宋" w:hAnsi="仿宋" w:cs="宋体"/>
                <w:color w:val="auto"/>
                <w:szCs w:val="21"/>
                <w:highlight w:val="none"/>
              </w:rPr>
              <w:t>3</w:t>
            </w:r>
            <w:r>
              <w:rPr>
                <w:rFonts w:ascii="仿宋" w:hAnsi="仿宋" w:cs="宋体"/>
                <w:color w:val="auto"/>
                <w:szCs w:val="21"/>
                <w:highlight w:val="none"/>
              </w:rPr>
              <w:t>.3</w:t>
            </w:r>
          </w:p>
        </w:tc>
        <w:tc>
          <w:tcPr>
            <w:tcW w:w="7971" w:type="dxa"/>
            <w:tcBorders>
              <w:top w:val="single" w:color="auto" w:sz="2" w:space="0"/>
              <w:bottom w:val="single" w:color="auto" w:sz="2" w:space="0"/>
            </w:tcBorders>
            <w:vAlign w:val="center"/>
          </w:tcPr>
          <w:p>
            <w:pPr>
              <w:adjustRightInd w:val="0"/>
              <w:snapToGrid w:val="0"/>
              <w:rPr>
                <w:rFonts w:ascii="仿宋" w:hAnsi="仿宋"/>
                <w:color w:val="auto"/>
                <w:szCs w:val="21"/>
                <w:highlight w:val="none"/>
              </w:rPr>
            </w:pPr>
            <w:r>
              <w:rPr>
                <w:rFonts w:hint="eastAsia" w:ascii="仿宋" w:hAnsi="仿宋"/>
                <w:color w:val="auto"/>
                <w:szCs w:val="21"/>
                <w:highlight w:val="none"/>
              </w:rPr>
              <w:t>可实现自动及手动进样，自动进样器配有24个5mm转子，所有转子适用于低温（至少零度以下）、常温和高温（至少120度以上）实验。自动进样器在上述三种模式下均能正常工作。</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4</w:t>
            </w:r>
          </w:p>
        </w:tc>
        <w:tc>
          <w:tcPr>
            <w:tcW w:w="7971" w:type="dxa"/>
            <w:tcBorders>
              <w:top w:val="single" w:color="auto" w:sz="2" w:space="0"/>
              <w:bottom w:val="single" w:color="auto" w:sz="2" w:space="0"/>
            </w:tcBorders>
            <w:vAlign w:val="center"/>
          </w:tcPr>
          <w:p>
            <w:pPr>
              <w:adjustRightInd w:val="0"/>
              <w:snapToGrid w:val="0"/>
              <w:ind w:firstLine="422"/>
              <w:rPr>
                <w:rFonts w:ascii="仿宋" w:hAnsi="仿宋"/>
                <w:b/>
                <w:color w:val="auto"/>
                <w:szCs w:val="21"/>
                <w:highlight w:val="none"/>
              </w:rPr>
            </w:pPr>
            <w:r>
              <w:rPr>
                <w:rFonts w:hint="eastAsia" w:ascii="仿宋" w:hAnsi="仿宋"/>
                <w:b/>
                <w:color w:val="auto"/>
                <w:szCs w:val="21"/>
                <w:highlight w:val="none"/>
              </w:rPr>
              <w:t>氘数字锁场及梯度匀场系统</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4</w:t>
            </w:r>
            <w:r>
              <w:rPr>
                <w:rFonts w:ascii="仿宋" w:hAnsi="仿宋" w:cs="宋体"/>
                <w:color w:val="auto"/>
                <w:szCs w:val="21"/>
                <w:highlight w:val="none"/>
              </w:rPr>
              <w:t>.1</w:t>
            </w:r>
          </w:p>
        </w:tc>
        <w:tc>
          <w:tcPr>
            <w:tcW w:w="7971" w:type="dxa"/>
            <w:tcBorders>
              <w:top w:val="single" w:color="auto" w:sz="2" w:space="0"/>
              <w:bottom w:val="single" w:color="auto" w:sz="2" w:space="0"/>
            </w:tcBorders>
            <w:vAlign w:val="center"/>
          </w:tcPr>
          <w:p>
            <w:pPr>
              <w:adjustRightInd w:val="0"/>
              <w:snapToGrid w:val="0"/>
              <w:rPr>
                <w:rFonts w:ascii="仿宋" w:hAnsi="仿宋"/>
                <w:color w:val="auto"/>
                <w:szCs w:val="21"/>
                <w:highlight w:val="none"/>
              </w:rPr>
            </w:pPr>
            <w:r>
              <w:rPr>
                <w:rFonts w:hint="eastAsia" w:ascii="仿宋" w:hAnsi="仿宋"/>
                <w:color w:val="auto"/>
                <w:szCs w:val="21"/>
                <w:highlight w:val="none"/>
              </w:rPr>
              <w:t>氘数字锁场，精确的氘梯度自动匀场及手动匀场</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5</w:t>
            </w:r>
          </w:p>
        </w:tc>
        <w:tc>
          <w:tcPr>
            <w:tcW w:w="7971" w:type="dxa"/>
            <w:tcBorders>
              <w:top w:val="single" w:color="auto" w:sz="2" w:space="0"/>
              <w:bottom w:val="single" w:color="auto" w:sz="2" w:space="0"/>
            </w:tcBorders>
            <w:vAlign w:val="center"/>
          </w:tcPr>
          <w:p>
            <w:pPr>
              <w:adjustRightInd w:val="0"/>
              <w:snapToGrid w:val="0"/>
              <w:ind w:firstLine="422"/>
              <w:rPr>
                <w:rFonts w:ascii="仿宋" w:hAnsi="仿宋"/>
                <w:b/>
                <w:color w:val="auto"/>
                <w:szCs w:val="21"/>
                <w:highlight w:val="none"/>
              </w:rPr>
            </w:pPr>
            <w:r>
              <w:rPr>
                <w:rFonts w:hint="eastAsia" w:ascii="仿宋" w:hAnsi="仿宋"/>
                <w:b/>
                <w:color w:val="auto"/>
                <w:szCs w:val="21"/>
                <w:highlight w:val="none"/>
              </w:rPr>
              <w:t>梯度控制单元</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5</w:t>
            </w:r>
            <w:r>
              <w:rPr>
                <w:rFonts w:ascii="仿宋" w:hAnsi="仿宋" w:cs="宋体"/>
                <w:color w:val="auto"/>
                <w:szCs w:val="21"/>
                <w:highlight w:val="none"/>
              </w:rPr>
              <w:t>.1</w:t>
            </w:r>
          </w:p>
        </w:tc>
        <w:tc>
          <w:tcPr>
            <w:tcW w:w="7971" w:type="dxa"/>
            <w:tcBorders>
              <w:top w:val="single" w:color="auto" w:sz="2" w:space="0"/>
              <w:bottom w:val="single" w:color="auto" w:sz="2" w:space="0"/>
            </w:tcBorders>
            <w:vAlign w:val="center"/>
          </w:tcPr>
          <w:p>
            <w:pPr>
              <w:adjustRightInd w:val="0"/>
              <w:snapToGrid w:val="0"/>
              <w:rPr>
                <w:rFonts w:ascii="仿宋" w:hAnsi="仿宋"/>
                <w:color w:val="auto"/>
                <w:szCs w:val="21"/>
                <w:highlight w:val="none"/>
              </w:rPr>
            </w:pPr>
            <w:r>
              <w:rPr>
                <w:rFonts w:hint="eastAsia" w:ascii="仿宋" w:hAnsi="仿宋"/>
                <w:color w:val="auto"/>
                <w:szCs w:val="21"/>
                <w:highlight w:val="none"/>
              </w:rPr>
              <w:t>梯度场最大强度 ≥ 30G/cm</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6</w:t>
            </w:r>
          </w:p>
        </w:tc>
        <w:tc>
          <w:tcPr>
            <w:tcW w:w="7971" w:type="dxa"/>
            <w:tcBorders>
              <w:top w:val="single" w:color="auto" w:sz="2" w:space="0"/>
              <w:bottom w:val="single" w:color="auto" w:sz="2" w:space="0"/>
            </w:tcBorders>
            <w:vAlign w:val="center"/>
          </w:tcPr>
          <w:p>
            <w:pPr>
              <w:adjustRightInd w:val="0"/>
              <w:snapToGrid w:val="0"/>
              <w:ind w:firstLine="422"/>
              <w:rPr>
                <w:rFonts w:ascii="仿宋" w:hAnsi="仿宋"/>
                <w:b/>
                <w:color w:val="auto"/>
                <w:szCs w:val="21"/>
                <w:highlight w:val="none"/>
              </w:rPr>
            </w:pPr>
            <w:r>
              <w:rPr>
                <w:rFonts w:hint="eastAsia" w:ascii="仿宋" w:hAnsi="仿宋"/>
                <w:b/>
                <w:color w:val="auto"/>
                <w:szCs w:val="21"/>
                <w:highlight w:val="none"/>
              </w:rPr>
              <w:t>变温控制单元</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6</w:t>
            </w:r>
            <w:r>
              <w:rPr>
                <w:rFonts w:ascii="仿宋" w:hAnsi="仿宋" w:cs="宋体"/>
                <w:color w:val="auto"/>
                <w:szCs w:val="21"/>
                <w:highlight w:val="none"/>
              </w:rPr>
              <w:t>.1</w:t>
            </w:r>
          </w:p>
        </w:tc>
        <w:tc>
          <w:tcPr>
            <w:tcW w:w="7971" w:type="dxa"/>
            <w:tcBorders>
              <w:top w:val="single" w:color="auto" w:sz="2" w:space="0"/>
              <w:bottom w:val="single" w:color="auto" w:sz="2" w:space="0"/>
            </w:tcBorders>
            <w:vAlign w:val="center"/>
          </w:tcPr>
          <w:p>
            <w:pPr>
              <w:adjustRightInd w:val="0"/>
              <w:snapToGrid w:val="0"/>
              <w:rPr>
                <w:rFonts w:ascii="仿宋" w:hAnsi="仿宋"/>
                <w:color w:val="auto"/>
                <w:szCs w:val="21"/>
                <w:highlight w:val="none"/>
              </w:rPr>
            </w:pPr>
            <w:r>
              <w:rPr>
                <w:rFonts w:hint="eastAsia" w:ascii="仿宋" w:hAnsi="仿宋"/>
                <w:color w:val="auto"/>
                <w:szCs w:val="21"/>
                <w:highlight w:val="none"/>
              </w:rPr>
              <w:t>控温范围：-170℃ 至 +250℃，精度：0.1°C</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6</w:t>
            </w:r>
            <w:r>
              <w:rPr>
                <w:rFonts w:ascii="仿宋" w:hAnsi="仿宋" w:cs="宋体"/>
                <w:color w:val="auto"/>
                <w:szCs w:val="21"/>
                <w:highlight w:val="none"/>
              </w:rPr>
              <w:t>.2</w:t>
            </w:r>
          </w:p>
        </w:tc>
        <w:tc>
          <w:tcPr>
            <w:tcW w:w="7971" w:type="dxa"/>
            <w:tcBorders>
              <w:top w:val="single" w:color="auto" w:sz="2" w:space="0"/>
              <w:bottom w:val="single" w:color="auto" w:sz="2" w:space="0"/>
            </w:tcBorders>
            <w:vAlign w:val="center"/>
          </w:tcPr>
          <w:p>
            <w:pPr>
              <w:adjustRightInd w:val="0"/>
              <w:snapToGrid w:val="0"/>
              <w:rPr>
                <w:rFonts w:ascii="仿宋" w:hAnsi="仿宋"/>
                <w:color w:val="auto"/>
                <w:szCs w:val="21"/>
                <w:highlight w:val="none"/>
              </w:rPr>
            </w:pPr>
            <w:r>
              <w:rPr>
                <w:rFonts w:hint="eastAsia" w:ascii="仿宋" w:hAnsi="仿宋"/>
                <w:color w:val="auto"/>
                <w:szCs w:val="21"/>
                <w:highlight w:val="none"/>
              </w:rPr>
              <w:t>进口液氮低温杜瓦（≥ 10L）及全套附件</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7</w:t>
            </w:r>
          </w:p>
        </w:tc>
        <w:tc>
          <w:tcPr>
            <w:tcW w:w="7971" w:type="dxa"/>
            <w:tcBorders>
              <w:top w:val="single" w:color="auto" w:sz="2" w:space="0"/>
              <w:bottom w:val="single" w:color="auto" w:sz="2" w:space="0"/>
            </w:tcBorders>
            <w:vAlign w:val="center"/>
          </w:tcPr>
          <w:p>
            <w:pPr>
              <w:adjustRightInd w:val="0"/>
              <w:snapToGrid w:val="0"/>
              <w:ind w:firstLine="422"/>
              <w:rPr>
                <w:rFonts w:ascii="仿宋" w:hAnsi="仿宋"/>
                <w:b/>
                <w:color w:val="auto"/>
                <w:szCs w:val="21"/>
                <w:highlight w:val="none"/>
              </w:rPr>
            </w:pPr>
            <w:r>
              <w:rPr>
                <w:rFonts w:hint="eastAsia" w:ascii="仿宋" w:hAnsi="仿宋"/>
                <w:b/>
                <w:color w:val="auto"/>
                <w:szCs w:val="21"/>
                <w:highlight w:val="none"/>
              </w:rPr>
              <w:t>探头:</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7</w:t>
            </w:r>
            <w:r>
              <w:rPr>
                <w:rFonts w:ascii="仿宋" w:hAnsi="仿宋" w:cs="宋体"/>
                <w:color w:val="auto"/>
                <w:szCs w:val="21"/>
                <w:highlight w:val="none"/>
              </w:rPr>
              <w:t>.1</w:t>
            </w:r>
          </w:p>
        </w:tc>
        <w:tc>
          <w:tcPr>
            <w:tcW w:w="7971" w:type="dxa"/>
            <w:tcBorders>
              <w:top w:val="single" w:color="auto" w:sz="2" w:space="0"/>
              <w:bottom w:val="single" w:color="auto" w:sz="2" w:space="0"/>
            </w:tcBorders>
            <w:vAlign w:val="center"/>
          </w:tcPr>
          <w:p>
            <w:pPr>
              <w:adjustRightInd w:val="0"/>
              <w:snapToGrid w:val="0"/>
              <w:rPr>
                <w:rFonts w:ascii="仿宋" w:hAnsi="仿宋"/>
                <w:color w:val="auto"/>
                <w:szCs w:val="21"/>
                <w:highlight w:val="none"/>
              </w:rPr>
            </w:pPr>
            <w:r>
              <w:rPr>
                <w:rFonts w:hint="eastAsia" w:ascii="仿宋" w:hAnsi="仿宋"/>
                <w:color w:val="auto"/>
                <w:szCs w:val="21"/>
                <w:highlight w:val="none"/>
              </w:rPr>
              <w:t>5 mm 自动调谐宽带探头，具有自屏蔽Z方向梯度场</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ascii="仿宋" w:hAnsi="仿宋"/>
                <w:color w:val="auto"/>
                <w:szCs w:val="21"/>
                <w:highlight w:val="none"/>
              </w:rPr>
              <w:t>▲</w:t>
            </w:r>
            <w:r>
              <w:rPr>
                <w:rFonts w:hint="eastAsia" w:ascii="仿宋" w:hAnsi="仿宋" w:cs="宋体"/>
                <w:color w:val="auto"/>
                <w:szCs w:val="21"/>
                <w:highlight w:val="none"/>
              </w:rPr>
              <w:t>7</w:t>
            </w:r>
            <w:r>
              <w:rPr>
                <w:rFonts w:ascii="仿宋" w:hAnsi="仿宋" w:cs="宋体"/>
                <w:color w:val="auto"/>
                <w:szCs w:val="21"/>
                <w:highlight w:val="none"/>
              </w:rPr>
              <w:t>.2</w:t>
            </w:r>
          </w:p>
        </w:tc>
        <w:tc>
          <w:tcPr>
            <w:tcW w:w="7971" w:type="dxa"/>
            <w:tcBorders>
              <w:top w:val="single" w:color="auto" w:sz="2" w:space="0"/>
              <w:bottom w:val="single" w:color="auto" w:sz="2" w:space="0"/>
            </w:tcBorders>
            <w:vAlign w:val="center"/>
          </w:tcPr>
          <w:p>
            <w:pPr>
              <w:adjustRightInd w:val="0"/>
              <w:snapToGrid w:val="0"/>
              <w:rPr>
                <w:rFonts w:ascii="仿宋" w:hAnsi="仿宋"/>
                <w:color w:val="auto"/>
                <w:szCs w:val="21"/>
                <w:highlight w:val="none"/>
              </w:rPr>
            </w:pPr>
            <w:r>
              <w:rPr>
                <w:rFonts w:hint="eastAsia" w:ascii="仿宋" w:hAnsi="仿宋"/>
                <w:color w:val="auto"/>
                <w:szCs w:val="21"/>
                <w:highlight w:val="none"/>
              </w:rPr>
              <w:t>检测核范围：1H；19F；13C；杂核（共振频率在31P – 15N之间的核）；</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7</w:t>
            </w:r>
            <w:r>
              <w:rPr>
                <w:rFonts w:ascii="仿宋" w:hAnsi="仿宋" w:cs="宋体"/>
                <w:color w:val="auto"/>
                <w:szCs w:val="21"/>
                <w:highlight w:val="none"/>
              </w:rPr>
              <w:t>.3</w:t>
            </w:r>
          </w:p>
        </w:tc>
        <w:tc>
          <w:tcPr>
            <w:tcW w:w="7971" w:type="dxa"/>
            <w:tcBorders>
              <w:top w:val="single" w:color="auto" w:sz="2" w:space="0"/>
              <w:bottom w:val="single" w:color="auto" w:sz="2" w:space="0"/>
            </w:tcBorders>
            <w:vAlign w:val="center"/>
          </w:tcPr>
          <w:p>
            <w:pPr>
              <w:adjustRightInd w:val="0"/>
              <w:snapToGrid w:val="0"/>
              <w:rPr>
                <w:rFonts w:ascii="仿宋" w:hAnsi="仿宋"/>
                <w:color w:val="auto"/>
                <w:szCs w:val="21"/>
                <w:highlight w:val="none"/>
              </w:rPr>
            </w:pPr>
            <w:r>
              <w:rPr>
                <w:rFonts w:hint="eastAsia" w:ascii="仿宋" w:hAnsi="仿宋"/>
                <w:color w:val="auto"/>
                <w:szCs w:val="21"/>
                <w:highlight w:val="none"/>
              </w:rPr>
              <w:t>可以测量2H（氘），满足示踪检测的应用需要</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7</w:t>
            </w:r>
            <w:r>
              <w:rPr>
                <w:rFonts w:ascii="仿宋" w:hAnsi="仿宋" w:cs="宋体"/>
                <w:color w:val="auto"/>
                <w:szCs w:val="21"/>
                <w:highlight w:val="none"/>
              </w:rPr>
              <w:t>.4</w:t>
            </w:r>
          </w:p>
        </w:tc>
        <w:tc>
          <w:tcPr>
            <w:tcW w:w="7971" w:type="dxa"/>
            <w:tcBorders>
              <w:top w:val="single" w:color="auto" w:sz="2" w:space="0"/>
              <w:bottom w:val="single" w:color="auto" w:sz="2" w:space="0"/>
            </w:tcBorders>
            <w:vAlign w:val="center"/>
          </w:tcPr>
          <w:p>
            <w:pPr>
              <w:adjustRightInd w:val="0"/>
              <w:snapToGrid w:val="0"/>
              <w:rPr>
                <w:rFonts w:ascii="仿宋" w:hAnsi="仿宋"/>
                <w:color w:val="auto"/>
                <w:szCs w:val="21"/>
                <w:highlight w:val="none"/>
              </w:rPr>
            </w:pPr>
            <w:r>
              <w:rPr>
                <w:rFonts w:hint="eastAsia" w:ascii="仿宋" w:hAnsi="仿宋"/>
                <w:color w:val="auto"/>
                <w:szCs w:val="21"/>
                <w:highlight w:val="none"/>
              </w:rPr>
              <w:t>信噪比：</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7</w:t>
            </w:r>
            <w:r>
              <w:rPr>
                <w:rFonts w:ascii="仿宋" w:hAnsi="仿宋" w:cs="宋体"/>
                <w:color w:val="auto"/>
                <w:szCs w:val="21"/>
                <w:highlight w:val="none"/>
              </w:rPr>
              <w:t>.4.1</w:t>
            </w:r>
          </w:p>
        </w:tc>
        <w:tc>
          <w:tcPr>
            <w:tcW w:w="7971" w:type="dxa"/>
            <w:tcBorders>
              <w:top w:val="single" w:color="auto" w:sz="2" w:space="0"/>
              <w:bottom w:val="single" w:color="auto" w:sz="2" w:space="0"/>
            </w:tcBorders>
            <w:vAlign w:val="center"/>
          </w:tcPr>
          <w:p>
            <w:pPr>
              <w:adjustRightInd w:val="0"/>
              <w:snapToGrid w:val="0"/>
              <w:rPr>
                <w:rFonts w:ascii="仿宋" w:hAnsi="仿宋"/>
                <w:color w:val="auto"/>
                <w:szCs w:val="21"/>
                <w:highlight w:val="none"/>
              </w:rPr>
            </w:pPr>
            <w:r>
              <w:rPr>
                <w:rFonts w:hint="eastAsia" w:ascii="仿宋" w:hAnsi="仿宋"/>
                <w:color w:val="auto"/>
                <w:szCs w:val="21"/>
                <w:highlight w:val="none"/>
              </w:rPr>
              <w:t xml:space="preserve">1H≥ </w:t>
            </w:r>
            <w:r>
              <w:rPr>
                <w:rFonts w:ascii="仿宋" w:hAnsi="仿宋"/>
                <w:color w:val="auto"/>
                <w:szCs w:val="21"/>
                <w:highlight w:val="none"/>
              </w:rPr>
              <w:t>6</w:t>
            </w:r>
            <w:r>
              <w:rPr>
                <w:rFonts w:hint="eastAsia" w:ascii="仿宋" w:hAnsi="仿宋"/>
                <w:color w:val="auto"/>
                <w:szCs w:val="21"/>
                <w:highlight w:val="none"/>
              </w:rPr>
              <w:t>00：1(0.1%EB, 555-pp或相同壁厚样品管，一次扫描）</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7</w:t>
            </w:r>
            <w:r>
              <w:rPr>
                <w:rFonts w:ascii="仿宋" w:hAnsi="仿宋" w:cs="宋体"/>
                <w:color w:val="auto"/>
                <w:szCs w:val="21"/>
                <w:highlight w:val="none"/>
              </w:rPr>
              <w:t>.4.2</w:t>
            </w:r>
          </w:p>
        </w:tc>
        <w:tc>
          <w:tcPr>
            <w:tcW w:w="7971" w:type="dxa"/>
            <w:tcBorders>
              <w:top w:val="single" w:color="auto" w:sz="2" w:space="0"/>
              <w:bottom w:val="single" w:color="auto" w:sz="2" w:space="0"/>
            </w:tcBorders>
            <w:vAlign w:val="center"/>
          </w:tcPr>
          <w:p>
            <w:pPr>
              <w:adjustRightInd w:val="0"/>
              <w:snapToGrid w:val="0"/>
              <w:rPr>
                <w:rFonts w:ascii="仿宋" w:hAnsi="仿宋"/>
                <w:color w:val="auto"/>
                <w:szCs w:val="21"/>
                <w:highlight w:val="none"/>
              </w:rPr>
            </w:pPr>
            <w:r>
              <w:rPr>
                <w:rFonts w:hint="eastAsia" w:ascii="仿宋" w:hAnsi="仿宋"/>
                <w:color w:val="auto"/>
                <w:szCs w:val="21"/>
                <w:highlight w:val="none"/>
              </w:rPr>
              <w:t>13C≥ 2</w:t>
            </w:r>
            <w:r>
              <w:rPr>
                <w:rFonts w:ascii="仿宋" w:hAnsi="仿宋"/>
                <w:color w:val="auto"/>
                <w:szCs w:val="21"/>
                <w:highlight w:val="none"/>
              </w:rPr>
              <w:t>7</w:t>
            </w:r>
            <w:r>
              <w:rPr>
                <w:rFonts w:hint="eastAsia" w:ascii="仿宋" w:hAnsi="仿宋"/>
                <w:color w:val="auto"/>
                <w:szCs w:val="21"/>
                <w:highlight w:val="none"/>
              </w:rPr>
              <w:t>0：1(10%EB, 555-pp或相同壁厚样品管，一次扫描）</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7</w:t>
            </w:r>
            <w:r>
              <w:rPr>
                <w:rFonts w:ascii="仿宋" w:hAnsi="仿宋" w:cs="宋体"/>
                <w:color w:val="auto"/>
                <w:szCs w:val="21"/>
                <w:highlight w:val="none"/>
              </w:rPr>
              <w:t>.4.3</w:t>
            </w:r>
          </w:p>
        </w:tc>
        <w:tc>
          <w:tcPr>
            <w:tcW w:w="7971" w:type="dxa"/>
            <w:tcBorders>
              <w:top w:val="single" w:color="auto" w:sz="2" w:space="0"/>
              <w:bottom w:val="single" w:color="auto" w:sz="2" w:space="0"/>
            </w:tcBorders>
            <w:vAlign w:val="center"/>
          </w:tcPr>
          <w:p>
            <w:pPr>
              <w:adjustRightInd w:val="0"/>
              <w:snapToGrid w:val="0"/>
              <w:rPr>
                <w:rFonts w:ascii="仿宋" w:hAnsi="仿宋"/>
                <w:color w:val="auto"/>
                <w:szCs w:val="21"/>
                <w:highlight w:val="none"/>
              </w:rPr>
            </w:pPr>
            <w:r>
              <w:rPr>
                <w:rFonts w:hint="eastAsia" w:ascii="仿宋" w:hAnsi="仿宋"/>
                <w:color w:val="auto"/>
                <w:szCs w:val="21"/>
                <w:highlight w:val="none"/>
              </w:rPr>
              <w:t>31P≥ 1</w:t>
            </w:r>
            <w:r>
              <w:rPr>
                <w:rFonts w:ascii="仿宋" w:hAnsi="仿宋"/>
                <w:color w:val="auto"/>
                <w:szCs w:val="21"/>
                <w:highlight w:val="none"/>
              </w:rPr>
              <w:t>1</w:t>
            </w:r>
            <w:r>
              <w:rPr>
                <w:rFonts w:hint="eastAsia" w:ascii="仿宋" w:hAnsi="仿宋"/>
                <w:color w:val="auto"/>
                <w:szCs w:val="21"/>
                <w:highlight w:val="none"/>
              </w:rPr>
              <w:t>0：1(0.0485M TPP, 535-pp或相同壁厚样品管，一次扫描)</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7</w:t>
            </w:r>
            <w:r>
              <w:rPr>
                <w:rFonts w:ascii="仿宋" w:hAnsi="仿宋" w:cs="宋体"/>
                <w:color w:val="auto"/>
                <w:szCs w:val="21"/>
                <w:highlight w:val="none"/>
              </w:rPr>
              <w:t>.4.4</w:t>
            </w:r>
          </w:p>
        </w:tc>
        <w:tc>
          <w:tcPr>
            <w:tcW w:w="7971" w:type="dxa"/>
            <w:tcBorders>
              <w:top w:val="single" w:color="auto" w:sz="2" w:space="0"/>
              <w:bottom w:val="single" w:color="auto" w:sz="2" w:space="0"/>
            </w:tcBorders>
            <w:vAlign w:val="center"/>
          </w:tcPr>
          <w:p>
            <w:pPr>
              <w:adjustRightInd w:val="0"/>
              <w:snapToGrid w:val="0"/>
              <w:rPr>
                <w:rFonts w:ascii="仿宋" w:hAnsi="仿宋"/>
                <w:color w:val="auto"/>
                <w:szCs w:val="21"/>
                <w:highlight w:val="none"/>
              </w:rPr>
            </w:pPr>
            <w:r>
              <w:rPr>
                <w:rFonts w:hint="eastAsia" w:ascii="仿宋" w:hAnsi="仿宋"/>
                <w:color w:val="auto"/>
                <w:szCs w:val="21"/>
                <w:highlight w:val="none"/>
              </w:rPr>
              <w:t>15N≥ 3</w:t>
            </w:r>
            <w:r>
              <w:rPr>
                <w:rFonts w:ascii="仿宋" w:hAnsi="仿宋"/>
                <w:color w:val="auto"/>
                <w:szCs w:val="21"/>
                <w:highlight w:val="none"/>
              </w:rPr>
              <w:t>5</w:t>
            </w:r>
            <w:r>
              <w:rPr>
                <w:rFonts w:hint="eastAsia" w:ascii="仿宋" w:hAnsi="仿宋"/>
                <w:color w:val="auto"/>
                <w:szCs w:val="21"/>
                <w:highlight w:val="none"/>
              </w:rPr>
              <w:t>：1(90% Formamide, 535-pp或相同壁厚样品管，一次扫描）</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7</w:t>
            </w:r>
            <w:r>
              <w:rPr>
                <w:rFonts w:ascii="仿宋" w:hAnsi="仿宋" w:cs="宋体"/>
                <w:color w:val="auto"/>
                <w:szCs w:val="21"/>
                <w:highlight w:val="none"/>
              </w:rPr>
              <w:t>.4.5</w:t>
            </w:r>
          </w:p>
        </w:tc>
        <w:tc>
          <w:tcPr>
            <w:tcW w:w="7971" w:type="dxa"/>
            <w:tcBorders>
              <w:top w:val="single" w:color="auto" w:sz="2" w:space="0"/>
              <w:bottom w:val="single" w:color="auto" w:sz="2" w:space="0"/>
            </w:tcBorders>
            <w:vAlign w:val="center"/>
          </w:tcPr>
          <w:p>
            <w:pPr>
              <w:adjustRightInd w:val="0"/>
              <w:snapToGrid w:val="0"/>
              <w:rPr>
                <w:rFonts w:ascii="仿宋" w:hAnsi="仿宋"/>
                <w:color w:val="auto"/>
                <w:szCs w:val="21"/>
                <w:highlight w:val="none"/>
              </w:rPr>
            </w:pPr>
            <w:r>
              <w:rPr>
                <w:rFonts w:hint="eastAsia" w:ascii="仿宋" w:hAnsi="仿宋"/>
                <w:color w:val="auto"/>
                <w:szCs w:val="21"/>
                <w:highlight w:val="none"/>
              </w:rPr>
              <w:t xml:space="preserve">19F≥ </w:t>
            </w:r>
            <w:r>
              <w:rPr>
                <w:rFonts w:ascii="仿宋" w:hAnsi="仿宋"/>
                <w:color w:val="auto"/>
                <w:szCs w:val="21"/>
                <w:highlight w:val="none"/>
              </w:rPr>
              <w:t>60</w:t>
            </w:r>
            <w:r>
              <w:rPr>
                <w:rFonts w:hint="eastAsia" w:ascii="仿宋" w:hAnsi="仿宋"/>
                <w:color w:val="auto"/>
                <w:szCs w:val="21"/>
                <w:highlight w:val="none"/>
              </w:rPr>
              <w:t>0：1(0.05% TFT,一次扫描)</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7</w:t>
            </w:r>
            <w:r>
              <w:rPr>
                <w:rFonts w:ascii="仿宋" w:hAnsi="仿宋" w:cs="宋体"/>
                <w:color w:val="auto"/>
                <w:szCs w:val="21"/>
                <w:highlight w:val="none"/>
              </w:rPr>
              <w:t>.5</w:t>
            </w:r>
          </w:p>
        </w:tc>
        <w:tc>
          <w:tcPr>
            <w:tcW w:w="7971" w:type="dxa"/>
            <w:tcBorders>
              <w:top w:val="single" w:color="auto" w:sz="2" w:space="0"/>
              <w:bottom w:val="single" w:color="auto" w:sz="2" w:space="0"/>
            </w:tcBorders>
            <w:vAlign w:val="center"/>
          </w:tcPr>
          <w:p>
            <w:pPr>
              <w:adjustRightInd w:val="0"/>
              <w:snapToGrid w:val="0"/>
              <w:rPr>
                <w:rFonts w:ascii="仿宋" w:hAnsi="仿宋"/>
                <w:color w:val="auto"/>
                <w:szCs w:val="21"/>
                <w:highlight w:val="none"/>
              </w:rPr>
            </w:pPr>
            <w:r>
              <w:rPr>
                <w:rFonts w:hint="eastAsia" w:ascii="仿宋" w:hAnsi="仿宋"/>
                <w:color w:val="auto"/>
                <w:szCs w:val="21"/>
                <w:highlight w:val="none"/>
              </w:rPr>
              <w:t>分辨率和线形：1H spinning ≤0.</w:t>
            </w:r>
            <w:r>
              <w:rPr>
                <w:rFonts w:ascii="仿宋" w:hAnsi="仿宋"/>
                <w:color w:val="auto"/>
                <w:szCs w:val="21"/>
                <w:highlight w:val="none"/>
              </w:rPr>
              <w:t>5</w:t>
            </w:r>
            <w:r>
              <w:rPr>
                <w:rFonts w:hint="eastAsia" w:ascii="仿宋" w:hAnsi="仿宋"/>
                <w:color w:val="auto"/>
                <w:szCs w:val="21"/>
                <w:highlight w:val="none"/>
              </w:rPr>
              <w:t xml:space="preserve">/6/12Hz (50%/0.55%/0.11%,  CHCl3) </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7</w:t>
            </w:r>
            <w:r>
              <w:rPr>
                <w:rFonts w:ascii="仿宋" w:hAnsi="仿宋" w:cs="宋体"/>
                <w:color w:val="auto"/>
                <w:szCs w:val="21"/>
                <w:highlight w:val="none"/>
              </w:rPr>
              <w:t>.6</w:t>
            </w:r>
          </w:p>
        </w:tc>
        <w:tc>
          <w:tcPr>
            <w:tcW w:w="7971" w:type="dxa"/>
            <w:tcBorders>
              <w:top w:val="single" w:color="auto" w:sz="2" w:space="0"/>
              <w:bottom w:val="single" w:color="auto" w:sz="2" w:space="0"/>
            </w:tcBorders>
            <w:vAlign w:val="center"/>
          </w:tcPr>
          <w:p>
            <w:pPr>
              <w:adjustRightInd w:val="0"/>
              <w:snapToGrid w:val="0"/>
              <w:rPr>
                <w:rFonts w:ascii="仿宋" w:hAnsi="仿宋"/>
                <w:color w:val="auto"/>
                <w:szCs w:val="21"/>
                <w:highlight w:val="none"/>
              </w:rPr>
            </w:pPr>
            <w:r>
              <w:rPr>
                <w:rFonts w:hint="eastAsia" w:ascii="仿宋" w:hAnsi="仿宋"/>
                <w:color w:val="auto"/>
                <w:szCs w:val="21"/>
                <w:highlight w:val="none"/>
              </w:rPr>
              <w:t>探头变温范围：-100℃ - +150℃</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ascii="仿宋" w:hAnsi="仿宋"/>
                <w:color w:val="auto"/>
                <w:szCs w:val="21"/>
                <w:highlight w:val="none"/>
              </w:rPr>
              <w:t>▲</w:t>
            </w:r>
            <w:r>
              <w:rPr>
                <w:rFonts w:hint="eastAsia" w:ascii="仿宋" w:hAnsi="仿宋" w:cs="宋体"/>
                <w:color w:val="auto"/>
                <w:szCs w:val="21"/>
                <w:highlight w:val="none"/>
              </w:rPr>
              <w:t>7</w:t>
            </w:r>
            <w:r>
              <w:rPr>
                <w:rFonts w:ascii="仿宋" w:hAnsi="仿宋" w:cs="宋体"/>
                <w:color w:val="auto"/>
                <w:szCs w:val="21"/>
                <w:highlight w:val="none"/>
              </w:rPr>
              <w:t>.7</w:t>
            </w:r>
          </w:p>
        </w:tc>
        <w:tc>
          <w:tcPr>
            <w:tcW w:w="7971" w:type="dxa"/>
            <w:tcBorders>
              <w:top w:val="single" w:color="auto" w:sz="2" w:space="0"/>
              <w:bottom w:val="single" w:color="auto" w:sz="2" w:space="0"/>
            </w:tcBorders>
            <w:vAlign w:val="center"/>
          </w:tcPr>
          <w:p>
            <w:pPr>
              <w:adjustRightInd w:val="0"/>
              <w:snapToGrid w:val="0"/>
              <w:rPr>
                <w:rFonts w:ascii="仿宋" w:hAnsi="仿宋"/>
                <w:color w:val="auto"/>
                <w:szCs w:val="21"/>
                <w:highlight w:val="none"/>
              </w:rPr>
            </w:pPr>
            <w:bookmarkStart w:id="37" w:name="_Hlk128396615"/>
            <w:r>
              <w:rPr>
                <w:rFonts w:hint="eastAsia" w:ascii="仿宋" w:hAnsi="仿宋"/>
                <w:color w:val="auto"/>
                <w:szCs w:val="21"/>
                <w:highlight w:val="none"/>
              </w:rPr>
              <w:t>探头配有所有观测核种的自动调谐与匹配附件；测定碳谱时，可以对氟去耦。</w:t>
            </w:r>
            <w:bookmarkEnd w:id="37"/>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7</w:t>
            </w:r>
            <w:r>
              <w:rPr>
                <w:rFonts w:ascii="仿宋" w:hAnsi="仿宋" w:cs="宋体"/>
                <w:color w:val="auto"/>
                <w:szCs w:val="21"/>
                <w:highlight w:val="none"/>
              </w:rPr>
              <w:t>.8</w:t>
            </w:r>
          </w:p>
        </w:tc>
        <w:tc>
          <w:tcPr>
            <w:tcW w:w="7971" w:type="dxa"/>
            <w:tcBorders>
              <w:top w:val="single" w:color="auto" w:sz="2" w:space="0"/>
              <w:bottom w:val="single" w:color="auto" w:sz="2" w:space="0"/>
            </w:tcBorders>
            <w:vAlign w:val="center"/>
          </w:tcPr>
          <w:p>
            <w:pPr>
              <w:adjustRightInd w:val="0"/>
              <w:snapToGrid w:val="0"/>
              <w:rPr>
                <w:rFonts w:ascii="仿宋" w:hAnsi="仿宋"/>
                <w:color w:val="auto"/>
                <w:szCs w:val="21"/>
                <w:highlight w:val="none"/>
              </w:rPr>
            </w:pPr>
            <w:bookmarkStart w:id="38" w:name="_Hlk128396629"/>
            <w:r>
              <w:rPr>
                <w:rFonts w:hint="eastAsia" w:ascii="仿宋" w:hAnsi="仿宋"/>
                <w:color w:val="auto"/>
                <w:szCs w:val="21"/>
                <w:highlight w:val="none"/>
              </w:rPr>
              <w:t>探头采用折返式气路设计，高温气体不会直接吹至转子。</w:t>
            </w:r>
            <w:bookmarkEnd w:id="38"/>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ascii="仿宋" w:hAnsi="仿宋"/>
                <w:color w:val="auto"/>
                <w:szCs w:val="21"/>
                <w:highlight w:val="none"/>
              </w:rPr>
              <w:t>▲</w:t>
            </w:r>
            <w:r>
              <w:rPr>
                <w:rFonts w:hint="eastAsia" w:ascii="仿宋" w:hAnsi="仿宋" w:cs="宋体"/>
                <w:color w:val="auto"/>
                <w:szCs w:val="21"/>
                <w:highlight w:val="none"/>
              </w:rPr>
              <w:t>7</w:t>
            </w:r>
            <w:r>
              <w:rPr>
                <w:rFonts w:ascii="仿宋" w:hAnsi="仿宋" w:cs="宋体"/>
                <w:color w:val="auto"/>
                <w:szCs w:val="21"/>
                <w:highlight w:val="none"/>
              </w:rPr>
              <w:t>.9</w:t>
            </w:r>
          </w:p>
        </w:tc>
        <w:tc>
          <w:tcPr>
            <w:tcW w:w="7971" w:type="dxa"/>
            <w:tcBorders>
              <w:top w:val="single" w:color="auto" w:sz="2" w:space="0"/>
              <w:bottom w:val="single" w:color="auto" w:sz="2" w:space="0"/>
            </w:tcBorders>
            <w:vAlign w:val="center"/>
          </w:tcPr>
          <w:p>
            <w:pPr>
              <w:adjustRightInd w:val="0"/>
              <w:snapToGrid w:val="0"/>
              <w:rPr>
                <w:rFonts w:ascii="仿宋" w:hAnsi="仿宋"/>
                <w:color w:val="auto"/>
                <w:kern w:val="0"/>
                <w:szCs w:val="21"/>
                <w:highlight w:val="none"/>
              </w:rPr>
            </w:pPr>
            <w:bookmarkStart w:id="39" w:name="_Hlk128396643"/>
            <w:r>
              <w:rPr>
                <w:rFonts w:hint="eastAsia" w:ascii="仿宋" w:hAnsi="仿宋"/>
                <w:color w:val="auto"/>
                <w:szCs w:val="21"/>
                <w:highlight w:val="none"/>
              </w:rPr>
              <w:t>测试样品加热到100°C以上时，无需额外的氮气吹扫冷却，也无需更换的转子，仅通过计算机选择测试温度即可完成室温到+150°C的变温测试。</w:t>
            </w:r>
            <w:bookmarkEnd w:id="39"/>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8</w:t>
            </w:r>
          </w:p>
        </w:tc>
        <w:tc>
          <w:tcPr>
            <w:tcW w:w="7971" w:type="dxa"/>
            <w:tcBorders>
              <w:top w:val="single" w:color="auto" w:sz="2" w:space="0"/>
              <w:bottom w:val="single" w:color="auto" w:sz="2" w:space="0"/>
            </w:tcBorders>
            <w:vAlign w:val="center"/>
          </w:tcPr>
          <w:p>
            <w:pPr>
              <w:adjustRightInd w:val="0"/>
              <w:snapToGrid w:val="0"/>
              <w:ind w:firstLine="422"/>
              <w:rPr>
                <w:rFonts w:ascii="仿宋" w:hAnsi="仿宋"/>
                <w:b/>
                <w:color w:val="auto"/>
                <w:szCs w:val="21"/>
                <w:highlight w:val="none"/>
              </w:rPr>
            </w:pPr>
            <w:r>
              <w:rPr>
                <w:rFonts w:hint="eastAsia" w:ascii="仿宋" w:hAnsi="仿宋"/>
                <w:b/>
                <w:color w:val="auto"/>
                <w:szCs w:val="21"/>
                <w:highlight w:val="none"/>
              </w:rPr>
              <w:t>工作站：</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8</w:t>
            </w:r>
            <w:r>
              <w:rPr>
                <w:rFonts w:ascii="仿宋" w:hAnsi="仿宋" w:cs="宋体"/>
                <w:color w:val="auto"/>
                <w:szCs w:val="21"/>
                <w:highlight w:val="none"/>
              </w:rPr>
              <w:t>.1</w:t>
            </w:r>
          </w:p>
        </w:tc>
        <w:tc>
          <w:tcPr>
            <w:tcW w:w="7971" w:type="dxa"/>
            <w:tcBorders>
              <w:top w:val="single" w:color="auto" w:sz="2" w:space="0"/>
              <w:bottom w:val="single" w:color="auto" w:sz="2" w:space="0"/>
            </w:tcBorders>
            <w:vAlign w:val="center"/>
          </w:tcPr>
          <w:p>
            <w:pPr>
              <w:adjustRightInd w:val="0"/>
              <w:snapToGrid w:val="0"/>
              <w:rPr>
                <w:rFonts w:ascii="仿宋" w:hAnsi="仿宋"/>
                <w:color w:val="auto"/>
                <w:szCs w:val="21"/>
                <w:highlight w:val="none"/>
              </w:rPr>
            </w:pPr>
            <w:r>
              <w:rPr>
                <w:rFonts w:hint="eastAsia" w:ascii="仿宋" w:hAnsi="仿宋"/>
                <w:color w:val="auto"/>
                <w:szCs w:val="21"/>
                <w:highlight w:val="none"/>
              </w:rPr>
              <w:t>提供配套的工作站；</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8</w:t>
            </w:r>
            <w:r>
              <w:rPr>
                <w:rFonts w:ascii="仿宋" w:hAnsi="仿宋" w:cs="宋体"/>
                <w:color w:val="auto"/>
                <w:szCs w:val="21"/>
                <w:highlight w:val="none"/>
              </w:rPr>
              <w:t>.2</w:t>
            </w:r>
          </w:p>
        </w:tc>
        <w:tc>
          <w:tcPr>
            <w:tcW w:w="7971" w:type="dxa"/>
            <w:tcBorders>
              <w:top w:val="single" w:color="auto" w:sz="2" w:space="0"/>
              <w:bottom w:val="single" w:color="auto" w:sz="2" w:space="0"/>
            </w:tcBorders>
            <w:vAlign w:val="center"/>
          </w:tcPr>
          <w:p>
            <w:pPr>
              <w:adjustRightInd w:val="0"/>
              <w:snapToGrid w:val="0"/>
              <w:rPr>
                <w:rFonts w:ascii="仿宋" w:hAnsi="仿宋"/>
                <w:color w:val="auto"/>
                <w:szCs w:val="21"/>
                <w:highlight w:val="none"/>
              </w:rPr>
            </w:pPr>
            <w:r>
              <w:rPr>
                <w:rFonts w:hint="eastAsia" w:ascii="仿宋" w:hAnsi="仿宋"/>
                <w:color w:val="auto"/>
                <w:szCs w:val="21"/>
                <w:highlight w:val="none"/>
              </w:rPr>
              <w:t>打印机一套；</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9</w:t>
            </w:r>
            <w:r>
              <w:rPr>
                <w:rFonts w:ascii="仿宋" w:hAnsi="仿宋" w:cs="宋体"/>
                <w:color w:val="auto"/>
                <w:szCs w:val="21"/>
                <w:highlight w:val="none"/>
              </w:rPr>
              <w:t>.</w:t>
            </w:r>
          </w:p>
        </w:tc>
        <w:tc>
          <w:tcPr>
            <w:tcW w:w="7971" w:type="dxa"/>
            <w:tcBorders>
              <w:top w:val="single" w:color="auto" w:sz="2" w:space="0"/>
              <w:bottom w:val="single" w:color="auto" w:sz="2" w:space="0"/>
            </w:tcBorders>
            <w:vAlign w:val="center"/>
          </w:tcPr>
          <w:p>
            <w:pPr>
              <w:adjustRightInd w:val="0"/>
              <w:snapToGrid w:val="0"/>
              <w:ind w:firstLine="422"/>
              <w:rPr>
                <w:rFonts w:ascii="仿宋" w:hAnsi="仿宋"/>
                <w:b/>
                <w:color w:val="auto"/>
                <w:szCs w:val="21"/>
                <w:highlight w:val="none"/>
              </w:rPr>
            </w:pPr>
            <w:r>
              <w:rPr>
                <w:rFonts w:hint="eastAsia" w:ascii="仿宋" w:hAnsi="仿宋"/>
                <w:b/>
                <w:color w:val="auto"/>
                <w:szCs w:val="21"/>
                <w:highlight w:val="none"/>
              </w:rPr>
              <w:t>原厂工作站软件</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9</w:t>
            </w:r>
            <w:r>
              <w:rPr>
                <w:rFonts w:ascii="仿宋" w:hAnsi="仿宋" w:cs="宋体"/>
                <w:color w:val="auto"/>
                <w:szCs w:val="21"/>
                <w:highlight w:val="none"/>
              </w:rPr>
              <w:t>.1</w:t>
            </w:r>
          </w:p>
        </w:tc>
        <w:tc>
          <w:tcPr>
            <w:tcW w:w="7971" w:type="dxa"/>
            <w:tcBorders>
              <w:top w:val="single" w:color="auto" w:sz="2" w:space="0"/>
              <w:bottom w:val="single" w:color="auto" w:sz="2" w:space="0"/>
            </w:tcBorders>
            <w:vAlign w:val="center"/>
          </w:tcPr>
          <w:p>
            <w:pPr>
              <w:adjustRightInd w:val="0"/>
              <w:snapToGrid w:val="0"/>
              <w:rPr>
                <w:rFonts w:ascii="仿宋" w:hAnsi="仿宋"/>
                <w:color w:val="auto"/>
                <w:szCs w:val="21"/>
                <w:highlight w:val="none"/>
              </w:rPr>
            </w:pPr>
            <w:r>
              <w:rPr>
                <w:rFonts w:hint="eastAsia" w:ascii="仿宋" w:hAnsi="仿宋"/>
                <w:color w:val="auto"/>
                <w:szCs w:val="21"/>
                <w:highlight w:val="none"/>
              </w:rPr>
              <w:t>用户友好型界面,易于上手，具有简单的导航系统；</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9</w:t>
            </w:r>
            <w:r>
              <w:rPr>
                <w:rFonts w:ascii="仿宋" w:hAnsi="仿宋" w:cs="宋体"/>
                <w:color w:val="auto"/>
                <w:szCs w:val="21"/>
                <w:highlight w:val="none"/>
              </w:rPr>
              <w:t>.2</w:t>
            </w:r>
          </w:p>
        </w:tc>
        <w:tc>
          <w:tcPr>
            <w:tcW w:w="7971" w:type="dxa"/>
            <w:tcBorders>
              <w:top w:val="single" w:color="auto" w:sz="2" w:space="0"/>
              <w:bottom w:val="single" w:color="auto" w:sz="2" w:space="0"/>
            </w:tcBorders>
            <w:vAlign w:val="center"/>
          </w:tcPr>
          <w:p>
            <w:pPr>
              <w:adjustRightInd w:val="0"/>
              <w:snapToGrid w:val="0"/>
              <w:rPr>
                <w:rFonts w:ascii="仿宋" w:hAnsi="仿宋"/>
                <w:color w:val="auto"/>
                <w:szCs w:val="21"/>
                <w:highlight w:val="none"/>
              </w:rPr>
            </w:pPr>
            <w:r>
              <w:rPr>
                <w:rFonts w:hint="eastAsia" w:ascii="仿宋" w:hAnsi="仿宋"/>
                <w:color w:val="auto"/>
                <w:szCs w:val="21"/>
                <w:highlight w:val="none"/>
              </w:rPr>
              <w:t>包含常用的核磁实验方法。例如，1H, 13C, DEPT, COSY, NOESY, TOCSY,COSY,HMBC,HSQC 等各种核磁方法，具有完整的网络功能；</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9</w:t>
            </w:r>
            <w:r>
              <w:rPr>
                <w:rFonts w:ascii="仿宋" w:hAnsi="仿宋" w:cs="宋体"/>
                <w:color w:val="auto"/>
                <w:szCs w:val="21"/>
                <w:highlight w:val="none"/>
              </w:rPr>
              <w:t>.3</w:t>
            </w:r>
          </w:p>
        </w:tc>
        <w:tc>
          <w:tcPr>
            <w:tcW w:w="7971" w:type="dxa"/>
            <w:tcBorders>
              <w:top w:val="single" w:color="auto" w:sz="2" w:space="0"/>
              <w:bottom w:val="single" w:color="auto" w:sz="2" w:space="0"/>
            </w:tcBorders>
            <w:vAlign w:val="center"/>
          </w:tcPr>
          <w:p>
            <w:pPr>
              <w:adjustRightInd w:val="0"/>
              <w:snapToGrid w:val="0"/>
              <w:rPr>
                <w:rFonts w:ascii="仿宋" w:hAnsi="仿宋"/>
                <w:color w:val="auto"/>
                <w:szCs w:val="21"/>
                <w:highlight w:val="none"/>
              </w:rPr>
            </w:pPr>
            <w:r>
              <w:rPr>
                <w:rFonts w:hint="eastAsia" w:ascii="仿宋" w:hAnsi="仿宋"/>
                <w:color w:val="auto"/>
                <w:szCs w:val="21"/>
                <w:highlight w:val="none"/>
              </w:rPr>
              <w:t>实验方法脉冲菜单中包括No-D NMR标准实验方法，用户可简单地实现自动非氘代溶剂的样品检测，软件菜单中至少包括以下自动测试方法：</w:t>
            </w:r>
          </w:p>
          <w:p>
            <w:pPr>
              <w:adjustRightInd w:val="0"/>
              <w:snapToGrid w:val="0"/>
              <w:rPr>
                <w:rFonts w:ascii="仿宋" w:hAnsi="仿宋"/>
                <w:color w:val="auto"/>
                <w:szCs w:val="21"/>
                <w:highlight w:val="none"/>
              </w:rPr>
            </w:pPr>
            <w:r>
              <w:rPr>
                <w:rFonts w:hint="eastAsia" w:ascii="仿宋" w:hAnsi="仿宋"/>
                <w:color w:val="auto"/>
                <w:szCs w:val="21"/>
                <w:highlight w:val="none"/>
              </w:rPr>
              <w:t>非氘代试剂下的自动氢谱测定；</w:t>
            </w:r>
          </w:p>
          <w:p>
            <w:pPr>
              <w:adjustRightInd w:val="0"/>
              <w:snapToGrid w:val="0"/>
              <w:rPr>
                <w:rFonts w:ascii="仿宋" w:hAnsi="仿宋"/>
                <w:color w:val="auto"/>
                <w:szCs w:val="21"/>
                <w:highlight w:val="none"/>
              </w:rPr>
            </w:pPr>
            <w:r>
              <w:rPr>
                <w:rFonts w:hint="eastAsia" w:ascii="仿宋" w:hAnsi="仿宋"/>
                <w:color w:val="auto"/>
                <w:szCs w:val="21"/>
                <w:highlight w:val="none"/>
              </w:rPr>
              <w:t>非氘代试剂下的自动COSY测定</w:t>
            </w:r>
          </w:p>
          <w:p>
            <w:pPr>
              <w:adjustRightInd w:val="0"/>
              <w:snapToGrid w:val="0"/>
              <w:rPr>
                <w:rFonts w:ascii="仿宋" w:hAnsi="仿宋"/>
                <w:color w:val="auto"/>
                <w:szCs w:val="21"/>
                <w:highlight w:val="none"/>
              </w:rPr>
            </w:pPr>
            <w:r>
              <w:rPr>
                <w:rFonts w:hint="eastAsia" w:ascii="仿宋" w:hAnsi="仿宋"/>
                <w:color w:val="auto"/>
                <w:szCs w:val="21"/>
                <w:highlight w:val="none"/>
              </w:rPr>
              <w:t>非氘代试剂下的自动HMQC测定</w:t>
            </w:r>
          </w:p>
          <w:p>
            <w:pPr>
              <w:adjustRightInd w:val="0"/>
              <w:snapToGrid w:val="0"/>
              <w:rPr>
                <w:rFonts w:ascii="仿宋" w:hAnsi="仿宋"/>
                <w:color w:val="auto"/>
                <w:szCs w:val="21"/>
                <w:highlight w:val="none"/>
              </w:rPr>
            </w:pPr>
            <w:r>
              <w:rPr>
                <w:rFonts w:hint="eastAsia" w:ascii="仿宋" w:hAnsi="仿宋"/>
                <w:color w:val="auto"/>
                <w:szCs w:val="21"/>
                <w:highlight w:val="none"/>
              </w:rPr>
              <w:t>非氘代试剂下的自动HMBC测定</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9</w:t>
            </w:r>
            <w:r>
              <w:rPr>
                <w:rFonts w:ascii="仿宋" w:hAnsi="仿宋" w:cs="宋体"/>
                <w:color w:val="auto"/>
                <w:szCs w:val="21"/>
                <w:highlight w:val="none"/>
              </w:rPr>
              <w:t>.4</w:t>
            </w:r>
          </w:p>
        </w:tc>
        <w:tc>
          <w:tcPr>
            <w:tcW w:w="7971" w:type="dxa"/>
            <w:tcBorders>
              <w:top w:val="single" w:color="auto" w:sz="2" w:space="0"/>
              <w:bottom w:val="single" w:color="auto" w:sz="2" w:space="0"/>
            </w:tcBorders>
            <w:vAlign w:val="center"/>
          </w:tcPr>
          <w:p>
            <w:pPr>
              <w:adjustRightInd w:val="0"/>
              <w:snapToGrid w:val="0"/>
              <w:rPr>
                <w:rFonts w:ascii="仿宋" w:hAnsi="仿宋"/>
                <w:color w:val="auto"/>
                <w:szCs w:val="21"/>
                <w:highlight w:val="none"/>
              </w:rPr>
            </w:pPr>
            <w:r>
              <w:rPr>
                <w:rFonts w:hint="eastAsia" w:ascii="仿宋" w:hAnsi="仿宋"/>
                <w:color w:val="auto"/>
                <w:szCs w:val="21"/>
                <w:highlight w:val="none"/>
              </w:rPr>
              <w:t>包括定量核磁软件；</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w:t>
            </w:r>
            <w:r>
              <w:rPr>
                <w:rFonts w:ascii="仿宋" w:hAnsi="仿宋" w:cs="宋体"/>
                <w:color w:val="auto"/>
                <w:szCs w:val="21"/>
                <w:highlight w:val="none"/>
              </w:rPr>
              <w:t>0</w:t>
            </w:r>
          </w:p>
        </w:tc>
        <w:tc>
          <w:tcPr>
            <w:tcW w:w="7971" w:type="dxa"/>
            <w:tcBorders>
              <w:top w:val="single" w:color="auto" w:sz="2" w:space="0"/>
              <w:bottom w:val="single" w:color="auto" w:sz="2" w:space="0"/>
            </w:tcBorders>
            <w:vAlign w:val="center"/>
          </w:tcPr>
          <w:p>
            <w:pPr>
              <w:adjustRightInd w:val="0"/>
              <w:snapToGrid w:val="0"/>
              <w:ind w:firstLine="422"/>
              <w:rPr>
                <w:rFonts w:ascii="仿宋" w:hAnsi="仿宋"/>
                <w:b/>
                <w:color w:val="auto"/>
                <w:szCs w:val="21"/>
                <w:highlight w:val="none"/>
              </w:rPr>
            </w:pPr>
            <w:r>
              <w:rPr>
                <w:rFonts w:hint="eastAsia" w:ascii="仿宋" w:hAnsi="仿宋"/>
                <w:b/>
                <w:color w:val="auto"/>
                <w:szCs w:val="21"/>
                <w:highlight w:val="none"/>
              </w:rPr>
              <w:t>其它配套附件</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w:t>
            </w:r>
            <w:r>
              <w:rPr>
                <w:rFonts w:ascii="仿宋" w:hAnsi="仿宋" w:cs="宋体"/>
                <w:color w:val="auto"/>
                <w:szCs w:val="21"/>
                <w:highlight w:val="none"/>
              </w:rPr>
              <w:t>0.1</w:t>
            </w:r>
          </w:p>
        </w:tc>
        <w:tc>
          <w:tcPr>
            <w:tcW w:w="7971" w:type="dxa"/>
            <w:tcBorders>
              <w:top w:val="single" w:color="auto" w:sz="2" w:space="0"/>
              <w:bottom w:val="single" w:color="auto" w:sz="2" w:space="0"/>
            </w:tcBorders>
            <w:vAlign w:val="center"/>
          </w:tcPr>
          <w:p>
            <w:pPr>
              <w:adjustRightInd w:val="0"/>
              <w:snapToGrid w:val="0"/>
              <w:rPr>
                <w:rFonts w:ascii="仿宋" w:hAnsi="仿宋"/>
                <w:color w:val="auto"/>
                <w:szCs w:val="21"/>
                <w:highlight w:val="none"/>
              </w:rPr>
            </w:pPr>
            <w:r>
              <w:rPr>
                <w:rFonts w:hint="eastAsia" w:ascii="仿宋" w:hAnsi="仿宋"/>
                <w:color w:val="auto"/>
                <w:szCs w:val="21"/>
                <w:highlight w:val="none"/>
              </w:rPr>
              <w:t>标样、专用工具等保证设备主机使用的成套性附件</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w:t>
            </w:r>
            <w:r>
              <w:rPr>
                <w:rFonts w:ascii="仿宋" w:hAnsi="仿宋" w:cs="宋体"/>
                <w:color w:val="auto"/>
                <w:szCs w:val="21"/>
                <w:highlight w:val="none"/>
              </w:rPr>
              <w:t>0.2</w:t>
            </w:r>
          </w:p>
        </w:tc>
        <w:tc>
          <w:tcPr>
            <w:tcW w:w="7971" w:type="dxa"/>
            <w:tcBorders>
              <w:top w:val="single" w:color="auto" w:sz="2" w:space="0"/>
              <w:bottom w:val="single" w:color="auto" w:sz="2" w:space="0"/>
            </w:tcBorders>
            <w:vAlign w:val="center"/>
          </w:tcPr>
          <w:p>
            <w:pPr>
              <w:adjustRightInd w:val="0"/>
              <w:snapToGrid w:val="0"/>
              <w:rPr>
                <w:rFonts w:ascii="仿宋" w:hAnsi="仿宋"/>
                <w:color w:val="auto"/>
                <w:szCs w:val="21"/>
                <w:highlight w:val="none"/>
              </w:rPr>
            </w:pPr>
            <w:r>
              <w:rPr>
                <w:rFonts w:hint="eastAsia" w:ascii="仿宋" w:hAnsi="仿宋"/>
                <w:color w:val="auto"/>
                <w:szCs w:val="21"/>
                <w:highlight w:val="none"/>
              </w:rPr>
              <w:t>无油空压机（带空气过滤器）一套</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w:t>
            </w:r>
            <w:r>
              <w:rPr>
                <w:rFonts w:ascii="仿宋" w:hAnsi="仿宋" w:cs="宋体"/>
                <w:color w:val="auto"/>
                <w:szCs w:val="21"/>
                <w:highlight w:val="none"/>
              </w:rPr>
              <w:t>0.3</w:t>
            </w:r>
          </w:p>
        </w:tc>
        <w:tc>
          <w:tcPr>
            <w:tcW w:w="7971" w:type="dxa"/>
            <w:tcBorders>
              <w:top w:val="single" w:color="auto" w:sz="2" w:space="0"/>
              <w:bottom w:val="single" w:color="auto" w:sz="2" w:space="0"/>
            </w:tcBorders>
            <w:vAlign w:val="center"/>
          </w:tcPr>
          <w:p>
            <w:pPr>
              <w:adjustRightInd w:val="0"/>
              <w:snapToGrid w:val="0"/>
              <w:rPr>
                <w:rFonts w:ascii="仿宋" w:hAnsi="仿宋"/>
                <w:color w:val="auto"/>
                <w:szCs w:val="21"/>
                <w:highlight w:val="none"/>
              </w:rPr>
            </w:pPr>
            <w:r>
              <w:rPr>
                <w:rFonts w:hint="eastAsia" w:ascii="仿宋" w:hAnsi="仿宋"/>
                <w:color w:val="auto"/>
                <w:szCs w:val="21"/>
                <w:highlight w:val="none"/>
              </w:rPr>
              <w:t>安装所需的液氦、液氮、氦气、氮气</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w:t>
            </w:r>
            <w:r>
              <w:rPr>
                <w:rFonts w:ascii="仿宋" w:hAnsi="仿宋" w:cs="宋体"/>
                <w:color w:val="auto"/>
                <w:szCs w:val="21"/>
                <w:highlight w:val="none"/>
              </w:rPr>
              <w:t>0.4</w:t>
            </w:r>
          </w:p>
        </w:tc>
        <w:tc>
          <w:tcPr>
            <w:tcW w:w="7971" w:type="dxa"/>
            <w:tcBorders>
              <w:top w:val="single" w:color="auto" w:sz="2" w:space="0"/>
              <w:bottom w:val="single" w:color="auto" w:sz="2" w:space="0"/>
            </w:tcBorders>
            <w:vAlign w:val="center"/>
          </w:tcPr>
          <w:p>
            <w:pPr>
              <w:adjustRightInd w:val="0"/>
              <w:snapToGrid w:val="0"/>
              <w:rPr>
                <w:rFonts w:ascii="仿宋" w:hAnsi="仿宋"/>
                <w:color w:val="auto"/>
                <w:szCs w:val="21"/>
                <w:highlight w:val="none"/>
              </w:rPr>
            </w:pPr>
            <w:r>
              <w:rPr>
                <w:rFonts w:hint="eastAsia" w:ascii="仿宋" w:hAnsi="仿宋"/>
                <w:color w:val="auto"/>
                <w:szCs w:val="21"/>
                <w:highlight w:val="none"/>
              </w:rPr>
              <w:t>核磁样品管100支</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二</w:t>
            </w:r>
          </w:p>
        </w:tc>
        <w:tc>
          <w:tcPr>
            <w:tcW w:w="7971"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技术文件∕资料：提供仪器设备的操作手册。</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三</w:t>
            </w:r>
          </w:p>
        </w:tc>
        <w:tc>
          <w:tcPr>
            <w:tcW w:w="7971"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安装、培训：厂家负责免费安排安装、调试、培训和验收，并承担由此发生的一切费用,并提交经采购人签字认可的安装调试报告。</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ascii="仿宋" w:hAnsi="仿宋" w:cs="宋体"/>
                <w:color w:val="auto"/>
                <w:szCs w:val="21"/>
                <w:highlight w:val="none"/>
              </w:rPr>
              <w:t>3</w:t>
            </w:r>
            <w:r>
              <w:rPr>
                <w:rFonts w:hint="eastAsia" w:ascii="仿宋" w:hAnsi="仿宋" w:cs="宋体"/>
                <w:color w:val="auto"/>
                <w:szCs w:val="21"/>
                <w:highlight w:val="none"/>
              </w:rPr>
              <w:t>.1</w:t>
            </w:r>
          </w:p>
        </w:tc>
        <w:tc>
          <w:tcPr>
            <w:tcW w:w="7971"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投标人应对采购人指定的的操作人员进行全面、系统、深入的培训，培训内容包括仪器设备的基本原理、安装、调试、操作使用和日常保养维修等。培训应达到如下目的：使操作人员能熟练操作相关设备，能应付突发事件、快速判断故障、进行应急处理等；</w:t>
            </w:r>
          </w:p>
          <w:p>
            <w:pPr>
              <w:rPr>
                <w:rFonts w:ascii="仿宋" w:hAnsi="仿宋" w:cs="宋体"/>
                <w:color w:val="auto"/>
                <w:szCs w:val="21"/>
                <w:highlight w:val="none"/>
              </w:rPr>
            </w:pPr>
            <w:r>
              <w:rPr>
                <w:rFonts w:hint="eastAsia" w:ascii="仿宋" w:hAnsi="仿宋" w:cs="宋体"/>
                <w:color w:val="auto"/>
                <w:szCs w:val="21"/>
                <w:highlight w:val="none"/>
              </w:rPr>
              <w:t>投标人应在投标文件中提供详细的培训计划建议，内容应当包括理论和实践两个方面；所有培训课程需用中文进行，如使用外文讲解，投标人需提供合格的翻译人员；培训时间以参加培训的人员学懂会用为限；所有培训费用包括在投标价中。投标文件中应有培训计划，说明培训人数、时间和主要内容。</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四</w:t>
            </w:r>
          </w:p>
        </w:tc>
        <w:tc>
          <w:tcPr>
            <w:tcW w:w="7971" w:type="dxa"/>
            <w:tcBorders>
              <w:top w:val="single" w:color="auto" w:sz="2" w:space="0"/>
              <w:bottom w:val="single" w:color="auto" w:sz="2" w:space="0"/>
            </w:tcBorders>
            <w:vAlign w:val="center"/>
          </w:tcPr>
          <w:p>
            <w:pPr>
              <w:rPr>
                <w:rFonts w:ascii="仿宋" w:hAnsi="仿宋" w:cs="宋体"/>
                <w:color w:val="auto"/>
                <w:kern w:val="0"/>
                <w:szCs w:val="21"/>
                <w:highlight w:val="none"/>
              </w:rPr>
            </w:pPr>
            <w:r>
              <w:rPr>
                <w:rFonts w:hint="eastAsia" w:ascii="仿宋" w:hAnsi="仿宋" w:cs="宋体"/>
                <w:color w:val="auto"/>
                <w:szCs w:val="21"/>
                <w:highlight w:val="none"/>
              </w:rPr>
              <w:t>售后服务:</w:t>
            </w:r>
            <w:r>
              <w:rPr>
                <w:rFonts w:hint="eastAsia" w:ascii="仿宋" w:hAnsi="仿宋" w:cs="宋体"/>
                <w:color w:val="auto"/>
                <w:kern w:val="0"/>
                <w:szCs w:val="21"/>
                <w:highlight w:val="none"/>
              </w:rPr>
              <w:t>根据采购人实际应用要求，提供全面、优质、及时的售后服务。项目范围内的设备因设计、制造、安装、调试等原因引起设备或部件的缺陷或损坏、运转不灵、达不到性能指标以及出现事故等情况，均由投标人负责，并免费（包括备件、耗材、人工等）为采购人及时修理、更换，更换的设备或部件应是原设备制造厂的产品。</w:t>
            </w:r>
          </w:p>
          <w:p>
            <w:pPr>
              <w:rPr>
                <w:rFonts w:ascii="仿宋" w:hAnsi="仿宋" w:cs="宋体"/>
                <w:color w:val="auto"/>
                <w:kern w:val="0"/>
                <w:szCs w:val="21"/>
                <w:highlight w:val="none"/>
              </w:rPr>
            </w:pPr>
            <w:r>
              <w:rPr>
                <w:rFonts w:hint="eastAsia" w:ascii="仿宋" w:hAnsi="仿宋" w:cs="宋体"/>
                <w:color w:val="auto"/>
                <w:kern w:val="0"/>
                <w:szCs w:val="21"/>
                <w:highlight w:val="none"/>
              </w:rPr>
              <w:t>对所供产品保修时长须满足验收合格之日起至少</w:t>
            </w:r>
            <w:r>
              <w:rPr>
                <w:rFonts w:ascii="仿宋" w:hAnsi="仿宋" w:cs="宋体"/>
                <w:color w:val="auto"/>
                <w:kern w:val="0"/>
                <w:szCs w:val="21"/>
                <w:highlight w:val="none"/>
              </w:rPr>
              <w:t>3</w:t>
            </w:r>
            <w:r>
              <w:rPr>
                <w:rFonts w:hint="eastAsia" w:ascii="仿宋" w:hAnsi="仿宋" w:cs="宋体"/>
                <w:color w:val="auto"/>
                <w:kern w:val="0"/>
                <w:szCs w:val="21"/>
                <w:highlight w:val="none"/>
              </w:rPr>
              <w:t>年（特别说明的除外），并保证有充足的部件或配件。</w:t>
            </w:r>
          </w:p>
          <w:p>
            <w:pPr>
              <w:rPr>
                <w:rFonts w:ascii="仿宋" w:hAnsi="仿宋" w:cs="宋体"/>
                <w:color w:val="auto"/>
                <w:kern w:val="0"/>
                <w:szCs w:val="21"/>
                <w:highlight w:val="none"/>
              </w:rPr>
            </w:pPr>
            <w:r>
              <w:rPr>
                <w:rFonts w:hint="eastAsia" w:ascii="仿宋" w:hAnsi="仿宋" w:cs="宋体"/>
                <w:color w:val="auto"/>
                <w:kern w:val="0"/>
                <w:szCs w:val="21"/>
                <w:highlight w:val="none"/>
              </w:rPr>
              <w:t>投标人应建立24小时的报修电话，保修期内在接到用户故障通知后，应在4小时内响应，</w:t>
            </w:r>
            <w:r>
              <w:rPr>
                <w:rFonts w:hint="eastAsia" w:ascii="仿宋" w:hAnsi="仿宋" w:cs="宋体"/>
                <w:color w:val="auto"/>
                <w:szCs w:val="21"/>
                <w:highlight w:val="none"/>
              </w:rPr>
              <w:t>24小时内提出解决方案，如有必要48小时内派出维修人员到达现场</w:t>
            </w:r>
            <w:r>
              <w:rPr>
                <w:rFonts w:hint="eastAsia" w:ascii="仿宋" w:hAnsi="仿宋" w:cs="宋体"/>
                <w:color w:val="auto"/>
                <w:kern w:val="0"/>
                <w:szCs w:val="21"/>
                <w:highlight w:val="none"/>
              </w:rPr>
              <w:t>对用户提出的技术问题和设备故障予以解决，直至故障完全排除，设备完全恢复正常。</w:t>
            </w:r>
          </w:p>
          <w:p>
            <w:pPr>
              <w:rPr>
                <w:rFonts w:ascii="仿宋" w:hAnsi="仿宋" w:cs="宋体"/>
                <w:color w:val="auto"/>
                <w:kern w:val="0"/>
                <w:szCs w:val="21"/>
                <w:highlight w:val="none"/>
              </w:rPr>
            </w:pPr>
            <w:r>
              <w:rPr>
                <w:rFonts w:hint="eastAsia" w:ascii="仿宋" w:hAnsi="仿宋" w:cs="宋体"/>
                <w:color w:val="auto"/>
                <w:kern w:val="0"/>
                <w:szCs w:val="21"/>
                <w:highlight w:val="none"/>
              </w:rPr>
              <w:t>成立由项目负责人、服务工程师及原厂工程师等组成的专职服务项目组。</w:t>
            </w:r>
          </w:p>
        </w:tc>
      </w:tr>
    </w:tbl>
    <w:p>
      <w:pPr>
        <w:pStyle w:val="29"/>
        <w:spacing w:before="120" w:beforeLines="50" w:after="120" w:afterLines="50" w:line="360" w:lineRule="auto"/>
        <w:ind w:firstLine="495" w:firstLineChars="235"/>
        <w:rPr>
          <w:rFonts w:ascii="宋体" w:hAnsi="宋体" w:cs="宋体"/>
          <w:b/>
          <w:bCs/>
          <w:color w:val="auto"/>
          <w:sz w:val="21"/>
          <w:szCs w:val="21"/>
          <w:highlight w:val="none"/>
        </w:rPr>
      </w:pPr>
      <w:r>
        <w:rPr>
          <w:rFonts w:hint="eastAsia" w:ascii="宋体" w:hAnsi="宋体" w:cs="宋体"/>
          <w:b/>
          <w:bCs/>
          <w:color w:val="auto"/>
          <w:sz w:val="21"/>
          <w:szCs w:val="21"/>
          <w:highlight w:val="none"/>
        </w:rPr>
        <w:t>（2）商务要求</w:t>
      </w:r>
    </w:p>
    <w:tbl>
      <w:tblPr>
        <w:tblStyle w:val="44"/>
        <w:tblW w:w="8931" w:type="dxa"/>
        <w:tblInd w:w="108" w:type="dxa"/>
        <w:tblLayout w:type="fixed"/>
        <w:tblCellMar>
          <w:top w:w="0" w:type="dxa"/>
          <w:left w:w="108" w:type="dxa"/>
          <w:bottom w:w="0" w:type="dxa"/>
          <w:right w:w="108" w:type="dxa"/>
        </w:tblCellMar>
      </w:tblPr>
      <w:tblGrid>
        <w:gridCol w:w="709"/>
        <w:gridCol w:w="1559"/>
        <w:gridCol w:w="6663"/>
      </w:tblGrid>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b/>
                <w:color w:val="auto"/>
                <w:szCs w:val="21"/>
                <w:highlight w:val="none"/>
              </w:rPr>
            </w:pPr>
            <w:r>
              <w:rPr>
                <w:rFonts w:hint="eastAsia" w:ascii="仿宋" w:hAnsi="仿宋" w:cs="宋体"/>
                <w:b/>
                <w:color w:val="auto"/>
                <w:szCs w:val="21"/>
                <w:highlight w:val="none"/>
              </w:rPr>
              <w:t>序号</w:t>
            </w:r>
          </w:p>
        </w:tc>
        <w:tc>
          <w:tcPr>
            <w:tcW w:w="1559" w:type="dxa"/>
            <w:tcBorders>
              <w:top w:val="single" w:color="000000" w:sz="4" w:space="0"/>
              <w:left w:val="single" w:color="000000" w:sz="4" w:space="0"/>
              <w:bottom w:val="single" w:color="000000" w:sz="4" w:space="0"/>
              <w:right w:val="single" w:color="000000" w:sz="4" w:space="0"/>
            </w:tcBorders>
            <w:vAlign w:val="center"/>
          </w:tcPr>
          <w:p>
            <w:pPr>
              <w:ind w:firstLine="422"/>
              <w:jc w:val="center"/>
              <w:rPr>
                <w:rFonts w:ascii="仿宋" w:hAnsi="仿宋" w:cs="宋体"/>
                <w:b/>
                <w:color w:val="auto"/>
                <w:szCs w:val="21"/>
                <w:highlight w:val="none"/>
              </w:rPr>
            </w:pPr>
            <w:r>
              <w:rPr>
                <w:rFonts w:hint="eastAsia" w:ascii="仿宋" w:hAnsi="仿宋" w:cs="宋体"/>
                <w:b/>
                <w:color w:val="auto"/>
                <w:szCs w:val="21"/>
                <w:highlight w:val="none"/>
              </w:rPr>
              <w:t>项目</w:t>
            </w:r>
          </w:p>
        </w:tc>
        <w:tc>
          <w:tcPr>
            <w:tcW w:w="6663" w:type="dxa"/>
            <w:tcBorders>
              <w:top w:val="single" w:color="000000" w:sz="4" w:space="0"/>
              <w:left w:val="single" w:color="000000" w:sz="4" w:space="0"/>
              <w:bottom w:val="single" w:color="000000" w:sz="4" w:space="0"/>
              <w:right w:val="single" w:color="000000" w:sz="4" w:space="0"/>
            </w:tcBorders>
            <w:vAlign w:val="center"/>
          </w:tcPr>
          <w:p>
            <w:pPr>
              <w:ind w:firstLine="422"/>
              <w:jc w:val="center"/>
              <w:rPr>
                <w:rFonts w:ascii="仿宋" w:hAnsi="仿宋" w:cs="宋体"/>
                <w:b/>
                <w:color w:val="auto"/>
                <w:szCs w:val="21"/>
                <w:highlight w:val="none"/>
              </w:rPr>
            </w:pPr>
            <w:r>
              <w:rPr>
                <w:rFonts w:hint="eastAsia" w:ascii="仿宋" w:hAnsi="仿宋" w:cs="宋体"/>
                <w:b/>
                <w:color w:val="auto"/>
                <w:szCs w:val="21"/>
                <w:highlight w:val="none"/>
              </w:rPr>
              <w:t>要求</w:t>
            </w:r>
          </w:p>
        </w:tc>
      </w:tr>
      <w:tr>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交货及交付验收时间</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合同签订生效之日起</w:t>
            </w:r>
            <w:r>
              <w:rPr>
                <w:rFonts w:ascii="仿宋" w:hAnsi="仿宋" w:cs="宋体"/>
                <w:color w:val="auto"/>
                <w:szCs w:val="21"/>
                <w:highlight w:val="none"/>
              </w:rPr>
              <w:t>300</w:t>
            </w:r>
            <w:r>
              <w:rPr>
                <w:rFonts w:hint="eastAsia" w:ascii="仿宋" w:hAnsi="仿宋" w:cs="宋体"/>
                <w:color w:val="auto"/>
                <w:szCs w:val="21"/>
                <w:highlight w:val="none"/>
              </w:rPr>
              <w:t>天内到货，到货后</w:t>
            </w:r>
            <w:r>
              <w:rPr>
                <w:rFonts w:ascii="仿宋" w:hAnsi="仿宋" w:cs="宋体"/>
                <w:color w:val="auto"/>
                <w:szCs w:val="21"/>
                <w:highlight w:val="none"/>
              </w:rPr>
              <w:t>30</w:t>
            </w:r>
            <w:r>
              <w:rPr>
                <w:rFonts w:hint="eastAsia" w:ascii="仿宋" w:hAnsi="仿宋" w:cs="宋体"/>
                <w:color w:val="auto"/>
                <w:szCs w:val="21"/>
                <w:highlight w:val="none"/>
              </w:rPr>
              <w:t>天内完成安装调试交付验收。</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2</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交货地点</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bCs/>
                <w:color w:val="auto"/>
                <w:kern w:val="0"/>
                <w:szCs w:val="21"/>
                <w:highlight w:val="none"/>
              </w:rPr>
              <w:t xml:space="preserve">宁波市前湾新区滨海二路769号宁波工程学院新能源学院 </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3</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产品包装要求</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确保所有设备均采用国家或专业标准保护措施进行包装，使包装适应于远距离运输、防潮、防震、防锈和防粗暴装卸，以确保设备安全无损运抵交货现场。设备到货时，所有外包装箱箱体无严重破损或变形，封条应完整无缺，内包装应符合标准运输包装要求，拆箱后设备主体外表无任何磕碰、碎裂、划伤痕迹。运输途中设备出现的任何问题均由中标人负责解决。</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4</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产品及服务质量保证</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（1）投标人所供应的设备及其所有部件必须均是全新原装合格产品,在中国境内采购人拥有合法的产权和使用权。如发生交付设备与合同不符,采购人有权拒收或退货,由此产生的一切责任和后果由中标人承担。</w:t>
            </w:r>
          </w:p>
          <w:p>
            <w:pPr>
              <w:rPr>
                <w:rFonts w:ascii="仿宋" w:hAnsi="仿宋" w:cs="宋体"/>
                <w:color w:val="auto"/>
                <w:szCs w:val="21"/>
                <w:highlight w:val="none"/>
              </w:rPr>
            </w:pPr>
            <w:r>
              <w:rPr>
                <w:rFonts w:hint="eastAsia" w:ascii="仿宋" w:hAnsi="仿宋" w:cs="宋体"/>
                <w:color w:val="auto"/>
                <w:szCs w:val="21"/>
                <w:highlight w:val="none"/>
              </w:rPr>
              <w:t>（2）属于国家强制性产品认证范围的产品必须具有国家法定认证机构颁发的“CCC”认证证书。</w:t>
            </w:r>
          </w:p>
          <w:p>
            <w:pPr>
              <w:rPr>
                <w:rFonts w:ascii="仿宋" w:hAnsi="仿宋" w:cs="宋体"/>
                <w:color w:val="auto"/>
                <w:szCs w:val="21"/>
                <w:highlight w:val="none"/>
              </w:rPr>
            </w:pPr>
            <w:r>
              <w:rPr>
                <w:rFonts w:hint="eastAsia" w:ascii="仿宋" w:hAnsi="仿宋" w:cs="宋体"/>
                <w:color w:val="auto"/>
                <w:szCs w:val="21"/>
                <w:highlight w:val="none"/>
              </w:rPr>
              <w:t>（3）在设备交付时，中标人必须向采购人提供必备的相关资料。</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5</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质量标准</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产品质量必须执行国家相关标准、行业标准、地方标准或者其它标准、规范（从严）：</w:t>
            </w:r>
          </w:p>
          <w:p>
            <w:pPr>
              <w:rPr>
                <w:rFonts w:ascii="仿宋" w:hAnsi="仿宋" w:cs="宋体"/>
                <w:color w:val="auto"/>
                <w:szCs w:val="21"/>
                <w:highlight w:val="none"/>
              </w:rPr>
            </w:pPr>
            <w:r>
              <w:rPr>
                <w:rFonts w:hint="eastAsia" w:ascii="仿宋" w:hAnsi="仿宋" w:cs="宋体"/>
                <w:color w:val="auto"/>
                <w:szCs w:val="21"/>
                <w:highlight w:val="none"/>
              </w:rPr>
              <w:t>具有国家标准及规范的，按最新的标准及规范执行；具有行业标准及规范的，按最新的标准及规范执行；具有其他标准及规范的，按照最新的标准及规范执行；没有相关标准及规范的，按照招标文件的技术及服务要求执行。</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6</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产品保修期</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（1）所有设备提供不少于</w:t>
            </w:r>
            <w:r>
              <w:rPr>
                <w:rFonts w:ascii="仿宋" w:hAnsi="仿宋" w:cs="宋体"/>
                <w:color w:val="auto"/>
                <w:szCs w:val="21"/>
                <w:highlight w:val="none"/>
              </w:rPr>
              <w:t>3</w:t>
            </w:r>
            <w:r>
              <w:rPr>
                <w:rFonts w:hint="eastAsia" w:ascii="仿宋" w:hAnsi="仿宋" w:cs="宋体"/>
                <w:color w:val="auto"/>
                <w:szCs w:val="21"/>
                <w:highlight w:val="none"/>
              </w:rPr>
              <w:t>年免费保修期。</w:t>
            </w:r>
          </w:p>
          <w:p>
            <w:pPr>
              <w:rPr>
                <w:rFonts w:ascii="仿宋" w:hAnsi="仿宋" w:cs="宋体"/>
                <w:color w:val="auto"/>
                <w:szCs w:val="21"/>
                <w:highlight w:val="none"/>
              </w:rPr>
            </w:pPr>
            <w:r>
              <w:rPr>
                <w:rFonts w:hint="eastAsia" w:ascii="仿宋" w:hAnsi="仿宋" w:cs="宋体"/>
                <w:color w:val="auto"/>
                <w:szCs w:val="21"/>
                <w:highlight w:val="none"/>
              </w:rPr>
              <w:t>（2）保修期在双方签署项目最终验收报告之日起计算，在此期间内，任何非因采购人原因造成的设备质量及使用问题均由中标人提供相关保修服务，包括但不仅限于维修或更换，其费用含在投标报价中，相关费用包含达到设备正常使用目标所需的零部件费用、技术人员费用、交通差旅费等，维修必须遵守制造商的技术及零部件使用标准。</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7</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验收</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设备安装调试完成后，双方按照确定的技术标准进行验收。验收前，乙方应向甲方提交所有验收必备资料。</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8</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签订合同时间</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采购人在中标通知书发出之日起30日内与中标人签订书面合同，具体签约时间以采购人通知为准。</w:t>
            </w:r>
          </w:p>
        </w:tc>
      </w:tr>
      <w:tr>
        <w:tblPrEx>
          <w:tblCellMar>
            <w:top w:w="0" w:type="dxa"/>
            <w:left w:w="108" w:type="dxa"/>
            <w:bottom w:w="0" w:type="dxa"/>
            <w:right w:w="108" w:type="dxa"/>
          </w:tblCellMar>
        </w:tblPrEx>
        <w:trPr>
          <w:trHeight w:val="1486"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9</w:t>
            </w:r>
          </w:p>
        </w:tc>
        <w:tc>
          <w:tcPr>
            <w:tcW w:w="1559"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合同款项支付条件及方式</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shd w:val="clear" w:color="auto" w:fill="FFFFFF"/>
              </w:rPr>
            </w:pPr>
            <w:r>
              <w:rPr>
                <w:rFonts w:hint="eastAsia" w:ascii="仿宋" w:hAnsi="仿宋" w:cs="宋体"/>
                <w:color w:val="auto"/>
                <w:szCs w:val="21"/>
                <w:highlight w:val="none"/>
                <w:shd w:val="clear" w:color="auto" w:fill="FFFFFF"/>
              </w:rPr>
              <w:t>（1）所投标项为国产设备中标的，按照以下条件支付合同款：</w:t>
            </w:r>
          </w:p>
          <w:p>
            <w:pPr>
              <w:rPr>
                <w:rFonts w:ascii="仿宋" w:hAnsi="仿宋" w:cs="宋体"/>
                <w:color w:val="auto"/>
                <w:szCs w:val="21"/>
                <w:highlight w:val="none"/>
                <w:shd w:val="clear" w:color="auto" w:fill="FFFFFF"/>
              </w:rPr>
            </w:pPr>
            <w:r>
              <w:rPr>
                <w:rFonts w:hint="eastAsia" w:ascii="仿宋" w:hAnsi="仿宋" w:cs="宋体"/>
                <w:color w:val="auto"/>
                <w:szCs w:val="21"/>
                <w:highlight w:val="none"/>
                <w:shd w:val="clear" w:color="auto" w:fill="FFFFFF"/>
              </w:rPr>
              <w:t>1）合同签订生效之日起7个工作日内支付合同总价的40%作为预付款。</w:t>
            </w:r>
          </w:p>
          <w:p>
            <w:pPr>
              <w:rPr>
                <w:rFonts w:ascii="仿宋" w:hAnsi="仿宋" w:cs="宋体"/>
                <w:color w:val="auto"/>
                <w:szCs w:val="21"/>
                <w:highlight w:val="none"/>
                <w:shd w:val="clear" w:color="auto" w:fill="FFFFFF"/>
              </w:rPr>
            </w:pPr>
            <w:r>
              <w:rPr>
                <w:rFonts w:hint="eastAsia" w:ascii="仿宋" w:hAnsi="仿宋" w:cs="宋体"/>
                <w:color w:val="auto"/>
                <w:szCs w:val="21"/>
                <w:highlight w:val="none"/>
                <w:shd w:val="clear" w:color="auto" w:fill="FFFFFF"/>
              </w:rPr>
              <w:t>2）所有设备到达指定地点后15日内支付合同总价的50%。</w:t>
            </w:r>
          </w:p>
          <w:p>
            <w:pPr>
              <w:rPr>
                <w:rFonts w:ascii="仿宋" w:hAnsi="仿宋" w:cs="宋体"/>
                <w:color w:val="auto"/>
                <w:szCs w:val="21"/>
                <w:highlight w:val="none"/>
                <w:shd w:val="clear" w:color="auto" w:fill="FFFFFF"/>
              </w:rPr>
            </w:pPr>
            <w:r>
              <w:rPr>
                <w:rFonts w:hint="eastAsia" w:ascii="仿宋" w:hAnsi="仿宋" w:cs="宋体"/>
                <w:color w:val="auto"/>
                <w:szCs w:val="21"/>
                <w:highlight w:val="none"/>
                <w:shd w:val="clear" w:color="auto" w:fill="FFFFFF"/>
              </w:rPr>
              <w:t>3）设备安装调试完毕，且经使用单位验收合格后</w:t>
            </w:r>
            <w:r>
              <w:rPr>
                <w:rFonts w:ascii="仿宋" w:hAnsi="仿宋" w:cs="宋体"/>
                <w:color w:val="auto"/>
                <w:szCs w:val="21"/>
                <w:highlight w:val="none"/>
                <w:shd w:val="clear" w:color="auto" w:fill="FFFFFF"/>
              </w:rPr>
              <w:t>15</w:t>
            </w:r>
            <w:r>
              <w:rPr>
                <w:rFonts w:hint="eastAsia" w:ascii="仿宋" w:hAnsi="仿宋" w:cs="宋体"/>
                <w:color w:val="auto"/>
                <w:szCs w:val="21"/>
                <w:highlight w:val="none"/>
                <w:shd w:val="clear" w:color="auto" w:fill="FFFFFF"/>
              </w:rPr>
              <w:t>日内一次性支付余款。</w:t>
            </w:r>
          </w:p>
          <w:p>
            <w:pPr>
              <w:rPr>
                <w:rFonts w:ascii="仿宋" w:hAnsi="仿宋" w:cs="宋体"/>
                <w:color w:val="auto"/>
                <w:szCs w:val="21"/>
                <w:highlight w:val="none"/>
                <w:shd w:val="clear" w:color="auto" w:fill="FFFFFF"/>
              </w:rPr>
            </w:pPr>
            <w:r>
              <w:rPr>
                <w:rFonts w:hint="eastAsia" w:ascii="仿宋" w:hAnsi="仿宋" w:cs="宋体"/>
                <w:color w:val="auto"/>
                <w:szCs w:val="21"/>
                <w:highlight w:val="none"/>
                <w:shd w:val="clear" w:color="auto" w:fill="FFFFFF"/>
              </w:rPr>
              <w:t>注：中标人于合同签订前书面承诺放弃预付款或降低预付款支付比例的，可不适用本条款且具体支付方式由双方在合同中自行约定。</w:t>
            </w:r>
          </w:p>
          <w:p>
            <w:pPr>
              <w:rPr>
                <w:rFonts w:ascii="仿宋" w:hAnsi="仿宋" w:cs="宋体"/>
                <w:color w:val="auto"/>
                <w:szCs w:val="21"/>
                <w:highlight w:val="none"/>
                <w:shd w:val="clear" w:color="auto" w:fill="FFFFFF"/>
              </w:rPr>
            </w:pPr>
            <w:r>
              <w:rPr>
                <w:rFonts w:hint="eastAsia" w:ascii="仿宋" w:hAnsi="仿宋" w:cs="宋体"/>
                <w:color w:val="auto"/>
                <w:szCs w:val="21"/>
                <w:highlight w:val="none"/>
                <w:shd w:val="clear" w:color="auto" w:fill="FFFFFF"/>
              </w:rPr>
              <w:t>（2）所投标项为进口设备中标的，按照以下条件支付合同款：</w:t>
            </w:r>
          </w:p>
          <w:p>
            <w:pPr>
              <w:rPr>
                <w:rFonts w:ascii="仿宋" w:hAnsi="仿宋" w:cs="宋体"/>
                <w:color w:val="auto"/>
                <w:szCs w:val="21"/>
                <w:highlight w:val="none"/>
                <w:shd w:val="clear" w:color="auto" w:fill="FFFFFF"/>
              </w:rPr>
            </w:pPr>
            <w:r>
              <w:rPr>
                <w:rFonts w:hint="eastAsia" w:ascii="仿宋" w:hAnsi="仿宋" w:cs="宋体"/>
                <w:color w:val="auto"/>
                <w:szCs w:val="21"/>
                <w:highlight w:val="none"/>
                <w:shd w:val="clear" w:color="auto" w:fill="FFFFFF"/>
              </w:rPr>
              <w:t>买方开具100%不可撤消即期信用证。其中80%凭货运单据收取，20%凭宁波工程学院盖章的货物验收合格报告收取。</w:t>
            </w:r>
          </w:p>
        </w:tc>
      </w:tr>
      <w:tr>
        <w:tblPrEx>
          <w:tblCellMar>
            <w:top w:w="0" w:type="dxa"/>
            <w:left w:w="108" w:type="dxa"/>
            <w:bottom w:w="0" w:type="dxa"/>
            <w:right w:w="108" w:type="dxa"/>
          </w:tblCellMar>
        </w:tblPrEx>
        <w:trPr>
          <w:trHeight w:val="552"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10</w:t>
            </w:r>
          </w:p>
        </w:tc>
        <w:tc>
          <w:tcPr>
            <w:tcW w:w="1559"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发票要求</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（1）中标人应在采购人支付费用前，依据相应的金额，向采购人提供足额且符合税法规定的发票。采购人在收到中标人提供的发票后在合同约定的时间内支付相应款项。</w:t>
            </w:r>
          </w:p>
          <w:p>
            <w:pPr>
              <w:rPr>
                <w:rFonts w:ascii="仿宋" w:hAnsi="仿宋" w:cs="宋体"/>
                <w:color w:val="auto"/>
                <w:szCs w:val="21"/>
                <w:highlight w:val="none"/>
                <w:shd w:val="clear" w:color="auto" w:fill="FFFFFF"/>
              </w:rPr>
            </w:pPr>
            <w:r>
              <w:rPr>
                <w:rFonts w:hint="eastAsia" w:ascii="仿宋" w:hAnsi="仿宋" w:cs="宋体"/>
                <w:color w:val="auto"/>
                <w:szCs w:val="21"/>
                <w:highlight w:val="none"/>
              </w:rPr>
              <w:t>（2）本项目合同签署的中标人名称与发票开具单位及收款单位必须一致，中标人不得以任何理由在合同执行过程中要求调整发票开具单位或收款单位（中标人依法变更单位名称或存在其他特殊情况符合规定要求除外），否则视为中标人违约并自行承担相关责任，且须承担由此对采购人造成的一切损失。</w:t>
            </w:r>
          </w:p>
        </w:tc>
      </w:tr>
      <w:tr>
        <w:tblPrEx>
          <w:tblCellMar>
            <w:top w:w="0" w:type="dxa"/>
            <w:left w:w="108" w:type="dxa"/>
            <w:bottom w:w="0" w:type="dxa"/>
            <w:right w:w="108" w:type="dxa"/>
          </w:tblCellMar>
        </w:tblPrEx>
        <w:trPr>
          <w:trHeight w:val="541"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11</w:t>
            </w:r>
          </w:p>
        </w:tc>
        <w:tc>
          <w:tcPr>
            <w:tcW w:w="1559"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履约保证金</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本项目要求中标人缴纳合同总额1</w:t>
            </w:r>
            <w:r>
              <w:rPr>
                <w:rFonts w:ascii="仿宋" w:hAnsi="仿宋" w:cs="宋体"/>
                <w:color w:val="auto"/>
                <w:szCs w:val="21"/>
                <w:highlight w:val="none"/>
              </w:rPr>
              <w:t>%</w:t>
            </w:r>
            <w:r>
              <w:rPr>
                <w:rFonts w:hint="eastAsia" w:ascii="仿宋" w:hAnsi="仿宋" w:cs="宋体"/>
                <w:color w:val="auto"/>
                <w:szCs w:val="21"/>
                <w:highlight w:val="none"/>
              </w:rPr>
              <w:t>的履约保证金，在合同签订后7个工作日内以支票、汇票、本票或者金融机构、担保机构出具的保函等非现金形式提交，项目验收合格后一次性退还。</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12</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其他</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在合同履行过程中，中标供应商应承担由于其行为所造成的采购人或第三人的人身伤害、财产损失或损坏的责任，无论何种原因所造成，与采购人无涉，由此导致的损失由中标供应商承担，无论何种原因采购人先行支付的，采购人有权向中标供应商进行追偿。</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13</w:t>
            </w:r>
          </w:p>
        </w:tc>
        <w:tc>
          <w:tcPr>
            <w:tcW w:w="1559"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知识产权要求</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投标人提供的产品未侵犯他人的知识产权。</w:t>
            </w:r>
          </w:p>
        </w:tc>
      </w:tr>
    </w:tbl>
    <w:p>
      <w:pPr>
        <w:rPr>
          <w:color w:val="auto"/>
          <w:szCs w:val="21"/>
          <w:highlight w:val="none"/>
        </w:rPr>
      </w:pPr>
    </w:p>
    <w:p>
      <w:pPr>
        <w:pStyle w:val="2"/>
        <w:rPr>
          <w:color w:val="auto"/>
          <w:sz w:val="21"/>
          <w:szCs w:val="21"/>
          <w:highlight w:val="none"/>
        </w:rPr>
      </w:pPr>
    </w:p>
    <w:p>
      <w:pPr>
        <w:pStyle w:val="3"/>
        <w:ind w:firstLine="211"/>
        <w:rPr>
          <w:b/>
          <w:color w:val="auto"/>
          <w:sz w:val="21"/>
          <w:szCs w:val="21"/>
          <w:highlight w:val="none"/>
        </w:rPr>
      </w:pPr>
      <w:r>
        <w:rPr>
          <w:rFonts w:hint="eastAsia"/>
          <w:b/>
          <w:color w:val="auto"/>
          <w:sz w:val="21"/>
          <w:szCs w:val="21"/>
          <w:highlight w:val="none"/>
        </w:rPr>
        <w:t>标项六：高精度阻抗测试系统、自动聚焦耦合单模微波合成系统</w:t>
      </w:r>
    </w:p>
    <w:p>
      <w:pPr>
        <w:pStyle w:val="29"/>
        <w:spacing w:before="120" w:beforeLines="50" w:after="120" w:afterLines="50" w:line="360" w:lineRule="auto"/>
        <w:ind w:firstLine="495" w:firstLineChars="235"/>
        <w:rPr>
          <w:rFonts w:ascii="宋体" w:hAnsi="宋体" w:cs="宋体"/>
          <w:b/>
          <w:bCs/>
          <w:color w:val="auto"/>
          <w:sz w:val="21"/>
          <w:szCs w:val="21"/>
          <w:highlight w:val="none"/>
        </w:rPr>
      </w:pPr>
      <w:r>
        <w:rPr>
          <w:rFonts w:hint="eastAsia" w:ascii="宋体" w:hAnsi="宋体" w:cs="宋体"/>
          <w:b/>
          <w:bCs/>
          <w:color w:val="auto"/>
          <w:sz w:val="21"/>
          <w:szCs w:val="21"/>
          <w:highlight w:val="none"/>
        </w:rPr>
        <w:t>（1）技术要求</w:t>
      </w:r>
    </w:p>
    <w:p>
      <w:pPr>
        <w:pStyle w:val="29"/>
        <w:spacing w:before="120" w:beforeLines="50" w:after="120" w:afterLines="50" w:line="360" w:lineRule="auto"/>
        <w:ind w:firstLine="493" w:firstLineChars="235"/>
        <w:rPr>
          <w:rFonts w:ascii="宋体" w:hAnsi="宋体" w:cs="宋体"/>
          <w:b/>
          <w:bCs/>
          <w:color w:val="auto"/>
          <w:sz w:val="21"/>
          <w:szCs w:val="21"/>
          <w:highlight w:val="none"/>
        </w:rPr>
      </w:pPr>
      <w:r>
        <w:rPr>
          <w:rFonts w:hint="eastAsia" w:asciiTheme="minorEastAsia" w:hAnsiTheme="minorEastAsia" w:eastAsiaTheme="minorEastAsia"/>
          <w:bCs/>
          <w:color w:val="auto"/>
          <w:sz w:val="21"/>
          <w:szCs w:val="21"/>
          <w:highlight w:val="none"/>
        </w:rPr>
        <w:t>●</w:t>
      </w:r>
      <w:r>
        <w:rPr>
          <w:rFonts w:hint="eastAsia" w:ascii="宋体" w:hAnsi="宋体" w:cs="宋体"/>
          <w:b/>
          <w:bCs/>
          <w:color w:val="auto"/>
          <w:sz w:val="21"/>
          <w:szCs w:val="21"/>
          <w:highlight w:val="none"/>
        </w:rPr>
        <w:t>序号1：高精度阻抗测试系统</w:t>
      </w:r>
    </w:p>
    <w:tbl>
      <w:tblPr>
        <w:tblStyle w:val="44"/>
        <w:tblW w:w="8931"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0" w:type="dxa"/>
          <w:bottom w:w="0" w:type="dxa"/>
          <w:right w:w="0" w:type="dxa"/>
        </w:tblCellMar>
      </w:tblPr>
      <w:tblGrid>
        <w:gridCol w:w="960"/>
        <w:gridCol w:w="7971"/>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blHeader/>
        </w:trPr>
        <w:tc>
          <w:tcPr>
            <w:tcW w:w="960" w:type="dxa"/>
            <w:tcBorders>
              <w:bottom w:val="single" w:color="auto" w:sz="4" w:space="0"/>
            </w:tcBorders>
            <w:vAlign w:val="center"/>
          </w:tcPr>
          <w:p>
            <w:pPr>
              <w:rPr>
                <w:rFonts w:ascii="仿宋" w:hAnsi="仿宋" w:cs="宋体"/>
                <w:b/>
                <w:color w:val="auto"/>
                <w:szCs w:val="21"/>
                <w:highlight w:val="none"/>
              </w:rPr>
            </w:pPr>
            <w:r>
              <w:rPr>
                <w:rFonts w:hint="eastAsia" w:ascii="仿宋" w:hAnsi="仿宋" w:cs="宋体"/>
                <w:b/>
                <w:color w:val="auto"/>
                <w:szCs w:val="21"/>
                <w:highlight w:val="none"/>
              </w:rPr>
              <w:t>条款号</w:t>
            </w:r>
          </w:p>
        </w:tc>
        <w:tc>
          <w:tcPr>
            <w:tcW w:w="7971" w:type="dxa"/>
            <w:tcBorders>
              <w:bottom w:val="single" w:color="auto" w:sz="4" w:space="0"/>
            </w:tcBorders>
            <w:vAlign w:val="center"/>
          </w:tcPr>
          <w:p>
            <w:pPr>
              <w:ind w:firstLine="422"/>
              <w:jc w:val="center"/>
              <w:rPr>
                <w:rFonts w:ascii="仿宋" w:hAnsi="仿宋" w:cs="宋体"/>
                <w:b/>
                <w:color w:val="auto"/>
                <w:szCs w:val="21"/>
                <w:highlight w:val="none"/>
              </w:rPr>
            </w:pPr>
            <w:r>
              <w:rPr>
                <w:rFonts w:hint="eastAsia" w:ascii="仿宋" w:hAnsi="仿宋" w:cs="宋体"/>
                <w:b/>
                <w:color w:val="auto"/>
                <w:szCs w:val="21"/>
                <w:highlight w:val="none"/>
              </w:rPr>
              <w:t>招标规格</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ascii="仿宋" w:hAnsi="仿宋" w:cs="宋体"/>
                <w:color w:val="auto"/>
                <w:szCs w:val="21"/>
                <w:highlight w:val="none"/>
              </w:rPr>
              <w:t>1</w:t>
            </w:r>
          </w:p>
        </w:tc>
        <w:tc>
          <w:tcPr>
            <w:tcW w:w="7971" w:type="dxa"/>
            <w:tcBorders>
              <w:top w:val="single" w:color="auto" w:sz="2" w:space="0"/>
              <w:bottom w:val="single" w:color="auto" w:sz="2"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恒电流恒电位单元</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ascii="仿宋" w:hAnsi="仿宋"/>
                <w:color w:val="auto"/>
                <w:szCs w:val="21"/>
                <w:highlight w:val="none"/>
              </w:rPr>
              <w:t>▲</w:t>
            </w:r>
            <w:r>
              <w:rPr>
                <w:rFonts w:ascii="仿宋" w:hAnsi="仿宋" w:cs="宋体"/>
                <w:color w:val="auto"/>
                <w:szCs w:val="21"/>
                <w:highlight w:val="none"/>
              </w:rPr>
              <w:t>1.1</w:t>
            </w:r>
          </w:p>
        </w:tc>
        <w:tc>
          <w:tcPr>
            <w:tcW w:w="7971" w:type="dxa"/>
            <w:tcBorders>
              <w:top w:val="single" w:color="auto" w:sz="2" w:space="0"/>
              <w:bottom w:val="single" w:color="auto" w:sz="2"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测量配置：连接 2-、3-、4-端，必须配置浮地功能</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ascii="仿宋" w:hAnsi="仿宋" w:cs="宋体"/>
                <w:color w:val="auto"/>
                <w:szCs w:val="21"/>
                <w:highlight w:val="none"/>
              </w:rPr>
              <w:t>1.2</w:t>
            </w:r>
          </w:p>
        </w:tc>
        <w:tc>
          <w:tcPr>
            <w:tcW w:w="7971" w:type="dxa"/>
            <w:tcBorders>
              <w:top w:val="single" w:color="auto" w:sz="2" w:space="0"/>
              <w:bottom w:val="single" w:color="auto" w:sz="2"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电流测量电阻（Rs）范围：0.1Ω到1MΩ</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ascii="仿宋" w:hAnsi="仿宋" w:cs="宋体"/>
                <w:color w:val="auto"/>
                <w:szCs w:val="21"/>
                <w:highlight w:val="none"/>
              </w:rPr>
              <w:t>1.3</w:t>
            </w:r>
          </w:p>
        </w:tc>
        <w:tc>
          <w:tcPr>
            <w:tcW w:w="7971" w:type="dxa"/>
            <w:tcBorders>
              <w:top w:val="single" w:color="auto" w:sz="2" w:space="0"/>
              <w:bottom w:val="single" w:color="auto" w:sz="2"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误差限：0.1%±0.05%（量程）</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w:t>
            </w:r>
            <w:r>
              <w:rPr>
                <w:rFonts w:ascii="仿宋" w:hAnsi="仿宋" w:cs="宋体"/>
                <w:color w:val="auto"/>
                <w:szCs w:val="21"/>
                <w:highlight w:val="none"/>
              </w:rPr>
              <w:t>4</w:t>
            </w:r>
          </w:p>
        </w:tc>
        <w:tc>
          <w:tcPr>
            <w:tcW w:w="7971" w:type="dxa"/>
            <w:tcBorders>
              <w:top w:val="single" w:color="auto" w:sz="2" w:space="0"/>
              <w:bottom w:val="single" w:color="auto" w:sz="2"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输出电压，相对于LO（低端）&gt;±30V</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w:t>
            </w:r>
            <w:r>
              <w:rPr>
                <w:rFonts w:ascii="仿宋" w:hAnsi="仿宋" w:cs="宋体"/>
                <w:color w:val="auto"/>
                <w:szCs w:val="21"/>
                <w:highlight w:val="none"/>
              </w:rPr>
              <w:t>.5</w:t>
            </w:r>
          </w:p>
        </w:tc>
        <w:tc>
          <w:tcPr>
            <w:tcW w:w="7971" w:type="dxa"/>
            <w:tcBorders>
              <w:top w:val="single" w:color="auto" w:sz="2" w:space="0"/>
              <w:bottom w:val="single" w:color="auto" w:sz="2"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输入阻抗：&gt;10GΩ，电容50pF；误差限：0.1%±100μV</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75"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ascii="仿宋" w:hAnsi="仿宋"/>
                <w:color w:val="auto"/>
                <w:szCs w:val="21"/>
                <w:highlight w:val="none"/>
              </w:rPr>
              <w:t>▲</w:t>
            </w:r>
            <w:r>
              <w:rPr>
                <w:rFonts w:hint="eastAsia" w:ascii="仿宋" w:hAnsi="仿宋" w:cs="宋体"/>
                <w:color w:val="auto"/>
                <w:szCs w:val="21"/>
                <w:highlight w:val="none"/>
              </w:rPr>
              <w:t>1</w:t>
            </w:r>
            <w:r>
              <w:rPr>
                <w:rFonts w:ascii="仿宋" w:hAnsi="仿宋" w:cs="宋体"/>
                <w:color w:val="auto"/>
                <w:szCs w:val="21"/>
                <w:highlight w:val="none"/>
              </w:rPr>
              <w:t>.6</w:t>
            </w:r>
          </w:p>
        </w:tc>
        <w:tc>
          <w:tcPr>
            <w:tcW w:w="7971" w:type="dxa"/>
            <w:tcBorders>
              <w:top w:val="single" w:color="auto" w:sz="2" w:space="0"/>
              <w:bottom w:val="single" w:color="auto" w:sz="2"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极化电压：±14.5V，精度误差≤0.1%</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w:t>
            </w:r>
            <w:r>
              <w:rPr>
                <w:rFonts w:ascii="仿宋" w:hAnsi="仿宋" w:cs="宋体"/>
                <w:color w:val="auto"/>
                <w:szCs w:val="21"/>
                <w:highlight w:val="none"/>
              </w:rPr>
              <w:t>.7</w:t>
            </w:r>
          </w:p>
        </w:tc>
        <w:tc>
          <w:tcPr>
            <w:tcW w:w="7971" w:type="dxa"/>
            <w:tcBorders>
              <w:top w:val="single" w:color="auto" w:sz="2" w:space="0"/>
              <w:bottom w:val="single" w:color="auto" w:sz="2"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电流范围：±2A，误差限：0.2%±0.1%(量程)</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ascii="仿宋" w:hAnsi="仿宋"/>
                <w:color w:val="auto"/>
                <w:szCs w:val="21"/>
                <w:highlight w:val="none"/>
              </w:rPr>
              <w:t>▲</w:t>
            </w:r>
            <w:r>
              <w:rPr>
                <w:rFonts w:hint="eastAsia" w:ascii="仿宋" w:hAnsi="仿宋" w:cs="宋体"/>
                <w:color w:val="auto"/>
                <w:szCs w:val="21"/>
                <w:highlight w:val="none"/>
              </w:rPr>
              <w:t>1</w:t>
            </w:r>
            <w:r>
              <w:rPr>
                <w:rFonts w:ascii="仿宋" w:hAnsi="仿宋" w:cs="宋体"/>
                <w:color w:val="auto"/>
                <w:szCs w:val="21"/>
                <w:highlight w:val="none"/>
              </w:rPr>
              <w:t>.8</w:t>
            </w:r>
          </w:p>
        </w:tc>
        <w:tc>
          <w:tcPr>
            <w:tcW w:w="7971" w:type="dxa"/>
            <w:tcBorders>
              <w:top w:val="single" w:color="auto" w:sz="2" w:space="0"/>
              <w:bottom w:val="single" w:color="auto" w:sz="2"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扫描：配置阶梯波和线性波双重扫描方式</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ascii="仿宋" w:hAnsi="仿宋"/>
                <w:color w:val="auto"/>
                <w:szCs w:val="21"/>
                <w:highlight w:val="none"/>
              </w:rPr>
              <w:t>▲</w:t>
            </w:r>
            <w:r>
              <w:rPr>
                <w:rFonts w:hint="eastAsia" w:ascii="仿宋" w:hAnsi="仿宋" w:cs="宋体"/>
                <w:color w:val="auto"/>
                <w:szCs w:val="21"/>
                <w:highlight w:val="none"/>
              </w:rPr>
              <w:t>1</w:t>
            </w:r>
            <w:r>
              <w:rPr>
                <w:rFonts w:ascii="仿宋" w:hAnsi="仿宋" w:cs="宋体"/>
                <w:color w:val="auto"/>
                <w:szCs w:val="21"/>
                <w:highlight w:val="none"/>
              </w:rPr>
              <w:t>.9</w:t>
            </w:r>
          </w:p>
        </w:tc>
        <w:tc>
          <w:tcPr>
            <w:tcW w:w="7971" w:type="dxa"/>
            <w:tcBorders>
              <w:top w:val="single" w:color="auto" w:sz="2" w:space="0"/>
              <w:bottom w:val="single" w:color="auto" w:sz="2"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零阻计：配置零阻计，可进行电化学噪声以及电偶腐蚀测试</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2</w:t>
            </w:r>
          </w:p>
        </w:tc>
        <w:tc>
          <w:tcPr>
            <w:tcW w:w="7971" w:type="dxa"/>
            <w:tcBorders>
              <w:top w:val="single" w:color="auto" w:sz="2" w:space="0"/>
              <w:bottom w:val="single" w:color="auto" w:sz="2"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交流阻抗测试单元：此部件必须为功能完备的专业设备，非配件。具备实现独立测试阻抗实验的功能，实际测试阻抗频率上限须达到32M。</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2</w:t>
            </w:r>
            <w:r>
              <w:rPr>
                <w:rFonts w:ascii="仿宋" w:hAnsi="仿宋" w:cs="宋体"/>
                <w:color w:val="auto"/>
                <w:szCs w:val="21"/>
                <w:highlight w:val="none"/>
              </w:rPr>
              <w:t>.1</w:t>
            </w:r>
          </w:p>
        </w:tc>
        <w:tc>
          <w:tcPr>
            <w:tcW w:w="7971" w:type="dxa"/>
            <w:tcBorders>
              <w:top w:val="single" w:color="auto" w:sz="2" w:space="0"/>
              <w:bottom w:val="single" w:color="auto" w:sz="2"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发生器:电压模式、电流模式</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ascii="仿宋" w:hAnsi="仿宋" w:cs="宋体"/>
                <w:color w:val="auto"/>
                <w:szCs w:val="21"/>
                <w:highlight w:val="none"/>
              </w:rPr>
              <w:t>2.2</w:t>
            </w:r>
          </w:p>
        </w:tc>
        <w:tc>
          <w:tcPr>
            <w:tcW w:w="7971" w:type="dxa"/>
            <w:tcBorders>
              <w:top w:val="single" w:color="auto" w:sz="2" w:space="0"/>
              <w:bottom w:val="single" w:color="auto" w:sz="2"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交流幅度</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ascii="仿宋" w:hAnsi="仿宋" w:cs="宋体"/>
                <w:color w:val="auto"/>
                <w:szCs w:val="21"/>
                <w:highlight w:val="none"/>
              </w:rPr>
              <w:t>2.2.1</w:t>
            </w:r>
          </w:p>
        </w:tc>
        <w:tc>
          <w:tcPr>
            <w:tcW w:w="7971" w:type="dxa"/>
            <w:tcBorders>
              <w:top w:val="single" w:color="auto" w:sz="2" w:space="0"/>
              <w:bottom w:val="single" w:color="auto" w:sz="2"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≤10MHz，0—3V 有效值，0-60mA 有效值</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ascii="仿宋" w:hAnsi="仿宋" w:cs="宋体"/>
                <w:color w:val="auto"/>
                <w:szCs w:val="21"/>
                <w:highlight w:val="none"/>
              </w:rPr>
              <w:t>2.2.2</w:t>
            </w:r>
          </w:p>
        </w:tc>
        <w:tc>
          <w:tcPr>
            <w:tcW w:w="7971" w:type="dxa"/>
            <w:tcBorders>
              <w:top w:val="single" w:color="auto" w:sz="2" w:space="0"/>
              <w:bottom w:val="single" w:color="auto" w:sz="2"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&gt;10MHz，0—1V 有效值，0-20mA 有效值</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2</w:t>
            </w:r>
            <w:r>
              <w:rPr>
                <w:rFonts w:ascii="仿宋" w:hAnsi="仿宋" w:cs="宋体"/>
                <w:color w:val="auto"/>
                <w:szCs w:val="21"/>
                <w:highlight w:val="none"/>
              </w:rPr>
              <w:t>.3</w:t>
            </w:r>
          </w:p>
        </w:tc>
        <w:tc>
          <w:tcPr>
            <w:tcW w:w="7971" w:type="dxa"/>
            <w:tcBorders>
              <w:top w:val="single" w:color="auto" w:sz="2" w:space="0"/>
              <w:bottom w:val="single" w:color="auto" w:sz="2"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最大交流分辨率：5mV ，100uA</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b/>
                <w:color w:val="auto"/>
                <w:szCs w:val="21"/>
                <w:highlight w:val="none"/>
              </w:rPr>
            </w:pPr>
            <w:r>
              <w:rPr>
                <w:rFonts w:ascii="仿宋" w:hAnsi="仿宋"/>
                <w:color w:val="auto"/>
                <w:szCs w:val="21"/>
                <w:highlight w:val="none"/>
              </w:rPr>
              <w:t>▲</w:t>
            </w:r>
            <w:r>
              <w:rPr>
                <w:rFonts w:hint="eastAsia" w:ascii="仿宋" w:hAnsi="仿宋" w:cs="宋体"/>
                <w:b/>
                <w:color w:val="auto"/>
                <w:szCs w:val="21"/>
                <w:highlight w:val="none"/>
              </w:rPr>
              <w:t>2</w:t>
            </w:r>
            <w:r>
              <w:rPr>
                <w:rFonts w:ascii="仿宋" w:hAnsi="仿宋" w:cs="宋体"/>
                <w:b/>
                <w:color w:val="auto"/>
                <w:szCs w:val="21"/>
                <w:highlight w:val="none"/>
              </w:rPr>
              <w:t>.4</w:t>
            </w:r>
          </w:p>
        </w:tc>
        <w:tc>
          <w:tcPr>
            <w:tcW w:w="7971" w:type="dxa"/>
            <w:tcBorders>
              <w:top w:val="single" w:color="auto" w:sz="2" w:space="0"/>
              <w:bottom w:val="single" w:color="auto" w:sz="2"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直流偏置范围：±40.95V</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2</w:t>
            </w:r>
            <w:r>
              <w:rPr>
                <w:rFonts w:ascii="仿宋" w:hAnsi="仿宋" w:cs="宋体"/>
                <w:color w:val="auto"/>
                <w:szCs w:val="21"/>
                <w:highlight w:val="none"/>
              </w:rPr>
              <w:t>.5</w:t>
            </w:r>
          </w:p>
        </w:tc>
        <w:tc>
          <w:tcPr>
            <w:tcW w:w="7971" w:type="dxa"/>
            <w:tcBorders>
              <w:top w:val="single" w:color="auto" w:sz="2" w:space="0"/>
              <w:bottom w:val="single" w:color="auto" w:sz="2"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最大直流分辨率：10mV， 200uA</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2</w:t>
            </w:r>
            <w:r>
              <w:rPr>
                <w:rFonts w:ascii="仿宋" w:hAnsi="仿宋" w:cs="宋体"/>
                <w:color w:val="auto"/>
                <w:szCs w:val="21"/>
                <w:highlight w:val="none"/>
              </w:rPr>
              <w:t>.6</w:t>
            </w:r>
          </w:p>
        </w:tc>
        <w:tc>
          <w:tcPr>
            <w:tcW w:w="7971" w:type="dxa"/>
            <w:tcBorders>
              <w:top w:val="single" w:color="auto" w:sz="2" w:space="0"/>
              <w:bottom w:val="single" w:color="auto" w:sz="2"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输出阻抗：50Ω±1% ， &gt;200kΩ(&lt;1kHz)</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b/>
                <w:color w:val="auto"/>
                <w:szCs w:val="21"/>
                <w:highlight w:val="none"/>
              </w:rPr>
            </w:pPr>
            <w:r>
              <w:rPr>
                <w:rFonts w:ascii="仿宋" w:hAnsi="仿宋"/>
                <w:color w:val="auto"/>
                <w:szCs w:val="21"/>
                <w:highlight w:val="none"/>
              </w:rPr>
              <w:t>▲</w:t>
            </w:r>
            <w:r>
              <w:rPr>
                <w:rFonts w:hint="eastAsia" w:ascii="仿宋" w:hAnsi="仿宋" w:cs="宋体"/>
                <w:b/>
                <w:color w:val="auto"/>
                <w:szCs w:val="21"/>
                <w:highlight w:val="none"/>
              </w:rPr>
              <w:t>2</w:t>
            </w:r>
            <w:r>
              <w:rPr>
                <w:rFonts w:ascii="仿宋" w:hAnsi="仿宋" w:cs="宋体"/>
                <w:b/>
                <w:color w:val="auto"/>
                <w:szCs w:val="21"/>
                <w:highlight w:val="none"/>
              </w:rPr>
              <w:t>.7</w:t>
            </w:r>
          </w:p>
        </w:tc>
        <w:tc>
          <w:tcPr>
            <w:tcW w:w="7971" w:type="dxa"/>
            <w:tcBorders>
              <w:top w:val="single" w:color="auto" w:sz="2" w:space="0"/>
              <w:bottom w:val="single" w:color="auto" w:sz="2"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频率实测范围：10 uHz to 32MHz（实际发生和接受频率均可达32MHz）</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b/>
                <w:color w:val="auto"/>
                <w:szCs w:val="21"/>
                <w:highlight w:val="none"/>
              </w:rPr>
            </w:pPr>
            <w:r>
              <w:rPr>
                <w:rFonts w:ascii="仿宋" w:hAnsi="仿宋"/>
                <w:color w:val="auto"/>
                <w:szCs w:val="21"/>
                <w:highlight w:val="none"/>
              </w:rPr>
              <w:t>▲</w:t>
            </w:r>
            <w:r>
              <w:rPr>
                <w:rFonts w:hint="eastAsia" w:ascii="仿宋" w:hAnsi="仿宋" w:cs="宋体"/>
                <w:b/>
                <w:color w:val="auto"/>
                <w:szCs w:val="21"/>
                <w:highlight w:val="none"/>
              </w:rPr>
              <w:t>2</w:t>
            </w:r>
            <w:r>
              <w:rPr>
                <w:rFonts w:ascii="仿宋" w:hAnsi="仿宋" w:cs="宋体"/>
                <w:b/>
                <w:color w:val="auto"/>
                <w:szCs w:val="21"/>
                <w:highlight w:val="none"/>
              </w:rPr>
              <w:t>.8</w:t>
            </w:r>
          </w:p>
        </w:tc>
        <w:tc>
          <w:tcPr>
            <w:tcW w:w="7971" w:type="dxa"/>
            <w:tcBorders>
              <w:top w:val="single" w:color="auto" w:sz="2" w:space="0"/>
              <w:bottom w:val="single" w:color="auto" w:sz="2"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频率分辨率：0.015ppm，即1/65000000；</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b/>
                <w:color w:val="auto"/>
                <w:szCs w:val="21"/>
                <w:highlight w:val="none"/>
              </w:rPr>
            </w:pPr>
            <w:r>
              <w:rPr>
                <w:rFonts w:ascii="仿宋" w:hAnsi="仿宋"/>
                <w:color w:val="auto"/>
                <w:szCs w:val="21"/>
                <w:highlight w:val="none"/>
              </w:rPr>
              <w:t>▲</w:t>
            </w:r>
            <w:r>
              <w:rPr>
                <w:rFonts w:hint="eastAsia" w:ascii="仿宋" w:hAnsi="仿宋" w:cs="宋体"/>
                <w:b/>
                <w:color w:val="auto"/>
                <w:szCs w:val="21"/>
                <w:highlight w:val="none"/>
              </w:rPr>
              <w:t>2</w:t>
            </w:r>
            <w:r>
              <w:rPr>
                <w:rFonts w:ascii="仿宋" w:hAnsi="仿宋" w:cs="宋体"/>
                <w:b/>
                <w:color w:val="auto"/>
                <w:szCs w:val="21"/>
                <w:highlight w:val="none"/>
              </w:rPr>
              <w:t>.9</w:t>
            </w:r>
          </w:p>
        </w:tc>
        <w:tc>
          <w:tcPr>
            <w:tcW w:w="7971" w:type="dxa"/>
            <w:tcBorders>
              <w:top w:val="single" w:color="auto" w:sz="2" w:space="0"/>
              <w:bottom w:val="single" w:color="auto" w:sz="2"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阻抗准确性误差：≤0.1%， 0.10</w:t>
            </w:r>
            <w:r>
              <w:rPr>
                <w:rFonts w:hint="eastAsia" w:ascii="仿宋" w:hAnsi="仿宋" w:cs="宋体"/>
                <w:color w:val="auto"/>
                <w:szCs w:val="21"/>
                <w:highlight w:val="none"/>
              </w:rPr>
              <w:sym w:font="Symbol" w:char="F0B0"/>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2</w:t>
            </w:r>
            <w:r>
              <w:rPr>
                <w:rFonts w:ascii="仿宋" w:hAnsi="仿宋" w:cs="宋体"/>
                <w:color w:val="auto"/>
                <w:szCs w:val="21"/>
                <w:highlight w:val="none"/>
              </w:rPr>
              <w:t>.10</w:t>
            </w:r>
          </w:p>
        </w:tc>
        <w:tc>
          <w:tcPr>
            <w:tcW w:w="7971" w:type="dxa"/>
            <w:tcBorders>
              <w:top w:val="single" w:color="auto" w:sz="2" w:space="0"/>
              <w:bottom w:val="single" w:color="auto" w:sz="2"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最大电压</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2</w:t>
            </w:r>
            <w:r>
              <w:rPr>
                <w:rFonts w:ascii="仿宋" w:hAnsi="仿宋" w:cs="宋体"/>
                <w:color w:val="auto"/>
                <w:szCs w:val="21"/>
                <w:highlight w:val="none"/>
              </w:rPr>
              <w:t>.10.1</w:t>
            </w:r>
          </w:p>
        </w:tc>
        <w:tc>
          <w:tcPr>
            <w:tcW w:w="7971" w:type="dxa"/>
            <w:tcBorders>
              <w:top w:val="single" w:color="auto" w:sz="2" w:space="0"/>
              <w:bottom w:val="single" w:color="auto" w:sz="2"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高到低端：±46V 峰值</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2</w:t>
            </w:r>
            <w:r>
              <w:rPr>
                <w:rFonts w:ascii="仿宋" w:hAnsi="仿宋" w:cs="宋体"/>
                <w:color w:val="auto"/>
                <w:szCs w:val="21"/>
                <w:highlight w:val="none"/>
              </w:rPr>
              <w:t>.10.2</w:t>
            </w:r>
          </w:p>
        </w:tc>
        <w:tc>
          <w:tcPr>
            <w:tcW w:w="7971" w:type="dxa"/>
            <w:tcBorders>
              <w:top w:val="single" w:color="auto" w:sz="2" w:space="0"/>
              <w:bottom w:val="single" w:color="auto" w:sz="2"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低到地端：±0.4V 峰值</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2</w:t>
            </w:r>
            <w:r>
              <w:rPr>
                <w:rFonts w:ascii="仿宋" w:hAnsi="仿宋" w:cs="宋体"/>
                <w:color w:val="auto"/>
                <w:szCs w:val="21"/>
                <w:highlight w:val="none"/>
              </w:rPr>
              <w:t>.11</w:t>
            </w:r>
          </w:p>
        </w:tc>
        <w:tc>
          <w:tcPr>
            <w:tcW w:w="7971" w:type="dxa"/>
            <w:tcBorders>
              <w:top w:val="single" w:color="auto" w:sz="2" w:space="0"/>
              <w:bottom w:val="single" w:color="auto" w:sz="2"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最大电流 ±100mA 峰值</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2</w:t>
            </w:r>
            <w:r>
              <w:rPr>
                <w:rFonts w:ascii="仿宋" w:hAnsi="仿宋" w:cs="宋体"/>
                <w:color w:val="auto"/>
                <w:szCs w:val="21"/>
                <w:highlight w:val="none"/>
              </w:rPr>
              <w:t>.12</w:t>
            </w:r>
          </w:p>
        </w:tc>
        <w:tc>
          <w:tcPr>
            <w:tcW w:w="7971" w:type="dxa"/>
            <w:tcBorders>
              <w:top w:val="single" w:color="auto" w:sz="2" w:space="0"/>
              <w:bottom w:val="single" w:color="auto" w:sz="2"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阻抗   低到地端：100 kΩ，&lt;10nF，连接 BNC 浮地屏蔽</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2</w:t>
            </w:r>
            <w:r>
              <w:rPr>
                <w:rFonts w:ascii="仿宋" w:hAnsi="仿宋" w:cs="宋体"/>
                <w:color w:val="auto"/>
                <w:szCs w:val="21"/>
                <w:highlight w:val="none"/>
              </w:rPr>
              <w:t>.13</w:t>
            </w:r>
          </w:p>
        </w:tc>
        <w:tc>
          <w:tcPr>
            <w:tcW w:w="7971" w:type="dxa"/>
            <w:tcBorders>
              <w:top w:val="single" w:color="auto" w:sz="2" w:space="0"/>
              <w:bottom w:val="single" w:color="auto" w:sz="2"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输出截止 连接闭锁或TTL 逻辑0值</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2</w:t>
            </w:r>
            <w:r>
              <w:rPr>
                <w:rFonts w:ascii="仿宋" w:hAnsi="仿宋" w:cs="宋体"/>
                <w:color w:val="auto"/>
                <w:szCs w:val="21"/>
                <w:highlight w:val="none"/>
              </w:rPr>
              <w:t>.14</w:t>
            </w:r>
          </w:p>
        </w:tc>
        <w:tc>
          <w:tcPr>
            <w:tcW w:w="7971" w:type="dxa"/>
            <w:tcBorders>
              <w:top w:val="single" w:color="auto" w:sz="2" w:space="0"/>
              <w:bottom w:val="single" w:color="auto" w:sz="2"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输入系统：电压(双路)，电流</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2</w:t>
            </w:r>
            <w:r>
              <w:rPr>
                <w:rFonts w:ascii="仿宋" w:hAnsi="仿宋" w:cs="宋体"/>
                <w:color w:val="auto"/>
                <w:szCs w:val="21"/>
                <w:highlight w:val="none"/>
              </w:rPr>
              <w:t>.15</w:t>
            </w:r>
          </w:p>
        </w:tc>
        <w:tc>
          <w:tcPr>
            <w:tcW w:w="7971" w:type="dxa"/>
            <w:tcBorders>
              <w:top w:val="single" w:color="auto" w:sz="2" w:space="0"/>
              <w:bottom w:val="single" w:color="auto" w:sz="2"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三组独立的分析器平行工作量程:30m，300mV，3V；6μ，60μ，600μ；6mA，60mA</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2</w:t>
            </w:r>
            <w:r>
              <w:rPr>
                <w:rFonts w:ascii="仿宋" w:hAnsi="仿宋" w:cs="宋体"/>
                <w:color w:val="auto"/>
                <w:szCs w:val="21"/>
                <w:highlight w:val="none"/>
              </w:rPr>
              <w:t>.16</w:t>
            </w:r>
          </w:p>
        </w:tc>
        <w:tc>
          <w:tcPr>
            <w:tcW w:w="7971" w:type="dxa"/>
            <w:tcBorders>
              <w:top w:val="single" w:color="auto" w:sz="2" w:space="0"/>
              <w:bottom w:val="single" w:color="auto" w:sz="2"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最大分辨率：1μV，200pA</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2</w:t>
            </w:r>
            <w:r>
              <w:rPr>
                <w:rFonts w:ascii="仿宋" w:hAnsi="仿宋" w:cs="宋体"/>
                <w:color w:val="auto"/>
                <w:szCs w:val="21"/>
                <w:highlight w:val="none"/>
              </w:rPr>
              <w:t>.17</w:t>
            </w:r>
          </w:p>
        </w:tc>
        <w:tc>
          <w:tcPr>
            <w:tcW w:w="7971" w:type="dxa"/>
            <w:tcBorders>
              <w:top w:val="single" w:color="auto" w:sz="2" w:space="0"/>
              <w:bottom w:val="single" w:color="auto" w:sz="2"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满度峰值：±5V，±100mA</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2</w:t>
            </w:r>
            <w:r>
              <w:rPr>
                <w:rFonts w:ascii="仿宋" w:hAnsi="仿宋" w:cs="宋体"/>
                <w:color w:val="auto"/>
                <w:szCs w:val="21"/>
                <w:highlight w:val="none"/>
              </w:rPr>
              <w:t>.18</w:t>
            </w:r>
          </w:p>
        </w:tc>
        <w:tc>
          <w:tcPr>
            <w:tcW w:w="7971" w:type="dxa"/>
            <w:tcBorders>
              <w:top w:val="single" w:color="auto" w:sz="2" w:space="0"/>
              <w:bottom w:val="single" w:color="auto" w:sz="2"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输入端保护到：±46V，±250mA</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2</w:t>
            </w:r>
            <w:r>
              <w:rPr>
                <w:rFonts w:ascii="仿宋" w:hAnsi="仿宋" w:cs="宋体"/>
                <w:color w:val="auto"/>
                <w:szCs w:val="21"/>
                <w:highlight w:val="none"/>
              </w:rPr>
              <w:t>.19</w:t>
            </w:r>
          </w:p>
        </w:tc>
        <w:tc>
          <w:tcPr>
            <w:tcW w:w="7971" w:type="dxa"/>
            <w:tcBorders>
              <w:top w:val="single" w:color="auto" w:sz="2" w:space="0"/>
              <w:bottom w:val="single" w:color="auto" w:sz="2"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连接端口：单端/双端BNC，单端BNC</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2</w:t>
            </w:r>
            <w:r>
              <w:rPr>
                <w:rFonts w:ascii="仿宋" w:hAnsi="仿宋" w:cs="宋体"/>
                <w:color w:val="auto"/>
                <w:szCs w:val="21"/>
                <w:highlight w:val="none"/>
              </w:rPr>
              <w:t>.20</w:t>
            </w:r>
          </w:p>
        </w:tc>
        <w:tc>
          <w:tcPr>
            <w:tcW w:w="7971" w:type="dxa"/>
            <w:tcBorders>
              <w:top w:val="single" w:color="auto" w:sz="2" w:space="0"/>
              <w:bottom w:val="single" w:color="auto" w:sz="2"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屏蔽：浮地/接地</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2</w:t>
            </w:r>
            <w:r>
              <w:rPr>
                <w:rFonts w:ascii="仿宋" w:hAnsi="仿宋" w:cs="宋体"/>
                <w:color w:val="auto"/>
                <w:szCs w:val="21"/>
                <w:highlight w:val="none"/>
              </w:rPr>
              <w:t>.21</w:t>
            </w:r>
          </w:p>
        </w:tc>
        <w:tc>
          <w:tcPr>
            <w:tcW w:w="7971" w:type="dxa"/>
            <w:tcBorders>
              <w:top w:val="single" w:color="auto" w:sz="2" w:space="0"/>
              <w:bottom w:val="single" w:color="auto" w:sz="2"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偶合 直流/交流(-3dB 在1Hz 处)</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2</w:t>
            </w:r>
            <w:r>
              <w:rPr>
                <w:rFonts w:ascii="仿宋" w:hAnsi="仿宋" w:cs="宋体"/>
                <w:color w:val="auto"/>
                <w:szCs w:val="21"/>
                <w:highlight w:val="none"/>
              </w:rPr>
              <w:t>.22</w:t>
            </w:r>
          </w:p>
        </w:tc>
        <w:tc>
          <w:tcPr>
            <w:tcW w:w="7971" w:type="dxa"/>
            <w:tcBorders>
              <w:top w:val="single" w:color="auto" w:sz="2" w:space="0"/>
              <w:bottom w:val="single" w:color="auto" w:sz="2"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高端对屏蔽：1M，&lt;35pF     ≥600uA，1Ω</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2</w:t>
            </w:r>
            <w:r>
              <w:rPr>
                <w:rFonts w:ascii="仿宋" w:hAnsi="仿宋" w:cs="宋体"/>
                <w:color w:val="auto"/>
                <w:szCs w:val="21"/>
                <w:highlight w:val="none"/>
              </w:rPr>
              <w:t>.23</w:t>
            </w:r>
          </w:p>
        </w:tc>
        <w:tc>
          <w:tcPr>
            <w:tcW w:w="7971" w:type="dxa"/>
            <w:tcBorders>
              <w:top w:val="single" w:color="auto" w:sz="2" w:space="0"/>
              <w:bottom w:val="single" w:color="auto" w:sz="2"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屏蔽对地：10kΩ，330pF    &lt;600uA，50Ω</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b/>
                <w:color w:val="auto"/>
                <w:szCs w:val="21"/>
                <w:highlight w:val="none"/>
              </w:rPr>
            </w:pPr>
            <w:r>
              <w:rPr>
                <w:rFonts w:ascii="仿宋" w:hAnsi="仿宋"/>
                <w:color w:val="auto"/>
                <w:szCs w:val="21"/>
                <w:highlight w:val="none"/>
              </w:rPr>
              <w:t>▲</w:t>
            </w:r>
            <w:r>
              <w:rPr>
                <w:rFonts w:hint="eastAsia" w:ascii="仿宋" w:hAnsi="仿宋" w:cs="宋体"/>
                <w:b/>
                <w:color w:val="auto"/>
                <w:szCs w:val="21"/>
                <w:highlight w:val="none"/>
              </w:rPr>
              <w:t>2</w:t>
            </w:r>
            <w:r>
              <w:rPr>
                <w:rFonts w:ascii="仿宋" w:hAnsi="仿宋" w:cs="宋体"/>
                <w:b/>
                <w:color w:val="auto"/>
                <w:szCs w:val="21"/>
                <w:highlight w:val="none"/>
              </w:rPr>
              <w:t>.24</w:t>
            </w:r>
          </w:p>
        </w:tc>
        <w:tc>
          <w:tcPr>
            <w:tcW w:w="7971" w:type="dxa"/>
            <w:tcBorders>
              <w:top w:val="single" w:color="auto" w:sz="2" w:space="0"/>
              <w:bottom w:val="single" w:color="auto" w:sz="2"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测试软件可对频响仪、直流偏压、交流信号放大器的操作控制 结果参数</w:t>
            </w:r>
            <w:r>
              <w:rPr>
                <w:rFonts w:hint="eastAsia" w:ascii="仿宋" w:hAnsi="仿宋" w:cs="宋体"/>
                <w:color w:val="auto"/>
                <w:szCs w:val="21"/>
                <w:highlight w:val="none"/>
              </w:rPr>
              <w:tab/>
            </w:r>
            <w:r>
              <w:rPr>
                <w:rFonts w:hint="eastAsia" w:ascii="仿宋" w:hAnsi="仿宋" w:cs="宋体"/>
                <w:color w:val="auto"/>
                <w:szCs w:val="21"/>
                <w:highlight w:val="none"/>
              </w:rPr>
              <w:t>Z*, Y*, ε*, C* (实部、虚部、模、相位、损耗系数tanδ)可相对于频率、时间、温度、直流偏压、交流幅度作</w:t>
            </w:r>
            <w:r>
              <w:rPr>
                <w:rFonts w:hint="eastAsia" w:ascii="仿宋" w:hAnsi="仿宋" w:cs="宋体"/>
                <w:color w:val="auto"/>
                <w:szCs w:val="21"/>
                <w:highlight w:val="none"/>
              </w:rPr>
              <w:tab/>
            </w:r>
            <w:r>
              <w:rPr>
                <w:rFonts w:hint="eastAsia" w:ascii="仿宋" w:hAnsi="仿宋" w:cs="宋体"/>
                <w:color w:val="auto"/>
                <w:szCs w:val="21"/>
                <w:highlight w:val="none"/>
              </w:rPr>
              <w:t>波特图及复平面图，包含正版ZVIEW阻抗模拟电路软件。</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3</w:t>
            </w:r>
          </w:p>
        </w:tc>
        <w:tc>
          <w:tcPr>
            <w:tcW w:w="7971" w:type="dxa"/>
            <w:tcBorders>
              <w:top w:val="single" w:color="auto" w:sz="2" w:space="0"/>
              <w:bottom w:val="single" w:color="auto" w:sz="2"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售后服务与技术支持</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3</w:t>
            </w:r>
            <w:r>
              <w:rPr>
                <w:rFonts w:ascii="仿宋" w:hAnsi="仿宋" w:cs="宋体"/>
                <w:color w:val="auto"/>
                <w:szCs w:val="21"/>
                <w:highlight w:val="none"/>
              </w:rPr>
              <w:t>.1</w:t>
            </w:r>
          </w:p>
        </w:tc>
        <w:tc>
          <w:tcPr>
            <w:tcW w:w="7971" w:type="dxa"/>
            <w:tcBorders>
              <w:top w:val="single" w:color="auto" w:sz="2" w:space="0"/>
              <w:bottom w:val="single" w:color="auto" w:sz="2"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安装及培训：仪器制造厂授权的技术人员现场安装调试，仪器技术指标经验收合格，附验收报告、并附消耗材料价格表；提供现场免费安装培训。</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960"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3</w:t>
            </w:r>
            <w:r>
              <w:rPr>
                <w:rFonts w:ascii="仿宋" w:hAnsi="仿宋" w:cs="宋体"/>
                <w:color w:val="auto"/>
                <w:szCs w:val="21"/>
                <w:highlight w:val="none"/>
              </w:rPr>
              <w:t>.2</w:t>
            </w:r>
          </w:p>
        </w:tc>
        <w:tc>
          <w:tcPr>
            <w:tcW w:w="7971" w:type="dxa"/>
            <w:tcBorders>
              <w:top w:val="single" w:color="auto" w:sz="2" w:space="0"/>
              <w:bottom w:val="single" w:color="auto" w:sz="2"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自验收合格之日起，要求由仪器制造厂提供两年免费保修服务（原厂承诺提供的售后服务必须加盖原厂的公章或书面授权，否则在评标时不予认可）。如果投标文件承诺免费保修期的提供方是不同提供方的（保修提供方最多不得超过两个），须说明提供方的顺序和各自期限。</w:t>
            </w:r>
          </w:p>
        </w:tc>
      </w:tr>
    </w:tbl>
    <w:p>
      <w:pPr>
        <w:pStyle w:val="29"/>
        <w:spacing w:before="120" w:beforeLines="50" w:after="120" w:afterLines="50" w:line="360" w:lineRule="auto"/>
        <w:ind w:firstLine="495" w:firstLineChars="235"/>
        <w:rPr>
          <w:rFonts w:ascii="宋体" w:hAnsi="宋体" w:cs="宋体"/>
          <w:b/>
          <w:bCs/>
          <w:color w:val="auto"/>
          <w:sz w:val="21"/>
          <w:szCs w:val="21"/>
          <w:highlight w:val="none"/>
        </w:rPr>
      </w:pPr>
      <w:r>
        <w:rPr>
          <w:rFonts w:hint="eastAsia" w:ascii="宋体" w:hAnsi="宋体" w:cs="宋体"/>
          <w:b/>
          <w:bCs/>
          <w:color w:val="auto"/>
          <w:sz w:val="21"/>
          <w:szCs w:val="21"/>
          <w:highlight w:val="none"/>
        </w:rPr>
        <w:t>序号2：自动聚焦耦合单模微波合成系统</w:t>
      </w:r>
    </w:p>
    <w:tbl>
      <w:tblPr>
        <w:tblStyle w:val="44"/>
        <w:tblW w:w="8931" w:type="dxa"/>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0" w:type="dxa"/>
          <w:bottom w:w="0" w:type="dxa"/>
          <w:right w:w="0" w:type="dxa"/>
        </w:tblCellMar>
      </w:tblPr>
      <w:tblGrid>
        <w:gridCol w:w="900"/>
        <w:gridCol w:w="8031"/>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457" w:hRule="atLeast"/>
          <w:tblHeader/>
        </w:trPr>
        <w:tc>
          <w:tcPr>
            <w:tcW w:w="900" w:type="dxa"/>
            <w:tcBorders>
              <w:bottom w:val="single" w:color="auto" w:sz="4" w:space="0"/>
            </w:tcBorders>
            <w:vAlign w:val="center"/>
          </w:tcPr>
          <w:p>
            <w:pPr>
              <w:rPr>
                <w:rFonts w:ascii="仿宋" w:hAnsi="仿宋" w:cs="仿宋"/>
                <w:b/>
                <w:color w:val="auto"/>
                <w:szCs w:val="21"/>
                <w:highlight w:val="none"/>
              </w:rPr>
            </w:pPr>
            <w:r>
              <w:rPr>
                <w:rFonts w:hint="eastAsia" w:ascii="仿宋" w:hAnsi="仿宋" w:cs="仿宋"/>
                <w:b/>
                <w:color w:val="auto"/>
                <w:szCs w:val="21"/>
                <w:highlight w:val="none"/>
              </w:rPr>
              <w:t>条款号</w:t>
            </w:r>
          </w:p>
        </w:tc>
        <w:tc>
          <w:tcPr>
            <w:tcW w:w="8031" w:type="dxa"/>
            <w:tcBorders>
              <w:bottom w:val="single" w:color="auto" w:sz="4" w:space="0"/>
            </w:tcBorders>
            <w:vAlign w:val="center"/>
          </w:tcPr>
          <w:p>
            <w:pPr>
              <w:ind w:firstLine="422"/>
              <w:jc w:val="center"/>
              <w:rPr>
                <w:rFonts w:ascii="仿宋" w:hAnsi="仿宋" w:cs="仿宋"/>
                <w:b/>
                <w:color w:val="auto"/>
                <w:szCs w:val="21"/>
                <w:highlight w:val="none"/>
              </w:rPr>
            </w:pPr>
            <w:r>
              <w:rPr>
                <w:rFonts w:hint="eastAsia" w:ascii="仿宋" w:hAnsi="仿宋" w:cs="仿宋"/>
                <w:b/>
                <w:color w:val="auto"/>
                <w:szCs w:val="21"/>
                <w:highlight w:val="none"/>
              </w:rPr>
              <w:t>招标规格</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vAlign w:val="center"/>
          </w:tcPr>
          <w:p>
            <w:pPr>
              <w:jc w:val="center"/>
              <w:rPr>
                <w:rFonts w:ascii="仿宋" w:hAnsi="仿宋" w:cs="仿宋"/>
                <w:color w:val="auto"/>
                <w:szCs w:val="21"/>
                <w:highlight w:val="none"/>
              </w:rPr>
            </w:pPr>
            <w:r>
              <w:rPr>
                <w:rFonts w:hint="eastAsia" w:ascii="仿宋" w:hAnsi="仿宋" w:cs="仿宋"/>
                <w:color w:val="auto"/>
                <w:szCs w:val="21"/>
                <w:highlight w:val="none"/>
              </w:rPr>
              <w:t>一</w:t>
            </w:r>
          </w:p>
        </w:tc>
        <w:tc>
          <w:tcPr>
            <w:tcW w:w="8031" w:type="dxa"/>
          </w:tcPr>
          <w:p>
            <w:pPr>
              <w:widowControl/>
              <w:spacing w:line="360" w:lineRule="exact"/>
              <w:ind w:firstLine="422"/>
              <w:jc w:val="left"/>
              <w:rPr>
                <w:rFonts w:ascii="仿宋" w:hAnsi="仿宋" w:cs="仿宋"/>
                <w:b/>
                <w:bCs/>
                <w:color w:val="auto"/>
                <w:szCs w:val="21"/>
                <w:highlight w:val="none"/>
              </w:rPr>
            </w:pPr>
            <w:r>
              <w:rPr>
                <w:rFonts w:hint="eastAsia" w:ascii="仿宋" w:hAnsi="仿宋" w:cs="仿宋"/>
                <w:b/>
                <w:bCs/>
                <w:color w:val="auto"/>
                <w:szCs w:val="21"/>
                <w:highlight w:val="none"/>
              </w:rPr>
              <w:t>环形聚焦单模微波合成仪</w:t>
            </w:r>
            <w:r>
              <w:rPr>
                <w:rFonts w:hint="eastAsia" w:ascii="仿宋" w:hAnsi="仿宋" w:cs="仿宋"/>
                <w:color w:val="auto"/>
                <w:szCs w:val="21"/>
                <w:highlight w:val="none"/>
              </w:rPr>
              <w:t xml:space="preserve">   </w:t>
            </w:r>
            <w:r>
              <w:rPr>
                <w:rFonts w:ascii="仿宋" w:hAnsi="仿宋" w:cs="仿宋"/>
                <w:color w:val="auto"/>
                <w:szCs w:val="21"/>
                <w:highlight w:val="none"/>
              </w:rPr>
              <w:t>1</w:t>
            </w:r>
            <w:r>
              <w:rPr>
                <w:rFonts w:hint="eastAsia" w:ascii="仿宋" w:hAnsi="仿宋" w:cs="仿宋"/>
                <w:color w:val="auto"/>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vAlign w:val="center"/>
          </w:tcPr>
          <w:p>
            <w:pPr>
              <w:jc w:val="center"/>
              <w:rPr>
                <w:rFonts w:ascii="仿宋" w:hAnsi="仿宋" w:cs="仿宋"/>
                <w:color w:val="auto"/>
                <w:szCs w:val="21"/>
                <w:highlight w:val="none"/>
              </w:rPr>
            </w:pPr>
            <w:r>
              <w:rPr>
                <w:rFonts w:ascii="仿宋" w:hAnsi="仿宋" w:cs="仿宋"/>
                <w:color w:val="auto"/>
                <w:szCs w:val="21"/>
                <w:highlight w:val="none"/>
              </w:rPr>
              <w:t>1</w:t>
            </w:r>
            <w:r>
              <w:rPr>
                <w:rFonts w:hint="eastAsia" w:ascii="仿宋" w:hAnsi="仿宋" w:cs="仿宋"/>
                <w:color w:val="auto"/>
                <w:szCs w:val="21"/>
                <w:highlight w:val="none"/>
              </w:rPr>
              <w:t>.1</w:t>
            </w:r>
          </w:p>
        </w:tc>
        <w:tc>
          <w:tcPr>
            <w:tcW w:w="8031" w:type="dxa"/>
          </w:tcPr>
          <w:p>
            <w:pPr>
              <w:widowControl/>
              <w:spacing w:line="360" w:lineRule="exact"/>
              <w:ind w:firstLine="422"/>
              <w:jc w:val="left"/>
              <w:rPr>
                <w:rFonts w:ascii="仿宋" w:hAnsi="仿宋" w:cs="仿宋"/>
                <w:color w:val="auto"/>
                <w:szCs w:val="21"/>
                <w:highlight w:val="none"/>
              </w:rPr>
            </w:pPr>
            <w:r>
              <w:rPr>
                <w:rFonts w:hint="eastAsia" w:ascii="仿宋" w:hAnsi="仿宋" w:cs="仿宋"/>
                <w:b/>
                <w:bCs/>
                <w:color w:val="auto"/>
                <w:szCs w:val="21"/>
                <w:highlight w:val="none"/>
              </w:rPr>
              <w:t>设备用途</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vAlign w:val="center"/>
          </w:tcPr>
          <w:p>
            <w:pPr>
              <w:jc w:val="center"/>
              <w:rPr>
                <w:rFonts w:ascii="仿宋" w:hAnsi="仿宋" w:cs="仿宋"/>
                <w:color w:val="auto"/>
                <w:szCs w:val="21"/>
                <w:highlight w:val="none"/>
              </w:rPr>
            </w:pPr>
            <w:r>
              <w:rPr>
                <w:rFonts w:ascii="仿宋" w:hAnsi="仿宋" w:cs="仿宋"/>
                <w:color w:val="auto"/>
                <w:szCs w:val="21"/>
                <w:highlight w:val="none"/>
              </w:rPr>
              <w:t>1</w:t>
            </w:r>
            <w:r>
              <w:rPr>
                <w:rFonts w:hint="eastAsia" w:ascii="仿宋" w:hAnsi="仿宋" w:cs="仿宋"/>
                <w:color w:val="auto"/>
                <w:szCs w:val="21"/>
                <w:highlight w:val="none"/>
              </w:rPr>
              <w:t>.1.1</w:t>
            </w:r>
          </w:p>
        </w:tc>
        <w:tc>
          <w:tcPr>
            <w:tcW w:w="8031" w:type="dxa"/>
          </w:tcPr>
          <w:p>
            <w:pPr>
              <w:widowControl/>
              <w:spacing w:line="360" w:lineRule="exact"/>
              <w:jc w:val="left"/>
              <w:rPr>
                <w:rFonts w:ascii="仿宋" w:hAnsi="仿宋" w:cs="仿宋"/>
                <w:color w:val="auto"/>
                <w:szCs w:val="21"/>
                <w:highlight w:val="none"/>
              </w:rPr>
            </w:pPr>
            <w:r>
              <w:rPr>
                <w:rFonts w:hint="eastAsia" w:ascii="仿宋" w:hAnsi="仿宋"/>
                <w:color w:val="auto"/>
                <w:szCs w:val="21"/>
                <w:highlight w:val="none"/>
              </w:rPr>
              <w:t>广泛应用于小分子合成、材料化学、有机化学、无机化学、新药研发、功能材料、生物、组合化学等科学研究。</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vAlign w:val="center"/>
          </w:tcPr>
          <w:p>
            <w:pPr>
              <w:jc w:val="center"/>
              <w:rPr>
                <w:rFonts w:ascii="仿宋" w:hAnsi="仿宋" w:cs="仿宋"/>
                <w:color w:val="auto"/>
                <w:szCs w:val="21"/>
                <w:highlight w:val="none"/>
              </w:rPr>
            </w:pPr>
            <w:r>
              <w:rPr>
                <w:rFonts w:ascii="仿宋" w:hAnsi="仿宋" w:cs="仿宋"/>
                <w:color w:val="auto"/>
                <w:szCs w:val="21"/>
                <w:highlight w:val="none"/>
              </w:rPr>
              <w:t>1</w:t>
            </w:r>
            <w:r>
              <w:rPr>
                <w:rFonts w:hint="eastAsia" w:ascii="仿宋" w:hAnsi="仿宋" w:cs="仿宋"/>
                <w:color w:val="auto"/>
                <w:szCs w:val="21"/>
                <w:highlight w:val="none"/>
              </w:rPr>
              <w:t>.2</w:t>
            </w:r>
          </w:p>
        </w:tc>
        <w:tc>
          <w:tcPr>
            <w:tcW w:w="8031" w:type="dxa"/>
          </w:tcPr>
          <w:p>
            <w:pPr>
              <w:widowControl/>
              <w:spacing w:line="360" w:lineRule="exact"/>
              <w:ind w:firstLine="422"/>
              <w:jc w:val="left"/>
              <w:rPr>
                <w:rFonts w:ascii="仿宋" w:hAnsi="仿宋" w:cs="仿宋"/>
                <w:color w:val="auto"/>
                <w:szCs w:val="21"/>
                <w:highlight w:val="none"/>
              </w:rPr>
            </w:pPr>
            <w:r>
              <w:rPr>
                <w:rFonts w:hint="eastAsia" w:ascii="仿宋" w:hAnsi="仿宋" w:cs="宋体"/>
                <w:b/>
                <w:bCs/>
                <w:color w:val="auto"/>
                <w:szCs w:val="21"/>
                <w:highlight w:val="none"/>
              </w:rPr>
              <w:t>技术指标</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286" w:hRule="atLeast"/>
        </w:trPr>
        <w:tc>
          <w:tcPr>
            <w:tcW w:w="900" w:type="dxa"/>
            <w:vAlign w:val="center"/>
          </w:tcPr>
          <w:p>
            <w:pPr>
              <w:jc w:val="center"/>
              <w:rPr>
                <w:rFonts w:ascii="仿宋" w:hAnsi="仿宋" w:cs="仿宋"/>
                <w:color w:val="auto"/>
                <w:szCs w:val="21"/>
                <w:highlight w:val="none"/>
              </w:rPr>
            </w:pPr>
            <w:r>
              <w:rPr>
                <w:rFonts w:ascii="仿宋" w:hAnsi="仿宋" w:cs="仿宋"/>
                <w:color w:val="auto"/>
                <w:szCs w:val="21"/>
                <w:highlight w:val="none"/>
              </w:rPr>
              <w:t>1</w:t>
            </w:r>
            <w:r>
              <w:rPr>
                <w:rFonts w:hint="eastAsia" w:ascii="仿宋" w:hAnsi="仿宋" w:cs="仿宋"/>
                <w:color w:val="auto"/>
                <w:szCs w:val="21"/>
                <w:highlight w:val="none"/>
              </w:rPr>
              <w:t>.2.</w:t>
            </w:r>
            <w:r>
              <w:rPr>
                <w:rFonts w:ascii="仿宋" w:hAnsi="仿宋" w:cs="仿宋"/>
                <w:color w:val="auto"/>
                <w:szCs w:val="21"/>
                <w:highlight w:val="none"/>
              </w:rPr>
              <w:t>1</w:t>
            </w:r>
          </w:p>
        </w:tc>
        <w:tc>
          <w:tcPr>
            <w:tcW w:w="8031" w:type="dxa"/>
            <w:tcBorders>
              <w:top w:val="single" w:color="000000" w:sz="4" w:space="0"/>
              <w:left w:val="single" w:color="000000" w:sz="4" w:space="0"/>
              <w:right w:val="single" w:color="000000" w:sz="4" w:space="0"/>
            </w:tcBorders>
            <w:vAlign w:val="center"/>
          </w:tcPr>
          <w:p>
            <w:pPr>
              <w:spacing w:line="360" w:lineRule="exact"/>
              <w:jc w:val="left"/>
              <w:rPr>
                <w:rFonts w:ascii="仿宋" w:hAnsi="仿宋" w:cs="仿宋"/>
                <w:bCs/>
                <w:color w:val="auto"/>
                <w:szCs w:val="21"/>
                <w:highlight w:val="none"/>
              </w:rPr>
            </w:pPr>
            <w:r>
              <w:rPr>
                <w:rFonts w:hint="eastAsia" w:ascii="仿宋" w:hAnsi="仿宋" w:cs="仿宋"/>
                <w:bCs/>
                <w:color w:val="auto"/>
                <w:szCs w:val="21"/>
                <w:highlight w:val="none"/>
              </w:rPr>
              <w:t>采用高频闭环式反馈控制系统及连续非脉冲微波技术。</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vAlign w:val="center"/>
          </w:tcPr>
          <w:p>
            <w:pPr>
              <w:jc w:val="center"/>
              <w:rPr>
                <w:rFonts w:ascii="仿宋" w:hAnsi="仿宋" w:cs="仿宋"/>
                <w:color w:val="auto"/>
                <w:szCs w:val="21"/>
                <w:highlight w:val="none"/>
              </w:rPr>
            </w:pPr>
            <w:r>
              <w:rPr>
                <w:rFonts w:ascii="仿宋" w:hAnsi="仿宋" w:cs="仿宋"/>
                <w:color w:val="auto"/>
                <w:szCs w:val="21"/>
                <w:highlight w:val="none"/>
              </w:rPr>
              <w:t>1</w:t>
            </w:r>
            <w:r>
              <w:rPr>
                <w:rFonts w:hint="eastAsia" w:ascii="仿宋" w:hAnsi="仿宋" w:cs="仿宋"/>
                <w:color w:val="auto"/>
                <w:szCs w:val="21"/>
                <w:highlight w:val="none"/>
              </w:rPr>
              <w:t>.2.</w:t>
            </w:r>
            <w:r>
              <w:rPr>
                <w:rFonts w:ascii="仿宋" w:hAnsi="仿宋" w:cs="仿宋"/>
                <w:color w:val="auto"/>
                <w:szCs w:val="21"/>
                <w:highlight w:val="none"/>
              </w:rPr>
              <w:t>2</w:t>
            </w:r>
          </w:p>
        </w:tc>
        <w:tc>
          <w:tcPr>
            <w:tcW w:w="80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 w:hAnsi="仿宋" w:cs="仿宋"/>
                <w:bCs/>
                <w:color w:val="auto"/>
                <w:szCs w:val="21"/>
                <w:highlight w:val="none"/>
              </w:rPr>
            </w:pPr>
            <w:r>
              <w:rPr>
                <w:rFonts w:hint="eastAsia" w:ascii="仿宋" w:hAnsi="仿宋" w:cs="仿宋"/>
                <w:bCs/>
                <w:color w:val="auto"/>
                <w:szCs w:val="21"/>
                <w:highlight w:val="none"/>
              </w:rPr>
              <w:t>微波输出功率≥300W,能量0-100%自动调节，密度0-900W/L。</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vAlign w:val="center"/>
          </w:tcPr>
          <w:p>
            <w:pPr>
              <w:jc w:val="center"/>
              <w:rPr>
                <w:rFonts w:ascii="仿宋" w:hAnsi="仿宋" w:cs="仿宋"/>
                <w:color w:val="auto"/>
                <w:szCs w:val="21"/>
                <w:highlight w:val="none"/>
              </w:rPr>
            </w:pPr>
            <w:r>
              <w:rPr>
                <w:rFonts w:ascii="仿宋" w:hAnsi="仿宋"/>
                <w:color w:val="auto"/>
                <w:szCs w:val="21"/>
                <w:highlight w:val="none"/>
              </w:rPr>
              <w:t>▲</w:t>
            </w:r>
            <w:r>
              <w:rPr>
                <w:rFonts w:ascii="仿宋" w:hAnsi="仿宋" w:cs="仿宋"/>
                <w:color w:val="auto"/>
                <w:szCs w:val="21"/>
                <w:highlight w:val="none"/>
              </w:rPr>
              <w:t>1</w:t>
            </w:r>
            <w:r>
              <w:rPr>
                <w:rFonts w:hint="eastAsia" w:ascii="仿宋" w:hAnsi="仿宋" w:cs="仿宋"/>
                <w:color w:val="auto"/>
                <w:szCs w:val="21"/>
                <w:highlight w:val="none"/>
              </w:rPr>
              <w:t>.2.</w:t>
            </w:r>
            <w:r>
              <w:rPr>
                <w:rFonts w:ascii="仿宋" w:hAnsi="仿宋" w:cs="仿宋"/>
                <w:color w:val="auto"/>
                <w:szCs w:val="21"/>
                <w:highlight w:val="none"/>
              </w:rPr>
              <w:t>3</w:t>
            </w:r>
          </w:p>
        </w:tc>
        <w:tc>
          <w:tcPr>
            <w:tcW w:w="80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 w:hAnsi="仿宋" w:cs="仿宋"/>
                <w:bCs/>
                <w:color w:val="auto"/>
                <w:szCs w:val="21"/>
                <w:highlight w:val="none"/>
              </w:rPr>
            </w:pPr>
            <w:r>
              <w:rPr>
                <w:rFonts w:hint="eastAsia" w:ascii="仿宋" w:hAnsi="仿宋" w:cs="仿宋"/>
                <w:bCs/>
                <w:color w:val="auto"/>
                <w:szCs w:val="21"/>
                <w:highlight w:val="none"/>
              </w:rPr>
              <w:t>多狭缝环形谐振单模微波腔体，体积不小于300mL，可以容纳10ml、35ml、100mL、125mL等反应容器。</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vAlign w:val="center"/>
          </w:tcPr>
          <w:p>
            <w:pPr>
              <w:jc w:val="center"/>
              <w:rPr>
                <w:rFonts w:ascii="仿宋" w:hAnsi="仿宋" w:cs="仿宋"/>
                <w:color w:val="auto"/>
                <w:szCs w:val="21"/>
                <w:highlight w:val="none"/>
              </w:rPr>
            </w:pPr>
            <w:r>
              <w:rPr>
                <w:rFonts w:ascii="仿宋" w:hAnsi="仿宋"/>
                <w:color w:val="auto"/>
                <w:szCs w:val="21"/>
                <w:highlight w:val="none"/>
              </w:rPr>
              <w:t>▲</w:t>
            </w:r>
            <w:r>
              <w:rPr>
                <w:rFonts w:ascii="仿宋" w:hAnsi="仿宋" w:cs="仿宋"/>
                <w:color w:val="auto"/>
                <w:szCs w:val="21"/>
                <w:highlight w:val="none"/>
              </w:rPr>
              <w:t>1</w:t>
            </w:r>
            <w:r>
              <w:rPr>
                <w:rFonts w:hint="eastAsia" w:ascii="仿宋" w:hAnsi="仿宋" w:cs="仿宋"/>
                <w:color w:val="auto"/>
                <w:szCs w:val="21"/>
                <w:highlight w:val="none"/>
              </w:rPr>
              <w:t>.2.</w:t>
            </w:r>
            <w:r>
              <w:rPr>
                <w:rFonts w:ascii="仿宋" w:hAnsi="仿宋" w:cs="仿宋"/>
                <w:color w:val="auto"/>
                <w:szCs w:val="21"/>
                <w:highlight w:val="none"/>
              </w:rPr>
              <w:t>4</w:t>
            </w:r>
          </w:p>
        </w:tc>
        <w:tc>
          <w:tcPr>
            <w:tcW w:w="80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 w:hAnsi="仿宋" w:cs="仿宋"/>
                <w:bCs/>
                <w:color w:val="auto"/>
                <w:szCs w:val="21"/>
                <w:highlight w:val="none"/>
              </w:rPr>
            </w:pPr>
            <w:r>
              <w:rPr>
                <w:rFonts w:hint="eastAsia" w:ascii="仿宋" w:hAnsi="仿宋" w:cs="仿宋"/>
                <w:bCs/>
                <w:color w:val="auto"/>
                <w:szCs w:val="21"/>
                <w:highlight w:val="none"/>
              </w:rPr>
              <w:t>可进行0-125mL的常压反应，并可连接常压冷凝回流和试剂添加组件。</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vAlign w:val="center"/>
          </w:tcPr>
          <w:p>
            <w:pPr>
              <w:jc w:val="center"/>
              <w:rPr>
                <w:rFonts w:ascii="仿宋" w:hAnsi="仿宋" w:cs="仿宋"/>
                <w:color w:val="auto"/>
                <w:szCs w:val="21"/>
                <w:highlight w:val="none"/>
              </w:rPr>
            </w:pPr>
            <w:r>
              <w:rPr>
                <w:rFonts w:ascii="仿宋" w:hAnsi="仿宋"/>
                <w:color w:val="auto"/>
                <w:szCs w:val="21"/>
                <w:highlight w:val="none"/>
              </w:rPr>
              <w:t>▲</w:t>
            </w:r>
            <w:r>
              <w:rPr>
                <w:rFonts w:ascii="仿宋" w:hAnsi="仿宋" w:cs="仿宋"/>
                <w:color w:val="auto"/>
                <w:szCs w:val="21"/>
                <w:highlight w:val="none"/>
              </w:rPr>
              <w:t>1</w:t>
            </w:r>
            <w:r>
              <w:rPr>
                <w:rFonts w:hint="eastAsia" w:ascii="仿宋" w:hAnsi="仿宋" w:cs="仿宋"/>
                <w:color w:val="auto"/>
                <w:szCs w:val="21"/>
                <w:highlight w:val="none"/>
              </w:rPr>
              <w:t>.2.</w:t>
            </w:r>
            <w:r>
              <w:rPr>
                <w:rFonts w:ascii="仿宋" w:hAnsi="仿宋" w:cs="仿宋"/>
                <w:color w:val="auto"/>
                <w:szCs w:val="21"/>
                <w:highlight w:val="none"/>
              </w:rPr>
              <w:t>5</w:t>
            </w:r>
          </w:p>
        </w:tc>
        <w:tc>
          <w:tcPr>
            <w:tcW w:w="80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 w:hAnsi="仿宋" w:cs="仿宋"/>
                <w:bCs/>
                <w:color w:val="auto"/>
                <w:szCs w:val="21"/>
                <w:highlight w:val="none"/>
              </w:rPr>
            </w:pPr>
            <w:r>
              <w:rPr>
                <w:rFonts w:hint="eastAsia" w:ascii="仿宋" w:hAnsi="仿宋" w:cs="仿宋"/>
                <w:bCs/>
                <w:color w:val="auto"/>
                <w:szCs w:val="21"/>
                <w:highlight w:val="none"/>
              </w:rPr>
              <w:t>可进行0-100mL的高压反应，可以使用10mL,35mL及100mL的反应容器。</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vAlign w:val="center"/>
          </w:tcPr>
          <w:p>
            <w:pPr>
              <w:jc w:val="center"/>
              <w:rPr>
                <w:rFonts w:ascii="仿宋" w:hAnsi="仿宋" w:cs="仿宋"/>
                <w:color w:val="auto"/>
                <w:szCs w:val="21"/>
                <w:highlight w:val="none"/>
              </w:rPr>
            </w:pPr>
            <w:r>
              <w:rPr>
                <w:rFonts w:ascii="仿宋" w:hAnsi="仿宋" w:cs="仿宋"/>
                <w:color w:val="auto"/>
                <w:szCs w:val="21"/>
                <w:highlight w:val="none"/>
              </w:rPr>
              <w:t>1</w:t>
            </w:r>
            <w:r>
              <w:rPr>
                <w:rFonts w:hint="eastAsia" w:ascii="仿宋" w:hAnsi="仿宋" w:cs="仿宋"/>
                <w:color w:val="auto"/>
                <w:szCs w:val="21"/>
                <w:highlight w:val="none"/>
              </w:rPr>
              <w:t>.2.</w:t>
            </w:r>
            <w:r>
              <w:rPr>
                <w:rFonts w:ascii="仿宋" w:hAnsi="仿宋" w:cs="仿宋"/>
                <w:color w:val="auto"/>
                <w:szCs w:val="21"/>
                <w:highlight w:val="none"/>
              </w:rPr>
              <w:t>6</w:t>
            </w:r>
          </w:p>
        </w:tc>
        <w:tc>
          <w:tcPr>
            <w:tcW w:w="80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 w:hAnsi="仿宋" w:cs="仿宋"/>
                <w:bCs/>
                <w:color w:val="auto"/>
                <w:szCs w:val="21"/>
                <w:highlight w:val="none"/>
              </w:rPr>
            </w:pPr>
            <w:r>
              <w:rPr>
                <w:rFonts w:hint="eastAsia" w:ascii="仿宋" w:hAnsi="仿宋" w:cs="仿宋"/>
                <w:bCs/>
                <w:color w:val="auto"/>
                <w:szCs w:val="21"/>
                <w:highlight w:val="none"/>
              </w:rPr>
              <w:t>采用一体化内置计算系统，1</w:t>
            </w:r>
            <w:r>
              <w:rPr>
                <w:rFonts w:ascii="仿宋" w:hAnsi="仿宋" w:cs="仿宋"/>
                <w:bCs/>
                <w:color w:val="auto"/>
                <w:szCs w:val="21"/>
                <w:highlight w:val="none"/>
              </w:rPr>
              <w:t>0</w:t>
            </w:r>
            <w:r>
              <w:rPr>
                <w:rFonts w:hint="eastAsia" w:ascii="仿宋" w:hAnsi="仿宋" w:cs="仿宋"/>
                <w:bCs/>
                <w:color w:val="auto"/>
                <w:szCs w:val="21"/>
                <w:highlight w:val="none"/>
              </w:rPr>
              <w:t>英寸及以上电容式触摸屏+反腐涂层，无须外接计算机便可独立进行程序设定、过程控制、及数据保存等，不中断运行程序即可实时在线更改所有反应参数，包括功率、温度、压力、搅拌和时间。</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vAlign w:val="center"/>
          </w:tcPr>
          <w:p>
            <w:pPr>
              <w:jc w:val="center"/>
              <w:rPr>
                <w:rFonts w:ascii="仿宋" w:hAnsi="仿宋" w:cs="仿宋"/>
                <w:color w:val="auto"/>
                <w:szCs w:val="21"/>
                <w:highlight w:val="none"/>
              </w:rPr>
            </w:pPr>
            <w:r>
              <w:rPr>
                <w:rFonts w:ascii="仿宋" w:hAnsi="仿宋" w:cs="仿宋"/>
                <w:color w:val="auto"/>
                <w:szCs w:val="21"/>
                <w:highlight w:val="none"/>
              </w:rPr>
              <w:t>1</w:t>
            </w:r>
            <w:r>
              <w:rPr>
                <w:rFonts w:hint="eastAsia" w:ascii="仿宋" w:hAnsi="仿宋" w:cs="仿宋"/>
                <w:color w:val="auto"/>
                <w:szCs w:val="21"/>
                <w:highlight w:val="none"/>
              </w:rPr>
              <w:t>.2.</w:t>
            </w:r>
            <w:r>
              <w:rPr>
                <w:rFonts w:ascii="仿宋" w:hAnsi="仿宋" w:cs="仿宋"/>
                <w:color w:val="auto"/>
                <w:szCs w:val="21"/>
                <w:highlight w:val="none"/>
              </w:rPr>
              <w:t>7</w:t>
            </w:r>
          </w:p>
        </w:tc>
        <w:tc>
          <w:tcPr>
            <w:tcW w:w="80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 w:hAnsi="仿宋" w:cs="仿宋"/>
                <w:bCs/>
                <w:color w:val="auto"/>
                <w:szCs w:val="21"/>
                <w:highlight w:val="none"/>
              </w:rPr>
            </w:pPr>
            <w:r>
              <w:rPr>
                <w:rFonts w:hint="eastAsia" w:ascii="仿宋" w:hAnsi="仿宋" w:cs="仿宋"/>
                <w:bCs/>
                <w:color w:val="auto"/>
                <w:szCs w:val="21"/>
                <w:highlight w:val="none"/>
              </w:rPr>
              <w:t>温度控制系统：采用非接触式底部高精度传感器测温，检测的温度精确性不受溶剂液面高低或极性变化影响，检测范围0-350℃，±0.1℃。</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vAlign w:val="center"/>
          </w:tcPr>
          <w:p>
            <w:pPr>
              <w:jc w:val="center"/>
              <w:rPr>
                <w:rFonts w:ascii="仿宋" w:hAnsi="仿宋" w:cs="仿宋"/>
                <w:color w:val="auto"/>
                <w:szCs w:val="21"/>
                <w:highlight w:val="none"/>
              </w:rPr>
            </w:pPr>
            <w:r>
              <w:rPr>
                <w:rFonts w:ascii="仿宋" w:hAnsi="仿宋" w:cs="仿宋"/>
                <w:color w:val="auto"/>
                <w:szCs w:val="21"/>
                <w:highlight w:val="none"/>
              </w:rPr>
              <w:t>1</w:t>
            </w:r>
            <w:r>
              <w:rPr>
                <w:rFonts w:hint="eastAsia" w:ascii="仿宋" w:hAnsi="仿宋" w:cs="仿宋"/>
                <w:color w:val="auto"/>
                <w:szCs w:val="21"/>
                <w:highlight w:val="none"/>
              </w:rPr>
              <w:t>.2.</w:t>
            </w:r>
            <w:r>
              <w:rPr>
                <w:rFonts w:ascii="仿宋" w:hAnsi="仿宋" w:cs="仿宋"/>
                <w:color w:val="auto"/>
                <w:szCs w:val="21"/>
                <w:highlight w:val="none"/>
              </w:rPr>
              <w:t>8</w:t>
            </w:r>
          </w:p>
        </w:tc>
        <w:tc>
          <w:tcPr>
            <w:tcW w:w="80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 w:hAnsi="仿宋" w:cs="仿宋"/>
                <w:bCs/>
                <w:color w:val="auto"/>
                <w:szCs w:val="21"/>
                <w:highlight w:val="none"/>
              </w:rPr>
            </w:pPr>
            <w:r>
              <w:rPr>
                <w:rFonts w:hint="eastAsia" w:ascii="仿宋" w:hAnsi="仿宋" w:cs="仿宋"/>
                <w:bCs/>
                <w:color w:val="auto"/>
                <w:szCs w:val="21"/>
                <w:highlight w:val="none"/>
              </w:rPr>
              <w:t>仪器配有至少应大于可三档调速原位电磁搅拌系统，并可外接机械搅拌、气流搅拌装置。配置无搅拌、低速搅拌、中速搅拌、高速搅拌等档位。</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vAlign w:val="center"/>
          </w:tcPr>
          <w:p>
            <w:pPr>
              <w:jc w:val="center"/>
              <w:rPr>
                <w:rFonts w:ascii="仿宋" w:hAnsi="仿宋" w:cs="仿宋"/>
                <w:color w:val="auto"/>
                <w:szCs w:val="21"/>
                <w:highlight w:val="none"/>
              </w:rPr>
            </w:pPr>
            <w:r>
              <w:rPr>
                <w:rFonts w:ascii="仿宋" w:hAnsi="仿宋" w:cs="仿宋"/>
                <w:color w:val="auto"/>
                <w:szCs w:val="21"/>
                <w:highlight w:val="none"/>
              </w:rPr>
              <w:t>1</w:t>
            </w:r>
            <w:r>
              <w:rPr>
                <w:rFonts w:hint="eastAsia" w:ascii="仿宋" w:hAnsi="仿宋" w:cs="仿宋"/>
                <w:color w:val="auto"/>
                <w:szCs w:val="21"/>
                <w:highlight w:val="none"/>
              </w:rPr>
              <w:t>.2.</w:t>
            </w:r>
            <w:r>
              <w:rPr>
                <w:rFonts w:ascii="仿宋" w:hAnsi="仿宋" w:cs="仿宋"/>
                <w:color w:val="auto"/>
                <w:szCs w:val="21"/>
                <w:highlight w:val="none"/>
              </w:rPr>
              <w:t>9</w:t>
            </w:r>
          </w:p>
        </w:tc>
        <w:tc>
          <w:tcPr>
            <w:tcW w:w="80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 w:hAnsi="仿宋" w:cs="仿宋"/>
                <w:bCs/>
                <w:color w:val="auto"/>
                <w:szCs w:val="21"/>
                <w:highlight w:val="none"/>
              </w:rPr>
            </w:pPr>
            <w:r>
              <w:rPr>
                <w:rFonts w:hint="eastAsia" w:ascii="仿宋" w:hAnsi="仿宋" w:cs="仿宋"/>
                <w:bCs/>
                <w:color w:val="auto"/>
                <w:szCs w:val="21"/>
                <w:highlight w:val="none"/>
              </w:rPr>
              <w:t xml:space="preserve">具有同步冷却-功率最大化技术，可在低温条件下提高微波场强密度 </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vAlign w:val="center"/>
          </w:tcPr>
          <w:p>
            <w:pPr>
              <w:jc w:val="center"/>
              <w:rPr>
                <w:rFonts w:ascii="仿宋" w:hAnsi="仿宋" w:cs="仿宋"/>
                <w:color w:val="auto"/>
                <w:szCs w:val="21"/>
                <w:highlight w:val="none"/>
              </w:rPr>
            </w:pPr>
            <w:r>
              <w:rPr>
                <w:rFonts w:ascii="仿宋" w:hAnsi="仿宋" w:cs="仿宋"/>
                <w:color w:val="auto"/>
                <w:szCs w:val="21"/>
                <w:highlight w:val="none"/>
              </w:rPr>
              <w:t>1</w:t>
            </w:r>
            <w:r>
              <w:rPr>
                <w:rFonts w:hint="eastAsia" w:ascii="仿宋" w:hAnsi="仿宋" w:cs="仿宋"/>
                <w:color w:val="auto"/>
                <w:szCs w:val="21"/>
                <w:highlight w:val="none"/>
              </w:rPr>
              <w:t>.2.</w:t>
            </w:r>
            <w:r>
              <w:rPr>
                <w:rFonts w:ascii="仿宋" w:hAnsi="仿宋" w:cs="仿宋"/>
                <w:color w:val="auto"/>
                <w:szCs w:val="21"/>
                <w:highlight w:val="none"/>
              </w:rPr>
              <w:t>10</w:t>
            </w:r>
          </w:p>
        </w:tc>
        <w:tc>
          <w:tcPr>
            <w:tcW w:w="80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 w:hAnsi="仿宋" w:cs="仿宋"/>
                <w:bCs/>
                <w:color w:val="auto"/>
                <w:szCs w:val="21"/>
                <w:highlight w:val="none"/>
              </w:rPr>
            </w:pPr>
            <w:r>
              <w:rPr>
                <w:rFonts w:hint="eastAsia" w:ascii="仿宋" w:hAnsi="仿宋" w:cs="仿宋"/>
                <w:bCs/>
                <w:color w:val="auto"/>
                <w:szCs w:val="21"/>
                <w:highlight w:val="none"/>
              </w:rPr>
              <w:t>压力罐及盖子可重复使用（非一次性），压力盖材质为硅胶材质，配有可重复使用的聚四氟垫片，可耐酸碱。</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vAlign w:val="center"/>
          </w:tcPr>
          <w:p>
            <w:pPr>
              <w:jc w:val="center"/>
              <w:rPr>
                <w:rFonts w:ascii="仿宋" w:hAnsi="仿宋" w:cs="仿宋"/>
                <w:color w:val="auto"/>
                <w:szCs w:val="21"/>
                <w:highlight w:val="none"/>
              </w:rPr>
            </w:pPr>
            <w:r>
              <w:rPr>
                <w:rFonts w:ascii="仿宋" w:hAnsi="仿宋" w:cs="仿宋"/>
                <w:color w:val="auto"/>
                <w:szCs w:val="21"/>
                <w:highlight w:val="none"/>
              </w:rPr>
              <w:t>1</w:t>
            </w:r>
            <w:r>
              <w:rPr>
                <w:rFonts w:hint="eastAsia" w:ascii="仿宋" w:hAnsi="仿宋" w:cs="仿宋"/>
                <w:color w:val="auto"/>
                <w:szCs w:val="21"/>
                <w:highlight w:val="none"/>
              </w:rPr>
              <w:t>.2.</w:t>
            </w:r>
            <w:r>
              <w:rPr>
                <w:rFonts w:ascii="仿宋" w:hAnsi="仿宋" w:cs="仿宋"/>
                <w:color w:val="auto"/>
                <w:szCs w:val="21"/>
                <w:highlight w:val="none"/>
              </w:rPr>
              <w:t>11</w:t>
            </w:r>
          </w:p>
        </w:tc>
        <w:tc>
          <w:tcPr>
            <w:tcW w:w="80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 w:hAnsi="仿宋" w:cs="仿宋"/>
                <w:bCs/>
                <w:color w:val="auto"/>
                <w:szCs w:val="21"/>
                <w:highlight w:val="none"/>
              </w:rPr>
            </w:pPr>
            <w:r>
              <w:rPr>
                <w:rFonts w:hint="eastAsia" w:ascii="仿宋" w:hAnsi="仿宋" w:cs="仿宋"/>
                <w:bCs/>
                <w:color w:val="auto"/>
                <w:szCs w:val="21"/>
                <w:highlight w:val="none"/>
              </w:rPr>
              <w:t>仪器配备高精度晶体压力控制系统，实验过程中可根据用户设置仪器自动控制泄压量，反应过程中可实现多次泄压，实时监测并显示反应中的压力数值，压控系统，易拆卸，方便清洗。</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vAlign w:val="center"/>
          </w:tcPr>
          <w:p>
            <w:pPr>
              <w:jc w:val="center"/>
              <w:rPr>
                <w:rFonts w:ascii="仿宋" w:hAnsi="仿宋" w:cs="仿宋"/>
                <w:color w:val="auto"/>
                <w:szCs w:val="21"/>
                <w:highlight w:val="none"/>
              </w:rPr>
            </w:pPr>
            <w:r>
              <w:rPr>
                <w:rFonts w:hint="eastAsia" w:ascii="仿宋" w:hAnsi="仿宋" w:cs="仿宋"/>
                <w:color w:val="auto"/>
                <w:szCs w:val="21"/>
                <w:highlight w:val="none"/>
              </w:rPr>
              <w:t>▲</w:t>
            </w:r>
            <w:r>
              <w:rPr>
                <w:rFonts w:ascii="仿宋" w:hAnsi="仿宋" w:cs="仿宋"/>
                <w:color w:val="auto"/>
                <w:szCs w:val="21"/>
                <w:highlight w:val="none"/>
              </w:rPr>
              <w:t>1</w:t>
            </w:r>
            <w:r>
              <w:rPr>
                <w:rFonts w:hint="eastAsia" w:ascii="仿宋" w:hAnsi="仿宋" w:cs="仿宋"/>
                <w:color w:val="auto"/>
                <w:szCs w:val="21"/>
                <w:highlight w:val="none"/>
              </w:rPr>
              <w:t>.2.</w:t>
            </w:r>
            <w:r>
              <w:rPr>
                <w:rFonts w:ascii="仿宋" w:hAnsi="仿宋" w:cs="仿宋"/>
                <w:color w:val="auto"/>
                <w:szCs w:val="21"/>
                <w:highlight w:val="none"/>
              </w:rPr>
              <w:t>12</w:t>
            </w:r>
          </w:p>
        </w:tc>
        <w:tc>
          <w:tcPr>
            <w:tcW w:w="80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 w:hAnsi="仿宋" w:cs="仿宋"/>
                <w:bCs/>
                <w:color w:val="auto"/>
                <w:szCs w:val="21"/>
                <w:highlight w:val="none"/>
              </w:rPr>
            </w:pPr>
            <w:r>
              <w:rPr>
                <w:rFonts w:hint="eastAsia" w:ascii="仿宋" w:hAnsi="仿宋" w:cs="仿宋"/>
                <w:bCs/>
                <w:color w:val="auto"/>
                <w:szCs w:val="21"/>
                <w:highlight w:val="none"/>
              </w:rPr>
              <w:t>压力检测范围0-500psi（35bar），控制精度±1Psi，并具备压力排气点设置功能，在不中断反应的情况下可设定0-425psi自动安全排气。</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vAlign w:val="center"/>
          </w:tcPr>
          <w:p>
            <w:pPr>
              <w:jc w:val="center"/>
              <w:rPr>
                <w:rFonts w:ascii="仿宋" w:hAnsi="仿宋" w:cs="仿宋"/>
                <w:color w:val="auto"/>
                <w:szCs w:val="21"/>
                <w:highlight w:val="none"/>
              </w:rPr>
            </w:pPr>
            <w:r>
              <w:rPr>
                <w:rFonts w:ascii="仿宋" w:hAnsi="仿宋" w:cs="仿宋"/>
                <w:color w:val="auto"/>
                <w:szCs w:val="21"/>
                <w:highlight w:val="none"/>
              </w:rPr>
              <w:t>1</w:t>
            </w:r>
            <w:r>
              <w:rPr>
                <w:rFonts w:hint="eastAsia" w:ascii="仿宋" w:hAnsi="仿宋" w:cs="仿宋"/>
                <w:color w:val="auto"/>
                <w:szCs w:val="21"/>
                <w:highlight w:val="none"/>
              </w:rPr>
              <w:t>.2.</w:t>
            </w:r>
            <w:r>
              <w:rPr>
                <w:rFonts w:ascii="仿宋" w:hAnsi="仿宋" w:cs="仿宋"/>
                <w:color w:val="auto"/>
                <w:szCs w:val="21"/>
                <w:highlight w:val="none"/>
              </w:rPr>
              <w:t>13</w:t>
            </w:r>
          </w:p>
        </w:tc>
        <w:tc>
          <w:tcPr>
            <w:tcW w:w="80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 w:hAnsi="仿宋" w:cs="仿宋"/>
                <w:bCs/>
                <w:color w:val="auto"/>
                <w:szCs w:val="21"/>
                <w:highlight w:val="none"/>
              </w:rPr>
            </w:pPr>
            <w:r>
              <w:rPr>
                <w:rFonts w:hint="eastAsia" w:ascii="仿宋" w:hAnsi="仿宋" w:cs="仿宋"/>
                <w:bCs/>
                <w:color w:val="auto"/>
                <w:szCs w:val="21"/>
                <w:highlight w:val="none"/>
              </w:rPr>
              <w:t>可选配超低温组件，内含微波穿透特性的专用冷媒以及工作泵，最大温度控制范围-80~300℃。</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vAlign w:val="center"/>
          </w:tcPr>
          <w:p>
            <w:pPr>
              <w:jc w:val="center"/>
              <w:rPr>
                <w:rFonts w:ascii="仿宋" w:hAnsi="仿宋" w:cs="仿宋"/>
                <w:color w:val="auto"/>
                <w:szCs w:val="21"/>
                <w:highlight w:val="none"/>
              </w:rPr>
            </w:pPr>
            <w:r>
              <w:rPr>
                <w:rFonts w:ascii="仿宋" w:hAnsi="仿宋" w:cs="仿宋"/>
                <w:color w:val="auto"/>
                <w:szCs w:val="21"/>
                <w:highlight w:val="none"/>
              </w:rPr>
              <w:t>1</w:t>
            </w:r>
            <w:r>
              <w:rPr>
                <w:rFonts w:hint="eastAsia" w:ascii="仿宋" w:hAnsi="仿宋" w:cs="仿宋"/>
                <w:color w:val="auto"/>
                <w:szCs w:val="21"/>
                <w:highlight w:val="none"/>
              </w:rPr>
              <w:t>.2.</w:t>
            </w:r>
            <w:r>
              <w:rPr>
                <w:rFonts w:ascii="仿宋" w:hAnsi="仿宋" w:cs="仿宋"/>
                <w:color w:val="auto"/>
                <w:szCs w:val="21"/>
                <w:highlight w:val="none"/>
              </w:rPr>
              <w:t>14</w:t>
            </w:r>
          </w:p>
        </w:tc>
        <w:tc>
          <w:tcPr>
            <w:tcW w:w="80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 w:hAnsi="仿宋" w:cs="仿宋"/>
                <w:bCs/>
                <w:color w:val="auto"/>
                <w:szCs w:val="21"/>
                <w:highlight w:val="none"/>
              </w:rPr>
            </w:pPr>
            <w:r>
              <w:rPr>
                <w:rFonts w:hint="eastAsia" w:ascii="仿宋" w:hAnsi="仿宋" w:cs="仿宋"/>
                <w:bCs/>
                <w:color w:val="auto"/>
                <w:szCs w:val="21"/>
                <w:highlight w:val="none"/>
              </w:rPr>
              <w:t>可选配全自动样品处理器，实现在无人照看的情况下自动完成一系列反应。</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vAlign w:val="center"/>
          </w:tcPr>
          <w:p>
            <w:pPr>
              <w:jc w:val="center"/>
              <w:rPr>
                <w:rFonts w:ascii="仿宋" w:hAnsi="仿宋" w:cs="仿宋"/>
                <w:color w:val="auto"/>
                <w:szCs w:val="21"/>
                <w:highlight w:val="none"/>
              </w:rPr>
            </w:pPr>
            <w:r>
              <w:rPr>
                <w:rFonts w:ascii="仿宋" w:hAnsi="仿宋" w:cs="仿宋"/>
                <w:color w:val="auto"/>
                <w:szCs w:val="21"/>
                <w:highlight w:val="none"/>
              </w:rPr>
              <w:t>1</w:t>
            </w:r>
            <w:r>
              <w:rPr>
                <w:rFonts w:hint="eastAsia" w:ascii="仿宋" w:hAnsi="仿宋" w:cs="仿宋"/>
                <w:color w:val="auto"/>
                <w:szCs w:val="21"/>
                <w:highlight w:val="none"/>
              </w:rPr>
              <w:t>.2.</w:t>
            </w:r>
            <w:r>
              <w:rPr>
                <w:rFonts w:ascii="仿宋" w:hAnsi="仿宋" w:cs="仿宋"/>
                <w:color w:val="auto"/>
                <w:szCs w:val="21"/>
                <w:highlight w:val="none"/>
              </w:rPr>
              <w:t>15</w:t>
            </w:r>
          </w:p>
        </w:tc>
        <w:tc>
          <w:tcPr>
            <w:tcW w:w="80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 w:hAnsi="仿宋" w:cs="仿宋"/>
                <w:bCs/>
                <w:color w:val="auto"/>
                <w:szCs w:val="21"/>
                <w:highlight w:val="none"/>
              </w:rPr>
            </w:pPr>
            <w:r>
              <w:rPr>
                <w:rFonts w:hint="eastAsia" w:ascii="仿宋" w:hAnsi="仿宋" w:cs="仿宋"/>
                <w:bCs/>
                <w:color w:val="auto"/>
                <w:szCs w:val="21"/>
                <w:highlight w:val="none"/>
              </w:rPr>
              <w:t>可选配500W高清数码成像系统，原位直视记录反应生成和分解的颜色变化效果，帮助判别和优化反应条件。</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vAlign w:val="center"/>
          </w:tcPr>
          <w:p>
            <w:pPr>
              <w:jc w:val="center"/>
              <w:rPr>
                <w:rFonts w:ascii="仿宋" w:hAnsi="仿宋" w:cs="仿宋"/>
                <w:color w:val="auto"/>
                <w:szCs w:val="21"/>
                <w:highlight w:val="none"/>
              </w:rPr>
            </w:pPr>
            <w:r>
              <w:rPr>
                <w:rFonts w:ascii="仿宋" w:hAnsi="仿宋" w:cs="仿宋"/>
                <w:color w:val="auto"/>
                <w:szCs w:val="21"/>
                <w:highlight w:val="none"/>
              </w:rPr>
              <w:t>1</w:t>
            </w:r>
            <w:r>
              <w:rPr>
                <w:rFonts w:hint="eastAsia" w:ascii="仿宋" w:hAnsi="仿宋" w:cs="仿宋"/>
                <w:color w:val="auto"/>
                <w:szCs w:val="21"/>
                <w:highlight w:val="none"/>
              </w:rPr>
              <w:t>.2.</w:t>
            </w:r>
            <w:r>
              <w:rPr>
                <w:rFonts w:ascii="仿宋" w:hAnsi="仿宋" w:cs="仿宋"/>
                <w:color w:val="auto"/>
                <w:szCs w:val="21"/>
                <w:highlight w:val="none"/>
              </w:rPr>
              <w:t>16</w:t>
            </w:r>
          </w:p>
        </w:tc>
        <w:tc>
          <w:tcPr>
            <w:tcW w:w="80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 w:hAnsi="仿宋" w:cs="仿宋"/>
                <w:bCs/>
                <w:color w:val="auto"/>
                <w:szCs w:val="21"/>
                <w:highlight w:val="none"/>
              </w:rPr>
            </w:pPr>
            <w:r>
              <w:rPr>
                <w:rFonts w:hint="eastAsia" w:ascii="仿宋" w:hAnsi="仿宋" w:cs="仿宋"/>
                <w:bCs/>
                <w:color w:val="auto"/>
                <w:szCs w:val="21"/>
                <w:highlight w:val="none"/>
              </w:rPr>
              <w:t>可选配80ml大体积气体添加组件，采用多重密封，三接口设置，用户可根据需要调整设置，允许气体参与的化学反应，可以连接钢瓶气，并且气源至少但不限于氮气、氩气、氢气、氧气、一氧化碳、二氧化碳等。</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vAlign w:val="center"/>
          </w:tcPr>
          <w:p>
            <w:pPr>
              <w:jc w:val="center"/>
              <w:rPr>
                <w:rFonts w:ascii="仿宋" w:hAnsi="仿宋" w:cs="仿宋"/>
                <w:color w:val="auto"/>
                <w:szCs w:val="21"/>
                <w:highlight w:val="none"/>
              </w:rPr>
            </w:pPr>
            <w:r>
              <w:rPr>
                <w:rFonts w:ascii="仿宋" w:hAnsi="仿宋" w:cs="仿宋"/>
                <w:color w:val="auto"/>
                <w:szCs w:val="21"/>
                <w:highlight w:val="none"/>
              </w:rPr>
              <w:t>1</w:t>
            </w:r>
            <w:r>
              <w:rPr>
                <w:rFonts w:hint="eastAsia" w:ascii="仿宋" w:hAnsi="仿宋" w:cs="仿宋"/>
                <w:color w:val="auto"/>
                <w:szCs w:val="21"/>
                <w:highlight w:val="none"/>
              </w:rPr>
              <w:t>.2.</w:t>
            </w:r>
            <w:r>
              <w:rPr>
                <w:rFonts w:ascii="仿宋" w:hAnsi="仿宋" w:cs="仿宋"/>
                <w:color w:val="auto"/>
                <w:szCs w:val="21"/>
                <w:highlight w:val="none"/>
              </w:rPr>
              <w:t>17</w:t>
            </w:r>
          </w:p>
        </w:tc>
        <w:tc>
          <w:tcPr>
            <w:tcW w:w="80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 w:hAnsi="仿宋" w:cs="仿宋"/>
                <w:bCs/>
                <w:color w:val="auto"/>
                <w:szCs w:val="21"/>
                <w:highlight w:val="none"/>
              </w:rPr>
            </w:pPr>
            <w:r>
              <w:rPr>
                <w:rFonts w:hint="eastAsia" w:ascii="仿宋" w:hAnsi="仿宋" w:cs="仿宋"/>
                <w:bCs/>
                <w:color w:val="auto"/>
                <w:szCs w:val="21"/>
                <w:highlight w:val="none"/>
              </w:rPr>
              <w:t>可选配PetWave同位素合成系统，进行同位素微波合成反应。</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vAlign w:val="center"/>
          </w:tcPr>
          <w:p>
            <w:pPr>
              <w:jc w:val="center"/>
              <w:rPr>
                <w:rFonts w:ascii="仿宋" w:hAnsi="仿宋" w:cs="仿宋"/>
                <w:color w:val="auto"/>
                <w:szCs w:val="21"/>
                <w:highlight w:val="none"/>
              </w:rPr>
            </w:pPr>
            <w:r>
              <w:rPr>
                <w:rFonts w:ascii="仿宋" w:hAnsi="仿宋" w:cs="仿宋"/>
                <w:color w:val="auto"/>
                <w:szCs w:val="21"/>
                <w:highlight w:val="none"/>
              </w:rPr>
              <w:t>1</w:t>
            </w:r>
            <w:r>
              <w:rPr>
                <w:rFonts w:hint="eastAsia" w:ascii="仿宋" w:hAnsi="仿宋" w:cs="仿宋"/>
                <w:color w:val="auto"/>
                <w:szCs w:val="21"/>
                <w:highlight w:val="none"/>
              </w:rPr>
              <w:t>.2.</w:t>
            </w:r>
            <w:r>
              <w:rPr>
                <w:rFonts w:ascii="仿宋" w:hAnsi="仿宋" w:cs="仿宋"/>
                <w:color w:val="auto"/>
                <w:szCs w:val="21"/>
                <w:highlight w:val="none"/>
              </w:rPr>
              <w:t>18</w:t>
            </w:r>
          </w:p>
        </w:tc>
        <w:tc>
          <w:tcPr>
            <w:tcW w:w="80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 w:hAnsi="仿宋" w:cs="仿宋"/>
                <w:bCs/>
                <w:color w:val="auto"/>
                <w:szCs w:val="21"/>
                <w:highlight w:val="none"/>
              </w:rPr>
            </w:pPr>
            <w:r>
              <w:rPr>
                <w:rFonts w:hint="eastAsia" w:ascii="仿宋" w:hAnsi="仿宋" w:cs="仿宋"/>
                <w:bCs/>
                <w:color w:val="auto"/>
                <w:szCs w:val="21"/>
                <w:highlight w:val="none"/>
              </w:rPr>
              <w:t>可选配多肽合成组件，进行微波多肽合成反应。</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vAlign w:val="center"/>
          </w:tcPr>
          <w:p>
            <w:pPr>
              <w:jc w:val="center"/>
              <w:rPr>
                <w:rFonts w:ascii="仿宋" w:hAnsi="仿宋" w:cs="仿宋"/>
                <w:color w:val="auto"/>
                <w:szCs w:val="21"/>
                <w:highlight w:val="none"/>
              </w:rPr>
            </w:pPr>
            <w:r>
              <w:rPr>
                <w:rFonts w:ascii="仿宋" w:hAnsi="仿宋" w:cs="仿宋"/>
                <w:color w:val="auto"/>
                <w:szCs w:val="21"/>
                <w:highlight w:val="none"/>
              </w:rPr>
              <w:t>1</w:t>
            </w:r>
            <w:r>
              <w:rPr>
                <w:rFonts w:hint="eastAsia" w:ascii="仿宋" w:hAnsi="仿宋" w:cs="仿宋"/>
                <w:color w:val="auto"/>
                <w:szCs w:val="21"/>
                <w:highlight w:val="none"/>
              </w:rPr>
              <w:t>.2.</w:t>
            </w:r>
            <w:r>
              <w:rPr>
                <w:rFonts w:ascii="仿宋" w:hAnsi="仿宋" w:cs="仿宋"/>
                <w:color w:val="auto"/>
                <w:szCs w:val="21"/>
                <w:highlight w:val="none"/>
              </w:rPr>
              <w:t>19</w:t>
            </w:r>
          </w:p>
        </w:tc>
        <w:tc>
          <w:tcPr>
            <w:tcW w:w="80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 w:hAnsi="仿宋" w:cs="仿宋"/>
                <w:bCs/>
                <w:color w:val="auto"/>
                <w:szCs w:val="21"/>
                <w:highlight w:val="none"/>
              </w:rPr>
            </w:pPr>
            <w:r>
              <w:rPr>
                <w:rFonts w:hint="eastAsia" w:ascii="仿宋" w:hAnsi="仿宋" w:cs="仿宋"/>
                <w:bCs/>
                <w:color w:val="auto"/>
                <w:szCs w:val="21"/>
                <w:highlight w:val="none"/>
              </w:rPr>
              <w:t>仪器需配备防爆安全保护装置，防腐蚀耐高温，反应瓶异常爆裂时保护温度探头及微波腔体。</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vAlign w:val="center"/>
          </w:tcPr>
          <w:p>
            <w:pPr>
              <w:jc w:val="center"/>
              <w:rPr>
                <w:rFonts w:ascii="仿宋" w:hAnsi="仿宋" w:cs="仿宋"/>
                <w:color w:val="auto"/>
                <w:szCs w:val="21"/>
                <w:highlight w:val="none"/>
              </w:rPr>
            </w:pPr>
            <w:r>
              <w:rPr>
                <w:rFonts w:ascii="仿宋" w:hAnsi="仿宋" w:cs="仿宋"/>
                <w:color w:val="auto"/>
                <w:szCs w:val="21"/>
                <w:highlight w:val="none"/>
              </w:rPr>
              <w:t>1</w:t>
            </w:r>
            <w:r>
              <w:rPr>
                <w:rFonts w:hint="eastAsia" w:ascii="仿宋" w:hAnsi="仿宋" w:cs="仿宋"/>
                <w:color w:val="auto"/>
                <w:szCs w:val="21"/>
                <w:highlight w:val="none"/>
              </w:rPr>
              <w:t>.2.</w:t>
            </w:r>
            <w:r>
              <w:rPr>
                <w:rFonts w:ascii="仿宋" w:hAnsi="仿宋" w:cs="仿宋"/>
                <w:color w:val="auto"/>
                <w:szCs w:val="21"/>
                <w:highlight w:val="none"/>
              </w:rPr>
              <w:t>20</w:t>
            </w:r>
          </w:p>
        </w:tc>
        <w:tc>
          <w:tcPr>
            <w:tcW w:w="80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 w:hAnsi="仿宋" w:cs="仿宋"/>
                <w:bCs/>
                <w:color w:val="auto"/>
                <w:szCs w:val="21"/>
                <w:highlight w:val="none"/>
              </w:rPr>
            </w:pPr>
            <w:r>
              <w:rPr>
                <w:rFonts w:hint="eastAsia" w:ascii="仿宋" w:hAnsi="仿宋" w:cs="仿宋"/>
                <w:bCs/>
                <w:color w:val="auto"/>
                <w:szCs w:val="21"/>
                <w:highlight w:val="none"/>
              </w:rPr>
              <w:t>整机外壳由碳纤维加强聚合材料，外壳涂层组成，高强度结构和实验室防腐防锈。</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vAlign w:val="center"/>
          </w:tcPr>
          <w:p>
            <w:pPr>
              <w:jc w:val="center"/>
              <w:rPr>
                <w:rFonts w:ascii="仿宋" w:hAnsi="仿宋" w:cs="仿宋"/>
                <w:color w:val="auto"/>
                <w:szCs w:val="21"/>
                <w:highlight w:val="none"/>
              </w:rPr>
            </w:pPr>
            <w:r>
              <w:rPr>
                <w:rFonts w:hint="eastAsia" w:ascii="仿宋" w:hAnsi="仿宋" w:cs="仿宋"/>
                <w:color w:val="auto"/>
                <w:szCs w:val="21"/>
                <w:highlight w:val="none"/>
              </w:rPr>
              <w:t>1</w:t>
            </w:r>
            <w:r>
              <w:rPr>
                <w:rFonts w:ascii="仿宋" w:hAnsi="仿宋" w:cs="仿宋"/>
                <w:color w:val="auto"/>
                <w:szCs w:val="21"/>
                <w:highlight w:val="none"/>
              </w:rPr>
              <w:t>.3</w:t>
            </w:r>
          </w:p>
        </w:tc>
        <w:tc>
          <w:tcPr>
            <w:tcW w:w="80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422"/>
              <w:jc w:val="left"/>
              <w:rPr>
                <w:rFonts w:ascii="仿宋" w:hAnsi="仿宋" w:cs="仿宋"/>
                <w:b/>
                <w:bCs/>
                <w:color w:val="auto"/>
                <w:szCs w:val="21"/>
                <w:highlight w:val="none"/>
              </w:rPr>
            </w:pPr>
            <w:r>
              <w:rPr>
                <w:rFonts w:hint="eastAsia" w:ascii="仿宋" w:hAnsi="仿宋" w:cs="仿宋"/>
                <w:b/>
                <w:bCs/>
                <w:color w:val="auto"/>
                <w:szCs w:val="21"/>
                <w:highlight w:val="none"/>
              </w:rPr>
              <w:t>主要配置清单</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vAlign w:val="center"/>
          </w:tcPr>
          <w:p>
            <w:pPr>
              <w:jc w:val="center"/>
              <w:rPr>
                <w:rFonts w:ascii="仿宋" w:hAnsi="仿宋" w:cs="仿宋"/>
                <w:color w:val="auto"/>
                <w:szCs w:val="21"/>
                <w:highlight w:val="none"/>
              </w:rPr>
            </w:pPr>
            <w:r>
              <w:rPr>
                <w:rFonts w:hint="eastAsia" w:ascii="仿宋" w:hAnsi="仿宋" w:cs="仿宋"/>
                <w:color w:val="auto"/>
                <w:szCs w:val="21"/>
                <w:highlight w:val="none"/>
              </w:rPr>
              <w:t>1</w:t>
            </w:r>
            <w:r>
              <w:rPr>
                <w:rFonts w:ascii="仿宋" w:hAnsi="仿宋" w:cs="仿宋"/>
                <w:color w:val="auto"/>
                <w:szCs w:val="21"/>
                <w:highlight w:val="none"/>
              </w:rPr>
              <w:t>.3.1</w:t>
            </w:r>
          </w:p>
        </w:tc>
        <w:tc>
          <w:tcPr>
            <w:tcW w:w="80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 w:hAnsi="仿宋" w:cs="仿宋"/>
                <w:bCs/>
                <w:color w:val="auto"/>
                <w:szCs w:val="21"/>
                <w:highlight w:val="none"/>
              </w:rPr>
            </w:pPr>
            <w:r>
              <w:rPr>
                <w:rFonts w:hint="eastAsia" w:ascii="仿宋" w:hAnsi="仿宋" w:cs="仿宋"/>
                <w:bCs/>
                <w:color w:val="auto"/>
                <w:szCs w:val="21"/>
                <w:highlight w:val="none"/>
              </w:rPr>
              <w:t xml:space="preserve">自动环形聚焦单模微波合成仪主机1台           </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vAlign w:val="center"/>
          </w:tcPr>
          <w:p>
            <w:pPr>
              <w:jc w:val="center"/>
              <w:rPr>
                <w:rFonts w:ascii="仿宋" w:hAnsi="仿宋" w:cs="仿宋"/>
                <w:color w:val="auto"/>
                <w:szCs w:val="21"/>
                <w:highlight w:val="none"/>
              </w:rPr>
            </w:pPr>
            <w:r>
              <w:rPr>
                <w:rFonts w:hint="eastAsia" w:ascii="仿宋" w:hAnsi="仿宋" w:cs="仿宋"/>
                <w:color w:val="auto"/>
                <w:szCs w:val="21"/>
                <w:highlight w:val="none"/>
              </w:rPr>
              <w:t>1</w:t>
            </w:r>
            <w:r>
              <w:rPr>
                <w:rFonts w:ascii="仿宋" w:hAnsi="仿宋" w:cs="仿宋"/>
                <w:color w:val="auto"/>
                <w:szCs w:val="21"/>
                <w:highlight w:val="none"/>
              </w:rPr>
              <w:t>.3.2</w:t>
            </w:r>
          </w:p>
        </w:tc>
        <w:tc>
          <w:tcPr>
            <w:tcW w:w="80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 w:hAnsi="仿宋" w:cs="仿宋"/>
                <w:bCs/>
                <w:color w:val="auto"/>
                <w:szCs w:val="21"/>
                <w:highlight w:val="none"/>
              </w:rPr>
            </w:pPr>
            <w:r>
              <w:rPr>
                <w:rFonts w:hint="eastAsia" w:ascii="仿宋" w:hAnsi="仿宋" w:cs="仿宋"/>
                <w:bCs/>
                <w:color w:val="auto"/>
                <w:szCs w:val="21"/>
                <w:highlight w:val="none"/>
              </w:rPr>
              <w:t xml:space="preserve">底部高精度温度控制系统1套                       </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vAlign w:val="center"/>
          </w:tcPr>
          <w:p>
            <w:pPr>
              <w:jc w:val="center"/>
              <w:rPr>
                <w:rFonts w:ascii="仿宋" w:hAnsi="仿宋" w:cs="仿宋"/>
                <w:color w:val="auto"/>
                <w:szCs w:val="21"/>
                <w:highlight w:val="none"/>
              </w:rPr>
            </w:pPr>
            <w:r>
              <w:rPr>
                <w:rFonts w:hint="eastAsia" w:ascii="仿宋" w:hAnsi="仿宋" w:cs="仿宋"/>
                <w:color w:val="auto"/>
                <w:szCs w:val="21"/>
                <w:highlight w:val="none"/>
              </w:rPr>
              <w:t>1</w:t>
            </w:r>
            <w:r>
              <w:rPr>
                <w:rFonts w:ascii="仿宋" w:hAnsi="仿宋" w:cs="仿宋"/>
                <w:color w:val="auto"/>
                <w:szCs w:val="21"/>
                <w:highlight w:val="none"/>
              </w:rPr>
              <w:t>.3.3</w:t>
            </w:r>
          </w:p>
        </w:tc>
        <w:tc>
          <w:tcPr>
            <w:tcW w:w="80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 w:hAnsi="仿宋" w:cs="仿宋"/>
                <w:bCs/>
                <w:color w:val="auto"/>
                <w:szCs w:val="21"/>
                <w:highlight w:val="none"/>
              </w:rPr>
            </w:pPr>
            <w:r>
              <w:rPr>
                <w:rFonts w:hint="eastAsia" w:ascii="仿宋" w:hAnsi="仿宋" w:cs="仿宋"/>
                <w:bCs/>
                <w:color w:val="auto"/>
                <w:szCs w:val="21"/>
                <w:highlight w:val="none"/>
              </w:rPr>
              <w:t xml:space="preserve">全自动压力控制系统（包括压力监测和压力控制）1套     </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vAlign w:val="center"/>
          </w:tcPr>
          <w:p>
            <w:pPr>
              <w:jc w:val="center"/>
              <w:rPr>
                <w:rFonts w:ascii="仿宋" w:hAnsi="仿宋" w:cs="仿宋"/>
                <w:color w:val="auto"/>
                <w:szCs w:val="21"/>
                <w:highlight w:val="none"/>
              </w:rPr>
            </w:pPr>
            <w:r>
              <w:rPr>
                <w:rFonts w:hint="eastAsia" w:ascii="仿宋" w:hAnsi="仿宋" w:cs="仿宋"/>
                <w:color w:val="auto"/>
                <w:szCs w:val="21"/>
                <w:highlight w:val="none"/>
              </w:rPr>
              <w:t>1</w:t>
            </w:r>
            <w:r>
              <w:rPr>
                <w:rFonts w:ascii="仿宋" w:hAnsi="仿宋" w:cs="仿宋"/>
                <w:color w:val="auto"/>
                <w:szCs w:val="21"/>
                <w:highlight w:val="none"/>
              </w:rPr>
              <w:t>.3.4</w:t>
            </w:r>
          </w:p>
        </w:tc>
        <w:tc>
          <w:tcPr>
            <w:tcW w:w="80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 w:hAnsi="仿宋" w:cs="仿宋"/>
                <w:bCs/>
                <w:color w:val="auto"/>
                <w:szCs w:val="21"/>
                <w:highlight w:val="none"/>
              </w:rPr>
            </w:pPr>
            <w:r>
              <w:rPr>
                <w:rFonts w:hint="eastAsia" w:ascii="仿宋" w:hAnsi="仿宋" w:cs="仿宋"/>
                <w:bCs/>
                <w:color w:val="auto"/>
                <w:szCs w:val="21"/>
                <w:highlight w:val="none"/>
              </w:rPr>
              <w:t xml:space="preserve">可三级调速电磁搅拌系统1套                            </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vAlign w:val="center"/>
          </w:tcPr>
          <w:p>
            <w:pPr>
              <w:jc w:val="center"/>
              <w:rPr>
                <w:rFonts w:ascii="仿宋" w:hAnsi="仿宋" w:cs="仿宋"/>
                <w:color w:val="auto"/>
                <w:szCs w:val="21"/>
                <w:highlight w:val="none"/>
              </w:rPr>
            </w:pPr>
            <w:r>
              <w:rPr>
                <w:rFonts w:hint="eastAsia" w:ascii="仿宋" w:hAnsi="仿宋" w:cs="仿宋"/>
                <w:color w:val="auto"/>
                <w:szCs w:val="21"/>
                <w:highlight w:val="none"/>
              </w:rPr>
              <w:t>1</w:t>
            </w:r>
            <w:r>
              <w:rPr>
                <w:rFonts w:ascii="仿宋" w:hAnsi="仿宋" w:cs="仿宋"/>
                <w:color w:val="auto"/>
                <w:szCs w:val="21"/>
                <w:highlight w:val="none"/>
              </w:rPr>
              <w:t>.3.5</w:t>
            </w:r>
          </w:p>
        </w:tc>
        <w:tc>
          <w:tcPr>
            <w:tcW w:w="80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 w:hAnsi="仿宋" w:cs="仿宋"/>
                <w:bCs/>
                <w:color w:val="auto"/>
                <w:szCs w:val="21"/>
                <w:highlight w:val="none"/>
              </w:rPr>
            </w:pPr>
            <w:r>
              <w:rPr>
                <w:rFonts w:hint="eastAsia" w:ascii="仿宋" w:hAnsi="仿宋" w:cs="仿宋"/>
                <w:bCs/>
                <w:color w:val="auto"/>
                <w:szCs w:val="21"/>
                <w:highlight w:val="none"/>
              </w:rPr>
              <w:t xml:space="preserve">同步冷却系统1套                            </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vAlign w:val="center"/>
          </w:tcPr>
          <w:p>
            <w:pPr>
              <w:jc w:val="center"/>
              <w:rPr>
                <w:rFonts w:ascii="仿宋" w:hAnsi="仿宋" w:cs="仿宋"/>
                <w:color w:val="auto"/>
                <w:szCs w:val="21"/>
                <w:highlight w:val="none"/>
              </w:rPr>
            </w:pPr>
            <w:r>
              <w:rPr>
                <w:rFonts w:hint="eastAsia" w:ascii="仿宋" w:hAnsi="仿宋" w:cs="仿宋"/>
                <w:color w:val="auto"/>
                <w:szCs w:val="21"/>
                <w:highlight w:val="none"/>
              </w:rPr>
              <w:t>1</w:t>
            </w:r>
            <w:r>
              <w:rPr>
                <w:rFonts w:ascii="仿宋" w:hAnsi="仿宋" w:cs="仿宋"/>
                <w:color w:val="auto"/>
                <w:szCs w:val="21"/>
                <w:highlight w:val="none"/>
              </w:rPr>
              <w:t>.3.6</w:t>
            </w:r>
          </w:p>
        </w:tc>
        <w:tc>
          <w:tcPr>
            <w:tcW w:w="80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 w:hAnsi="仿宋" w:cs="仿宋"/>
                <w:bCs/>
                <w:color w:val="auto"/>
                <w:szCs w:val="21"/>
                <w:highlight w:val="none"/>
              </w:rPr>
            </w:pPr>
            <w:r>
              <w:rPr>
                <w:rFonts w:hint="eastAsia" w:ascii="仿宋" w:hAnsi="仿宋" w:cs="仿宋"/>
                <w:bCs/>
                <w:color w:val="auto"/>
                <w:szCs w:val="21"/>
                <w:highlight w:val="none"/>
              </w:rPr>
              <w:t xml:space="preserve">10ml压力反应组件1套                               </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vAlign w:val="center"/>
          </w:tcPr>
          <w:p>
            <w:pPr>
              <w:jc w:val="center"/>
              <w:rPr>
                <w:rFonts w:ascii="仿宋" w:hAnsi="仿宋" w:cs="仿宋"/>
                <w:color w:val="auto"/>
                <w:szCs w:val="21"/>
                <w:highlight w:val="none"/>
              </w:rPr>
            </w:pPr>
            <w:r>
              <w:rPr>
                <w:rFonts w:hint="eastAsia" w:ascii="仿宋" w:hAnsi="仿宋" w:cs="仿宋"/>
                <w:color w:val="auto"/>
                <w:szCs w:val="21"/>
                <w:highlight w:val="none"/>
              </w:rPr>
              <w:t>1</w:t>
            </w:r>
            <w:r>
              <w:rPr>
                <w:rFonts w:ascii="仿宋" w:hAnsi="仿宋" w:cs="仿宋"/>
                <w:color w:val="auto"/>
                <w:szCs w:val="21"/>
                <w:highlight w:val="none"/>
              </w:rPr>
              <w:t>.3.7</w:t>
            </w:r>
          </w:p>
        </w:tc>
        <w:tc>
          <w:tcPr>
            <w:tcW w:w="80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 w:hAnsi="仿宋" w:cs="仿宋"/>
                <w:bCs/>
                <w:color w:val="auto"/>
                <w:szCs w:val="21"/>
                <w:highlight w:val="none"/>
              </w:rPr>
            </w:pPr>
            <w:r>
              <w:rPr>
                <w:rFonts w:hint="eastAsia" w:ascii="仿宋" w:hAnsi="仿宋" w:cs="仿宋"/>
                <w:bCs/>
                <w:color w:val="auto"/>
                <w:szCs w:val="21"/>
                <w:highlight w:val="none"/>
              </w:rPr>
              <w:t xml:space="preserve">35ml压力反应组件1套                                 </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vAlign w:val="center"/>
          </w:tcPr>
          <w:p>
            <w:pPr>
              <w:jc w:val="center"/>
              <w:rPr>
                <w:rFonts w:ascii="仿宋" w:hAnsi="仿宋" w:cs="仿宋"/>
                <w:color w:val="auto"/>
                <w:szCs w:val="21"/>
                <w:highlight w:val="none"/>
              </w:rPr>
            </w:pPr>
            <w:r>
              <w:rPr>
                <w:rFonts w:hint="eastAsia" w:ascii="仿宋" w:hAnsi="仿宋" w:cs="仿宋"/>
                <w:color w:val="auto"/>
                <w:szCs w:val="21"/>
                <w:highlight w:val="none"/>
              </w:rPr>
              <w:t>1</w:t>
            </w:r>
            <w:r>
              <w:rPr>
                <w:rFonts w:ascii="仿宋" w:hAnsi="仿宋" w:cs="仿宋"/>
                <w:color w:val="auto"/>
                <w:szCs w:val="21"/>
                <w:highlight w:val="none"/>
              </w:rPr>
              <w:t>.3.8</w:t>
            </w:r>
          </w:p>
        </w:tc>
        <w:tc>
          <w:tcPr>
            <w:tcW w:w="80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 w:hAnsi="仿宋" w:cs="仿宋"/>
                <w:bCs/>
                <w:color w:val="auto"/>
                <w:szCs w:val="21"/>
                <w:highlight w:val="none"/>
              </w:rPr>
            </w:pPr>
            <w:r>
              <w:rPr>
                <w:rFonts w:hint="eastAsia" w:ascii="仿宋" w:hAnsi="仿宋" w:cs="仿宋"/>
                <w:bCs/>
                <w:color w:val="auto"/>
                <w:szCs w:val="21"/>
                <w:highlight w:val="none"/>
              </w:rPr>
              <w:t>大体积常压反应组件1套</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vAlign w:val="center"/>
          </w:tcPr>
          <w:p>
            <w:pPr>
              <w:jc w:val="center"/>
              <w:rPr>
                <w:rFonts w:ascii="仿宋" w:hAnsi="仿宋" w:cs="仿宋"/>
                <w:bCs/>
                <w:color w:val="auto"/>
                <w:szCs w:val="21"/>
                <w:highlight w:val="none"/>
              </w:rPr>
            </w:pPr>
            <w:r>
              <w:rPr>
                <w:rFonts w:hint="eastAsia" w:ascii="仿宋" w:hAnsi="仿宋" w:cs="仿宋"/>
                <w:color w:val="auto"/>
                <w:szCs w:val="21"/>
                <w:highlight w:val="none"/>
              </w:rPr>
              <w:t>1</w:t>
            </w:r>
            <w:r>
              <w:rPr>
                <w:rFonts w:ascii="仿宋" w:hAnsi="仿宋" w:cs="仿宋"/>
                <w:color w:val="auto"/>
                <w:szCs w:val="21"/>
                <w:highlight w:val="none"/>
              </w:rPr>
              <w:t>.3.9</w:t>
            </w:r>
          </w:p>
        </w:tc>
        <w:tc>
          <w:tcPr>
            <w:tcW w:w="80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 w:hAnsi="仿宋" w:cs="仿宋"/>
                <w:bCs/>
                <w:color w:val="auto"/>
                <w:szCs w:val="21"/>
                <w:highlight w:val="none"/>
              </w:rPr>
            </w:pPr>
            <w:r>
              <w:rPr>
                <w:rFonts w:hint="eastAsia" w:ascii="仿宋" w:hAnsi="仿宋" w:cs="仿宋"/>
                <w:bCs/>
                <w:color w:val="auto"/>
                <w:szCs w:val="21"/>
                <w:highlight w:val="none"/>
              </w:rPr>
              <w:t>10ml压力反应管及盖子≥1</w:t>
            </w:r>
            <w:r>
              <w:rPr>
                <w:rFonts w:ascii="仿宋" w:hAnsi="仿宋" w:cs="仿宋"/>
                <w:bCs/>
                <w:color w:val="auto"/>
                <w:szCs w:val="21"/>
                <w:highlight w:val="none"/>
              </w:rPr>
              <w:t>00</w:t>
            </w:r>
            <w:r>
              <w:rPr>
                <w:rFonts w:hint="eastAsia" w:ascii="仿宋" w:hAnsi="仿宋" w:cs="仿宋"/>
                <w:bCs/>
                <w:color w:val="auto"/>
                <w:szCs w:val="21"/>
                <w:highlight w:val="none"/>
              </w:rPr>
              <w:t xml:space="preserve">个  </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vAlign w:val="center"/>
          </w:tcPr>
          <w:p>
            <w:pPr>
              <w:jc w:val="center"/>
              <w:rPr>
                <w:rFonts w:ascii="仿宋" w:hAnsi="仿宋" w:cs="仿宋"/>
                <w:color w:val="auto"/>
                <w:szCs w:val="21"/>
                <w:highlight w:val="none"/>
              </w:rPr>
            </w:pPr>
            <w:r>
              <w:rPr>
                <w:rFonts w:hint="eastAsia" w:ascii="仿宋" w:hAnsi="仿宋" w:cs="仿宋"/>
                <w:color w:val="auto"/>
                <w:szCs w:val="21"/>
                <w:highlight w:val="none"/>
              </w:rPr>
              <w:t>1</w:t>
            </w:r>
            <w:r>
              <w:rPr>
                <w:rFonts w:ascii="仿宋" w:hAnsi="仿宋" w:cs="仿宋"/>
                <w:color w:val="auto"/>
                <w:szCs w:val="21"/>
                <w:highlight w:val="none"/>
              </w:rPr>
              <w:t>.3.10</w:t>
            </w:r>
          </w:p>
        </w:tc>
        <w:tc>
          <w:tcPr>
            <w:tcW w:w="80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 w:hAnsi="仿宋" w:cs="仿宋"/>
                <w:bCs/>
                <w:color w:val="auto"/>
                <w:szCs w:val="21"/>
                <w:highlight w:val="none"/>
              </w:rPr>
            </w:pPr>
            <w:r>
              <w:rPr>
                <w:rFonts w:hint="eastAsia" w:ascii="仿宋" w:hAnsi="仿宋" w:cs="仿宋"/>
                <w:bCs/>
                <w:color w:val="auto"/>
                <w:szCs w:val="21"/>
                <w:highlight w:val="none"/>
              </w:rPr>
              <w:t>35 ml压力反应管及盖子≥5个</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vAlign w:val="center"/>
          </w:tcPr>
          <w:p>
            <w:pPr>
              <w:jc w:val="center"/>
              <w:rPr>
                <w:rFonts w:ascii="仿宋" w:hAnsi="仿宋" w:cs="仿宋"/>
                <w:color w:val="auto"/>
                <w:szCs w:val="21"/>
                <w:highlight w:val="none"/>
              </w:rPr>
            </w:pPr>
            <w:r>
              <w:rPr>
                <w:rFonts w:hint="eastAsia" w:ascii="仿宋" w:hAnsi="仿宋" w:cs="仿宋"/>
                <w:color w:val="auto"/>
                <w:szCs w:val="21"/>
                <w:highlight w:val="none"/>
              </w:rPr>
              <w:t>1</w:t>
            </w:r>
            <w:r>
              <w:rPr>
                <w:rFonts w:ascii="仿宋" w:hAnsi="仿宋" w:cs="仿宋"/>
                <w:color w:val="auto"/>
                <w:szCs w:val="21"/>
                <w:highlight w:val="none"/>
              </w:rPr>
              <w:t>.3.11</w:t>
            </w:r>
          </w:p>
        </w:tc>
        <w:tc>
          <w:tcPr>
            <w:tcW w:w="80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 w:hAnsi="仿宋" w:cs="仿宋"/>
                <w:bCs/>
                <w:color w:val="auto"/>
                <w:szCs w:val="21"/>
                <w:highlight w:val="none"/>
              </w:rPr>
            </w:pPr>
            <w:r>
              <w:rPr>
                <w:rFonts w:hint="eastAsia" w:ascii="仿宋" w:hAnsi="仿宋" w:cs="仿宋"/>
                <w:bCs/>
                <w:color w:val="auto"/>
                <w:szCs w:val="21"/>
                <w:highlight w:val="none"/>
              </w:rPr>
              <w:t>125ml常压反应瓶≥5个</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vAlign w:val="center"/>
          </w:tcPr>
          <w:p>
            <w:pPr>
              <w:jc w:val="center"/>
              <w:rPr>
                <w:rFonts w:ascii="仿宋" w:hAnsi="仿宋" w:cs="仿宋"/>
                <w:color w:val="auto"/>
                <w:szCs w:val="21"/>
                <w:highlight w:val="none"/>
              </w:rPr>
            </w:pPr>
            <w:r>
              <w:rPr>
                <w:rFonts w:hint="eastAsia" w:ascii="仿宋" w:hAnsi="仿宋" w:cs="仿宋"/>
                <w:color w:val="auto"/>
                <w:szCs w:val="21"/>
                <w:highlight w:val="none"/>
              </w:rPr>
              <w:t>1</w:t>
            </w:r>
            <w:r>
              <w:rPr>
                <w:rFonts w:ascii="仿宋" w:hAnsi="仿宋" w:cs="仿宋"/>
                <w:color w:val="auto"/>
                <w:szCs w:val="21"/>
                <w:highlight w:val="none"/>
              </w:rPr>
              <w:t>.3.12</w:t>
            </w:r>
          </w:p>
        </w:tc>
        <w:tc>
          <w:tcPr>
            <w:tcW w:w="80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 w:hAnsi="仿宋" w:cs="仿宋"/>
                <w:bCs/>
                <w:color w:val="auto"/>
                <w:szCs w:val="21"/>
                <w:highlight w:val="none"/>
              </w:rPr>
            </w:pPr>
            <w:r>
              <w:rPr>
                <w:rFonts w:hint="eastAsia" w:ascii="仿宋" w:hAnsi="仿宋" w:cs="仿宋"/>
                <w:bCs/>
                <w:color w:val="auto"/>
                <w:szCs w:val="21"/>
                <w:highlight w:val="none"/>
              </w:rPr>
              <w:t>空压机</w:t>
            </w:r>
            <w:r>
              <w:rPr>
                <w:rFonts w:ascii="仿宋" w:hAnsi="仿宋" w:cs="仿宋"/>
                <w:bCs/>
                <w:color w:val="auto"/>
                <w:szCs w:val="21"/>
                <w:highlight w:val="none"/>
              </w:rPr>
              <w:t>1</w:t>
            </w:r>
            <w:r>
              <w:rPr>
                <w:rFonts w:hint="eastAsia" w:ascii="仿宋" w:hAnsi="仿宋" w:cs="仿宋"/>
                <w:bCs/>
                <w:color w:val="auto"/>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vAlign w:val="center"/>
          </w:tcPr>
          <w:p>
            <w:pPr>
              <w:jc w:val="center"/>
              <w:rPr>
                <w:rFonts w:ascii="仿宋" w:hAnsi="仿宋" w:cs="仿宋"/>
                <w:color w:val="auto"/>
                <w:szCs w:val="21"/>
                <w:highlight w:val="none"/>
              </w:rPr>
            </w:pPr>
            <w:r>
              <w:rPr>
                <w:rFonts w:hint="eastAsia" w:ascii="仿宋" w:hAnsi="仿宋" w:cs="仿宋"/>
                <w:color w:val="auto"/>
                <w:szCs w:val="21"/>
                <w:highlight w:val="none"/>
              </w:rPr>
              <w:t>1.4</w:t>
            </w:r>
          </w:p>
        </w:tc>
        <w:tc>
          <w:tcPr>
            <w:tcW w:w="80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 w:hAnsi="仿宋" w:cs="仿宋"/>
                <w:bCs/>
                <w:color w:val="auto"/>
                <w:szCs w:val="21"/>
                <w:highlight w:val="none"/>
              </w:rPr>
            </w:pPr>
            <w:r>
              <w:rPr>
                <w:rFonts w:hint="eastAsia" w:ascii="仿宋" w:hAnsi="仿宋" w:cs="仿宋"/>
                <w:bCs/>
                <w:color w:val="auto"/>
                <w:szCs w:val="21"/>
                <w:highlight w:val="none"/>
              </w:rPr>
              <w:t>质保期限：整机提供至少一年质保期，耗材除外。</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vAlign w:val="center"/>
          </w:tcPr>
          <w:p>
            <w:pPr>
              <w:jc w:val="center"/>
              <w:rPr>
                <w:rFonts w:ascii="仿宋" w:hAnsi="仿宋" w:cs="仿宋"/>
                <w:color w:val="auto"/>
                <w:szCs w:val="21"/>
                <w:highlight w:val="none"/>
              </w:rPr>
            </w:pPr>
            <w:r>
              <w:rPr>
                <w:rFonts w:hint="eastAsia" w:ascii="仿宋" w:hAnsi="仿宋" w:cs="仿宋"/>
                <w:color w:val="auto"/>
                <w:szCs w:val="21"/>
                <w:highlight w:val="none"/>
              </w:rPr>
              <w:t>二</w:t>
            </w:r>
          </w:p>
        </w:tc>
        <w:tc>
          <w:tcPr>
            <w:tcW w:w="8031" w:type="dxa"/>
          </w:tcPr>
          <w:p>
            <w:pPr>
              <w:widowControl/>
              <w:spacing w:line="360" w:lineRule="exact"/>
              <w:jc w:val="left"/>
              <w:rPr>
                <w:rFonts w:ascii="仿宋" w:hAnsi="仿宋" w:cs="仿宋"/>
                <w:b/>
                <w:bCs/>
                <w:color w:val="auto"/>
                <w:szCs w:val="21"/>
                <w:highlight w:val="none"/>
              </w:rPr>
            </w:pPr>
            <w:r>
              <w:rPr>
                <w:rFonts w:hint="eastAsia" w:ascii="仿宋" w:hAnsi="仿宋" w:cs="仿宋"/>
                <w:color w:val="auto"/>
                <w:szCs w:val="21"/>
                <w:highlight w:val="none"/>
              </w:rPr>
              <w:t xml:space="preserve">高能球磨仪    </w:t>
            </w:r>
            <w:r>
              <w:rPr>
                <w:rFonts w:ascii="仿宋" w:hAnsi="仿宋" w:cs="仿宋"/>
                <w:color w:val="auto"/>
                <w:szCs w:val="21"/>
                <w:highlight w:val="none"/>
              </w:rPr>
              <w:t>1</w:t>
            </w:r>
            <w:r>
              <w:rPr>
                <w:rFonts w:hint="eastAsia" w:ascii="仿宋" w:hAnsi="仿宋" w:cs="仿宋"/>
                <w:color w:val="auto"/>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vAlign w:val="center"/>
          </w:tcPr>
          <w:p>
            <w:pPr>
              <w:jc w:val="center"/>
              <w:rPr>
                <w:rFonts w:ascii="仿宋" w:hAnsi="仿宋" w:cs="仿宋"/>
                <w:color w:val="auto"/>
                <w:szCs w:val="21"/>
                <w:highlight w:val="none"/>
              </w:rPr>
            </w:pPr>
            <w:r>
              <w:rPr>
                <w:rFonts w:ascii="仿宋" w:hAnsi="仿宋" w:cs="仿宋"/>
                <w:color w:val="auto"/>
                <w:szCs w:val="21"/>
                <w:highlight w:val="none"/>
              </w:rPr>
              <w:t>1</w:t>
            </w:r>
            <w:r>
              <w:rPr>
                <w:rFonts w:hint="eastAsia" w:ascii="仿宋" w:hAnsi="仿宋" w:cs="仿宋"/>
                <w:color w:val="auto"/>
                <w:szCs w:val="21"/>
                <w:highlight w:val="none"/>
              </w:rPr>
              <w:t>.1</w:t>
            </w:r>
          </w:p>
        </w:tc>
        <w:tc>
          <w:tcPr>
            <w:tcW w:w="8031" w:type="dxa"/>
          </w:tcPr>
          <w:p>
            <w:pPr>
              <w:widowControl/>
              <w:spacing w:line="360" w:lineRule="exact"/>
              <w:ind w:firstLine="422"/>
              <w:jc w:val="left"/>
              <w:rPr>
                <w:rFonts w:ascii="仿宋" w:hAnsi="仿宋" w:cs="仿宋"/>
                <w:color w:val="auto"/>
                <w:szCs w:val="21"/>
                <w:highlight w:val="none"/>
              </w:rPr>
            </w:pPr>
            <w:r>
              <w:rPr>
                <w:rFonts w:hint="eastAsia" w:ascii="仿宋" w:hAnsi="仿宋" w:cs="仿宋"/>
                <w:b/>
                <w:bCs/>
                <w:color w:val="auto"/>
                <w:szCs w:val="21"/>
                <w:highlight w:val="none"/>
              </w:rPr>
              <w:t>设备用途</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vAlign w:val="center"/>
          </w:tcPr>
          <w:p>
            <w:pPr>
              <w:jc w:val="center"/>
              <w:rPr>
                <w:rFonts w:ascii="仿宋" w:hAnsi="仿宋" w:cs="仿宋"/>
                <w:color w:val="auto"/>
                <w:szCs w:val="21"/>
                <w:highlight w:val="none"/>
              </w:rPr>
            </w:pPr>
            <w:r>
              <w:rPr>
                <w:rFonts w:ascii="仿宋" w:hAnsi="仿宋" w:cs="仿宋"/>
                <w:color w:val="auto"/>
                <w:szCs w:val="21"/>
                <w:highlight w:val="none"/>
              </w:rPr>
              <w:t>1</w:t>
            </w:r>
            <w:r>
              <w:rPr>
                <w:rFonts w:hint="eastAsia" w:ascii="仿宋" w:hAnsi="仿宋" w:cs="仿宋"/>
                <w:color w:val="auto"/>
                <w:szCs w:val="21"/>
                <w:highlight w:val="none"/>
              </w:rPr>
              <w:t>.1.1</w:t>
            </w:r>
          </w:p>
        </w:tc>
        <w:tc>
          <w:tcPr>
            <w:tcW w:w="8031" w:type="dxa"/>
          </w:tcPr>
          <w:p>
            <w:pPr>
              <w:widowControl/>
              <w:spacing w:line="360" w:lineRule="exact"/>
              <w:jc w:val="left"/>
              <w:rPr>
                <w:rFonts w:ascii="仿宋" w:hAnsi="仿宋" w:cs="仿宋"/>
                <w:color w:val="auto"/>
                <w:szCs w:val="21"/>
                <w:highlight w:val="none"/>
              </w:rPr>
            </w:pPr>
            <w:r>
              <w:rPr>
                <w:rFonts w:hint="eastAsia" w:ascii="仿宋" w:hAnsi="仿宋"/>
                <w:color w:val="auto"/>
                <w:szCs w:val="21"/>
                <w:highlight w:val="none"/>
              </w:rPr>
              <w:t>主要用于机械合金化及纳米研磨等应用。</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vAlign w:val="center"/>
          </w:tcPr>
          <w:p>
            <w:pPr>
              <w:jc w:val="center"/>
              <w:rPr>
                <w:rFonts w:ascii="仿宋" w:hAnsi="仿宋" w:cs="仿宋"/>
                <w:color w:val="auto"/>
                <w:szCs w:val="21"/>
                <w:highlight w:val="none"/>
              </w:rPr>
            </w:pPr>
            <w:r>
              <w:rPr>
                <w:rFonts w:ascii="仿宋" w:hAnsi="仿宋" w:cs="仿宋"/>
                <w:color w:val="auto"/>
                <w:szCs w:val="21"/>
                <w:highlight w:val="none"/>
              </w:rPr>
              <w:t>1</w:t>
            </w:r>
            <w:r>
              <w:rPr>
                <w:rFonts w:hint="eastAsia" w:ascii="仿宋" w:hAnsi="仿宋" w:cs="仿宋"/>
                <w:color w:val="auto"/>
                <w:szCs w:val="21"/>
                <w:highlight w:val="none"/>
              </w:rPr>
              <w:t>.2</w:t>
            </w:r>
          </w:p>
        </w:tc>
        <w:tc>
          <w:tcPr>
            <w:tcW w:w="8031" w:type="dxa"/>
          </w:tcPr>
          <w:p>
            <w:pPr>
              <w:widowControl/>
              <w:spacing w:line="360" w:lineRule="exact"/>
              <w:ind w:firstLine="422"/>
              <w:jc w:val="left"/>
              <w:rPr>
                <w:rFonts w:ascii="仿宋" w:hAnsi="仿宋" w:cs="仿宋"/>
                <w:color w:val="auto"/>
                <w:szCs w:val="21"/>
                <w:highlight w:val="none"/>
              </w:rPr>
            </w:pPr>
            <w:r>
              <w:rPr>
                <w:rFonts w:hint="eastAsia" w:ascii="仿宋" w:hAnsi="仿宋" w:cs="宋体"/>
                <w:b/>
                <w:bCs/>
                <w:color w:val="auto"/>
                <w:szCs w:val="21"/>
                <w:highlight w:val="none"/>
              </w:rPr>
              <w:t>技术指标</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vAlign w:val="center"/>
          </w:tcPr>
          <w:p>
            <w:pPr>
              <w:jc w:val="center"/>
              <w:rPr>
                <w:rFonts w:ascii="仿宋" w:hAnsi="仿宋" w:cs="仿宋"/>
                <w:color w:val="auto"/>
                <w:szCs w:val="21"/>
                <w:highlight w:val="none"/>
              </w:rPr>
            </w:pPr>
            <w:r>
              <w:rPr>
                <w:rFonts w:ascii="仿宋" w:hAnsi="仿宋" w:cs="仿宋"/>
                <w:color w:val="auto"/>
                <w:szCs w:val="21"/>
                <w:highlight w:val="none"/>
              </w:rPr>
              <w:t>1</w:t>
            </w:r>
            <w:r>
              <w:rPr>
                <w:rFonts w:hint="eastAsia" w:ascii="仿宋" w:hAnsi="仿宋" w:cs="仿宋"/>
                <w:color w:val="auto"/>
                <w:szCs w:val="21"/>
                <w:highlight w:val="none"/>
              </w:rPr>
              <w:t>.2.1</w:t>
            </w:r>
          </w:p>
        </w:tc>
        <w:tc>
          <w:tcPr>
            <w:tcW w:w="80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 w:hAnsi="仿宋" w:cs="仿宋"/>
                <w:bCs/>
                <w:color w:val="auto"/>
                <w:szCs w:val="21"/>
                <w:highlight w:val="none"/>
              </w:rPr>
            </w:pPr>
            <w:r>
              <w:rPr>
                <w:rFonts w:hint="eastAsia" w:ascii="仿宋" w:hAnsi="仿宋" w:cs="仿宋"/>
                <w:bCs/>
                <w:color w:val="auto"/>
                <w:szCs w:val="21"/>
                <w:highlight w:val="none"/>
              </w:rPr>
              <w:t>电源要求：220V/50HZ，具备可直接插接标准市电能力。</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vAlign w:val="center"/>
          </w:tcPr>
          <w:p>
            <w:pPr>
              <w:jc w:val="center"/>
              <w:rPr>
                <w:rFonts w:ascii="仿宋" w:hAnsi="仿宋" w:cs="仿宋"/>
                <w:color w:val="auto"/>
                <w:szCs w:val="21"/>
                <w:highlight w:val="none"/>
              </w:rPr>
            </w:pPr>
            <w:r>
              <w:rPr>
                <w:rFonts w:ascii="仿宋" w:hAnsi="仿宋" w:cs="仿宋"/>
                <w:color w:val="auto"/>
                <w:szCs w:val="21"/>
                <w:highlight w:val="none"/>
              </w:rPr>
              <w:t>1</w:t>
            </w:r>
            <w:r>
              <w:rPr>
                <w:rFonts w:hint="eastAsia" w:ascii="仿宋" w:hAnsi="仿宋" w:cs="仿宋"/>
                <w:color w:val="auto"/>
                <w:szCs w:val="21"/>
                <w:highlight w:val="none"/>
              </w:rPr>
              <w:t>.2.2</w:t>
            </w:r>
          </w:p>
        </w:tc>
        <w:tc>
          <w:tcPr>
            <w:tcW w:w="80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 w:hAnsi="仿宋" w:cs="仿宋"/>
                <w:bCs/>
                <w:color w:val="auto"/>
                <w:szCs w:val="21"/>
                <w:highlight w:val="none"/>
              </w:rPr>
            </w:pPr>
            <w:r>
              <w:rPr>
                <w:rFonts w:hint="eastAsia" w:ascii="仿宋" w:hAnsi="仿宋" w:cs="仿宋"/>
                <w:bCs/>
                <w:color w:val="auto"/>
                <w:szCs w:val="21"/>
                <w:highlight w:val="none"/>
              </w:rPr>
              <w:t>操作方式：</w:t>
            </w:r>
            <w:r>
              <w:rPr>
                <w:rFonts w:ascii="仿宋" w:hAnsi="仿宋" w:cs="仿宋"/>
                <w:bCs/>
                <w:color w:val="auto"/>
                <w:szCs w:val="21"/>
                <w:highlight w:val="none"/>
              </w:rPr>
              <w:t>LCD 屏幕菜单显示</w:t>
            </w:r>
            <w:r>
              <w:rPr>
                <w:rFonts w:hint="eastAsia" w:ascii="仿宋" w:hAnsi="仿宋" w:cs="仿宋"/>
                <w:bCs/>
                <w:color w:val="auto"/>
                <w:szCs w:val="21"/>
                <w:highlight w:val="none"/>
              </w:rPr>
              <w:t>，一键式自动操作。</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vAlign w:val="center"/>
          </w:tcPr>
          <w:p>
            <w:pPr>
              <w:jc w:val="center"/>
              <w:rPr>
                <w:rFonts w:ascii="仿宋" w:hAnsi="仿宋" w:cs="仿宋"/>
                <w:color w:val="auto"/>
                <w:szCs w:val="21"/>
                <w:highlight w:val="none"/>
              </w:rPr>
            </w:pPr>
            <w:r>
              <w:rPr>
                <w:rFonts w:ascii="仿宋" w:hAnsi="仿宋" w:cs="仿宋"/>
                <w:color w:val="auto"/>
                <w:szCs w:val="21"/>
                <w:highlight w:val="none"/>
              </w:rPr>
              <w:t>1</w:t>
            </w:r>
            <w:r>
              <w:rPr>
                <w:rFonts w:hint="eastAsia" w:ascii="仿宋" w:hAnsi="仿宋" w:cs="仿宋"/>
                <w:color w:val="auto"/>
                <w:szCs w:val="21"/>
                <w:highlight w:val="none"/>
              </w:rPr>
              <w:t>.2.3</w:t>
            </w:r>
          </w:p>
        </w:tc>
        <w:tc>
          <w:tcPr>
            <w:tcW w:w="80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 w:hAnsi="仿宋" w:cs="仿宋"/>
                <w:bCs/>
                <w:color w:val="auto"/>
                <w:szCs w:val="21"/>
                <w:highlight w:val="none"/>
              </w:rPr>
            </w:pPr>
            <w:r>
              <w:rPr>
                <w:rFonts w:hint="eastAsia" w:ascii="仿宋" w:hAnsi="仿宋" w:cs="仿宋"/>
                <w:bCs/>
                <w:color w:val="auto"/>
                <w:szCs w:val="21"/>
                <w:highlight w:val="none"/>
              </w:rPr>
              <w:t>控制方式：全程实时数据记录，全自动化程序控制。</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vAlign w:val="center"/>
          </w:tcPr>
          <w:p>
            <w:pPr>
              <w:jc w:val="center"/>
              <w:rPr>
                <w:rFonts w:ascii="仿宋" w:hAnsi="仿宋" w:cs="仿宋"/>
                <w:color w:val="auto"/>
                <w:szCs w:val="21"/>
                <w:highlight w:val="none"/>
              </w:rPr>
            </w:pPr>
            <w:r>
              <w:rPr>
                <w:rFonts w:ascii="仿宋" w:hAnsi="仿宋"/>
                <w:color w:val="auto"/>
                <w:szCs w:val="21"/>
                <w:highlight w:val="none"/>
              </w:rPr>
              <w:t>▲</w:t>
            </w:r>
            <w:r>
              <w:rPr>
                <w:rFonts w:ascii="仿宋" w:hAnsi="仿宋" w:cs="仿宋"/>
                <w:color w:val="auto"/>
                <w:szCs w:val="21"/>
                <w:highlight w:val="none"/>
              </w:rPr>
              <w:t>1</w:t>
            </w:r>
            <w:r>
              <w:rPr>
                <w:rFonts w:hint="eastAsia" w:ascii="仿宋" w:hAnsi="仿宋" w:cs="仿宋"/>
                <w:color w:val="auto"/>
                <w:szCs w:val="21"/>
                <w:highlight w:val="none"/>
              </w:rPr>
              <w:t>.2.4</w:t>
            </w:r>
          </w:p>
        </w:tc>
        <w:tc>
          <w:tcPr>
            <w:tcW w:w="80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 w:hAnsi="仿宋" w:cs="仿宋"/>
                <w:bCs/>
                <w:color w:val="auto"/>
                <w:szCs w:val="21"/>
                <w:highlight w:val="none"/>
              </w:rPr>
            </w:pPr>
            <w:r>
              <w:rPr>
                <w:rFonts w:hint="eastAsia" w:ascii="仿宋" w:hAnsi="仿宋" w:cs="仿宋"/>
                <w:bCs/>
                <w:color w:val="auto"/>
                <w:szCs w:val="21"/>
                <w:highlight w:val="none"/>
              </w:rPr>
              <w:t>研磨方式:∞式三维运动模式研磨，主要依靠正面撞击力，而非摩擦力，热生成比极低，高能量研磨方式。</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vAlign w:val="center"/>
          </w:tcPr>
          <w:p>
            <w:pPr>
              <w:jc w:val="center"/>
              <w:rPr>
                <w:rFonts w:ascii="仿宋" w:hAnsi="仿宋" w:cs="仿宋"/>
                <w:color w:val="auto"/>
                <w:szCs w:val="21"/>
                <w:highlight w:val="none"/>
              </w:rPr>
            </w:pPr>
            <w:r>
              <w:rPr>
                <w:rFonts w:ascii="仿宋" w:hAnsi="仿宋" w:cs="仿宋"/>
                <w:color w:val="auto"/>
                <w:szCs w:val="21"/>
                <w:highlight w:val="none"/>
              </w:rPr>
              <w:t>1</w:t>
            </w:r>
            <w:r>
              <w:rPr>
                <w:rFonts w:hint="eastAsia" w:ascii="仿宋" w:hAnsi="仿宋" w:cs="仿宋"/>
                <w:color w:val="auto"/>
                <w:szCs w:val="21"/>
                <w:highlight w:val="none"/>
              </w:rPr>
              <w:t>.2.5</w:t>
            </w:r>
          </w:p>
        </w:tc>
        <w:tc>
          <w:tcPr>
            <w:tcW w:w="80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 w:hAnsi="仿宋" w:cs="仿宋"/>
                <w:bCs/>
                <w:color w:val="auto"/>
                <w:szCs w:val="21"/>
                <w:highlight w:val="none"/>
              </w:rPr>
            </w:pPr>
            <w:r>
              <w:rPr>
                <w:rFonts w:hint="eastAsia" w:ascii="仿宋" w:hAnsi="仿宋" w:cs="仿宋"/>
                <w:bCs/>
                <w:color w:val="auto"/>
                <w:szCs w:val="21"/>
                <w:highlight w:val="none"/>
              </w:rPr>
              <w:t>研磨能力：可</w:t>
            </w:r>
            <w:r>
              <w:rPr>
                <w:rFonts w:ascii="仿宋" w:hAnsi="仿宋" w:cs="仿宋"/>
                <w:bCs/>
                <w:color w:val="auto"/>
                <w:szCs w:val="21"/>
                <w:highlight w:val="none"/>
              </w:rPr>
              <w:t>高能研磨，机械合金化及纳米研磨</w:t>
            </w:r>
            <w:r>
              <w:rPr>
                <w:rFonts w:hint="eastAsia" w:ascii="仿宋" w:hAnsi="仿宋" w:cs="仿宋"/>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vAlign w:val="center"/>
          </w:tcPr>
          <w:p>
            <w:pPr>
              <w:jc w:val="center"/>
              <w:rPr>
                <w:rFonts w:ascii="仿宋" w:hAnsi="仿宋" w:cs="仿宋"/>
                <w:color w:val="auto"/>
                <w:szCs w:val="21"/>
                <w:highlight w:val="none"/>
              </w:rPr>
            </w:pPr>
            <w:r>
              <w:rPr>
                <w:rFonts w:ascii="仿宋" w:hAnsi="仿宋" w:cs="仿宋"/>
                <w:color w:val="auto"/>
                <w:szCs w:val="21"/>
                <w:highlight w:val="none"/>
              </w:rPr>
              <w:t>1</w:t>
            </w:r>
            <w:r>
              <w:rPr>
                <w:rFonts w:hint="eastAsia" w:ascii="仿宋" w:hAnsi="仿宋" w:cs="仿宋"/>
                <w:color w:val="auto"/>
                <w:szCs w:val="21"/>
                <w:highlight w:val="none"/>
              </w:rPr>
              <w:t>.2.</w:t>
            </w:r>
            <w:r>
              <w:rPr>
                <w:rFonts w:ascii="仿宋" w:hAnsi="仿宋" w:cs="仿宋"/>
                <w:color w:val="auto"/>
                <w:szCs w:val="21"/>
                <w:highlight w:val="none"/>
              </w:rPr>
              <w:t>6</w:t>
            </w:r>
          </w:p>
        </w:tc>
        <w:tc>
          <w:tcPr>
            <w:tcW w:w="80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 w:hAnsi="仿宋" w:cs="仿宋"/>
                <w:bCs/>
                <w:color w:val="auto"/>
                <w:szCs w:val="21"/>
                <w:highlight w:val="none"/>
              </w:rPr>
            </w:pPr>
            <w:r>
              <w:rPr>
                <w:rFonts w:hint="eastAsia" w:ascii="仿宋" w:hAnsi="仿宋" w:cs="仿宋"/>
                <w:bCs/>
                <w:color w:val="auto"/>
                <w:szCs w:val="21"/>
                <w:highlight w:val="none"/>
              </w:rPr>
              <w:t>电机转速</w:t>
            </w:r>
            <w:r>
              <w:rPr>
                <w:rFonts w:ascii="仿宋" w:hAnsi="仿宋" w:cs="仿宋"/>
                <w:bCs/>
                <w:color w:val="auto"/>
                <w:szCs w:val="21"/>
                <w:highlight w:val="none"/>
              </w:rPr>
              <w:t>：</w:t>
            </w:r>
            <w:r>
              <w:rPr>
                <w:rFonts w:hint="eastAsia" w:ascii="仿宋" w:hAnsi="仿宋" w:cs="仿宋"/>
                <w:bCs/>
                <w:color w:val="auto"/>
                <w:szCs w:val="21"/>
                <w:highlight w:val="none"/>
              </w:rPr>
              <w:t>三相旋转电机，不低于1425转/分钟。</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vAlign w:val="center"/>
          </w:tcPr>
          <w:p>
            <w:pPr>
              <w:jc w:val="center"/>
              <w:rPr>
                <w:rFonts w:ascii="仿宋" w:hAnsi="仿宋" w:cs="仿宋"/>
                <w:color w:val="auto"/>
                <w:szCs w:val="21"/>
                <w:highlight w:val="none"/>
              </w:rPr>
            </w:pPr>
            <w:r>
              <w:rPr>
                <w:rFonts w:ascii="仿宋" w:hAnsi="仿宋" w:cs="仿宋"/>
                <w:color w:val="auto"/>
                <w:szCs w:val="21"/>
                <w:highlight w:val="none"/>
              </w:rPr>
              <w:t>1</w:t>
            </w:r>
            <w:r>
              <w:rPr>
                <w:rFonts w:hint="eastAsia" w:ascii="仿宋" w:hAnsi="仿宋" w:cs="仿宋"/>
                <w:color w:val="auto"/>
                <w:szCs w:val="21"/>
                <w:highlight w:val="none"/>
              </w:rPr>
              <w:t>.2.</w:t>
            </w:r>
            <w:r>
              <w:rPr>
                <w:rFonts w:ascii="仿宋" w:hAnsi="仿宋" w:cs="仿宋"/>
                <w:color w:val="auto"/>
                <w:szCs w:val="21"/>
                <w:highlight w:val="none"/>
              </w:rPr>
              <w:t>7</w:t>
            </w:r>
          </w:p>
        </w:tc>
        <w:tc>
          <w:tcPr>
            <w:tcW w:w="803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cs="仿宋"/>
                <w:bCs/>
                <w:color w:val="auto"/>
                <w:szCs w:val="21"/>
                <w:highlight w:val="none"/>
              </w:rPr>
            </w:pPr>
            <w:r>
              <w:rPr>
                <w:rFonts w:hint="eastAsia" w:ascii="仿宋" w:hAnsi="仿宋" w:cs="仿宋"/>
                <w:bCs/>
                <w:color w:val="auto"/>
                <w:szCs w:val="21"/>
                <w:highlight w:val="none"/>
              </w:rPr>
              <w:t>夹具运行：前后≥59mm，左右≥25mm。</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vAlign w:val="center"/>
          </w:tcPr>
          <w:p>
            <w:pPr>
              <w:jc w:val="center"/>
              <w:rPr>
                <w:rFonts w:ascii="仿宋" w:hAnsi="仿宋" w:cs="仿宋"/>
                <w:color w:val="auto"/>
                <w:szCs w:val="21"/>
                <w:highlight w:val="none"/>
              </w:rPr>
            </w:pPr>
            <w:r>
              <w:rPr>
                <w:rFonts w:ascii="仿宋" w:hAnsi="仿宋" w:cs="仿宋"/>
                <w:color w:val="auto"/>
                <w:szCs w:val="21"/>
                <w:highlight w:val="none"/>
              </w:rPr>
              <w:t>1</w:t>
            </w:r>
            <w:r>
              <w:rPr>
                <w:rFonts w:hint="eastAsia" w:ascii="仿宋" w:hAnsi="仿宋" w:cs="仿宋"/>
                <w:color w:val="auto"/>
                <w:szCs w:val="21"/>
                <w:highlight w:val="none"/>
              </w:rPr>
              <w:t>.2.</w:t>
            </w:r>
            <w:r>
              <w:rPr>
                <w:rFonts w:ascii="仿宋" w:hAnsi="仿宋" w:cs="仿宋"/>
                <w:color w:val="auto"/>
                <w:szCs w:val="21"/>
                <w:highlight w:val="none"/>
              </w:rPr>
              <w:t>8</w:t>
            </w:r>
          </w:p>
        </w:tc>
        <w:tc>
          <w:tcPr>
            <w:tcW w:w="80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 w:hAnsi="仿宋" w:cs="仿宋"/>
                <w:bCs/>
                <w:color w:val="auto"/>
                <w:szCs w:val="21"/>
                <w:highlight w:val="none"/>
              </w:rPr>
            </w:pPr>
            <w:r>
              <w:rPr>
                <w:rFonts w:hint="eastAsia" w:ascii="仿宋" w:hAnsi="仿宋" w:cs="仿宋"/>
                <w:bCs/>
                <w:color w:val="auto"/>
                <w:szCs w:val="21"/>
                <w:highlight w:val="none"/>
              </w:rPr>
              <w:t>夹具运行速率：≥875次/min。</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vAlign w:val="center"/>
          </w:tcPr>
          <w:p>
            <w:pPr>
              <w:jc w:val="center"/>
              <w:rPr>
                <w:rFonts w:ascii="仿宋" w:hAnsi="仿宋" w:cs="仿宋"/>
                <w:color w:val="auto"/>
                <w:szCs w:val="21"/>
                <w:highlight w:val="none"/>
              </w:rPr>
            </w:pPr>
            <w:r>
              <w:rPr>
                <w:rFonts w:ascii="仿宋" w:hAnsi="仿宋" w:cs="仿宋"/>
                <w:color w:val="auto"/>
                <w:szCs w:val="21"/>
                <w:highlight w:val="none"/>
              </w:rPr>
              <w:t>1</w:t>
            </w:r>
            <w:r>
              <w:rPr>
                <w:rFonts w:hint="eastAsia" w:ascii="仿宋" w:hAnsi="仿宋" w:cs="仿宋"/>
                <w:color w:val="auto"/>
                <w:szCs w:val="21"/>
                <w:highlight w:val="none"/>
              </w:rPr>
              <w:t>.2.</w:t>
            </w:r>
            <w:r>
              <w:rPr>
                <w:rFonts w:ascii="仿宋" w:hAnsi="仿宋" w:cs="仿宋"/>
                <w:color w:val="auto"/>
                <w:szCs w:val="21"/>
                <w:highlight w:val="none"/>
              </w:rPr>
              <w:t>9</w:t>
            </w:r>
          </w:p>
        </w:tc>
        <w:tc>
          <w:tcPr>
            <w:tcW w:w="80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 w:hAnsi="仿宋" w:cs="仿宋"/>
                <w:bCs/>
                <w:color w:val="auto"/>
                <w:szCs w:val="21"/>
                <w:highlight w:val="none"/>
              </w:rPr>
            </w:pPr>
            <w:r>
              <w:rPr>
                <w:rFonts w:hint="eastAsia" w:ascii="仿宋" w:hAnsi="仿宋" w:cs="仿宋"/>
                <w:bCs/>
                <w:color w:val="auto"/>
                <w:szCs w:val="21"/>
                <w:highlight w:val="none"/>
              </w:rPr>
              <w:t>进料尺寸：≤15mm。</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vAlign w:val="center"/>
          </w:tcPr>
          <w:p>
            <w:pPr>
              <w:jc w:val="center"/>
              <w:rPr>
                <w:rFonts w:ascii="仿宋" w:hAnsi="仿宋" w:cs="仿宋"/>
                <w:color w:val="auto"/>
                <w:szCs w:val="21"/>
                <w:highlight w:val="none"/>
              </w:rPr>
            </w:pPr>
            <w:r>
              <w:rPr>
                <w:rFonts w:ascii="仿宋" w:hAnsi="仿宋"/>
                <w:color w:val="auto"/>
                <w:szCs w:val="21"/>
                <w:highlight w:val="none"/>
              </w:rPr>
              <w:t>▲</w:t>
            </w:r>
            <w:r>
              <w:rPr>
                <w:rFonts w:ascii="仿宋" w:hAnsi="仿宋" w:cs="仿宋"/>
                <w:color w:val="auto"/>
                <w:szCs w:val="21"/>
                <w:highlight w:val="none"/>
              </w:rPr>
              <w:t>1</w:t>
            </w:r>
            <w:r>
              <w:rPr>
                <w:rFonts w:hint="eastAsia" w:ascii="仿宋" w:hAnsi="仿宋" w:cs="仿宋"/>
                <w:color w:val="auto"/>
                <w:szCs w:val="21"/>
                <w:highlight w:val="none"/>
              </w:rPr>
              <w:t>.2.</w:t>
            </w:r>
            <w:r>
              <w:rPr>
                <w:rFonts w:ascii="仿宋" w:hAnsi="仿宋" w:cs="仿宋"/>
                <w:color w:val="auto"/>
                <w:szCs w:val="21"/>
                <w:highlight w:val="none"/>
              </w:rPr>
              <w:t>10</w:t>
            </w:r>
          </w:p>
        </w:tc>
        <w:tc>
          <w:tcPr>
            <w:tcW w:w="80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 w:hAnsi="仿宋" w:cs="仿宋"/>
                <w:bCs/>
                <w:color w:val="auto"/>
                <w:szCs w:val="21"/>
                <w:highlight w:val="none"/>
              </w:rPr>
            </w:pPr>
            <w:r>
              <w:rPr>
                <w:rFonts w:hint="eastAsia" w:ascii="仿宋" w:hAnsi="仿宋" w:cs="仿宋"/>
                <w:bCs/>
                <w:color w:val="auto"/>
                <w:szCs w:val="21"/>
                <w:highlight w:val="none"/>
              </w:rPr>
              <w:t>研磨精度（与样品材质有关）：＜100nm。</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vAlign w:val="center"/>
          </w:tcPr>
          <w:p>
            <w:pPr>
              <w:jc w:val="center"/>
              <w:rPr>
                <w:rFonts w:ascii="仿宋" w:hAnsi="仿宋" w:cs="仿宋"/>
                <w:color w:val="auto"/>
                <w:szCs w:val="21"/>
                <w:highlight w:val="none"/>
              </w:rPr>
            </w:pPr>
            <w:r>
              <w:rPr>
                <w:rFonts w:ascii="仿宋" w:hAnsi="仿宋"/>
                <w:color w:val="auto"/>
                <w:szCs w:val="21"/>
                <w:highlight w:val="none"/>
              </w:rPr>
              <w:t>▲</w:t>
            </w:r>
            <w:r>
              <w:rPr>
                <w:rFonts w:ascii="仿宋" w:hAnsi="仿宋" w:cs="仿宋"/>
                <w:color w:val="auto"/>
                <w:szCs w:val="21"/>
                <w:highlight w:val="none"/>
              </w:rPr>
              <w:t>1</w:t>
            </w:r>
            <w:r>
              <w:rPr>
                <w:rFonts w:hint="eastAsia" w:ascii="仿宋" w:hAnsi="仿宋" w:cs="仿宋"/>
                <w:color w:val="auto"/>
                <w:szCs w:val="21"/>
                <w:highlight w:val="none"/>
              </w:rPr>
              <w:t>.2.</w:t>
            </w:r>
            <w:r>
              <w:rPr>
                <w:rFonts w:ascii="仿宋" w:hAnsi="仿宋" w:cs="仿宋"/>
                <w:color w:val="auto"/>
                <w:szCs w:val="21"/>
                <w:highlight w:val="none"/>
              </w:rPr>
              <w:t>11</w:t>
            </w:r>
          </w:p>
        </w:tc>
        <w:tc>
          <w:tcPr>
            <w:tcW w:w="80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 w:hAnsi="仿宋" w:cs="仿宋"/>
                <w:bCs/>
                <w:color w:val="auto"/>
                <w:szCs w:val="21"/>
                <w:highlight w:val="none"/>
              </w:rPr>
            </w:pPr>
            <w:r>
              <w:rPr>
                <w:rFonts w:hint="eastAsia" w:ascii="仿宋" w:hAnsi="仿宋" w:cs="仿宋"/>
                <w:bCs/>
                <w:color w:val="auto"/>
                <w:szCs w:val="21"/>
                <w:highlight w:val="none"/>
              </w:rPr>
              <w:t>批次运行研磨罐数：35-135ml研磨罐≥2，5ml研磨罐≥8，2.5ml研磨罐≥14</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vAlign w:val="center"/>
          </w:tcPr>
          <w:p>
            <w:pPr>
              <w:jc w:val="center"/>
              <w:rPr>
                <w:rFonts w:ascii="仿宋" w:hAnsi="仿宋" w:cs="仿宋"/>
                <w:color w:val="auto"/>
                <w:szCs w:val="21"/>
                <w:highlight w:val="none"/>
              </w:rPr>
            </w:pPr>
            <w:r>
              <w:rPr>
                <w:rFonts w:ascii="仿宋" w:hAnsi="仿宋" w:cs="仿宋"/>
                <w:color w:val="auto"/>
                <w:szCs w:val="21"/>
                <w:highlight w:val="none"/>
              </w:rPr>
              <w:t>1</w:t>
            </w:r>
            <w:r>
              <w:rPr>
                <w:rFonts w:hint="eastAsia" w:ascii="仿宋" w:hAnsi="仿宋" w:cs="仿宋"/>
                <w:color w:val="auto"/>
                <w:szCs w:val="21"/>
                <w:highlight w:val="none"/>
              </w:rPr>
              <w:t>.2.</w:t>
            </w:r>
            <w:r>
              <w:rPr>
                <w:rFonts w:ascii="仿宋" w:hAnsi="仿宋" w:cs="仿宋"/>
                <w:color w:val="auto"/>
                <w:szCs w:val="21"/>
                <w:highlight w:val="none"/>
              </w:rPr>
              <w:t>12</w:t>
            </w:r>
          </w:p>
        </w:tc>
        <w:tc>
          <w:tcPr>
            <w:tcW w:w="80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 w:hAnsi="仿宋" w:cs="仿宋"/>
                <w:bCs/>
                <w:color w:val="auto"/>
                <w:szCs w:val="21"/>
                <w:highlight w:val="none"/>
              </w:rPr>
            </w:pPr>
            <w:r>
              <w:rPr>
                <w:rFonts w:hint="eastAsia" w:ascii="仿宋" w:hAnsi="仿宋" w:cs="仿宋"/>
                <w:bCs/>
                <w:color w:val="auto"/>
                <w:szCs w:val="21"/>
                <w:highlight w:val="none"/>
              </w:rPr>
              <w:t>研磨批次量：10mg-20g（*2）；60ml（*2）混合料。</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vAlign w:val="center"/>
          </w:tcPr>
          <w:p>
            <w:pPr>
              <w:jc w:val="center"/>
              <w:rPr>
                <w:rFonts w:ascii="仿宋" w:hAnsi="仿宋" w:cs="仿宋"/>
                <w:color w:val="auto"/>
                <w:szCs w:val="21"/>
                <w:highlight w:val="none"/>
              </w:rPr>
            </w:pPr>
            <w:r>
              <w:rPr>
                <w:rFonts w:ascii="仿宋" w:hAnsi="仿宋" w:cs="仿宋"/>
                <w:color w:val="auto"/>
                <w:szCs w:val="21"/>
                <w:highlight w:val="none"/>
              </w:rPr>
              <w:t>1</w:t>
            </w:r>
            <w:r>
              <w:rPr>
                <w:rFonts w:hint="eastAsia" w:ascii="仿宋" w:hAnsi="仿宋" w:cs="仿宋"/>
                <w:color w:val="auto"/>
                <w:szCs w:val="21"/>
                <w:highlight w:val="none"/>
              </w:rPr>
              <w:t>.2.</w:t>
            </w:r>
            <w:r>
              <w:rPr>
                <w:rFonts w:ascii="仿宋" w:hAnsi="仿宋" w:cs="仿宋"/>
                <w:color w:val="auto"/>
                <w:szCs w:val="21"/>
                <w:highlight w:val="none"/>
              </w:rPr>
              <w:t>13</w:t>
            </w:r>
          </w:p>
        </w:tc>
        <w:tc>
          <w:tcPr>
            <w:tcW w:w="80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 w:hAnsi="仿宋" w:cs="仿宋"/>
                <w:bCs/>
                <w:color w:val="auto"/>
                <w:szCs w:val="21"/>
                <w:highlight w:val="none"/>
              </w:rPr>
            </w:pPr>
            <w:r>
              <w:rPr>
                <w:rFonts w:hint="eastAsia" w:ascii="仿宋" w:hAnsi="仿宋" w:cs="仿宋"/>
                <w:bCs/>
                <w:color w:val="auto"/>
                <w:szCs w:val="21"/>
                <w:highlight w:val="none"/>
              </w:rPr>
              <w:t>典型的研磨至分析级细度所用时间：≤2min。</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vAlign w:val="center"/>
          </w:tcPr>
          <w:p>
            <w:pPr>
              <w:jc w:val="center"/>
              <w:rPr>
                <w:rFonts w:ascii="仿宋" w:hAnsi="仿宋" w:cs="仿宋"/>
                <w:color w:val="auto"/>
                <w:szCs w:val="21"/>
                <w:highlight w:val="none"/>
              </w:rPr>
            </w:pPr>
            <w:r>
              <w:rPr>
                <w:rFonts w:ascii="仿宋" w:hAnsi="仿宋"/>
                <w:color w:val="auto"/>
                <w:szCs w:val="21"/>
                <w:highlight w:val="none"/>
              </w:rPr>
              <w:t>▲</w:t>
            </w:r>
            <w:r>
              <w:rPr>
                <w:rFonts w:ascii="仿宋" w:hAnsi="仿宋" w:cs="仿宋"/>
                <w:color w:val="auto"/>
                <w:szCs w:val="21"/>
                <w:highlight w:val="none"/>
              </w:rPr>
              <w:t>1</w:t>
            </w:r>
            <w:r>
              <w:rPr>
                <w:rFonts w:hint="eastAsia" w:ascii="仿宋" w:hAnsi="仿宋" w:cs="仿宋"/>
                <w:color w:val="auto"/>
                <w:szCs w:val="21"/>
                <w:highlight w:val="none"/>
              </w:rPr>
              <w:t>.2.</w:t>
            </w:r>
            <w:r>
              <w:rPr>
                <w:rFonts w:ascii="仿宋" w:hAnsi="仿宋" w:cs="仿宋"/>
                <w:color w:val="auto"/>
                <w:szCs w:val="21"/>
                <w:highlight w:val="none"/>
              </w:rPr>
              <w:t>14</w:t>
            </w:r>
          </w:p>
        </w:tc>
        <w:tc>
          <w:tcPr>
            <w:tcW w:w="80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 w:hAnsi="仿宋" w:cs="仿宋"/>
                <w:bCs/>
                <w:color w:val="auto"/>
                <w:szCs w:val="21"/>
                <w:highlight w:val="none"/>
              </w:rPr>
            </w:pPr>
            <w:r>
              <w:rPr>
                <w:rFonts w:hint="eastAsia" w:ascii="仿宋" w:hAnsi="仿宋" w:cs="仿宋"/>
                <w:bCs/>
                <w:color w:val="auto"/>
                <w:szCs w:val="21"/>
                <w:highlight w:val="none"/>
              </w:rPr>
              <w:t>最大研磨时间：研磨时间可编程，最高可扩展至10500分钟。</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vAlign w:val="center"/>
          </w:tcPr>
          <w:p>
            <w:pPr>
              <w:jc w:val="center"/>
              <w:rPr>
                <w:rFonts w:ascii="仿宋" w:hAnsi="仿宋" w:cs="仿宋"/>
                <w:color w:val="auto"/>
                <w:szCs w:val="21"/>
                <w:highlight w:val="none"/>
              </w:rPr>
            </w:pPr>
            <w:r>
              <w:rPr>
                <w:rFonts w:ascii="仿宋" w:hAnsi="仿宋" w:cs="仿宋"/>
                <w:color w:val="auto"/>
                <w:szCs w:val="21"/>
                <w:highlight w:val="none"/>
              </w:rPr>
              <w:t>1</w:t>
            </w:r>
            <w:r>
              <w:rPr>
                <w:rFonts w:hint="eastAsia" w:ascii="仿宋" w:hAnsi="仿宋" w:cs="仿宋"/>
                <w:color w:val="auto"/>
                <w:szCs w:val="21"/>
                <w:highlight w:val="none"/>
              </w:rPr>
              <w:t>.2.</w:t>
            </w:r>
            <w:r>
              <w:rPr>
                <w:rFonts w:ascii="仿宋" w:hAnsi="仿宋" w:cs="仿宋"/>
                <w:color w:val="auto"/>
                <w:szCs w:val="21"/>
                <w:highlight w:val="none"/>
              </w:rPr>
              <w:t>15</w:t>
            </w:r>
          </w:p>
        </w:tc>
        <w:tc>
          <w:tcPr>
            <w:tcW w:w="80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 w:hAnsi="仿宋" w:cs="仿宋"/>
                <w:bCs/>
                <w:color w:val="auto"/>
                <w:szCs w:val="21"/>
                <w:highlight w:val="none"/>
              </w:rPr>
            </w:pPr>
            <w:r>
              <w:rPr>
                <w:rFonts w:hint="eastAsia" w:ascii="仿宋" w:hAnsi="仿宋" w:cs="仿宋"/>
                <w:bCs/>
                <w:color w:val="auto"/>
                <w:szCs w:val="21"/>
                <w:highlight w:val="none"/>
              </w:rPr>
              <w:t>冷却系统：自动碾磨腔风冷系统，球磨工作中可实时冷却马达夹具。</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vAlign w:val="center"/>
          </w:tcPr>
          <w:p>
            <w:pPr>
              <w:jc w:val="center"/>
              <w:rPr>
                <w:rFonts w:ascii="仿宋" w:hAnsi="仿宋" w:cs="仿宋"/>
                <w:color w:val="auto"/>
                <w:szCs w:val="21"/>
                <w:highlight w:val="none"/>
              </w:rPr>
            </w:pPr>
            <w:r>
              <w:rPr>
                <w:rFonts w:ascii="仿宋" w:hAnsi="仿宋" w:cs="仿宋"/>
                <w:color w:val="auto"/>
                <w:szCs w:val="21"/>
                <w:highlight w:val="none"/>
              </w:rPr>
              <w:t>1</w:t>
            </w:r>
            <w:r>
              <w:rPr>
                <w:rFonts w:hint="eastAsia" w:ascii="仿宋" w:hAnsi="仿宋" w:cs="仿宋"/>
                <w:color w:val="auto"/>
                <w:szCs w:val="21"/>
                <w:highlight w:val="none"/>
              </w:rPr>
              <w:t>.2.</w:t>
            </w:r>
            <w:r>
              <w:rPr>
                <w:rFonts w:ascii="仿宋" w:hAnsi="仿宋" w:cs="仿宋"/>
                <w:color w:val="auto"/>
                <w:szCs w:val="21"/>
                <w:highlight w:val="none"/>
              </w:rPr>
              <w:t>16</w:t>
            </w:r>
          </w:p>
        </w:tc>
        <w:tc>
          <w:tcPr>
            <w:tcW w:w="80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 w:hAnsi="仿宋" w:cs="仿宋"/>
                <w:bCs/>
                <w:color w:val="auto"/>
                <w:szCs w:val="21"/>
                <w:highlight w:val="none"/>
              </w:rPr>
            </w:pPr>
            <w:r>
              <w:rPr>
                <w:rFonts w:hint="eastAsia" w:ascii="仿宋" w:hAnsi="仿宋" w:cs="仿宋"/>
                <w:bCs/>
                <w:color w:val="auto"/>
                <w:szCs w:val="21"/>
                <w:highlight w:val="none"/>
              </w:rPr>
              <w:t>研磨罐：研磨盘瓶身与瓶盖内壁呈凹面，保证无样品堆积死角 。</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vAlign w:val="center"/>
          </w:tcPr>
          <w:p>
            <w:pPr>
              <w:jc w:val="center"/>
              <w:rPr>
                <w:rFonts w:ascii="仿宋" w:hAnsi="仿宋" w:cs="仿宋"/>
                <w:color w:val="auto"/>
                <w:szCs w:val="21"/>
                <w:highlight w:val="none"/>
              </w:rPr>
            </w:pPr>
            <w:r>
              <w:rPr>
                <w:rFonts w:ascii="仿宋" w:hAnsi="仿宋" w:cs="仿宋"/>
                <w:color w:val="auto"/>
                <w:szCs w:val="21"/>
                <w:highlight w:val="none"/>
              </w:rPr>
              <w:t>1</w:t>
            </w:r>
            <w:r>
              <w:rPr>
                <w:rFonts w:hint="eastAsia" w:ascii="仿宋" w:hAnsi="仿宋" w:cs="仿宋"/>
                <w:color w:val="auto"/>
                <w:szCs w:val="21"/>
                <w:highlight w:val="none"/>
              </w:rPr>
              <w:t>.2.</w:t>
            </w:r>
            <w:r>
              <w:rPr>
                <w:rFonts w:ascii="仿宋" w:hAnsi="仿宋" w:cs="仿宋"/>
                <w:color w:val="auto"/>
                <w:szCs w:val="21"/>
                <w:highlight w:val="none"/>
              </w:rPr>
              <w:t>17</w:t>
            </w:r>
          </w:p>
        </w:tc>
        <w:tc>
          <w:tcPr>
            <w:tcW w:w="80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 w:hAnsi="仿宋" w:cs="仿宋"/>
                <w:bCs/>
                <w:color w:val="auto"/>
                <w:szCs w:val="21"/>
                <w:highlight w:val="none"/>
              </w:rPr>
            </w:pPr>
            <w:r>
              <w:rPr>
                <w:rFonts w:hint="eastAsia" w:ascii="仿宋" w:hAnsi="仿宋" w:cs="仿宋"/>
                <w:bCs/>
                <w:color w:val="auto"/>
                <w:szCs w:val="21"/>
                <w:highlight w:val="none"/>
              </w:rPr>
              <w:t>研磨罐和研磨球材质：不锈钢、硬质钢、玛瑙、碳化钨、氧化锆、氮化硅、氧化铝、聚合塑料。</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vAlign w:val="center"/>
          </w:tcPr>
          <w:p>
            <w:pPr>
              <w:jc w:val="center"/>
              <w:rPr>
                <w:rFonts w:ascii="仿宋" w:hAnsi="仿宋" w:cs="仿宋"/>
                <w:color w:val="auto"/>
                <w:szCs w:val="21"/>
                <w:highlight w:val="none"/>
              </w:rPr>
            </w:pPr>
            <w:r>
              <w:rPr>
                <w:rFonts w:ascii="仿宋" w:hAnsi="仿宋"/>
                <w:color w:val="auto"/>
                <w:szCs w:val="21"/>
                <w:highlight w:val="none"/>
              </w:rPr>
              <w:t>▲</w:t>
            </w:r>
            <w:r>
              <w:rPr>
                <w:rFonts w:ascii="仿宋" w:hAnsi="仿宋" w:cs="仿宋"/>
                <w:color w:val="auto"/>
                <w:szCs w:val="21"/>
                <w:highlight w:val="none"/>
              </w:rPr>
              <w:t>1</w:t>
            </w:r>
            <w:r>
              <w:rPr>
                <w:rFonts w:hint="eastAsia" w:ascii="仿宋" w:hAnsi="仿宋" w:cs="仿宋"/>
                <w:color w:val="auto"/>
                <w:szCs w:val="21"/>
                <w:highlight w:val="none"/>
              </w:rPr>
              <w:t>.2.</w:t>
            </w:r>
            <w:r>
              <w:rPr>
                <w:rFonts w:ascii="仿宋" w:hAnsi="仿宋" w:cs="仿宋"/>
                <w:color w:val="auto"/>
                <w:szCs w:val="21"/>
                <w:highlight w:val="none"/>
              </w:rPr>
              <w:t>18</w:t>
            </w:r>
          </w:p>
        </w:tc>
        <w:tc>
          <w:tcPr>
            <w:tcW w:w="80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 w:hAnsi="仿宋" w:cs="仿宋"/>
                <w:bCs/>
                <w:color w:val="auto"/>
                <w:szCs w:val="21"/>
                <w:highlight w:val="none"/>
              </w:rPr>
            </w:pPr>
            <w:r>
              <w:rPr>
                <w:rFonts w:hint="eastAsia" w:ascii="仿宋" w:hAnsi="仿宋" w:cs="仿宋"/>
                <w:bCs/>
                <w:color w:val="auto"/>
                <w:szCs w:val="21"/>
                <w:highlight w:val="none"/>
              </w:rPr>
              <w:t>双通道设计，可适配4孔和7孔适配器，可根据需要同时研磨8种和14种样品。</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vAlign w:val="center"/>
          </w:tcPr>
          <w:p>
            <w:pPr>
              <w:jc w:val="center"/>
              <w:rPr>
                <w:rFonts w:ascii="仿宋" w:hAnsi="仿宋" w:cs="仿宋"/>
                <w:color w:val="auto"/>
                <w:szCs w:val="21"/>
                <w:highlight w:val="none"/>
              </w:rPr>
            </w:pPr>
            <w:r>
              <w:rPr>
                <w:rFonts w:ascii="仿宋" w:hAnsi="仿宋" w:cs="仿宋"/>
                <w:color w:val="auto"/>
                <w:szCs w:val="21"/>
                <w:highlight w:val="none"/>
              </w:rPr>
              <w:t>1</w:t>
            </w:r>
            <w:r>
              <w:rPr>
                <w:rFonts w:hint="eastAsia" w:ascii="仿宋" w:hAnsi="仿宋" w:cs="仿宋"/>
                <w:color w:val="auto"/>
                <w:szCs w:val="21"/>
                <w:highlight w:val="none"/>
              </w:rPr>
              <w:t>.2.</w:t>
            </w:r>
            <w:r>
              <w:rPr>
                <w:rFonts w:ascii="仿宋" w:hAnsi="仿宋" w:cs="仿宋"/>
                <w:color w:val="auto"/>
                <w:szCs w:val="21"/>
                <w:highlight w:val="none"/>
              </w:rPr>
              <w:t>19</w:t>
            </w:r>
          </w:p>
        </w:tc>
        <w:tc>
          <w:tcPr>
            <w:tcW w:w="80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 w:hAnsi="仿宋" w:cs="仿宋"/>
                <w:bCs/>
                <w:color w:val="auto"/>
                <w:szCs w:val="21"/>
                <w:highlight w:val="none"/>
              </w:rPr>
            </w:pPr>
            <w:r>
              <w:rPr>
                <w:rFonts w:hint="eastAsia" w:ascii="仿宋" w:hAnsi="仿宋" w:cs="仿宋"/>
                <w:bCs/>
                <w:color w:val="auto"/>
                <w:szCs w:val="21"/>
                <w:highlight w:val="none"/>
              </w:rPr>
              <w:t>固定方式：台式。</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vAlign w:val="center"/>
          </w:tcPr>
          <w:p>
            <w:pPr>
              <w:jc w:val="center"/>
              <w:rPr>
                <w:rFonts w:ascii="仿宋" w:hAnsi="仿宋" w:cs="仿宋"/>
                <w:color w:val="auto"/>
                <w:szCs w:val="21"/>
                <w:highlight w:val="none"/>
              </w:rPr>
            </w:pPr>
            <w:r>
              <w:rPr>
                <w:rFonts w:ascii="仿宋" w:hAnsi="仿宋" w:cs="仿宋"/>
                <w:color w:val="auto"/>
                <w:szCs w:val="21"/>
                <w:highlight w:val="none"/>
              </w:rPr>
              <w:t>1</w:t>
            </w:r>
            <w:r>
              <w:rPr>
                <w:rFonts w:hint="eastAsia" w:ascii="仿宋" w:hAnsi="仿宋" w:cs="仿宋"/>
                <w:color w:val="auto"/>
                <w:szCs w:val="21"/>
                <w:highlight w:val="none"/>
              </w:rPr>
              <w:t>.2.</w:t>
            </w:r>
            <w:r>
              <w:rPr>
                <w:rFonts w:ascii="仿宋" w:hAnsi="仿宋" w:cs="仿宋"/>
                <w:color w:val="auto"/>
                <w:szCs w:val="21"/>
                <w:highlight w:val="none"/>
              </w:rPr>
              <w:t>20</w:t>
            </w:r>
          </w:p>
        </w:tc>
        <w:tc>
          <w:tcPr>
            <w:tcW w:w="80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 w:hAnsi="仿宋" w:cs="仿宋"/>
                <w:bCs/>
                <w:color w:val="auto"/>
                <w:szCs w:val="21"/>
                <w:highlight w:val="none"/>
              </w:rPr>
            </w:pPr>
            <w:r>
              <w:rPr>
                <w:rFonts w:hint="eastAsia" w:ascii="仿宋" w:hAnsi="仿宋" w:cs="仿宋"/>
                <w:bCs/>
                <w:color w:val="auto"/>
                <w:szCs w:val="21"/>
                <w:highlight w:val="none"/>
              </w:rPr>
              <w:t>样品污染控制：能达到不影响重金属元素水平。</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vAlign w:val="center"/>
          </w:tcPr>
          <w:p>
            <w:pPr>
              <w:jc w:val="center"/>
              <w:rPr>
                <w:rFonts w:ascii="仿宋" w:hAnsi="仿宋" w:cs="仿宋"/>
                <w:color w:val="auto"/>
                <w:szCs w:val="21"/>
                <w:highlight w:val="none"/>
              </w:rPr>
            </w:pPr>
            <w:r>
              <w:rPr>
                <w:rFonts w:ascii="仿宋" w:hAnsi="仿宋" w:cs="仿宋"/>
                <w:color w:val="auto"/>
                <w:szCs w:val="21"/>
                <w:highlight w:val="none"/>
              </w:rPr>
              <w:t>1</w:t>
            </w:r>
            <w:r>
              <w:rPr>
                <w:rFonts w:hint="eastAsia" w:ascii="仿宋" w:hAnsi="仿宋" w:cs="仿宋"/>
                <w:color w:val="auto"/>
                <w:szCs w:val="21"/>
                <w:highlight w:val="none"/>
              </w:rPr>
              <w:t>.</w:t>
            </w:r>
            <w:r>
              <w:rPr>
                <w:rFonts w:ascii="仿宋" w:hAnsi="仿宋" w:cs="仿宋"/>
                <w:color w:val="auto"/>
                <w:szCs w:val="21"/>
                <w:highlight w:val="none"/>
              </w:rPr>
              <w:t>3</w:t>
            </w:r>
          </w:p>
        </w:tc>
        <w:tc>
          <w:tcPr>
            <w:tcW w:w="80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422"/>
              <w:jc w:val="left"/>
              <w:rPr>
                <w:rFonts w:ascii="仿宋" w:hAnsi="仿宋" w:cs="仿宋"/>
                <w:bCs/>
                <w:color w:val="auto"/>
                <w:szCs w:val="21"/>
                <w:highlight w:val="none"/>
              </w:rPr>
            </w:pPr>
            <w:r>
              <w:rPr>
                <w:rFonts w:hint="eastAsia" w:ascii="仿宋" w:hAnsi="仿宋" w:cs="Arial"/>
                <w:b/>
                <w:color w:val="auto"/>
                <w:szCs w:val="21"/>
                <w:highlight w:val="none"/>
              </w:rPr>
              <w:t>安全控制系统</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vAlign w:val="center"/>
          </w:tcPr>
          <w:p>
            <w:pPr>
              <w:jc w:val="center"/>
              <w:rPr>
                <w:rFonts w:ascii="仿宋" w:hAnsi="仿宋" w:cs="仿宋"/>
                <w:color w:val="auto"/>
                <w:szCs w:val="21"/>
                <w:highlight w:val="none"/>
              </w:rPr>
            </w:pPr>
            <w:r>
              <w:rPr>
                <w:rFonts w:hint="eastAsia" w:ascii="仿宋" w:hAnsi="仿宋" w:cs="仿宋"/>
                <w:color w:val="auto"/>
                <w:szCs w:val="21"/>
                <w:highlight w:val="none"/>
              </w:rPr>
              <w:t>1</w:t>
            </w:r>
            <w:r>
              <w:rPr>
                <w:rFonts w:ascii="仿宋" w:hAnsi="仿宋" w:cs="仿宋"/>
                <w:color w:val="auto"/>
                <w:szCs w:val="21"/>
                <w:highlight w:val="none"/>
              </w:rPr>
              <w:t>.3.1</w:t>
            </w:r>
          </w:p>
        </w:tc>
        <w:tc>
          <w:tcPr>
            <w:tcW w:w="80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 w:hAnsi="仿宋" w:cs="仿宋"/>
                <w:bCs/>
                <w:color w:val="auto"/>
                <w:szCs w:val="21"/>
                <w:highlight w:val="none"/>
              </w:rPr>
            </w:pPr>
            <w:r>
              <w:rPr>
                <w:rFonts w:hint="eastAsia" w:ascii="仿宋" w:hAnsi="仿宋" w:cs="仿宋"/>
                <w:bCs/>
                <w:color w:val="auto"/>
                <w:szCs w:val="21"/>
                <w:highlight w:val="none"/>
              </w:rPr>
              <w:t>高强钢材质外壳，确保夹具运行绝对安全。</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vAlign w:val="center"/>
          </w:tcPr>
          <w:p>
            <w:pPr>
              <w:jc w:val="center"/>
              <w:rPr>
                <w:rFonts w:ascii="仿宋" w:hAnsi="仿宋" w:cs="仿宋"/>
                <w:color w:val="auto"/>
                <w:szCs w:val="21"/>
                <w:highlight w:val="none"/>
              </w:rPr>
            </w:pPr>
            <w:r>
              <w:rPr>
                <w:rFonts w:hint="eastAsia" w:ascii="仿宋" w:hAnsi="仿宋" w:cs="仿宋"/>
                <w:color w:val="auto"/>
                <w:szCs w:val="21"/>
                <w:highlight w:val="none"/>
              </w:rPr>
              <w:t>1</w:t>
            </w:r>
            <w:r>
              <w:rPr>
                <w:rFonts w:ascii="仿宋" w:hAnsi="仿宋" w:cs="仿宋"/>
                <w:color w:val="auto"/>
                <w:szCs w:val="21"/>
                <w:highlight w:val="none"/>
              </w:rPr>
              <w:t>.3.2</w:t>
            </w:r>
          </w:p>
        </w:tc>
        <w:tc>
          <w:tcPr>
            <w:tcW w:w="80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 w:hAnsi="仿宋" w:cs="仿宋"/>
                <w:bCs/>
                <w:color w:val="auto"/>
                <w:szCs w:val="21"/>
                <w:highlight w:val="none"/>
              </w:rPr>
            </w:pPr>
            <w:r>
              <w:rPr>
                <w:rFonts w:hint="eastAsia" w:ascii="仿宋" w:hAnsi="仿宋" w:cs="仿宋"/>
                <w:bCs/>
                <w:color w:val="auto"/>
                <w:szCs w:val="21"/>
                <w:highlight w:val="none"/>
              </w:rPr>
              <w:t>强制空气冷却风扇，保证长时间研磨而无需担心样品过热。</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vAlign w:val="center"/>
          </w:tcPr>
          <w:p>
            <w:pPr>
              <w:jc w:val="center"/>
              <w:rPr>
                <w:rFonts w:ascii="仿宋" w:hAnsi="仿宋" w:cs="仿宋"/>
                <w:color w:val="auto"/>
                <w:szCs w:val="21"/>
                <w:highlight w:val="none"/>
              </w:rPr>
            </w:pPr>
            <w:r>
              <w:rPr>
                <w:rFonts w:hint="eastAsia" w:ascii="仿宋" w:hAnsi="仿宋" w:cs="仿宋"/>
                <w:color w:val="auto"/>
                <w:szCs w:val="21"/>
                <w:highlight w:val="none"/>
              </w:rPr>
              <w:t>1</w:t>
            </w:r>
            <w:r>
              <w:rPr>
                <w:rFonts w:ascii="仿宋" w:hAnsi="仿宋" w:cs="仿宋"/>
                <w:color w:val="auto"/>
                <w:szCs w:val="21"/>
                <w:highlight w:val="none"/>
              </w:rPr>
              <w:t>.3.3</w:t>
            </w:r>
          </w:p>
        </w:tc>
        <w:tc>
          <w:tcPr>
            <w:tcW w:w="80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 w:hAnsi="仿宋" w:cs="仿宋"/>
                <w:bCs/>
                <w:color w:val="auto"/>
                <w:szCs w:val="21"/>
                <w:highlight w:val="none"/>
              </w:rPr>
            </w:pPr>
            <w:r>
              <w:rPr>
                <w:rFonts w:hint="eastAsia" w:ascii="仿宋" w:hAnsi="仿宋" w:cs="仿宋"/>
                <w:bCs/>
                <w:color w:val="auto"/>
                <w:szCs w:val="21"/>
                <w:highlight w:val="none"/>
              </w:rPr>
              <w:t>安全联锁系统，保护操作人员绝对安全，异常情况自动停机。</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vAlign w:val="center"/>
          </w:tcPr>
          <w:p>
            <w:pPr>
              <w:jc w:val="center"/>
              <w:rPr>
                <w:rFonts w:ascii="仿宋" w:hAnsi="仿宋" w:cs="仿宋"/>
                <w:color w:val="auto"/>
                <w:szCs w:val="21"/>
                <w:highlight w:val="none"/>
              </w:rPr>
            </w:pPr>
            <w:r>
              <w:rPr>
                <w:rFonts w:hint="eastAsia" w:ascii="仿宋" w:hAnsi="仿宋" w:cs="仿宋"/>
                <w:color w:val="auto"/>
                <w:szCs w:val="21"/>
                <w:highlight w:val="none"/>
              </w:rPr>
              <w:t>1</w:t>
            </w:r>
            <w:r>
              <w:rPr>
                <w:rFonts w:ascii="仿宋" w:hAnsi="仿宋" w:cs="仿宋"/>
                <w:color w:val="auto"/>
                <w:szCs w:val="21"/>
                <w:highlight w:val="none"/>
              </w:rPr>
              <w:t>.3.4</w:t>
            </w:r>
          </w:p>
        </w:tc>
        <w:tc>
          <w:tcPr>
            <w:tcW w:w="80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 w:hAnsi="仿宋" w:cs="仿宋"/>
                <w:bCs/>
                <w:color w:val="auto"/>
                <w:szCs w:val="21"/>
                <w:highlight w:val="none"/>
              </w:rPr>
            </w:pPr>
            <w:r>
              <w:rPr>
                <w:rFonts w:hint="eastAsia" w:ascii="仿宋" w:hAnsi="仿宋" w:cs="仿宋"/>
                <w:bCs/>
                <w:color w:val="auto"/>
                <w:szCs w:val="21"/>
                <w:highlight w:val="none"/>
              </w:rPr>
              <w:t>防震动电机，确保运行平稳。</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vAlign w:val="center"/>
          </w:tcPr>
          <w:p>
            <w:pPr>
              <w:jc w:val="center"/>
              <w:rPr>
                <w:rFonts w:ascii="仿宋" w:hAnsi="仿宋" w:cs="仿宋"/>
                <w:color w:val="auto"/>
                <w:szCs w:val="21"/>
                <w:highlight w:val="none"/>
              </w:rPr>
            </w:pPr>
            <w:r>
              <w:rPr>
                <w:rFonts w:hint="eastAsia" w:ascii="仿宋" w:hAnsi="仿宋" w:cs="仿宋"/>
                <w:color w:val="auto"/>
                <w:szCs w:val="21"/>
                <w:highlight w:val="none"/>
              </w:rPr>
              <w:t>1</w:t>
            </w:r>
            <w:r>
              <w:rPr>
                <w:rFonts w:ascii="仿宋" w:hAnsi="仿宋" w:cs="仿宋"/>
                <w:color w:val="auto"/>
                <w:szCs w:val="21"/>
                <w:highlight w:val="none"/>
              </w:rPr>
              <w:t>.4</w:t>
            </w:r>
          </w:p>
        </w:tc>
        <w:tc>
          <w:tcPr>
            <w:tcW w:w="80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422"/>
              <w:jc w:val="left"/>
              <w:rPr>
                <w:rFonts w:ascii="仿宋" w:hAnsi="仿宋" w:cs="仿宋"/>
                <w:b/>
                <w:bCs/>
                <w:color w:val="auto"/>
                <w:szCs w:val="21"/>
                <w:highlight w:val="none"/>
              </w:rPr>
            </w:pPr>
            <w:r>
              <w:rPr>
                <w:rFonts w:hint="eastAsia" w:ascii="仿宋" w:hAnsi="仿宋" w:cs="仿宋"/>
                <w:b/>
                <w:bCs/>
                <w:color w:val="auto"/>
                <w:szCs w:val="21"/>
                <w:highlight w:val="none"/>
              </w:rPr>
              <w:t>主要配置清单</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vAlign w:val="center"/>
          </w:tcPr>
          <w:p>
            <w:pPr>
              <w:jc w:val="center"/>
              <w:rPr>
                <w:rFonts w:ascii="仿宋" w:hAnsi="仿宋" w:cs="仿宋"/>
                <w:color w:val="auto"/>
                <w:szCs w:val="21"/>
                <w:highlight w:val="none"/>
              </w:rPr>
            </w:pPr>
            <w:r>
              <w:rPr>
                <w:rFonts w:hint="eastAsia" w:ascii="仿宋" w:hAnsi="仿宋" w:cs="仿宋"/>
                <w:color w:val="auto"/>
                <w:szCs w:val="21"/>
                <w:highlight w:val="none"/>
              </w:rPr>
              <w:t>1</w:t>
            </w:r>
            <w:r>
              <w:rPr>
                <w:rFonts w:ascii="仿宋" w:hAnsi="仿宋" w:cs="仿宋"/>
                <w:color w:val="auto"/>
                <w:szCs w:val="21"/>
                <w:highlight w:val="none"/>
              </w:rPr>
              <w:t>.4.1</w:t>
            </w:r>
          </w:p>
        </w:tc>
        <w:tc>
          <w:tcPr>
            <w:tcW w:w="80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 w:hAnsi="仿宋" w:cs="仿宋"/>
                <w:bCs/>
                <w:color w:val="auto"/>
                <w:szCs w:val="21"/>
                <w:highlight w:val="none"/>
              </w:rPr>
            </w:pPr>
            <w:r>
              <w:rPr>
                <w:rFonts w:hint="eastAsia" w:ascii="仿宋" w:hAnsi="仿宋" w:cs="仿宋"/>
                <w:bCs/>
                <w:color w:val="auto"/>
                <w:szCs w:val="21"/>
                <w:highlight w:val="none"/>
              </w:rPr>
              <w:t xml:space="preserve">高能球磨仪主机1台           </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vAlign w:val="center"/>
          </w:tcPr>
          <w:p>
            <w:pPr>
              <w:jc w:val="center"/>
              <w:rPr>
                <w:rFonts w:ascii="仿宋" w:hAnsi="仿宋" w:cs="仿宋"/>
                <w:color w:val="auto"/>
                <w:szCs w:val="21"/>
                <w:highlight w:val="none"/>
              </w:rPr>
            </w:pPr>
            <w:r>
              <w:rPr>
                <w:rFonts w:hint="eastAsia" w:ascii="仿宋" w:hAnsi="仿宋" w:cs="仿宋"/>
                <w:color w:val="auto"/>
                <w:szCs w:val="21"/>
                <w:highlight w:val="none"/>
              </w:rPr>
              <w:t>1</w:t>
            </w:r>
            <w:r>
              <w:rPr>
                <w:rFonts w:ascii="仿宋" w:hAnsi="仿宋" w:cs="仿宋"/>
                <w:color w:val="auto"/>
                <w:szCs w:val="21"/>
                <w:highlight w:val="none"/>
              </w:rPr>
              <w:t>.4.2</w:t>
            </w:r>
          </w:p>
        </w:tc>
        <w:tc>
          <w:tcPr>
            <w:tcW w:w="80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 w:hAnsi="仿宋" w:cs="仿宋"/>
                <w:bCs/>
                <w:color w:val="auto"/>
                <w:szCs w:val="21"/>
                <w:highlight w:val="none"/>
              </w:rPr>
            </w:pPr>
            <w:r>
              <w:rPr>
                <w:rFonts w:hint="eastAsia" w:ascii="仿宋" w:hAnsi="仿宋" w:cs="仿宋"/>
                <w:bCs/>
                <w:color w:val="auto"/>
                <w:szCs w:val="21"/>
                <w:highlight w:val="none"/>
              </w:rPr>
              <w:t>配套研磨罐</w:t>
            </w:r>
            <w:r>
              <w:rPr>
                <w:rFonts w:ascii="仿宋" w:hAnsi="仿宋" w:cs="仿宋"/>
                <w:bCs/>
                <w:color w:val="auto"/>
                <w:szCs w:val="21"/>
                <w:highlight w:val="none"/>
              </w:rPr>
              <w:t>2</w:t>
            </w:r>
            <w:r>
              <w:rPr>
                <w:rFonts w:hint="eastAsia" w:ascii="仿宋" w:hAnsi="仿宋" w:cs="仿宋"/>
                <w:bCs/>
                <w:color w:val="auto"/>
                <w:szCs w:val="21"/>
                <w:highlight w:val="none"/>
              </w:rPr>
              <w:t xml:space="preserve">套                      </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vAlign w:val="center"/>
          </w:tcPr>
          <w:p>
            <w:pPr>
              <w:jc w:val="center"/>
              <w:rPr>
                <w:rFonts w:ascii="仿宋" w:hAnsi="仿宋" w:cs="仿宋"/>
                <w:color w:val="auto"/>
                <w:szCs w:val="21"/>
                <w:highlight w:val="none"/>
              </w:rPr>
            </w:pPr>
            <w:r>
              <w:rPr>
                <w:rFonts w:hint="eastAsia" w:ascii="仿宋" w:hAnsi="仿宋" w:cs="仿宋"/>
                <w:color w:val="auto"/>
                <w:szCs w:val="21"/>
                <w:highlight w:val="none"/>
              </w:rPr>
              <w:t>1.</w:t>
            </w:r>
            <w:r>
              <w:rPr>
                <w:rFonts w:ascii="仿宋" w:hAnsi="仿宋" w:cs="仿宋"/>
                <w:color w:val="auto"/>
                <w:szCs w:val="21"/>
                <w:highlight w:val="none"/>
              </w:rPr>
              <w:t>5</w:t>
            </w:r>
          </w:p>
        </w:tc>
        <w:tc>
          <w:tcPr>
            <w:tcW w:w="80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 w:hAnsi="仿宋" w:cs="仿宋"/>
                <w:bCs/>
                <w:color w:val="auto"/>
                <w:szCs w:val="21"/>
                <w:highlight w:val="none"/>
              </w:rPr>
            </w:pPr>
            <w:r>
              <w:rPr>
                <w:rFonts w:hint="eastAsia" w:ascii="仿宋" w:hAnsi="仿宋" w:cs="仿宋"/>
                <w:bCs/>
                <w:color w:val="auto"/>
                <w:szCs w:val="21"/>
                <w:highlight w:val="none"/>
              </w:rPr>
              <w:t>整机提供至少一年质保期，耗材除外</w:t>
            </w:r>
          </w:p>
        </w:tc>
      </w:tr>
    </w:tbl>
    <w:p>
      <w:pPr>
        <w:pStyle w:val="29"/>
        <w:spacing w:before="120" w:beforeLines="50" w:after="120" w:afterLines="50" w:line="360" w:lineRule="auto"/>
        <w:ind w:firstLine="495" w:firstLineChars="235"/>
        <w:rPr>
          <w:rFonts w:ascii="宋体" w:hAnsi="宋体" w:cs="宋体"/>
          <w:b/>
          <w:bCs/>
          <w:color w:val="auto"/>
          <w:sz w:val="21"/>
          <w:szCs w:val="21"/>
          <w:highlight w:val="none"/>
        </w:rPr>
      </w:pPr>
      <w:r>
        <w:rPr>
          <w:rFonts w:hint="eastAsia" w:ascii="宋体" w:hAnsi="宋体" w:cs="宋体"/>
          <w:b/>
          <w:bCs/>
          <w:color w:val="auto"/>
          <w:sz w:val="21"/>
          <w:szCs w:val="21"/>
          <w:highlight w:val="none"/>
        </w:rPr>
        <w:t>（2）商务要求</w:t>
      </w:r>
    </w:p>
    <w:tbl>
      <w:tblPr>
        <w:tblStyle w:val="44"/>
        <w:tblW w:w="8931" w:type="dxa"/>
        <w:tblInd w:w="108" w:type="dxa"/>
        <w:tblLayout w:type="fixed"/>
        <w:tblCellMar>
          <w:top w:w="0" w:type="dxa"/>
          <w:left w:w="108" w:type="dxa"/>
          <w:bottom w:w="0" w:type="dxa"/>
          <w:right w:w="108" w:type="dxa"/>
        </w:tblCellMar>
      </w:tblPr>
      <w:tblGrid>
        <w:gridCol w:w="709"/>
        <w:gridCol w:w="1559"/>
        <w:gridCol w:w="6663"/>
      </w:tblGrid>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b/>
                <w:color w:val="auto"/>
                <w:szCs w:val="21"/>
                <w:highlight w:val="none"/>
              </w:rPr>
            </w:pPr>
            <w:r>
              <w:rPr>
                <w:rFonts w:hint="eastAsia" w:ascii="仿宋" w:hAnsi="仿宋" w:cs="宋体"/>
                <w:b/>
                <w:color w:val="auto"/>
                <w:szCs w:val="21"/>
                <w:highlight w:val="none"/>
              </w:rPr>
              <w:t>序号</w:t>
            </w:r>
          </w:p>
        </w:tc>
        <w:tc>
          <w:tcPr>
            <w:tcW w:w="1559" w:type="dxa"/>
            <w:tcBorders>
              <w:top w:val="single" w:color="000000" w:sz="4" w:space="0"/>
              <w:left w:val="single" w:color="000000" w:sz="4" w:space="0"/>
              <w:bottom w:val="single" w:color="000000" w:sz="4" w:space="0"/>
              <w:right w:val="single" w:color="000000" w:sz="4" w:space="0"/>
            </w:tcBorders>
            <w:vAlign w:val="center"/>
          </w:tcPr>
          <w:p>
            <w:pPr>
              <w:ind w:firstLine="422"/>
              <w:jc w:val="center"/>
              <w:rPr>
                <w:rFonts w:ascii="仿宋" w:hAnsi="仿宋" w:cs="宋体"/>
                <w:b/>
                <w:color w:val="auto"/>
                <w:szCs w:val="21"/>
                <w:highlight w:val="none"/>
              </w:rPr>
            </w:pPr>
            <w:r>
              <w:rPr>
                <w:rFonts w:hint="eastAsia" w:ascii="仿宋" w:hAnsi="仿宋" w:cs="宋体"/>
                <w:b/>
                <w:color w:val="auto"/>
                <w:szCs w:val="21"/>
                <w:highlight w:val="none"/>
              </w:rPr>
              <w:t>项目</w:t>
            </w:r>
          </w:p>
        </w:tc>
        <w:tc>
          <w:tcPr>
            <w:tcW w:w="6663" w:type="dxa"/>
            <w:tcBorders>
              <w:top w:val="single" w:color="000000" w:sz="4" w:space="0"/>
              <w:left w:val="single" w:color="000000" w:sz="4" w:space="0"/>
              <w:bottom w:val="single" w:color="000000" w:sz="4" w:space="0"/>
              <w:right w:val="single" w:color="000000" w:sz="4" w:space="0"/>
            </w:tcBorders>
            <w:vAlign w:val="center"/>
          </w:tcPr>
          <w:p>
            <w:pPr>
              <w:ind w:firstLine="422"/>
              <w:jc w:val="center"/>
              <w:rPr>
                <w:rFonts w:ascii="仿宋" w:hAnsi="仿宋" w:cs="宋体"/>
                <w:b/>
                <w:color w:val="auto"/>
                <w:szCs w:val="21"/>
                <w:highlight w:val="none"/>
              </w:rPr>
            </w:pPr>
            <w:r>
              <w:rPr>
                <w:rFonts w:hint="eastAsia" w:ascii="仿宋" w:hAnsi="仿宋" w:cs="宋体"/>
                <w:b/>
                <w:color w:val="auto"/>
                <w:szCs w:val="21"/>
                <w:highlight w:val="none"/>
              </w:rPr>
              <w:t>要求</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交货及交付验收时间</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合同签订生效之日起</w:t>
            </w:r>
            <w:r>
              <w:rPr>
                <w:rFonts w:ascii="仿宋" w:hAnsi="仿宋" w:cs="宋体"/>
                <w:color w:val="auto"/>
                <w:szCs w:val="21"/>
                <w:highlight w:val="none"/>
              </w:rPr>
              <w:t>90</w:t>
            </w:r>
            <w:r>
              <w:rPr>
                <w:rFonts w:hint="eastAsia" w:ascii="仿宋" w:hAnsi="仿宋" w:cs="宋体"/>
                <w:color w:val="auto"/>
                <w:szCs w:val="21"/>
                <w:highlight w:val="none"/>
              </w:rPr>
              <w:t>天内到货，到货后</w:t>
            </w:r>
            <w:r>
              <w:rPr>
                <w:rFonts w:ascii="仿宋" w:hAnsi="仿宋" w:cs="宋体"/>
                <w:color w:val="auto"/>
                <w:szCs w:val="21"/>
                <w:highlight w:val="none"/>
              </w:rPr>
              <w:t>30</w:t>
            </w:r>
            <w:r>
              <w:rPr>
                <w:rFonts w:hint="eastAsia" w:ascii="仿宋" w:hAnsi="仿宋" w:cs="宋体"/>
                <w:color w:val="auto"/>
                <w:szCs w:val="21"/>
                <w:highlight w:val="none"/>
              </w:rPr>
              <w:t>天内完成安装调试交付验收。</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2</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交货地点</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bCs/>
                <w:color w:val="auto"/>
                <w:kern w:val="0"/>
                <w:szCs w:val="21"/>
                <w:highlight w:val="none"/>
              </w:rPr>
              <w:t xml:space="preserve">宁波市前湾新区滨海二路769号宁波工程学院新能源学院 </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3</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产品包装要求</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确保所有设备均采用国家或专业标准保护措施进行包装，使包装适应于远距离运输、防潮、防震、防锈和防粗暴装卸，以确保设备安全无损运抵交货现场。设备到货时，所有外包装箱箱体无严重破损或变形，封条应完整无缺，内包装应符合标准运输包装要求，拆箱后设备主体外表无任何磕碰、碎裂、划伤痕迹。运输途中设备出现的任何问题均由中标人负责解决。</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4</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产品及服务质量保证</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（1）投标人所供应的设备及其所有部件必须均是全新原装合格产品,在中国境内采购人拥有合法的产权和使用权。如发生交付设备与合同不符,采购人有权拒收或退货,由此产生的一切责任和后果由中标人承担。</w:t>
            </w:r>
          </w:p>
          <w:p>
            <w:pPr>
              <w:rPr>
                <w:rFonts w:ascii="仿宋" w:hAnsi="仿宋" w:cs="宋体"/>
                <w:color w:val="auto"/>
                <w:szCs w:val="21"/>
                <w:highlight w:val="none"/>
              </w:rPr>
            </w:pPr>
            <w:r>
              <w:rPr>
                <w:rFonts w:hint="eastAsia" w:ascii="仿宋" w:hAnsi="仿宋" w:cs="宋体"/>
                <w:color w:val="auto"/>
                <w:szCs w:val="21"/>
                <w:highlight w:val="none"/>
              </w:rPr>
              <w:t>（2）属于国家强制性产品认证范围的产品必须具有国家法定认证机构颁发的“CCC”认证证书。</w:t>
            </w:r>
          </w:p>
          <w:p>
            <w:pPr>
              <w:rPr>
                <w:rFonts w:ascii="仿宋" w:hAnsi="仿宋" w:cs="宋体"/>
                <w:color w:val="auto"/>
                <w:szCs w:val="21"/>
                <w:highlight w:val="none"/>
              </w:rPr>
            </w:pPr>
            <w:r>
              <w:rPr>
                <w:rFonts w:hint="eastAsia" w:ascii="仿宋" w:hAnsi="仿宋" w:cs="宋体"/>
                <w:color w:val="auto"/>
                <w:szCs w:val="21"/>
                <w:highlight w:val="none"/>
              </w:rPr>
              <w:t>（3）在设备交付时，中标人必须向采购人提供必备的相关资料。</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5</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质量标准</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产品质量必须执行国家相关标准、行业标准、地方标准或者其它标准、规范（从严）：</w:t>
            </w:r>
          </w:p>
          <w:p>
            <w:pPr>
              <w:rPr>
                <w:rFonts w:ascii="仿宋" w:hAnsi="仿宋" w:cs="宋体"/>
                <w:color w:val="auto"/>
                <w:szCs w:val="21"/>
                <w:highlight w:val="none"/>
              </w:rPr>
            </w:pPr>
            <w:r>
              <w:rPr>
                <w:rFonts w:hint="eastAsia" w:ascii="仿宋" w:hAnsi="仿宋" w:cs="宋体"/>
                <w:color w:val="auto"/>
                <w:szCs w:val="21"/>
                <w:highlight w:val="none"/>
              </w:rPr>
              <w:t>具有国家标准及规范的，按最新的标准及规范执行；具有行业标准及规范的，按最新的标准及规范执行；具有其他标准及规范的，按照最新的标准及规范执行；没有相关标准及规范的，按照招标文件的技术及服务要求执行。</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6</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产品保修期</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（1）</w:t>
            </w:r>
            <w:r>
              <w:rPr>
                <w:rFonts w:hint="eastAsia" w:ascii="宋体" w:hAnsi="宋体" w:cs="宋体"/>
                <w:bCs/>
                <w:color w:val="auto"/>
                <w:szCs w:val="21"/>
                <w:highlight w:val="none"/>
              </w:rPr>
              <w:t>高精度阻抗测试系统</w:t>
            </w:r>
            <w:r>
              <w:rPr>
                <w:rFonts w:hint="eastAsia" w:ascii="仿宋" w:hAnsi="仿宋" w:cs="宋体"/>
                <w:color w:val="auto"/>
                <w:szCs w:val="21"/>
                <w:highlight w:val="none"/>
              </w:rPr>
              <w:t xml:space="preserve">提供不少于 </w:t>
            </w:r>
            <w:r>
              <w:rPr>
                <w:rFonts w:ascii="仿宋" w:hAnsi="仿宋" w:cs="宋体"/>
                <w:color w:val="auto"/>
                <w:szCs w:val="21"/>
                <w:highlight w:val="none"/>
              </w:rPr>
              <w:t xml:space="preserve">2 </w:t>
            </w:r>
            <w:r>
              <w:rPr>
                <w:rFonts w:hint="eastAsia" w:ascii="仿宋" w:hAnsi="仿宋" w:cs="宋体"/>
                <w:color w:val="auto"/>
                <w:szCs w:val="21"/>
                <w:highlight w:val="none"/>
              </w:rPr>
              <w:t>年免费保修期；</w:t>
            </w:r>
            <w:r>
              <w:rPr>
                <w:rFonts w:hint="eastAsia" w:ascii="宋体" w:hAnsi="宋体" w:cs="宋体"/>
                <w:bCs/>
                <w:color w:val="auto"/>
                <w:szCs w:val="21"/>
                <w:highlight w:val="none"/>
              </w:rPr>
              <w:t>自动聚焦耦合单模微波合成系统</w:t>
            </w:r>
            <w:r>
              <w:rPr>
                <w:rFonts w:hint="eastAsia" w:ascii="仿宋" w:hAnsi="仿宋" w:cs="宋体"/>
                <w:color w:val="auto"/>
                <w:szCs w:val="21"/>
                <w:highlight w:val="none"/>
              </w:rPr>
              <w:t>提供不少于</w:t>
            </w:r>
            <w:r>
              <w:rPr>
                <w:rFonts w:ascii="仿宋" w:hAnsi="仿宋" w:cs="宋体"/>
                <w:color w:val="auto"/>
                <w:szCs w:val="21"/>
                <w:highlight w:val="none"/>
              </w:rPr>
              <w:t>1</w:t>
            </w:r>
            <w:r>
              <w:rPr>
                <w:rFonts w:hint="eastAsia" w:ascii="仿宋" w:hAnsi="仿宋" w:cs="宋体"/>
                <w:color w:val="auto"/>
                <w:szCs w:val="21"/>
                <w:highlight w:val="none"/>
              </w:rPr>
              <w:t>年免费保修期。</w:t>
            </w:r>
          </w:p>
          <w:p>
            <w:pPr>
              <w:rPr>
                <w:rFonts w:ascii="仿宋" w:hAnsi="仿宋" w:cs="宋体"/>
                <w:color w:val="auto"/>
                <w:szCs w:val="21"/>
                <w:highlight w:val="none"/>
              </w:rPr>
            </w:pPr>
            <w:r>
              <w:rPr>
                <w:rFonts w:hint="eastAsia" w:ascii="仿宋" w:hAnsi="仿宋" w:cs="宋体"/>
                <w:color w:val="auto"/>
                <w:szCs w:val="21"/>
                <w:highlight w:val="none"/>
              </w:rPr>
              <w:t>（2）保修期在双方签署项目最终验收报告之日起计算，在此期间内，任何非因采购人原因造成的设备质量及使用问题均由中标人提供相关保修服务，包括但不仅限于维修或更换，其费用含在投标报价中，相关费用包含达到设备正常使用目标所需的零部件费用、技术人员费用、交通差旅费等，维修必须遵守制造商的技术及零部件使用标准。</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7</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验收</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设备安装调试完成后，双方按照确定的技术标准进行验收。验收前，乙方应向甲方提交所有验收必备资料。</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8</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签订合同时间</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采购人在中标通知书发出之日起30日内与中标人签订书面合同，具体签约时间以采购人通知为准。</w:t>
            </w:r>
          </w:p>
        </w:tc>
      </w:tr>
      <w:tr>
        <w:tblPrEx>
          <w:tblCellMar>
            <w:top w:w="0" w:type="dxa"/>
            <w:left w:w="108" w:type="dxa"/>
            <w:bottom w:w="0" w:type="dxa"/>
            <w:right w:w="108" w:type="dxa"/>
          </w:tblCellMar>
        </w:tblPrEx>
        <w:trPr>
          <w:trHeight w:val="5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9</w:t>
            </w:r>
          </w:p>
        </w:tc>
        <w:tc>
          <w:tcPr>
            <w:tcW w:w="1559"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合同款项支付条件及方式</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shd w:val="clear" w:color="auto" w:fill="FFFFFF"/>
              </w:rPr>
            </w:pPr>
            <w:r>
              <w:rPr>
                <w:rFonts w:hint="eastAsia" w:ascii="仿宋" w:hAnsi="仿宋" w:cs="宋体"/>
                <w:color w:val="auto"/>
                <w:szCs w:val="21"/>
                <w:highlight w:val="none"/>
                <w:shd w:val="clear" w:color="auto" w:fill="FFFFFF"/>
              </w:rPr>
              <w:t>（1）所投标项为国产设备中标的，按照以下条件支付合同款：</w:t>
            </w:r>
          </w:p>
          <w:p>
            <w:pPr>
              <w:rPr>
                <w:rFonts w:ascii="仿宋" w:hAnsi="仿宋" w:cs="宋体"/>
                <w:color w:val="auto"/>
                <w:szCs w:val="21"/>
                <w:highlight w:val="none"/>
                <w:shd w:val="clear" w:color="auto" w:fill="FFFFFF"/>
              </w:rPr>
            </w:pPr>
            <w:r>
              <w:rPr>
                <w:rFonts w:hint="eastAsia" w:ascii="仿宋" w:hAnsi="仿宋" w:cs="宋体"/>
                <w:color w:val="auto"/>
                <w:szCs w:val="21"/>
                <w:highlight w:val="none"/>
                <w:shd w:val="clear" w:color="auto" w:fill="FFFFFF"/>
              </w:rPr>
              <w:t>1）合同签订生效之日起7个工作日内支付合同总价的40%作为预付款。</w:t>
            </w:r>
          </w:p>
          <w:p>
            <w:pPr>
              <w:rPr>
                <w:rFonts w:ascii="仿宋" w:hAnsi="仿宋" w:cs="宋体"/>
                <w:color w:val="auto"/>
                <w:szCs w:val="21"/>
                <w:highlight w:val="none"/>
                <w:shd w:val="clear" w:color="auto" w:fill="FFFFFF"/>
              </w:rPr>
            </w:pPr>
            <w:r>
              <w:rPr>
                <w:rFonts w:hint="eastAsia" w:ascii="仿宋" w:hAnsi="仿宋" w:cs="宋体"/>
                <w:color w:val="auto"/>
                <w:szCs w:val="21"/>
                <w:highlight w:val="none"/>
                <w:shd w:val="clear" w:color="auto" w:fill="FFFFFF"/>
              </w:rPr>
              <w:t>2）所有设备到达指定地点后15日内支付合同总价的50%。</w:t>
            </w:r>
          </w:p>
          <w:p>
            <w:pPr>
              <w:rPr>
                <w:rFonts w:ascii="仿宋" w:hAnsi="仿宋" w:cs="宋体"/>
                <w:color w:val="auto"/>
                <w:szCs w:val="21"/>
                <w:highlight w:val="none"/>
                <w:shd w:val="clear" w:color="auto" w:fill="FFFFFF"/>
              </w:rPr>
            </w:pPr>
            <w:r>
              <w:rPr>
                <w:rFonts w:hint="eastAsia" w:ascii="仿宋" w:hAnsi="仿宋" w:cs="宋体"/>
                <w:color w:val="auto"/>
                <w:szCs w:val="21"/>
                <w:highlight w:val="none"/>
                <w:shd w:val="clear" w:color="auto" w:fill="FFFFFF"/>
              </w:rPr>
              <w:t>3）设备安装调试完毕，且经使用单位验收合格后</w:t>
            </w:r>
            <w:r>
              <w:rPr>
                <w:rFonts w:ascii="仿宋" w:hAnsi="仿宋" w:cs="宋体"/>
                <w:color w:val="auto"/>
                <w:szCs w:val="21"/>
                <w:highlight w:val="none"/>
                <w:shd w:val="clear" w:color="auto" w:fill="FFFFFF"/>
              </w:rPr>
              <w:t>15</w:t>
            </w:r>
            <w:r>
              <w:rPr>
                <w:rFonts w:hint="eastAsia" w:ascii="仿宋" w:hAnsi="仿宋" w:cs="宋体"/>
                <w:color w:val="auto"/>
                <w:szCs w:val="21"/>
                <w:highlight w:val="none"/>
                <w:shd w:val="clear" w:color="auto" w:fill="FFFFFF"/>
              </w:rPr>
              <w:t>日内一次性支付余款。</w:t>
            </w:r>
          </w:p>
          <w:p>
            <w:pPr>
              <w:rPr>
                <w:rFonts w:ascii="仿宋" w:hAnsi="仿宋" w:cs="宋体"/>
                <w:color w:val="auto"/>
                <w:szCs w:val="21"/>
                <w:highlight w:val="none"/>
                <w:shd w:val="clear" w:color="auto" w:fill="FFFFFF"/>
              </w:rPr>
            </w:pPr>
            <w:r>
              <w:rPr>
                <w:rFonts w:hint="eastAsia" w:ascii="仿宋" w:hAnsi="仿宋" w:cs="宋体"/>
                <w:color w:val="auto"/>
                <w:szCs w:val="21"/>
                <w:highlight w:val="none"/>
                <w:shd w:val="clear" w:color="auto" w:fill="FFFFFF"/>
              </w:rPr>
              <w:t>注：中标人于合同签订前书面承诺放弃预付款或降低预付款支付比例的，可不适用本条款且具体支付方式由双方在合同中自行约定。</w:t>
            </w:r>
          </w:p>
          <w:p>
            <w:pPr>
              <w:rPr>
                <w:rFonts w:ascii="仿宋" w:hAnsi="仿宋" w:cs="宋体"/>
                <w:color w:val="auto"/>
                <w:szCs w:val="21"/>
                <w:highlight w:val="none"/>
                <w:shd w:val="clear" w:color="auto" w:fill="FFFFFF"/>
              </w:rPr>
            </w:pPr>
            <w:r>
              <w:rPr>
                <w:rFonts w:hint="eastAsia" w:ascii="仿宋" w:hAnsi="仿宋" w:cs="宋体"/>
                <w:color w:val="auto"/>
                <w:szCs w:val="21"/>
                <w:highlight w:val="none"/>
                <w:shd w:val="clear" w:color="auto" w:fill="FFFFFF"/>
              </w:rPr>
              <w:t>（2）所投标项为进口设备中标的，按照以下条件支付合同款：</w:t>
            </w:r>
          </w:p>
          <w:p>
            <w:pPr>
              <w:rPr>
                <w:rFonts w:ascii="仿宋" w:hAnsi="仿宋" w:cs="宋体"/>
                <w:color w:val="auto"/>
                <w:szCs w:val="21"/>
                <w:highlight w:val="none"/>
                <w:shd w:val="clear" w:color="auto" w:fill="FFFFFF"/>
              </w:rPr>
            </w:pPr>
            <w:r>
              <w:rPr>
                <w:rFonts w:hint="eastAsia" w:ascii="仿宋" w:hAnsi="仿宋" w:cs="宋体"/>
                <w:color w:val="auto"/>
                <w:szCs w:val="21"/>
                <w:highlight w:val="none"/>
                <w:shd w:val="clear" w:color="auto" w:fill="FFFFFF"/>
              </w:rPr>
              <w:t>买方开具100%不可撤消即期信用证。其中80%凭货运单据收取，20%凭宁波工程学院盖章的货物验收合格报告收取。</w:t>
            </w:r>
          </w:p>
        </w:tc>
      </w:tr>
      <w:tr>
        <w:tblPrEx>
          <w:tblCellMar>
            <w:top w:w="0" w:type="dxa"/>
            <w:left w:w="108" w:type="dxa"/>
            <w:bottom w:w="0" w:type="dxa"/>
            <w:right w:w="108" w:type="dxa"/>
          </w:tblCellMar>
        </w:tblPrEx>
        <w:trPr>
          <w:trHeight w:val="552"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10</w:t>
            </w:r>
          </w:p>
        </w:tc>
        <w:tc>
          <w:tcPr>
            <w:tcW w:w="1559"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发票要求</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（1）中标人应在采购人支付费用前，依据相应的金额，向采购人提供足额且符合税法规定的发票。采购人在收到中标人提供的发票后在合同约定的时间内支付相应款项。</w:t>
            </w:r>
          </w:p>
          <w:p>
            <w:pPr>
              <w:rPr>
                <w:rFonts w:ascii="仿宋" w:hAnsi="仿宋" w:cs="宋体"/>
                <w:color w:val="auto"/>
                <w:szCs w:val="21"/>
                <w:highlight w:val="none"/>
                <w:shd w:val="clear" w:color="auto" w:fill="FFFFFF"/>
              </w:rPr>
            </w:pPr>
            <w:r>
              <w:rPr>
                <w:rFonts w:hint="eastAsia" w:ascii="仿宋" w:hAnsi="仿宋" w:cs="宋体"/>
                <w:color w:val="auto"/>
                <w:szCs w:val="21"/>
                <w:highlight w:val="none"/>
              </w:rPr>
              <w:t>（2）本项目合同签署的中标人名称与发票开具单位及收款单位必须一致，中标人不得以任何理由在合同执行过程中要求调整发票开具单位或收款单位（中标人依法变更单位名称或存在其他特殊情况符合规定要求除外），否则视为中标人违约并自行承担相关责任，且须承担由此对采购人造成的一切损失。</w:t>
            </w:r>
          </w:p>
        </w:tc>
      </w:tr>
      <w:tr>
        <w:tblPrEx>
          <w:tblCellMar>
            <w:top w:w="0" w:type="dxa"/>
            <w:left w:w="108" w:type="dxa"/>
            <w:bottom w:w="0" w:type="dxa"/>
            <w:right w:w="108" w:type="dxa"/>
          </w:tblCellMar>
        </w:tblPrEx>
        <w:trPr>
          <w:trHeight w:val="541"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11</w:t>
            </w:r>
          </w:p>
        </w:tc>
        <w:tc>
          <w:tcPr>
            <w:tcW w:w="1559"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履约保证金</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本项目要求中标人缴纳合同总额1</w:t>
            </w:r>
            <w:r>
              <w:rPr>
                <w:rFonts w:ascii="仿宋" w:hAnsi="仿宋" w:cs="宋体"/>
                <w:color w:val="auto"/>
                <w:szCs w:val="21"/>
                <w:highlight w:val="none"/>
              </w:rPr>
              <w:t>%</w:t>
            </w:r>
            <w:r>
              <w:rPr>
                <w:rFonts w:hint="eastAsia" w:ascii="仿宋" w:hAnsi="仿宋" w:cs="宋体"/>
                <w:color w:val="auto"/>
                <w:szCs w:val="21"/>
                <w:highlight w:val="none"/>
              </w:rPr>
              <w:t>的履约保证金，在合同签订后7个工作日内以支票、汇票、本票或者金融机构、担保机构出具的保函等非现金形式提交，项目验收合格后一次性退还。</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12</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其他</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在合同履行过程中，中标供应商应承担由于其行为所造成的采购人或第三人的人身伤害、财产损失或损坏的责任，无论何种原因所造成，与采购人无涉，由此导致的损失由中标供应商承担，无论何种原因采购人先行支付的，采购人有权向中标供应商进行追偿。</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13</w:t>
            </w:r>
          </w:p>
        </w:tc>
        <w:tc>
          <w:tcPr>
            <w:tcW w:w="1559"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知识产权要求</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投标人提供的产品未侵犯他人的知识产权。</w:t>
            </w:r>
          </w:p>
        </w:tc>
      </w:tr>
    </w:tbl>
    <w:p>
      <w:pPr>
        <w:rPr>
          <w:color w:val="auto"/>
          <w:szCs w:val="21"/>
          <w:highlight w:val="none"/>
        </w:rPr>
      </w:pPr>
    </w:p>
    <w:p>
      <w:pPr>
        <w:widowControl/>
        <w:jc w:val="left"/>
        <w:rPr>
          <w:rFonts w:ascii="Calibri" w:hAnsi="Calibri"/>
          <w:color w:val="auto"/>
          <w:kern w:val="0"/>
          <w:szCs w:val="21"/>
          <w:highlight w:val="none"/>
        </w:rPr>
      </w:pPr>
    </w:p>
    <w:p>
      <w:pPr>
        <w:pStyle w:val="3"/>
        <w:ind w:firstLine="211"/>
        <w:rPr>
          <w:b/>
          <w:color w:val="auto"/>
          <w:sz w:val="21"/>
          <w:szCs w:val="21"/>
          <w:highlight w:val="none"/>
        </w:rPr>
      </w:pPr>
      <w:r>
        <w:rPr>
          <w:rFonts w:hint="eastAsia"/>
          <w:b/>
          <w:color w:val="auto"/>
          <w:sz w:val="21"/>
          <w:szCs w:val="21"/>
          <w:highlight w:val="none"/>
        </w:rPr>
        <w:t>标项七：电感耦合等离子体发射光谱仪、荧光分光光度计、同步热分析仪</w:t>
      </w:r>
    </w:p>
    <w:p>
      <w:pPr>
        <w:pStyle w:val="29"/>
        <w:spacing w:before="120" w:beforeLines="50" w:after="120" w:afterLines="50" w:line="360" w:lineRule="auto"/>
        <w:ind w:firstLine="495" w:firstLineChars="235"/>
        <w:rPr>
          <w:rFonts w:ascii="宋体" w:hAnsi="宋体" w:cs="宋体"/>
          <w:b/>
          <w:bCs/>
          <w:color w:val="auto"/>
          <w:sz w:val="21"/>
          <w:szCs w:val="21"/>
          <w:highlight w:val="none"/>
        </w:rPr>
      </w:pPr>
      <w:r>
        <w:rPr>
          <w:rFonts w:hint="eastAsia" w:ascii="宋体" w:hAnsi="宋体" w:cs="宋体"/>
          <w:b/>
          <w:bCs/>
          <w:color w:val="auto"/>
          <w:sz w:val="21"/>
          <w:szCs w:val="21"/>
          <w:highlight w:val="none"/>
        </w:rPr>
        <w:t>（1）技术要求</w:t>
      </w:r>
    </w:p>
    <w:p>
      <w:pPr>
        <w:pStyle w:val="29"/>
        <w:spacing w:before="120" w:beforeLines="50" w:after="120" w:afterLines="50" w:line="360" w:lineRule="auto"/>
        <w:ind w:firstLine="493" w:firstLineChars="235"/>
        <w:rPr>
          <w:rFonts w:ascii="宋体" w:hAnsi="宋体" w:cs="宋体"/>
          <w:b/>
          <w:bCs/>
          <w:color w:val="auto"/>
          <w:sz w:val="21"/>
          <w:szCs w:val="21"/>
          <w:highlight w:val="none"/>
        </w:rPr>
      </w:pPr>
      <w:r>
        <w:rPr>
          <w:rFonts w:hint="eastAsia" w:asciiTheme="minorEastAsia" w:hAnsiTheme="minorEastAsia" w:eastAsiaTheme="minorEastAsia"/>
          <w:bCs/>
          <w:color w:val="auto"/>
          <w:sz w:val="21"/>
          <w:szCs w:val="21"/>
          <w:highlight w:val="none"/>
        </w:rPr>
        <w:t>●</w:t>
      </w:r>
      <w:r>
        <w:rPr>
          <w:rFonts w:hint="eastAsia" w:ascii="宋体" w:hAnsi="宋体" w:cs="宋体"/>
          <w:b/>
          <w:bCs/>
          <w:color w:val="auto"/>
          <w:sz w:val="21"/>
          <w:szCs w:val="21"/>
          <w:highlight w:val="none"/>
        </w:rPr>
        <w:t>序号1：电感耦合等离子体发射光谱仪</w:t>
      </w:r>
    </w:p>
    <w:tbl>
      <w:tblPr>
        <w:tblStyle w:val="44"/>
        <w:tblW w:w="8931" w:type="dxa"/>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0" w:type="dxa"/>
          <w:bottom w:w="0" w:type="dxa"/>
          <w:right w:w="0" w:type="dxa"/>
        </w:tblCellMar>
      </w:tblPr>
      <w:tblGrid>
        <w:gridCol w:w="1276"/>
        <w:gridCol w:w="7655"/>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blHeader/>
        </w:trPr>
        <w:tc>
          <w:tcPr>
            <w:tcW w:w="1276" w:type="dxa"/>
            <w:tcBorders>
              <w:bottom w:val="single" w:color="auto" w:sz="4" w:space="0"/>
            </w:tcBorders>
            <w:vAlign w:val="center"/>
          </w:tcPr>
          <w:p>
            <w:pPr>
              <w:ind w:firstLine="422"/>
              <w:rPr>
                <w:rFonts w:ascii="仿宋" w:hAnsi="仿宋" w:cs="宋体"/>
                <w:b/>
                <w:color w:val="auto"/>
                <w:szCs w:val="21"/>
                <w:highlight w:val="none"/>
              </w:rPr>
            </w:pPr>
            <w:r>
              <w:rPr>
                <w:rFonts w:hint="eastAsia" w:ascii="仿宋" w:hAnsi="仿宋" w:cs="宋体"/>
                <w:b/>
                <w:color w:val="auto"/>
                <w:szCs w:val="21"/>
                <w:highlight w:val="none"/>
              </w:rPr>
              <w:t>条款号</w:t>
            </w:r>
          </w:p>
        </w:tc>
        <w:tc>
          <w:tcPr>
            <w:tcW w:w="7655" w:type="dxa"/>
            <w:tcBorders>
              <w:bottom w:val="single" w:color="auto" w:sz="4" w:space="0"/>
            </w:tcBorders>
            <w:vAlign w:val="center"/>
          </w:tcPr>
          <w:p>
            <w:pPr>
              <w:ind w:firstLine="422"/>
              <w:jc w:val="center"/>
              <w:rPr>
                <w:rFonts w:ascii="仿宋" w:hAnsi="仿宋" w:cs="宋体"/>
                <w:b/>
                <w:color w:val="auto"/>
                <w:szCs w:val="21"/>
                <w:highlight w:val="none"/>
              </w:rPr>
            </w:pPr>
            <w:r>
              <w:rPr>
                <w:rFonts w:hint="eastAsia" w:ascii="仿宋" w:hAnsi="仿宋" w:cs="宋体"/>
                <w:b/>
                <w:color w:val="auto"/>
                <w:szCs w:val="21"/>
                <w:highlight w:val="none"/>
              </w:rPr>
              <w:t>招标规格</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ind w:firstLine="422"/>
              <w:jc w:val="center"/>
              <w:rPr>
                <w:rFonts w:ascii="仿宋" w:hAnsi="仿宋" w:cs="宋体"/>
                <w:bCs/>
                <w:color w:val="auto"/>
                <w:szCs w:val="21"/>
                <w:highlight w:val="none"/>
              </w:rPr>
            </w:pPr>
            <w:r>
              <w:rPr>
                <w:rFonts w:hint="eastAsia" w:ascii="仿宋" w:hAnsi="仿宋" w:cs="宋体"/>
                <w:b/>
                <w:bCs/>
                <w:color w:val="auto"/>
                <w:szCs w:val="21"/>
                <w:highlight w:val="none"/>
              </w:rPr>
              <w:t>1</w:t>
            </w:r>
          </w:p>
        </w:tc>
        <w:tc>
          <w:tcPr>
            <w:tcW w:w="7655" w:type="dxa"/>
            <w:tcBorders>
              <w:top w:val="single" w:color="auto" w:sz="2" w:space="0"/>
              <w:bottom w:val="single" w:color="auto" w:sz="2" w:space="0"/>
            </w:tcBorders>
            <w:vAlign w:val="center"/>
          </w:tcPr>
          <w:p>
            <w:pPr>
              <w:ind w:firstLine="422"/>
              <w:rPr>
                <w:rFonts w:ascii="仿宋" w:hAnsi="仿宋" w:cs="宋体"/>
                <w:color w:val="auto"/>
                <w:szCs w:val="21"/>
                <w:highlight w:val="none"/>
              </w:rPr>
            </w:pPr>
            <w:r>
              <w:rPr>
                <w:rFonts w:hint="eastAsia" w:ascii="仿宋" w:hAnsi="仿宋" w:cs="宋体"/>
                <w:b/>
                <w:bCs/>
                <w:color w:val="auto"/>
                <w:szCs w:val="21"/>
                <w:highlight w:val="none"/>
              </w:rPr>
              <w:t>工作条件：</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1.1</w:t>
            </w:r>
          </w:p>
        </w:tc>
        <w:tc>
          <w:tcPr>
            <w:tcW w:w="7655" w:type="dxa"/>
            <w:tcBorders>
              <w:top w:val="single" w:color="auto" w:sz="2" w:space="0"/>
              <w:bottom w:val="single" w:color="auto" w:sz="2" w:space="0"/>
            </w:tcBorders>
            <w:vAlign w:val="center"/>
          </w:tcPr>
          <w:p>
            <w:pPr>
              <w:rPr>
                <w:rFonts w:ascii="仿宋" w:hAnsi="仿宋" w:cs="宋体"/>
                <w:color w:val="auto"/>
                <w:szCs w:val="21"/>
                <w:highlight w:val="none"/>
                <w:lang w:val="es-ES"/>
              </w:rPr>
            </w:pPr>
            <w:r>
              <w:rPr>
                <w:rFonts w:hint="eastAsia" w:ascii="仿宋" w:hAnsi="仿宋" w:cs="宋体"/>
                <w:color w:val="auto"/>
                <w:szCs w:val="21"/>
                <w:highlight w:val="none"/>
                <w:lang w:val="es-ES"/>
              </w:rPr>
              <w:t>环境温度：10℃-30 ℃；</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1.2</w:t>
            </w:r>
          </w:p>
        </w:tc>
        <w:tc>
          <w:tcPr>
            <w:tcW w:w="7655" w:type="dxa"/>
            <w:tcBorders>
              <w:top w:val="single" w:color="auto" w:sz="2" w:space="0"/>
              <w:bottom w:val="single" w:color="auto" w:sz="2" w:space="0"/>
            </w:tcBorders>
            <w:vAlign w:val="center"/>
          </w:tcPr>
          <w:p>
            <w:pPr>
              <w:rPr>
                <w:rFonts w:ascii="仿宋" w:hAnsi="仿宋" w:cs="宋体"/>
                <w:color w:val="auto"/>
                <w:szCs w:val="21"/>
                <w:highlight w:val="none"/>
                <w:lang w:val="es-ES"/>
              </w:rPr>
            </w:pPr>
            <w:r>
              <w:rPr>
                <w:rFonts w:hint="eastAsia" w:ascii="仿宋" w:hAnsi="仿宋" w:cs="宋体"/>
                <w:color w:val="auto"/>
                <w:szCs w:val="21"/>
                <w:highlight w:val="none"/>
                <w:lang w:val="es-ES"/>
              </w:rPr>
              <w:t>环境湿度20%-80% （不冷凝）；</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lang w:val="es-ES"/>
              </w:rPr>
              <w:t>1.3</w:t>
            </w:r>
          </w:p>
        </w:tc>
        <w:tc>
          <w:tcPr>
            <w:tcW w:w="7655"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lang w:val="es-ES"/>
              </w:rPr>
              <w:t xml:space="preserve">电源：仪器整体功率2.9kVA, 电源： </w:t>
            </w:r>
            <w:r>
              <w:rPr>
                <w:rFonts w:hint="eastAsia" w:ascii="仿宋" w:hAnsi="仿宋" w:cs="宋体"/>
                <w:color w:val="auto"/>
                <w:kern w:val="0"/>
                <w:szCs w:val="21"/>
                <w:highlight w:val="none"/>
                <w:lang w:val="es-ES"/>
              </w:rPr>
              <w:t xml:space="preserve">220VAC+/-10% ，50 </w:t>
            </w:r>
            <w:r>
              <w:rPr>
                <w:rFonts w:hint="eastAsia" w:ascii="仿宋" w:hAnsi="仿宋" w:cs="宋体"/>
                <w:color w:val="auto"/>
                <w:kern w:val="0"/>
                <w:szCs w:val="21"/>
                <w:highlight w:val="none"/>
              </w:rPr>
              <w:t>或</w:t>
            </w:r>
            <w:r>
              <w:rPr>
                <w:rFonts w:hint="eastAsia" w:ascii="仿宋" w:hAnsi="仿宋" w:cs="宋体"/>
                <w:color w:val="auto"/>
                <w:kern w:val="0"/>
                <w:szCs w:val="21"/>
                <w:highlight w:val="none"/>
                <w:lang w:val="es-ES"/>
              </w:rPr>
              <w:t>60Hz+/-1Hz；</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ind w:firstLine="422"/>
              <w:jc w:val="center"/>
              <w:rPr>
                <w:rFonts w:ascii="仿宋" w:hAnsi="仿宋" w:cs="宋体"/>
                <w:color w:val="auto"/>
                <w:szCs w:val="21"/>
                <w:highlight w:val="none"/>
              </w:rPr>
            </w:pPr>
            <w:r>
              <w:rPr>
                <w:rFonts w:hint="eastAsia" w:ascii="仿宋" w:hAnsi="仿宋" w:cs="宋体"/>
                <w:b/>
                <w:color w:val="auto"/>
                <w:szCs w:val="21"/>
                <w:highlight w:val="none"/>
                <w:lang w:val="es-ES"/>
              </w:rPr>
              <w:t>2</w:t>
            </w:r>
          </w:p>
        </w:tc>
        <w:tc>
          <w:tcPr>
            <w:tcW w:w="7655" w:type="dxa"/>
            <w:tcBorders>
              <w:top w:val="single" w:color="auto" w:sz="2" w:space="0"/>
              <w:bottom w:val="single" w:color="auto" w:sz="2" w:space="0"/>
            </w:tcBorders>
            <w:vAlign w:val="center"/>
          </w:tcPr>
          <w:p>
            <w:pPr>
              <w:ind w:firstLine="422"/>
              <w:rPr>
                <w:rFonts w:ascii="仿宋" w:hAnsi="仿宋" w:cs="宋体"/>
                <w:b/>
                <w:color w:val="auto"/>
                <w:szCs w:val="21"/>
                <w:highlight w:val="none"/>
                <w:lang w:val="es-ES"/>
              </w:rPr>
            </w:pPr>
            <w:r>
              <w:rPr>
                <w:rFonts w:hint="eastAsia" w:ascii="仿宋" w:hAnsi="仿宋" w:cs="宋体"/>
                <w:b/>
                <w:color w:val="auto"/>
                <w:szCs w:val="21"/>
                <w:highlight w:val="none"/>
                <w:lang w:val="es-ES"/>
              </w:rPr>
              <w:t>技术参数：</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ind w:firstLine="422"/>
              <w:jc w:val="center"/>
              <w:rPr>
                <w:rFonts w:ascii="仿宋" w:hAnsi="仿宋" w:cs="宋体"/>
                <w:color w:val="auto"/>
                <w:szCs w:val="21"/>
                <w:highlight w:val="none"/>
              </w:rPr>
            </w:pPr>
            <w:r>
              <w:rPr>
                <w:rFonts w:hint="eastAsia" w:ascii="仿宋" w:hAnsi="仿宋" w:cs="宋体"/>
                <w:b/>
                <w:bCs/>
                <w:color w:val="auto"/>
                <w:szCs w:val="21"/>
                <w:highlight w:val="none"/>
              </w:rPr>
              <w:t>2.1</w:t>
            </w:r>
          </w:p>
        </w:tc>
        <w:tc>
          <w:tcPr>
            <w:tcW w:w="7655" w:type="dxa"/>
            <w:tcBorders>
              <w:top w:val="single" w:color="auto" w:sz="2" w:space="0"/>
              <w:bottom w:val="single" w:color="auto" w:sz="2" w:space="0"/>
            </w:tcBorders>
            <w:vAlign w:val="center"/>
          </w:tcPr>
          <w:p>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left="103" w:hanging="103" w:hangingChars="49"/>
              <w:jc w:val="left"/>
              <w:rPr>
                <w:rFonts w:ascii="仿宋" w:hAnsi="仿宋" w:cs="宋体"/>
                <w:color w:val="auto"/>
                <w:szCs w:val="21"/>
                <w:highlight w:val="none"/>
              </w:rPr>
            </w:pPr>
            <w:r>
              <w:rPr>
                <w:rFonts w:hint="eastAsia" w:ascii="仿宋" w:hAnsi="仿宋" w:cs="宋体"/>
                <w:b/>
                <w:bCs/>
                <w:color w:val="auto"/>
                <w:szCs w:val="21"/>
                <w:highlight w:val="none"/>
              </w:rPr>
              <w:t>光学系统</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ascii="仿宋" w:hAnsi="仿宋"/>
                <w:color w:val="auto"/>
                <w:szCs w:val="21"/>
                <w:highlight w:val="none"/>
              </w:rPr>
              <w:t>▲</w:t>
            </w:r>
            <w:r>
              <w:rPr>
                <w:rFonts w:hint="eastAsia" w:ascii="仿宋" w:hAnsi="仿宋" w:cs="宋体"/>
                <w:color w:val="auto"/>
                <w:szCs w:val="21"/>
                <w:highlight w:val="none"/>
              </w:rPr>
              <w:t>2.1.1</w:t>
            </w:r>
          </w:p>
        </w:tc>
        <w:tc>
          <w:tcPr>
            <w:tcW w:w="7655" w:type="dxa"/>
            <w:tcBorders>
              <w:top w:val="single" w:color="auto" w:sz="2" w:space="0"/>
              <w:bottom w:val="single" w:color="auto" w:sz="2" w:space="0"/>
            </w:tcBorders>
            <w:vAlign w:val="center"/>
          </w:tcPr>
          <w:p>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仿宋" w:hAnsi="仿宋" w:cs="宋体"/>
                <w:b/>
                <w:color w:val="auto"/>
                <w:szCs w:val="21"/>
                <w:highlight w:val="none"/>
              </w:rPr>
            </w:pPr>
            <w:r>
              <w:rPr>
                <w:rFonts w:hint="eastAsia" w:ascii="仿宋" w:hAnsi="仿宋" w:cs="宋体"/>
                <w:color w:val="auto"/>
                <w:szCs w:val="21"/>
                <w:highlight w:val="none"/>
              </w:rPr>
              <w:t>光室恒温：整个中阶梯光学系统无任何移动部件，所有光学元件均密封于35℃或38℃恒温光室中，保证最低的检出限和优异的长期稳定性。</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2.1.2</w:t>
            </w:r>
          </w:p>
        </w:tc>
        <w:tc>
          <w:tcPr>
            <w:tcW w:w="7655" w:type="dxa"/>
            <w:tcBorders>
              <w:top w:val="single" w:color="auto" w:sz="2" w:space="0"/>
              <w:bottom w:val="single" w:color="auto" w:sz="2" w:space="0"/>
            </w:tcBorders>
            <w:vAlign w:val="center"/>
          </w:tcPr>
          <w:p>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仿宋" w:hAnsi="仿宋" w:cs="宋体"/>
                <w:color w:val="auto"/>
                <w:szCs w:val="21"/>
                <w:highlight w:val="none"/>
              </w:rPr>
            </w:pPr>
            <w:r>
              <w:rPr>
                <w:rFonts w:hint="eastAsia" w:ascii="仿宋" w:hAnsi="仿宋" w:cs="宋体"/>
                <w:color w:val="auto"/>
                <w:szCs w:val="21"/>
                <w:highlight w:val="none"/>
              </w:rPr>
              <w:t>中阶梯光栅+CaF2棱镜交叉色散多色器系统，波长连续覆盖167-785nm，无任何波长断点。</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2.1.3</w:t>
            </w:r>
          </w:p>
        </w:tc>
        <w:tc>
          <w:tcPr>
            <w:tcW w:w="7655" w:type="dxa"/>
            <w:tcBorders>
              <w:top w:val="single" w:color="auto" w:sz="2" w:space="0"/>
              <w:bottom w:val="single" w:color="auto" w:sz="2" w:space="0"/>
            </w:tcBorders>
            <w:vAlign w:val="center"/>
          </w:tcPr>
          <w:p>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仿宋" w:hAnsi="仿宋" w:cs="宋体"/>
                <w:color w:val="auto"/>
                <w:szCs w:val="21"/>
                <w:highlight w:val="none"/>
              </w:rPr>
            </w:pPr>
            <w:r>
              <w:rPr>
                <w:rFonts w:hint="eastAsia" w:ascii="仿宋" w:hAnsi="仿宋" w:cs="宋体"/>
                <w:color w:val="auto"/>
                <w:szCs w:val="21"/>
                <w:highlight w:val="none"/>
              </w:rPr>
              <w:t>采用自由曲面准直镜设计，采集准直光源光信号。</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ascii="仿宋" w:hAnsi="仿宋"/>
                <w:color w:val="auto"/>
                <w:szCs w:val="21"/>
                <w:highlight w:val="none"/>
              </w:rPr>
              <w:t>▲</w:t>
            </w:r>
            <w:r>
              <w:rPr>
                <w:rFonts w:hint="eastAsia" w:ascii="仿宋" w:hAnsi="仿宋" w:cs="宋体"/>
                <w:color w:val="auto"/>
                <w:szCs w:val="21"/>
                <w:highlight w:val="none"/>
              </w:rPr>
              <w:t>2.1.4</w:t>
            </w:r>
          </w:p>
        </w:tc>
        <w:tc>
          <w:tcPr>
            <w:tcW w:w="7655" w:type="dxa"/>
            <w:tcBorders>
              <w:top w:val="single" w:color="auto" w:sz="2" w:space="0"/>
              <w:bottom w:val="single" w:color="auto" w:sz="2" w:space="0"/>
            </w:tcBorders>
            <w:vAlign w:val="center"/>
          </w:tcPr>
          <w:p>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仿宋" w:hAnsi="仿宋" w:cs="宋体"/>
                <w:color w:val="auto"/>
                <w:szCs w:val="21"/>
                <w:highlight w:val="none"/>
              </w:rPr>
            </w:pPr>
            <w:r>
              <w:rPr>
                <w:rFonts w:hint="eastAsia" w:ascii="仿宋" w:hAnsi="仿宋" w:cs="宋体"/>
                <w:color w:val="auto"/>
                <w:szCs w:val="21"/>
                <w:highlight w:val="none"/>
              </w:rPr>
              <w:t>全谱直读：紫外和可见区由同一狭缝，同一检测器同时测定，一次分析测定全谱覆盖。一个样品选择任意多的元素波长，测试时间都不变；</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2.1.5</w:t>
            </w:r>
          </w:p>
        </w:tc>
        <w:tc>
          <w:tcPr>
            <w:tcW w:w="7655" w:type="dxa"/>
            <w:tcBorders>
              <w:top w:val="single" w:color="auto" w:sz="2" w:space="0"/>
              <w:bottom w:val="single" w:color="auto" w:sz="2" w:space="0"/>
            </w:tcBorders>
            <w:vAlign w:val="center"/>
          </w:tcPr>
          <w:p>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仿宋" w:hAnsi="仿宋" w:cs="宋体"/>
                <w:color w:val="auto"/>
                <w:szCs w:val="21"/>
                <w:highlight w:val="none"/>
              </w:rPr>
            </w:pPr>
            <w:r>
              <w:rPr>
                <w:rFonts w:hint="eastAsia" w:ascii="仿宋" w:hAnsi="仿宋" w:cs="宋体"/>
                <w:color w:val="auto"/>
                <w:szCs w:val="21"/>
                <w:highlight w:val="none"/>
              </w:rPr>
              <w:t>波长校正:采用氩的发射谱线自动进行周期性的波长校准,保证分析波长的正确性。</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2.1.6</w:t>
            </w:r>
          </w:p>
        </w:tc>
        <w:tc>
          <w:tcPr>
            <w:tcW w:w="7655" w:type="dxa"/>
            <w:tcBorders>
              <w:top w:val="single" w:color="auto" w:sz="2" w:space="0"/>
              <w:bottom w:val="single" w:color="auto" w:sz="2" w:space="0"/>
            </w:tcBorders>
            <w:vAlign w:val="center"/>
          </w:tcPr>
          <w:p>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仿宋" w:hAnsi="仿宋" w:cs="宋体"/>
                <w:color w:val="auto"/>
                <w:szCs w:val="21"/>
                <w:highlight w:val="none"/>
              </w:rPr>
            </w:pPr>
            <w:r>
              <w:rPr>
                <w:rFonts w:hint="eastAsia" w:ascii="仿宋" w:hAnsi="仿宋" w:cs="宋体"/>
                <w:color w:val="auto"/>
                <w:szCs w:val="21"/>
                <w:highlight w:val="none"/>
              </w:rPr>
              <w:t>吹扫型光室：对189nm以下波长测定，可选择氩气或者氮气进行光路吹扫。吹扫流量：标准的光室吹扫气体流量为0.7L/Min，测定低紫外波长谱线时，电脑控制，增加3L/min 的气体流量，所有光室吹扫气体流量均由质量流量计（MFC）控制。</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2.1.7</w:t>
            </w:r>
          </w:p>
        </w:tc>
        <w:tc>
          <w:tcPr>
            <w:tcW w:w="7655" w:type="dxa"/>
            <w:tcBorders>
              <w:top w:val="single" w:color="auto" w:sz="2" w:space="0"/>
              <w:bottom w:val="single" w:color="auto" w:sz="2" w:space="0"/>
            </w:tcBorders>
            <w:vAlign w:val="center"/>
          </w:tcPr>
          <w:p>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仿宋" w:hAnsi="仿宋" w:cs="宋体"/>
                <w:color w:val="auto"/>
                <w:szCs w:val="21"/>
                <w:highlight w:val="none"/>
              </w:rPr>
            </w:pPr>
            <w:r>
              <w:rPr>
                <w:rFonts w:hint="eastAsia" w:ascii="仿宋" w:hAnsi="仿宋" w:cs="宋体"/>
                <w:color w:val="auto"/>
                <w:szCs w:val="21"/>
                <w:highlight w:val="none"/>
              </w:rPr>
              <w:t>分辨率：光学分辨率＜0.0065nm (在As 188.980nm 处实际测量半峰宽) 。</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2.1.8</w:t>
            </w:r>
          </w:p>
        </w:tc>
        <w:tc>
          <w:tcPr>
            <w:tcW w:w="7655"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杂散光：≤2.0mg/L（10000mg/L Ca溶液在As 188.980nm处测定）。</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ind w:firstLine="422"/>
              <w:jc w:val="center"/>
              <w:rPr>
                <w:rFonts w:ascii="仿宋" w:hAnsi="仿宋" w:cs="宋体"/>
                <w:color w:val="auto"/>
                <w:szCs w:val="21"/>
                <w:highlight w:val="none"/>
              </w:rPr>
            </w:pPr>
            <w:r>
              <w:rPr>
                <w:rFonts w:hint="eastAsia" w:ascii="仿宋" w:hAnsi="仿宋" w:cs="宋体"/>
                <w:b/>
                <w:color w:val="auto"/>
                <w:szCs w:val="21"/>
                <w:highlight w:val="none"/>
              </w:rPr>
              <w:t>2.2</w:t>
            </w:r>
          </w:p>
        </w:tc>
        <w:tc>
          <w:tcPr>
            <w:tcW w:w="7655" w:type="dxa"/>
            <w:tcBorders>
              <w:top w:val="single" w:color="auto" w:sz="2" w:space="0"/>
              <w:bottom w:val="single" w:color="auto" w:sz="2" w:space="0"/>
            </w:tcBorders>
            <w:vAlign w:val="center"/>
          </w:tcPr>
          <w:p>
            <w:pPr>
              <w:ind w:firstLine="422"/>
              <w:rPr>
                <w:rFonts w:ascii="仿宋" w:hAnsi="仿宋" w:cs="宋体"/>
                <w:color w:val="auto"/>
                <w:szCs w:val="21"/>
                <w:highlight w:val="none"/>
              </w:rPr>
            </w:pPr>
            <w:r>
              <w:rPr>
                <w:rFonts w:hint="eastAsia" w:ascii="仿宋" w:hAnsi="仿宋" w:cs="宋体"/>
                <w:b/>
                <w:bCs/>
                <w:color w:val="auto"/>
                <w:szCs w:val="21"/>
                <w:highlight w:val="none"/>
              </w:rPr>
              <w:t>检测器</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2.2.1</w:t>
            </w:r>
          </w:p>
        </w:tc>
        <w:tc>
          <w:tcPr>
            <w:tcW w:w="7655"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检测器类型：长寿命CCD检测器。</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2.2.2</w:t>
            </w:r>
          </w:p>
        </w:tc>
        <w:tc>
          <w:tcPr>
            <w:tcW w:w="7655"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紫外区平均量子化效率：平均量子化效率≥75%，检测器表面无任何光转换化学涂膜。</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ascii="仿宋" w:hAnsi="仿宋"/>
                <w:color w:val="auto"/>
                <w:szCs w:val="21"/>
                <w:highlight w:val="none"/>
              </w:rPr>
              <w:t>▲</w:t>
            </w:r>
            <w:r>
              <w:rPr>
                <w:rFonts w:hint="eastAsia" w:ascii="仿宋" w:hAnsi="仿宋" w:cs="宋体"/>
                <w:color w:val="auto"/>
                <w:szCs w:val="21"/>
                <w:highlight w:val="none"/>
              </w:rPr>
              <w:t>2.2.3</w:t>
            </w:r>
          </w:p>
        </w:tc>
        <w:tc>
          <w:tcPr>
            <w:tcW w:w="7655"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检测器冷却：半导体制冷，最低温度可至－35℃。</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2.2.4</w:t>
            </w:r>
          </w:p>
        </w:tc>
        <w:tc>
          <w:tcPr>
            <w:tcW w:w="7655"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防饱和溢出：针对每一个像素进行防饱和溢出保护，彻底消除谱线饱和溢出问题。</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2.2.5</w:t>
            </w:r>
          </w:p>
        </w:tc>
        <w:tc>
          <w:tcPr>
            <w:tcW w:w="7655"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积分方式：智能化积分，同时以最佳信噪比获得高强度信号和弱信号，使高低含量元素可以同时检测。</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2.2.6</w:t>
            </w:r>
          </w:p>
        </w:tc>
        <w:tc>
          <w:tcPr>
            <w:tcW w:w="7655" w:type="dxa"/>
            <w:tcBorders>
              <w:top w:val="single" w:color="auto" w:sz="2" w:space="0"/>
              <w:bottom w:val="single" w:color="auto" w:sz="2" w:space="0"/>
            </w:tcBorders>
            <w:vAlign w:val="center"/>
          </w:tcPr>
          <w:p>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仿宋" w:hAnsi="仿宋" w:cs="宋体"/>
                <w:color w:val="auto"/>
                <w:szCs w:val="21"/>
                <w:highlight w:val="none"/>
              </w:rPr>
            </w:pPr>
            <w:r>
              <w:rPr>
                <w:rFonts w:hint="eastAsia" w:ascii="仿宋" w:hAnsi="仿宋" w:cs="宋体"/>
                <w:color w:val="auto"/>
                <w:szCs w:val="21"/>
                <w:highlight w:val="none"/>
              </w:rPr>
              <w:t>检测器像素处理速度：≥1MHz，双相读取电路可同时从检测器的两侧读取像素，只需0.8秒即可完成检测器上所有像素结果的读取。</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ascii="仿宋" w:hAnsi="仿宋"/>
                <w:color w:val="auto"/>
                <w:szCs w:val="21"/>
                <w:highlight w:val="none"/>
              </w:rPr>
              <w:t>▲</w:t>
            </w:r>
            <w:r>
              <w:rPr>
                <w:rFonts w:hint="eastAsia" w:ascii="仿宋" w:hAnsi="仿宋" w:cs="宋体"/>
                <w:color w:val="auto"/>
                <w:szCs w:val="21"/>
                <w:highlight w:val="none"/>
              </w:rPr>
              <w:t>2.2.7</w:t>
            </w:r>
          </w:p>
        </w:tc>
        <w:tc>
          <w:tcPr>
            <w:tcW w:w="7655" w:type="dxa"/>
            <w:tcBorders>
              <w:top w:val="single" w:color="auto" w:sz="2" w:space="0"/>
              <w:bottom w:val="single" w:color="auto" w:sz="2" w:space="0"/>
            </w:tcBorders>
            <w:vAlign w:val="center"/>
          </w:tcPr>
          <w:p>
            <w:pPr>
              <w:tabs>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仿宋" w:hAnsi="仿宋" w:cs="宋体"/>
                <w:color w:val="auto"/>
                <w:szCs w:val="21"/>
                <w:highlight w:val="none"/>
              </w:rPr>
            </w:pPr>
            <w:r>
              <w:rPr>
                <w:rFonts w:hint="eastAsia" w:ascii="仿宋" w:hAnsi="仿宋" w:cs="宋体"/>
                <w:color w:val="auto"/>
                <w:szCs w:val="21"/>
                <w:highlight w:val="none"/>
              </w:rPr>
              <w:t>最小积分时间≤1秒。</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ind w:firstLine="422"/>
              <w:jc w:val="center"/>
              <w:rPr>
                <w:rFonts w:ascii="仿宋" w:hAnsi="仿宋" w:cs="宋体"/>
                <w:color w:val="auto"/>
                <w:szCs w:val="21"/>
                <w:highlight w:val="none"/>
              </w:rPr>
            </w:pPr>
            <w:r>
              <w:rPr>
                <w:rFonts w:hint="eastAsia" w:ascii="仿宋" w:hAnsi="仿宋" w:cs="宋体"/>
                <w:b/>
                <w:bCs/>
                <w:color w:val="auto"/>
                <w:szCs w:val="21"/>
                <w:highlight w:val="none"/>
              </w:rPr>
              <w:t>2.3</w:t>
            </w:r>
          </w:p>
        </w:tc>
        <w:tc>
          <w:tcPr>
            <w:tcW w:w="7655" w:type="dxa"/>
            <w:tcBorders>
              <w:top w:val="single" w:color="auto" w:sz="2" w:space="0"/>
              <w:bottom w:val="single" w:color="auto" w:sz="2" w:space="0"/>
            </w:tcBorders>
            <w:vAlign w:val="center"/>
          </w:tcPr>
          <w:p>
            <w:pPr>
              <w:ind w:firstLine="422"/>
              <w:rPr>
                <w:rFonts w:ascii="仿宋" w:hAnsi="仿宋" w:cs="宋体"/>
                <w:color w:val="auto"/>
                <w:szCs w:val="21"/>
                <w:highlight w:val="none"/>
              </w:rPr>
            </w:pPr>
            <w:r>
              <w:rPr>
                <w:rFonts w:hint="eastAsia" w:ascii="仿宋" w:hAnsi="仿宋" w:cs="宋体"/>
                <w:b/>
                <w:bCs/>
                <w:color w:val="auto"/>
                <w:szCs w:val="21"/>
                <w:highlight w:val="none"/>
              </w:rPr>
              <w:t>射频发生系统</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2.3.1</w:t>
            </w:r>
          </w:p>
        </w:tc>
        <w:tc>
          <w:tcPr>
            <w:tcW w:w="7655"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自激式固态发生器，发射功率：27.12MHz，耦合效率大于75%。</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ascii="仿宋" w:hAnsi="仿宋"/>
                <w:color w:val="auto"/>
                <w:szCs w:val="21"/>
                <w:highlight w:val="none"/>
              </w:rPr>
              <w:t>▲</w:t>
            </w:r>
            <w:r>
              <w:rPr>
                <w:rFonts w:hint="eastAsia" w:ascii="仿宋" w:hAnsi="仿宋" w:cs="宋体"/>
                <w:bCs/>
                <w:color w:val="auto"/>
                <w:szCs w:val="21"/>
                <w:highlight w:val="none"/>
              </w:rPr>
              <w:t>2.3.2</w:t>
            </w:r>
          </w:p>
        </w:tc>
        <w:tc>
          <w:tcPr>
            <w:tcW w:w="7655"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功率范围：750-1500W，10W增量，连续可调，计算机控制进行功率调节。</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ind w:firstLine="422"/>
              <w:jc w:val="center"/>
              <w:rPr>
                <w:rFonts w:ascii="仿宋" w:hAnsi="仿宋" w:cs="宋体"/>
                <w:color w:val="auto"/>
                <w:szCs w:val="21"/>
                <w:highlight w:val="none"/>
              </w:rPr>
            </w:pPr>
            <w:r>
              <w:rPr>
                <w:rFonts w:hint="eastAsia" w:ascii="仿宋" w:hAnsi="仿宋" w:cs="宋体"/>
                <w:b/>
                <w:color w:val="auto"/>
                <w:szCs w:val="21"/>
                <w:highlight w:val="none"/>
              </w:rPr>
              <w:t>2.4</w:t>
            </w:r>
          </w:p>
        </w:tc>
        <w:tc>
          <w:tcPr>
            <w:tcW w:w="7655" w:type="dxa"/>
            <w:tcBorders>
              <w:top w:val="single" w:color="auto" w:sz="2" w:space="0"/>
              <w:bottom w:val="single" w:color="auto" w:sz="2" w:space="0"/>
            </w:tcBorders>
            <w:vAlign w:val="center"/>
          </w:tcPr>
          <w:p>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firstLine="422"/>
              <w:jc w:val="left"/>
              <w:rPr>
                <w:rFonts w:ascii="仿宋" w:hAnsi="仿宋" w:cs="宋体"/>
                <w:b/>
                <w:bCs/>
                <w:color w:val="auto"/>
                <w:szCs w:val="21"/>
                <w:highlight w:val="none"/>
              </w:rPr>
            </w:pPr>
            <w:r>
              <w:rPr>
                <w:rFonts w:hint="eastAsia" w:ascii="仿宋" w:hAnsi="仿宋" w:cs="宋体"/>
                <w:b/>
                <w:bCs/>
                <w:color w:val="auto"/>
                <w:szCs w:val="21"/>
                <w:highlight w:val="none"/>
              </w:rPr>
              <w:t>观测方式</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bCs/>
                <w:color w:val="auto"/>
                <w:szCs w:val="21"/>
                <w:highlight w:val="none"/>
              </w:rPr>
              <w:t>2.4.1</w:t>
            </w:r>
          </w:p>
        </w:tc>
        <w:tc>
          <w:tcPr>
            <w:tcW w:w="7655" w:type="dxa"/>
            <w:tcBorders>
              <w:top w:val="single" w:color="auto" w:sz="2" w:space="0"/>
              <w:bottom w:val="single" w:color="auto" w:sz="2" w:space="0"/>
            </w:tcBorders>
            <w:vAlign w:val="center"/>
          </w:tcPr>
          <w:p>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仿宋" w:hAnsi="仿宋" w:cs="宋体"/>
                <w:bCs/>
                <w:color w:val="auto"/>
                <w:szCs w:val="21"/>
                <w:highlight w:val="none"/>
              </w:rPr>
            </w:pPr>
            <w:r>
              <w:rPr>
                <w:rFonts w:hint="eastAsia" w:ascii="仿宋" w:hAnsi="仿宋" w:cs="宋体"/>
                <w:color w:val="auto"/>
                <w:szCs w:val="21"/>
                <w:highlight w:val="none"/>
              </w:rPr>
              <w:t>垂直火炬双向观测方式</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ascii="仿宋" w:hAnsi="仿宋"/>
                <w:color w:val="auto"/>
                <w:szCs w:val="21"/>
                <w:highlight w:val="none"/>
              </w:rPr>
              <w:t>▲</w:t>
            </w:r>
            <w:r>
              <w:rPr>
                <w:rFonts w:hint="eastAsia" w:ascii="仿宋" w:hAnsi="仿宋" w:cs="宋体"/>
                <w:bCs/>
                <w:color w:val="auto"/>
                <w:szCs w:val="21"/>
                <w:highlight w:val="none"/>
              </w:rPr>
              <w:t>2.4.2</w:t>
            </w:r>
          </w:p>
        </w:tc>
        <w:tc>
          <w:tcPr>
            <w:tcW w:w="7655" w:type="dxa"/>
            <w:tcBorders>
              <w:top w:val="single" w:color="auto" w:sz="2" w:space="0"/>
              <w:bottom w:val="single" w:color="auto" w:sz="2" w:space="0"/>
            </w:tcBorders>
            <w:vAlign w:val="center"/>
          </w:tcPr>
          <w:p>
            <w:pPr>
              <w:tabs>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仿宋" w:hAnsi="仿宋" w:cs="宋体"/>
                <w:color w:val="auto"/>
                <w:szCs w:val="21"/>
                <w:highlight w:val="none"/>
              </w:rPr>
            </w:pPr>
            <w:r>
              <w:rPr>
                <w:rFonts w:hint="eastAsia" w:ascii="仿宋" w:hAnsi="仿宋" w:cs="宋体"/>
                <w:color w:val="auto"/>
                <w:szCs w:val="21"/>
                <w:highlight w:val="none"/>
              </w:rPr>
              <w:t>尾焰去除：冷锥接口，高效切割尾焰。</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bCs/>
                <w:color w:val="auto"/>
                <w:szCs w:val="21"/>
                <w:highlight w:val="none"/>
              </w:rPr>
              <w:t>2.4.3</w:t>
            </w:r>
          </w:p>
        </w:tc>
        <w:tc>
          <w:tcPr>
            <w:tcW w:w="7655" w:type="dxa"/>
            <w:tcBorders>
              <w:top w:val="single" w:color="auto" w:sz="2" w:space="0"/>
              <w:bottom w:val="single" w:color="auto" w:sz="2" w:space="0"/>
            </w:tcBorders>
            <w:vAlign w:val="center"/>
          </w:tcPr>
          <w:p>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仿宋" w:hAnsi="仿宋" w:cs="宋体"/>
                <w:bCs/>
                <w:color w:val="auto"/>
                <w:szCs w:val="21"/>
                <w:highlight w:val="none"/>
              </w:rPr>
            </w:pPr>
            <w:r>
              <w:rPr>
                <w:rFonts w:hint="eastAsia" w:ascii="仿宋" w:hAnsi="仿宋" w:cs="宋体"/>
                <w:color w:val="auto"/>
                <w:szCs w:val="21"/>
                <w:highlight w:val="none"/>
              </w:rPr>
              <w:t>冷锥接口无切割气体的消耗，降低运行成本。</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bCs/>
                <w:color w:val="auto"/>
                <w:szCs w:val="21"/>
                <w:highlight w:val="none"/>
              </w:rPr>
              <w:t>2.4.4</w:t>
            </w:r>
          </w:p>
        </w:tc>
        <w:tc>
          <w:tcPr>
            <w:tcW w:w="7655" w:type="dxa"/>
            <w:tcBorders>
              <w:top w:val="single" w:color="auto" w:sz="2" w:space="0"/>
              <w:bottom w:val="single" w:color="auto" w:sz="2" w:space="0"/>
            </w:tcBorders>
            <w:vAlign w:val="center"/>
          </w:tcPr>
          <w:p>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仿宋" w:hAnsi="仿宋" w:cs="宋体"/>
                <w:b/>
                <w:bCs/>
                <w:color w:val="auto"/>
                <w:szCs w:val="21"/>
                <w:highlight w:val="none"/>
              </w:rPr>
            </w:pPr>
            <w:r>
              <w:rPr>
                <w:rFonts w:hint="eastAsia" w:ascii="仿宋" w:hAnsi="仿宋" w:cs="宋体"/>
                <w:color w:val="auto"/>
                <w:szCs w:val="21"/>
                <w:highlight w:val="none"/>
              </w:rPr>
              <w:t>观测位置调节：等离子体观测位置由计算机控制。</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ind w:firstLine="422"/>
              <w:jc w:val="center"/>
              <w:rPr>
                <w:rFonts w:ascii="仿宋" w:hAnsi="仿宋" w:cs="宋体"/>
                <w:color w:val="auto"/>
                <w:szCs w:val="21"/>
                <w:highlight w:val="none"/>
              </w:rPr>
            </w:pPr>
            <w:r>
              <w:rPr>
                <w:rFonts w:hint="eastAsia" w:ascii="仿宋" w:hAnsi="仿宋" w:cs="宋体"/>
                <w:b/>
                <w:bCs/>
                <w:color w:val="auto"/>
                <w:szCs w:val="21"/>
                <w:highlight w:val="none"/>
              </w:rPr>
              <w:t>2.5</w:t>
            </w:r>
          </w:p>
        </w:tc>
        <w:tc>
          <w:tcPr>
            <w:tcW w:w="7655" w:type="dxa"/>
            <w:tcBorders>
              <w:top w:val="single" w:color="auto" w:sz="2" w:space="0"/>
              <w:bottom w:val="single" w:color="auto" w:sz="2" w:space="0"/>
            </w:tcBorders>
            <w:vAlign w:val="center"/>
          </w:tcPr>
          <w:p>
            <w:pPr>
              <w:ind w:left="474" w:hanging="474" w:hangingChars="225"/>
              <w:rPr>
                <w:rFonts w:ascii="仿宋" w:hAnsi="仿宋" w:cs="宋体"/>
                <w:color w:val="auto"/>
                <w:szCs w:val="21"/>
                <w:highlight w:val="none"/>
              </w:rPr>
            </w:pPr>
            <w:r>
              <w:rPr>
                <w:rFonts w:hint="eastAsia" w:ascii="仿宋" w:hAnsi="仿宋" w:cs="宋体"/>
                <w:b/>
                <w:bCs/>
                <w:color w:val="auto"/>
                <w:szCs w:val="21"/>
                <w:highlight w:val="none"/>
              </w:rPr>
              <w:t>样品导入系统</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bCs/>
                <w:color w:val="auto"/>
                <w:szCs w:val="21"/>
                <w:highlight w:val="none"/>
              </w:rPr>
              <w:t>2.5.1</w:t>
            </w:r>
          </w:p>
        </w:tc>
        <w:tc>
          <w:tcPr>
            <w:tcW w:w="7655" w:type="dxa"/>
            <w:tcBorders>
              <w:top w:val="single" w:color="auto" w:sz="2" w:space="0"/>
              <w:bottom w:val="single" w:color="auto" w:sz="2" w:space="0"/>
            </w:tcBorders>
            <w:vAlign w:val="center"/>
          </w:tcPr>
          <w:p>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仿宋" w:hAnsi="仿宋" w:cs="宋体"/>
                <w:color w:val="auto"/>
                <w:szCs w:val="21"/>
                <w:highlight w:val="none"/>
              </w:rPr>
            </w:pPr>
            <w:r>
              <w:rPr>
                <w:rFonts w:hint="eastAsia" w:ascii="仿宋" w:hAnsi="仿宋" w:cs="宋体"/>
                <w:color w:val="auto"/>
                <w:szCs w:val="21"/>
                <w:highlight w:val="none"/>
              </w:rPr>
              <w:t xml:space="preserve">进样系统：标配双通道玻璃旋流雾化室和玻璃同心雾化器 </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2.5.2</w:t>
            </w:r>
          </w:p>
        </w:tc>
        <w:tc>
          <w:tcPr>
            <w:tcW w:w="7655" w:type="dxa"/>
            <w:tcBorders>
              <w:top w:val="single" w:color="auto" w:sz="2" w:space="0"/>
              <w:bottom w:val="single" w:color="auto" w:sz="2" w:space="0"/>
            </w:tcBorders>
            <w:vAlign w:val="center"/>
          </w:tcPr>
          <w:p>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仿宋" w:hAnsi="仿宋" w:cs="宋体"/>
                <w:color w:val="auto"/>
                <w:szCs w:val="21"/>
                <w:highlight w:val="none"/>
              </w:rPr>
            </w:pPr>
            <w:r>
              <w:rPr>
                <w:rFonts w:hint="eastAsia" w:ascii="仿宋" w:hAnsi="仿宋" w:cs="宋体"/>
                <w:color w:val="auto"/>
                <w:szCs w:val="21"/>
                <w:highlight w:val="none"/>
              </w:rPr>
              <w:t>炬管：标配一体化炬管，快速插拔式设计。选配可拆卸式矩管。</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2.5.3</w:t>
            </w:r>
          </w:p>
        </w:tc>
        <w:tc>
          <w:tcPr>
            <w:tcW w:w="7655" w:type="dxa"/>
            <w:tcBorders>
              <w:top w:val="single" w:color="auto" w:sz="2" w:space="0"/>
              <w:bottom w:val="single" w:color="auto" w:sz="2" w:space="0"/>
            </w:tcBorders>
            <w:vAlign w:val="center"/>
          </w:tcPr>
          <w:p>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仿宋" w:hAnsi="仿宋" w:cs="宋体"/>
                <w:color w:val="auto"/>
                <w:szCs w:val="21"/>
                <w:highlight w:val="none"/>
              </w:rPr>
            </w:pPr>
            <w:r>
              <w:rPr>
                <w:rFonts w:hint="eastAsia" w:ascii="仿宋" w:hAnsi="仿宋" w:cs="宋体"/>
                <w:color w:val="auto"/>
                <w:szCs w:val="21"/>
                <w:highlight w:val="none"/>
              </w:rPr>
              <w:t>高盐样品或复杂基体样品耐受性：仪器能够直接测试高达25%的氯化钠溶液等高盐高基质样品（提供官方性能彩页证明）</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2.5.4</w:t>
            </w:r>
          </w:p>
        </w:tc>
        <w:tc>
          <w:tcPr>
            <w:tcW w:w="7655" w:type="dxa"/>
            <w:tcBorders>
              <w:top w:val="single" w:color="auto" w:sz="2" w:space="0"/>
              <w:bottom w:val="single" w:color="auto" w:sz="2" w:space="0"/>
            </w:tcBorders>
            <w:vAlign w:val="center"/>
          </w:tcPr>
          <w:p>
            <w:pPr>
              <w:tabs>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仿宋" w:hAnsi="仿宋" w:cs="宋体"/>
                <w:color w:val="auto"/>
                <w:szCs w:val="21"/>
                <w:highlight w:val="none"/>
              </w:rPr>
            </w:pPr>
            <w:r>
              <w:rPr>
                <w:rFonts w:hint="eastAsia" w:ascii="仿宋" w:hAnsi="仿宋" w:cs="宋体"/>
                <w:color w:val="auto"/>
                <w:szCs w:val="21"/>
                <w:highlight w:val="none"/>
              </w:rPr>
              <w:t>气体控制：所有等离子体相关气体均为质量流量计（MFC）控制，软件在线调节：等离子体气：8-20L/min，增量0.1L/min；辅助气：0-2.0L/min，增量0.01L/min；雾化气0-1.5L/min，增量0.01L/min；补偿气（用于可选附件）：0-2.0L/min，增量0.01L/min；（提供官方性能彩页证明）</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2.5.5</w:t>
            </w:r>
          </w:p>
        </w:tc>
        <w:tc>
          <w:tcPr>
            <w:tcW w:w="7655" w:type="dxa"/>
            <w:tcBorders>
              <w:top w:val="single" w:color="auto" w:sz="2" w:space="0"/>
              <w:bottom w:val="single" w:color="auto" w:sz="2" w:space="0"/>
            </w:tcBorders>
            <w:vAlign w:val="center"/>
          </w:tcPr>
          <w:p>
            <w:pPr>
              <w:tabs>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仿宋" w:hAnsi="仿宋" w:cs="宋体"/>
                <w:color w:val="auto"/>
                <w:szCs w:val="21"/>
                <w:highlight w:val="none"/>
              </w:rPr>
            </w:pPr>
            <w:r>
              <w:rPr>
                <w:rFonts w:hint="eastAsia" w:ascii="仿宋" w:hAnsi="仿宋" w:cs="宋体"/>
                <w:color w:val="auto"/>
                <w:szCs w:val="21"/>
                <w:highlight w:val="none"/>
              </w:rPr>
              <w:t xml:space="preserve">蠕动泵：5通道蠕动泵，转速0-80rpm可调，全计算机控制，具有快泵功能。（提供官方性能彩页证明） </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2.5.6</w:t>
            </w:r>
          </w:p>
        </w:tc>
        <w:tc>
          <w:tcPr>
            <w:tcW w:w="7655" w:type="dxa"/>
            <w:tcBorders>
              <w:top w:val="single" w:color="auto" w:sz="2" w:space="0"/>
              <w:bottom w:val="single" w:color="auto" w:sz="2" w:space="0"/>
            </w:tcBorders>
            <w:vAlign w:val="center"/>
          </w:tcPr>
          <w:p>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仿宋" w:hAnsi="仿宋" w:cs="宋体"/>
                <w:color w:val="auto"/>
                <w:szCs w:val="21"/>
                <w:highlight w:val="none"/>
              </w:rPr>
            </w:pPr>
            <w:r>
              <w:rPr>
                <w:rFonts w:hint="eastAsia" w:ascii="仿宋" w:hAnsi="仿宋" w:cs="宋体"/>
                <w:color w:val="auto"/>
                <w:szCs w:val="21"/>
                <w:highlight w:val="none"/>
              </w:rPr>
              <w:t>雾化器压力可以由用户自己设定阈值，当压力低于阈值下限或超过阈值上限的时候，软件会弹框提示雾化器压力异常，需要用户去检查进样系统。</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ind w:firstLine="422"/>
              <w:jc w:val="center"/>
              <w:rPr>
                <w:rFonts w:ascii="仿宋" w:hAnsi="仿宋" w:cs="宋体"/>
                <w:color w:val="auto"/>
                <w:szCs w:val="21"/>
                <w:highlight w:val="none"/>
              </w:rPr>
            </w:pPr>
            <w:r>
              <w:rPr>
                <w:rFonts w:hint="eastAsia" w:ascii="仿宋" w:hAnsi="仿宋" w:cs="宋体"/>
                <w:b/>
                <w:color w:val="auto"/>
                <w:szCs w:val="21"/>
                <w:highlight w:val="none"/>
                <w:lang w:val="es-ES"/>
              </w:rPr>
              <w:t>3</w:t>
            </w:r>
          </w:p>
        </w:tc>
        <w:tc>
          <w:tcPr>
            <w:tcW w:w="7655" w:type="dxa"/>
            <w:tcBorders>
              <w:top w:val="single" w:color="auto" w:sz="2" w:space="0"/>
              <w:bottom w:val="single" w:color="auto" w:sz="2" w:space="0"/>
            </w:tcBorders>
            <w:vAlign w:val="center"/>
          </w:tcPr>
          <w:p>
            <w:pPr>
              <w:ind w:firstLine="422"/>
              <w:rPr>
                <w:rFonts w:ascii="仿宋" w:hAnsi="仿宋" w:cs="宋体"/>
                <w:b/>
                <w:color w:val="auto"/>
                <w:szCs w:val="21"/>
                <w:highlight w:val="none"/>
                <w:lang w:val="es-ES"/>
              </w:rPr>
            </w:pPr>
            <w:r>
              <w:rPr>
                <w:rFonts w:hint="eastAsia" w:ascii="仿宋" w:hAnsi="仿宋" w:cs="宋体"/>
                <w:b/>
                <w:color w:val="auto"/>
                <w:szCs w:val="21"/>
                <w:highlight w:val="none"/>
                <w:lang w:val="es-ES"/>
              </w:rPr>
              <w:t>软件性能：</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3.1</w:t>
            </w:r>
          </w:p>
        </w:tc>
        <w:tc>
          <w:tcPr>
            <w:tcW w:w="7655" w:type="dxa"/>
            <w:tcBorders>
              <w:top w:val="single" w:color="auto" w:sz="2" w:space="0"/>
              <w:bottom w:val="single" w:color="auto" w:sz="2" w:space="0"/>
            </w:tcBorders>
            <w:vAlign w:val="center"/>
          </w:tcPr>
          <w:p>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仿宋" w:hAnsi="仿宋" w:cs="宋体"/>
                <w:color w:val="auto"/>
                <w:szCs w:val="21"/>
                <w:highlight w:val="none"/>
              </w:rPr>
            </w:pPr>
            <w:r>
              <w:rPr>
                <w:rFonts w:hint="eastAsia" w:ascii="仿宋" w:hAnsi="仿宋" w:cs="宋体"/>
                <w:color w:val="auto"/>
                <w:szCs w:val="21"/>
                <w:highlight w:val="none"/>
              </w:rPr>
              <w:t>中英文操作软件，仪器设置和参数选择可自动完成，包括气体流量、功率、点火、诊断等。</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3.2</w:t>
            </w:r>
          </w:p>
        </w:tc>
        <w:tc>
          <w:tcPr>
            <w:tcW w:w="7655" w:type="dxa"/>
            <w:tcBorders>
              <w:top w:val="single" w:color="auto" w:sz="2" w:space="0"/>
              <w:bottom w:val="single" w:color="auto" w:sz="2" w:space="0"/>
            </w:tcBorders>
            <w:vAlign w:val="center"/>
          </w:tcPr>
          <w:p>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仿宋" w:hAnsi="仿宋" w:cs="宋体"/>
                <w:color w:val="auto"/>
                <w:szCs w:val="21"/>
                <w:highlight w:val="none"/>
              </w:rPr>
            </w:pPr>
            <w:r>
              <w:rPr>
                <w:rFonts w:hint="eastAsia" w:ascii="仿宋" w:hAnsi="仿宋" w:cs="宋体"/>
                <w:color w:val="auto"/>
                <w:szCs w:val="21"/>
                <w:highlight w:val="none"/>
              </w:rPr>
              <w:t>背景校正功能：包含传统的单边、双边离峰法背景校正技术，同时，具备多点自动拟合法背景校正技术。</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3.3</w:t>
            </w:r>
          </w:p>
        </w:tc>
        <w:tc>
          <w:tcPr>
            <w:tcW w:w="7655"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谱图自动解析功能：快速自动谱线拟合技术，在线校正基体谱线干扰。</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3.4</w:t>
            </w:r>
          </w:p>
        </w:tc>
        <w:tc>
          <w:tcPr>
            <w:tcW w:w="7655" w:type="dxa"/>
            <w:tcBorders>
              <w:top w:val="single" w:color="auto" w:sz="2" w:space="0"/>
              <w:bottom w:val="single" w:color="auto" w:sz="2" w:space="0"/>
            </w:tcBorders>
            <w:vAlign w:val="center"/>
          </w:tcPr>
          <w:p>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仿宋" w:hAnsi="仿宋" w:cs="宋体"/>
                <w:color w:val="auto"/>
                <w:szCs w:val="21"/>
                <w:highlight w:val="none"/>
              </w:rPr>
            </w:pPr>
            <w:r>
              <w:rPr>
                <w:rFonts w:hint="eastAsia" w:ascii="仿宋" w:hAnsi="仿宋" w:cs="宋体"/>
                <w:color w:val="auto"/>
                <w:szCs w:val="21"/>
                <w:highlight w:val="none"/>
              </w:rPr>
              <w:t>多重检量限功能：根据不同的元素含量范围选择不同的谱线，使仪器能够同时测定高低含量的元素，使仪器的动态线性范围得到扩展。</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3.5</w:t>
            </w:r>
          </w:p>
        </w:tc>
        <w:tc>
          <w:tcPr>
            <w:tcW w:w="7655"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提供多种光谱分析方法：如标准比较法、内标法、干扰元素校正系数法（IEC）、标准加入曲线法等。</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3.6</w:t>
            </w:r>
          </w:p>
        </w:tc>
        <w:tc>
          <w:tcPr>
            <w:tcW w:w="7655"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可实现快速全谱扫描，对样品中所有元素进行定性和半定量分析，实现样品的快速筛选，并且可以跟样品定量分析在同一个工作列表中，实现每一个样品的全元素监测（提供官方性能彩页证明）</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3.7</w:t>
            </w:r>
          </w:p>
        </w:tc>
        <w:tc>
          <w:tcPr>
            <w:tcW w:w="7655" w:type="dxa"/>
            <w:tcBorders>
              <w:top w:val="single" w:color="auto" w:sz="2" w:space="0"/>
              <w:bottom w:val="single" w:color="auto" w:sz="2" w:space="0"/>
            </w:tcBorders>
            <w:vAlign w:val="center"/>
          </w:tcPr>
          <w:p>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仿宋" w:hAnsi="仿宋" w:cs="宋体"/>
                <w:color w:val="auto"/>
                <w:szCs w:val="21"/>
                <w:highlight w:val="none"/>
              </w:rPr>
            </w:pPr>
            <w:r>
              <w:rPr>
                <w:rFonts w:hint="eastAsia" w:ascii="仿宋" w:hAnsi="仿宋" w:cs="宋体"/>
                <w:color w:val="auto"/>
                <w:szCs w:val="21"/>
                <w:highlight w:val="none"/>
              </w:rPr>
              <w:t>针对不同的基体样品，快速的实现全元素扫描，实时反馈，根据不同基体样品和不同元素波长的各种干扰判断，自动选择最佳元素波长，可以把选定的波长直接导入定量工作表开始定量分析，还可以针对不同基体和不同的标准创建模板，让结果更精确。（提供仪器软件截图证明）</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ind w:firstLine="422"/>
              <w:jc w:val="center"/>
              <w:rPr>
                <w:rFonts w:ascii="仿宋" w:hAnsi="仿宋" w:cs="宋体"/>
                <w:color w:val="auto"/>
                <w:szCs w:val="21"/>
                <w:highlight w:val="none"/>
              </w:rPr>
            </w:pPr>
            <w:r>
              <w:rPr>
                <w:rFonts w:hint="eastAsia" w:ascii="仿宋" w:hAnsi="仿宋" w:cs="宋体"/>
                <w:b/>
                <w:color w:val="auto"/>
                <w:szCs w:val="21"/>
                <w:highlight w:val="none"/>
                <w:lang w:val="es-ES"/>
              </w:rPr>
              <w:t>4</w:t>
            </w:r>
          </w:p>
        </w:tc>
        <w:tc>
          <w:tcPr>
            <w:tcW w:w="7655" w:type="dxa"/>
            <w:tcBorders>
              <w:top w:val="single" w:color="auto" w:sz="2" w:space="0"/>
              <w:bottom w:val="single" w:color="auto" w:sz="2" w:space="0"/>
            </w:tcBorders>
            <w:vAlign w:val="center"/>
          </w:tcPr>
          <w:p>
            <w:pPr>
              <w:ind w:firstLine="422"/>
              <w:rPr>
                <w:rFonts w:ascii="仿宋" w:hAnsi="仿宋" w:cs="宋体"/>
                <w:b/>
                <w:color w:val="auto"/>
                <w:szCs w:val="21"/>
                <w:highlight w:val="none"/>
                <w:lang w:val="es-ES"/>
              </w:rPr>
            </w:pPr>
            <w:r>
              <w:rPr>
                <w:rFonts w:hint="eastAsia" w:ascii="仿宋" w:hAnsi="仿宋" w:cs="宋体"/>
                <w:b/>
                <w:color w:val="auto"/>
                <w:szCs w:val="21"/>
                <w:highlight w:val="none"/>
                <w:lang w:val="es-ES"/>
              </w:rPr>
              <w:t>仪器性能指标：</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4.1</w:t>
            </w:r>
          </w:p>
        </w:tc>
        <w:tc>
          <w:tcPr>
            <w:tcW w:w="7655" w:type="dxa"/>
            <w:tcBorders>
              <w:top w:val="single" w:color="auto" w:sz="2" w:space="0"/>
              <w:bottom w:val="single" w:color="auto" w:sz="2" w:space="0"/>
            </w:tcBorders>
            <w:vAlign w:val="center"/>
          </w:tcPr>
          <w:p>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仿宋" w:hAnsi="仿宋" w:cs="宋体"/>
                <w:color w:val="auto"/>
                <w:szCs w:val="21"/>
                <w:highlight w:val="none"/>
              </w:rPr>
            </w:pPr>
            <w:r>
              <w:rPr>
                <w:rFonts w:hint="eastAsia" w:ascii="仿宋" w:hAnsi="仿宋" w:cs="宋体"/>
                <w:color w:val="auto"/>
                <w:szCs w:val="21"/>
                <w:highlight w:val="none"/>
              </w:rPr>
              <w:t>长期稳定性：8小时，RSD≤1%（不加内标，不采用基线飘移修正）；</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4.2</w:t>
            </w:r>
          </w:p>
        </w:tc>
        <w:tc>
          <w:tcPr>
            <w:tcW w:w="7655" w:type="dxa"/>
            <w:tcBorders>
              <w:top w:val="single" w:color="auto" w:sz="2" w:space="0"/>
              <w:bottom w:val="single" w:color="auto" w:sz="2" w:space="0"/>
            </w:tcBorders>
            <w:vAlign w:val="center"/>
          </w:tcPr>
          <w:p>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仿宋" w:hAnsi="仿宋" w:cs="宋体"/>
                <w:color w:val="auto"/>
                <w:szCs w:val="21"/>
                <w:highlight w:val="none"/>
              </w:rPr>
            </w:pPr>
            <w:r>
              <w:rPr>
                <w:rFonts w:hint="eastAsia" w:ascii="仿宋" w:hAnsi="仿宋" w:cs="宋体"/>
                <w:color w:val="auto"/>
                <w:szCs w:val="21"/>
                <w:highlight w:val="none"/>
              </w:rPr>
              <w:t>短期稳定性：RSD≤0.5%；</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ascii="仿宋" w:hAnsi="仿宋"/>
                <w:color w:val="auto"/>
                <w:szCs w:val="21"/>
                <w:highlight w:val="none"/>
              </w:rPr>
              <w:t>▲</w:t>
            </w:r>
            <w:r>
              <w:rPr>
                <w:rFonts w:hint="eastAsia" w:ascii="仿宋" w:hAnsi="仿宋" w:cs="宋体"/>
                <w:color w:val="auto"/>
                <w:szCs w:val="21"/>
                <w:highlight w:val="none"/>
              </w:rPr>
              <w:t>4.3</w:t>
            </w:r>
          </w:p>
        </w:tc>
        <w:tc>
          <w:tcPr>
            <w:tcW w:w="7655" w:type="dxa"/>
            <w:tcBorders>
              <w:top w:val="single" w:color="auto" w:sz="2" w:space="0"/>
              <w:bottom w:val="single" w:color="auto" w:sz="2" w:space="0"/>
            </w:tcBorders>
            <w:vAlign w:val="center"/>
          </w:tcPr>
          <w:p>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仿宋" w:hAnsi="仿宋" w:cs="宋体"/>
                <w:b/>
                <w:bCs/>
                <w:color w:val="auto"/>
                <w:szCs w:val="21"/>
                <w:highlight w:val="none"/>
              </w:rPr>
            </w:pPr>
            <w:r>
              <w:rPr>
                <w:rFonts w:hint="eastAsia" w:ascii="仿宋" w:hAnsi="仿宋" w:cs="宋体"/>
                <w:color w:val="auto"/>
                <w:szCs w:val="21"/>
                <w:highlight w:val="none"/>
              </w:rPr>
              <w:t>分析速度：60个元素或波长，每个元素或波长积分时间5秒，每个元素或波长积分至少3次，内标和待测元素必须同时积分，测试时间小于40秒；（验收指标）</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4.4</w:t>
            </w:r>
          </w:p>
        </w:tc>
        <w:tc>
          <w:tcPr>
            <w:tcW w:w="7655" w:type="dxa"/>
            <w:tcBorders>
              <w:top w:val="single" w:color="auto" w:sz="2" w:space="0"/>
              <w:bottom w:val="single" w:color="auto" w:sz="2" w:space="0"/>
            </w:tcBorders>
            <w:vAlign w:val="center"/>
          </w:tcPr>
          <w:p>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仿宋" w:hAnsi="仿宋" w:cs="宋体"/>
                <w:color w:val="auto"/>
                <w:szCs w:val="21"/>
                <w:highlight w:val="none"/>
              </w:rPr>
            </w:pPr>
            <w:r>
              <w:rPr>
                <w:rFonts w:hint="eastAsia" w:ascii="仿宋" w:hAnsi="仿宋" w:cs="宋体"/>
                <w:color w:val="auto"/>
                <w:szCs w:val="21"/>
                <w:highlight w:val="none"/>
              </w:rPr>
              <w:t>测定谱线的线性动态范围：≥10</w:t>
            </w:r>
            <w:r>
              <w:rPr>
                <w:rFonts w:hint="eastAsia" w:ascii="仿宋" w:hAnsi="仿宋" w:cs="宋体"/>
                <w:color w:val="auto"/>
                <w:szCs w:val="21"/>
                <w:highlight w:val="none"/>
                <w:vertAlign w:val="superscript"/>
              </w:rPr>
              <w:t>6</w:t>
            </w:r>
            <w:r>
              <w:rPr>
                <w:rFonts w:hint="eastAsia" w:ascii="仿宋" w:hAnsi="仿宋" w:cs="宋体"/>
                <w:color w:val="auto"/>
                <w:szCs w:val="21"/>
                <w:highlight w:val="none"/>
              </w:rPr>
              <w:t>（以Mn257.610nm 来测定，相关系数≥0.9996）；</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4.5</w:t>
            </w:r>
          </w:p>
        </w:tc>
        <w:tc>
          <w:tcPr>
            <w:tcW w:w="7655" w:type="dxa"/>
            <w:tcBorders>
              <w:top w:val="single" w:color="auto" w:sz="2" w:space="0"/>
              <w:bottom w:val="single" w:color="auto" w:sz="2" w:space="0"/>
            </w:tcBorders>
            <w:vAlign w:val="center"/>
          </w:tcPr>
          <w:p>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仿宋" w:hAnsi="仿宋" w:cs="宋体"/>
                <w:color w:val="auto"/>
                <w:szCs w:val="21"/>
                <w:highlight w:val="none"/>
              </w:rPr>
            </w:pPr>
            <w:r>
              <w:rPr>
                <w:rFonts w:hint="eastAsia" w:ascii="仿宋" w:hAnsi="仿宋" w:cs="宋体"/>
                <w:color w:val="auto"/>
                <w:szCs w:val="21"/>
                <w:highlight w:val="none"/>
              </w:rPr>
              <w:t>Pb 220.353nm  2ug/L，4ug/L，6ug/L，8ug/L，10ug/L 拟合曲线，线性相关系数999以上；</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ind w:firstLine="422"/>
              <w:jc w:val="center"/>
              <w:rPr>
                <w:rFonts w:ascii="仿宋" w:hAnsi="仿宋" w:cs="宋体"/>
                <w:color w:val="auto"/>
                <w:szCs w:val="21"/>
                <w:highlight w:val="none"/>
              </w:rPr>
            </w:pPr>
            <w:r>
              <w:rPr>
                <w:rFonts w:hint="eastAsia" w:ascii="仿宋" w:hAnsi="仿宋" w:cs="宋体"/>
                <w:b/>
                <w:bCs/>
                <w:color w:val="auto"/>
                <w:szCs w:val="21"/>
                <w:highlight w:val="none"/>
              </w:rPr>
              <w:t>5</w:t>
            </w:r>
          </w:p>
        </w:tc>
        <w:tc>
          <w:tcPr>
            <w:tcW w:w="7655" w:type="dxa"/>
            <w:tcBorders>
              <w:top w:val="single" w:color="auto" w:sz="2" w:space="0"/>
              <w:bottom w:val="single" w:color="auto" w:sz="2" w:space="0"/>
            </w:tcBorders>
            <w:vAlign w:val="center"/>
          </w:tcPr>
          <w:p>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firstLine="422"/>
              <w:jc w:val="left"/>
              <w:rPr>
                <w:rFonts w:ascii="仿宋" w:hAnsi="仿宋" w:cs="宋体"/>
                <w:b/>
                <w:bCs/>
                <w:color w:val="auto"/>
                <w:szCs w:val="21"/>
                <w:highlight w:val="none"/>
              </w:rPr>
            </w:pPr>
            <w:r>
              <w:rPr>
                <w:rFonts w:hint="eastAsia" w:ascii="仿宋" w:hAnsi="仿宋" w:cs="宋体"/>
                <w:b/>
                <w:bCs/>
                <w:color w:val="auto"/>
                <w:szCs w:val="21"/>
                <w:highlight w:val="none"/>
              </w:rPr>
              <w:t>配置要求：</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5.1</w:t>
            </w:r>
          </w:p>
        </w:tc>
        <w:tc>
          <w:tcPr>
            <w:tcW w:w="7655" w:type="dxa"/>
            <w:tcBorders>
              <w:top w:val="single" w:color="auto" w:sz="2" w:space="0"/>
              <w:bottom w:val="single" w:color="auto" w:sz="2" w:space="0"/>
            </w:tcBorders>
            <w:vAlign w:val="center"/>
          </w:tcPr>
          <w:p>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仿宋" w:hAnsi="仿宋" w:cs="宋体"/>
                <w:color w:val="auto"/>
                <w:szCs w:val="21"/>
                <w:highlight w:val="none"/>
              </w:rPr>
            </w:pPr>
            <w:r>
              <w:rPr>
                <w:rFonts w:hint="eastAsia" w:ascii="仿宋" w:hAnsi="仿宋" w:cs="宋体"/>
                <w:color w:val="auto"/>
                <w:szCs w:val="21"/>
                <w:highlight w:val="none"/>
              </w:rPr>
              <w:t>电感耦合等离子体发射光谱仪主机1套；</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5.2</w:t>
            </w:r>
          </w:p>
        </w:tc>
        <w:tc>
          <w:tcPr>
            <w:tcW w:w="7655" w:type="dxa"/>
            <w:tcBorders>
              <w:top w:val="single" w:color="auto" w:sz="2" w:space="0"/>
              <w:bottom w:val="single" w:color="auto" w:sz="2" w:space="0"/>
            </w:tcBorders>
            <w:vAlign w:val="center"/>
          </w:tcPr>
          <w:p>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仿宋" w:hAnsi="仿宋" w:cs="宋体"/>
                <w:b/>
                <w:color w:val="auto"/>
                <w:szCs w:val="21"/>
                <w:highlight w:val="none"/>
              </w:rPr>
            </w:pPr>
            <w:r>
              <w:rPr>
                <w:rFonts w:hint="eastAsia" w:ascii="仿宋" w:hAnsi="仿宋" w:cs="宋体"/>
                <w:color w:val="auto"/>
                <w:szCs w:val="21"/>
                <w:highlight w:val="none"/>
              </w:rPr>
              <w:t>中英文操作软件1套；</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5.3</w:t>
            </w:r>
          </w:p>
        </w:tc>
        <w:tc>
          <w:tcPr>
            <w:tcW w:w="7655" w:type="dxa"/>
            <w:tcBorders>
              <w:top w:val="single" w:color="auto" w:sz="2" w:space="0"/>
              <w:bottom w:val="single" w:color="auto" w:sz="2" w:space="0"/>
            </w:tcBorders>
            <w:vAlign w:val="center"/>
          </w:tcPr>
          <w:p>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仿宋" w:hAnsi="仿宋" w:cs="宋体"/>
                <w:color w:val="auto"/>
                <w:szCs w:val="21"/>
                <w:highlight w:val="none"/>
              </w:rPr>
            </w:pPr>
            <w:r>
              <w:rPr>
                <w:rFonts w:hint="eastAsia" w:ascii="仿宋" w:hAnsi="仿宋" w:cs="宋体"/>
                <w:color w:val="auto"/>
                <w:szCs w:val="21"/>
                <w:highlight w:val="none"/>
              </w:rPr>
              <w:t>波长校正液1瓶；</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5.4</w:t>
            </w:r>
          </w:p>
        </w:tc>
        <w:tc>
          <w:tcPr>
            <w:tcW w:w="7655" w:type="dxa"/>
            <w:tcBorders>
              <w:top w:val="single" w:color="auto" w:sz="2" w:space="0"/>
              <w:bottom w:val="single" w:color="auto" w:sz="2" w:space="0"/>
            </w:tcBorders>
            <w:vAlign w:val="center"/>
          </w:tcPr>
          <w:p>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仿宋" w:hAnsi="仿宋" w:cs="宋体"/>
                <w:color w:val="auto"/>
                <w:szCs w:val="21"/>
                <w:highlight w:val="none"/>
              </w:rPr>
            </w:pPr>
            <w:r>
              <w:rPr>
                <w:rFonts w:hint="eastAsia" w:ascii="仿宋" w:hAnsi="仿宋" w:cs="宋体"/>
                <w:color w:val="auto"/>
                <w:szCs w:val="21"/>
                <w:highlight w:val="none"/>
              </w:rPr>
              <w:t>双通道玻璃旋流雾化室1套；</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5.5</w:t>
            </w:r>
          </w:p>
        </w:tc>
        <w:tc>
          <w:tcPr>
            <w:tcW w:w="7655" w:type="dxa"/>
            <w:tcBorders>
              <w:top w:val="single" w:color="auto" w:sz="2" w:space="0"/>
              <w:bottom w:val="single" w:color="auto" w:sz="2" w:space="0"/>
            </w:tcBorders>
            <w:vAlign w:val="center"/>
          </w:tcPr>
          <w:p>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仿宋" w:hAnsi="仿宋" w:cs="宋体"/>
                <w:color w:val="auto"/>
                <w:szCs w:val="21"/>
                <w:highlight w:val="none"/>
              </w:rPr>
            </w:pPr>
            <w:r>
              <w:rPr>
                <w:rFonts w:hint="eastAsia" w:ascii="仿宋" w:hAnsi="仿宋" w:cs="宋体"/>
                <w:color w:val="auto"/>
                <w:szCs w:val="21"/>
                <w:highlight w:val="none"/>
              </w:rPr>
              <w:t>玻璃同心雾化器1套；</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5.6</w:t>
            </w:r>
          </w:p>
        </w:tc>
        <w:tc>
          <w:tcPr>
            <w:tcW w:w="7655" w:type="dxa"/>
            <w:tcBorders>
              <w:top w:val="single" w:color="auto" w:sz="2" w:space="0"/>
              <w:bottom w:val="single" w:color="auto" w:sz="2" w:space="0"/>
            </w:tcBorders>
            <w:vAlign w:val="center"/>
          </w:tcPr>
          <w:p>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仿宋" w:hAnsi="仿宋" w:cs="宋体"/>
                <w:color w:val="auto"/>
                <w:szCs w:val="21"/>
                <w:highlight w:val="none"/>
              </w:rPr>
            </w:pPr>
            <w:r>
              <w:rPr>
                <w:rFonts w:hint="eastAsia" w:ascii="仿宋" w:hAnsi="仿宋" w:cs="宋体"/>
                <w:color w:val="auto"/>
                <w:szCs w:val="21"/>
                <w:highlight w:val="none"/>
              </w:rPr>
              <w:t>一体式矩管≥1根；</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5.7</w:t>
            </w:r>
          </w:p>
        </w:tc>
        <w:tc>
          <w:tcPr>
            <w:tcW w:w="7655" w:type="dxa"/>
            <w:tcBorders>
              <w:top w:val="single" w:color="auto" w:sz="2" w:space="0"/>
              <w:bottom w:val="single" w:color="auto" w:sz="2" w:space="0"/>
            </w:tcBorders>
            <w:vAlign w:val="center"/>
          </w:tcPr>
          <w:p>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仿宋" w:hAnsi="仿宋" w:cs="宋体"/>
                <w:color w:val="auto"/>
                <w:szCs w:val="21"/>
                <w:highlight w:val="none"/>
              </w:rPr>
            </w:pPr>
            <w:r>
              <w:rPr>
                <w:rFonts w:hint="eastAsia" w:ascii="仿宋" w:hAnsi="仿宋" w:cs="宋体"/>
                <w:color w:val="auto"/>
                <w:szCs w:val="21"/>
                <w:highlight w:val="none"/>
              </w:rPr>
              <w:t>可拆卸式矩管（含中心管）≥1根；</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5.8</w:t>
            </w:r>
          </w:p>
        </w:tc>
        <w:tc>
          <w:tcPr>
            <w:tcW w:w="7655" w:type="dxa"/>
            <w:tcBorders>
              <w:top w:val="single" w:color="auto" w:sz="2" w:space="0"/>
              <w:bottom w:val="single" w:color="auto" w:sz="2" w:space="0"/>
            </w:tcBorders>
            <w:vAlign w:val="center"/>
          </w:tcPr>
          <w:p>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仿宋" w:hAnsi="仿宋" w:cs="宋体"/>
                <w:color w:val="auto"/>
                <w:szCs w:val="21"/>
                <w:highlight w:val="none"/>
              </w:rPr>
            </w:pPr>
            <w:r>
              <w:rPr>
                <w:rFonts w:hint="eastAsia" w:ascii="仿宋" w:hAnsi="仿宋" w:cs="宋体"/>
                <w:color w:val="auto"/>
                <w:szCs w:val="21"/>
                <w:highlight w:val="none"/>
              </w:rPr>
              <w:t>矩管夹1个；</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5.9</w:t>
            </w:r>
          </w:p>
        </w:tc>
        <w:tc>
          <w:tcPr>
            <w:tcW w:w="7655" w:type="dxa"/>
            <w:tcBorders>
              <w:top w:val="single" w:color="auto" w:sz="2" w:space="0"/>
              <w:bottom w:val="single" w:color="auto" w:sz="2" w:space="0"/>
            </w:tcBorders>
            <w:vAlign w:val="center"/>
          </w:tcPr>
          <w:p>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仿宋" w:hAnsi="仿宋" w:cs="宋体"/>
                <w:color w:val="auto"/>
                <w:szCs w:val="21"/>
                <w:highlight w:val="none"/>
              </w:rPr>
            </w:pPr>
            <w:r>
              <w:rPr>
                <w:rFonts w:hint="eastAsia" w:ascii="仿宋" w:hAnsi="仿宋" w:cs="宋体"/>
                <w:color w:val="auto"/>
                <w:szCs w:val="21"/>
                <w:highlight w:val="none"/>
              </w:rPr>
              <w:t>蠕动泵废液管≥36根；</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5.10</w:t>
            </w:r>
          </w:p>
        </w:tc>
        <w:tc>
          <w:tcPr>
            <w:tcW w:w="7655" w:type="dxa"/>
            <w:tcBorders>
              <w:top w:val="single" w:color="auto" w:sz="2" w:space="0"/>
              <w:bottom w:val="single" w:color="auto" w:sz="2" w:space="0"/>
            </w:tcBorders>
            <w:vAlign w:val="center"/>
          </w:tcPr>
          <w:p>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仿宋" w:hAnsi="仿宋" w:cs="宋体"/>
                <w:color w:val="auto"/>
                <w:szCs w:val="21"/>
                <w:highlight w:val="none"/>
              </w:rPr>
            </w:pPr>
            <w:r>
              <w:rPr>
                <w:rFonts w:hint="eastAsia" w:ascii="仿宋" w:hAnsi="仿宋" w:cs="宋体"/>
                <w:color w:val="auto"/>
                <w:szCs w:val="21"/>
                <w:highlight w:val="none"/>
              </w:rPr>
              <w:t>蠕动泵样品管≥36根；</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5.11</w:t>
            </w:r>
          </w:p>
        </w:tc>
        <w:tc>
          <w:tcPr>
            <w:tcW w:w="7655" w:type="dxa"/>
            <w:tcBorders>
              <w:top w:val="single" w:color="auto" w:sz="2" w:space="0"/>
              <w:bottom w:val="single" w:color="auto" w:sz="2" w:space="0"/>
            </w:tcBorders>
            <w:vAlign w:val="center"/>
          </w:tcPr>
          <w:p>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仿宋" w:hAnsi="仿宋" w:cs="宋体"/>
                <w:color w:val="auto"/>
                <w:szCs w:val="21"/>
                <w:highlight w:val="none"/>
              </w:rPr>
            </w:pPr>
            <w:r>
              <w:rPr>
                <w:rFonts w:hint="eastAsia" w:ascii="仿宋" w:hAnsi="仿宋" w:cs="宋体"/>
                <w:color w:val="auto"/>
                <w:szCs w:val="21"/>
                <w:highlight w:val="none"/>
              </w:rPr>
              <w:t>排废接头≥3个；</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5.12</w:t>
            </w:r>
          </w:p>
        </w:tc>
        <w:tc>
          <w:tcPr>
            <w:tcW w:w="7655" w:type="dxa"/>
            <w:tcBorders>
              <w:top w:val="single" w:color="auto" w:sz="2" w:space="0"/>
              <w:bottom w:val="single" w:color="auto" w:sz="2" w:space="0"/>
            </w:tcBorders>
            <w:vAlign w:val="center"/>
          </w:tcPr>
          <w:p>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仿宋" w:hAnsi="仿宋" w:cs="宋体"/>
                <w:color w:val="auto"/>
                <w:szCs w:val="21"/>
                <w:highlight w:val="none"/>
              </w:rPr>
            </w:pPr>
            <w:r>
              <w:rPr>
                <w:rFonts w:hint="eastAsia" w:ascii="仿宋" w:hAnsi="仿宋" w:cs="宋体"/>
                <w:color w:val="auto"/>
                <w:szCs w:val="21"/>
                <w:highlight w:val="none"/>
              </w:rPr>
              <w:t>氩气过滤器1个；</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5.13</w:t>
            </w:r>
          </w:p>
        </w:tc>
        <w:tc>
          <w:tcPr>
            <w:tcW w:w="7655" w:type="dxa"/>
            <w:tcBorders>
              <w:top w:val="single" w:color="auto" w:sz="2" w:space="0"/>
              <w:bottom w:val="single" w:color="auto" w:sz="2" w:space="0"/>
            </w:tcBorders>
            <w:vAlign w:val="center"/>
          </w:tcPr>
          <w:p>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仿宋" w:hAnsi="仿宋" w:cs="宋体"/>
                <w:color w:val="auto"/>
                <w:szCs w:val="21"/>
                <w:highlight w:val="none"/>
              </w:rPr>
            </w:pPr>
            <w:r>
              <w:rPr>
                <w:rFonts w:hint="eastAsia" w:ascii="仿宋" w:hAnsi="仿宋" w:cs="宋体"/>
                <w:color w:val="auto"/>
                <w:szCs w:val="21"/>
                <w:highlight w:val="none"/>
              </w:rPr>
              <w:t>轴向观测石英玻璃≥1个；</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5.14</w:t>
            </w:r>
          </w:p>
        </w:tc>
        <w:tc>
          <w:tcPr>
            <w:tcW w:w="7655" w:type="dxa"/>
            <w:tcBorders>
              <w:top w:val="single" w:color="auto" w:sz="2" w:space="0"/>
              <w:bottom w:val="single" w:color="auto" w:sz="2" w:space="0"/>
            </w:tcBorders>
            <w:vAlign w:val="center"/>
          </w:tcPr>
          <w:p>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仿宋" w:hAnsi="仿宋" w:cs="宋体"/>
                <w:color w:val="auto"/>
                <w:szCs w:val="21"/>
                <w:highlight w:val="none"/>
              </w:rPr>
            </w:pPr>
            <w:r>
              <w:rPr>
                <w:rFonts w:hint="eastAsia" w:ascii="仿宋" w:hAnsi="仿宋" w:cs="宋体"/>
                <w:color w:val="auto"/>
                <w:szCs w:val="21"/>
                <w:highlight w:val="none"/>
              </w:rPr>
              <w:t>径向观测氟化钙玻璃≥1个；</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5.15</w:t>
            </w:r>
          </w:p>
        </w:tc>
        <w:tc>
          <w:tcPr>
            <w:tcW w:w="7655" w:type="dxa"/>
            <w:tcBorders>
              <w:top w:val="single" w:color="auto" w:sz="2" w:space="0"/>
              <w:bottom w:val="single" w:color="auto" w:sz="2" w:space="0"/>
            </w:tcBorders>
            <w:vAlign w:val="center"/>
          </w:tcPr>
          <w:p>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仿宋" w:hAnsi="仿宋" w:cs="宋体"/>
                <w:color w:val="auto"/>
                <w:szCs w:val="21"/>
                <w:highlight w:val="none"/>
              </w:rPr>
            </w:pPr>
            <w:r>
              <w:rPr>
                <w:rFonts w:hint="eastAsia" w:ascii="仿宋" w:hAnsi="仿宋" w:cs="宋体"/>
                <w:color w:val="auto"/>
                <w:szCs w:val="21"/>
                <w:highlight w:val="none"/>
              </w:rPr>
              <w:t>控制系统1套；</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5.16</w:t>
            </w:r>
          </w:p>
        </w:tc>
        <w:tc>
          <w:tcPr>
            <w:tcW w:w="7655" w:type="dxa"/>
            <w:tcBorders>
              <w:top w:val="single" w:color="auto" w:sz="2" w:space="0"/>
              <w:bottom w:val="single" w:color="auto" w:sz="2" w:space="0"/>
            </w:tcBorders>
            <w:vAlign w:val="center"/>
          </w:tcPr>
          <w:p>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仿宋" w:hAnsi="仿宋" w:cs="宋体"/>
                <w:color w:val="auto"/>
                <w:szCs w:val="21"/>
                <w:highlight w:val="none"/>
              </w:rPr>
            </w:pPr>
            <w:r>
              <w:rPr>
                <w:rFonts w:hint="eastAsia" w:ascii="仿宋" w:hAnsi="仿宋" w:cs="宋体"/>
                <w:color w:val="auto"/>
                <w:szCs w:val="21"/>
                <w:highlight w:val="none"/>
              </w:rPr>
              <w:t>配套输出设备1套；</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5.17</w:t>
            </w:r>
          </w:p>
        </w:tc>
        <w:tc>
          <w:tcPr>
            <w:tcW w:w="7655" w:type="dxa"/>
            <w:tcBorders>
              <w:top w:val="single" w:color="auto" w:sz="2" w:space="0"/>
              <w:bottom w:val="single" w:color="auto" w:sz="2" w:space="0"/>
            </w:tcBorders>
            <w:vAlign w:val="center"/>
          </w:tcPr>
          <w:p>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仿宋" w:hAnsi="仿宋" w:cs="宋体"/>
                <w:color w:val="auto"/>
                <w:szCs w:val="21"/>
                <w:highlight w:val="none"/>
              </w:rPr>
            </w:pPr>
            <w:r>
              <w:rPr>
                <w:rFonts w:hint="eastAsia" w:ascii="仿宋" w:hAnsi="仿宋" w:cs="宋体"/>
                <w:color w:val="auto"/>
                <w:szCs w:val="21"/>
                <w:highlight w:val="none"/>
              </w:rPr>
              <w:t>配套冷却循环水机1套。</w:t>
            </w:r>
          </w:p>
        </w:tc>
      </w:tr>
    </w:tbl>
    <w:p>
      <w:pPr>
        <w:pStyle w:val="29"/>
        <w:spacing w:before="120" w:beforeLines="50" w:after="120" w:afterLines="50" w:line="360" w:lineRule="auto"/>
        <w:ind w:firstLine="495" w:firstLineChars="235"/>
        <w:rPr>
          <w:rFonts w:ascii="宋体" w:hAnsi="宋体" w:cs="宋体"/>
          <w:b/>
          <w:bCs/>
          <w:color w:val="auto"/>
          <w:sz w:val="21"/>
          <w:szCs w:val="21"/>
          <w:highlight w:val="none"/>
        </w:rPr>
      </w:pPr>
      <w:r>
        <w:rPr>
          <w:rFonts w:hint="eastAsia" w:ascii="宋体" w:hAnsi="宋体" w:cs="宋体"/>
          <w:b/>
          <w:bCs/>
          <w:color w:val="auto"/>
          <w:sz w:val="21"/>
          <w:szCs w:val="21"/>
          <w:highlight w:val="none"/>
        </w:rPr>
        <w:t>序号2：荧光分光光度计</w:t>
      </w:r>
    </w:p>
    <w:tbl>
      <w:tblPr>
        <w:tblStyle w:val="44"/>
        <w:tblW w:w="8931" w:type="dxa"/>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0" w:type="dxa"/>
          <w:bottom w:w="0" w:type="dxa"/>
          <w:right w:w="0" w:type="dxa"/>
        </w:tblCellMar>
      </w:tblPr>
      <w:tblGrid>
        <w:gridCol w:w="1276"/>
        <w:gridCol w:w="7655"/>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blHeader/>
        </w:trPr>
        <w:tc>
          <w:tcPr>
            <w:tcW w:w="1276" w:type="dxa"/>
            <w:tcBorders>
              <w:bottom w:val="single" w:color="auto" w:sz="4" w:space="0"/>
            </w:tcBorders>
            <w:vAlign w:val="center"/>
          </w:tcPr>
          <w:p>
            <w:pPr>
              <w:ind w:firstLine="422"/>
              <w:rPr>
                <w:rFonts w:ascii="仿宋" w:hAnsi="仿宋" w:cs="宋体"/>
                <w:b/>
                <w:color w:val="auto"/>
                <w:szCs w:val="21"/>
                <w:highlight w:val="none"/>
              </w:rPr>
            </w:pPr>
            <w:r>
              <w:rPr>
                <w:rFonts w:hint="eastAsia" w:ascii="仿宋" w:hAnsi="仿宋" w:cs="宋体"/>
                <w:b/>
                <w:color w:val="auto"/>
                <w:szCs w:val="21"/>
                <w:highlight w:val="none"/>
              </w:rPr>
              <w:t>条款号</w:t>
            </w:r>
          </w:p>
        </w:tc>
        <w:tc>
          <w:tcPr>
            <w:tcW w:w="7655" w:type="dxa"/>
            <w:tcBorders>
              <w:bottom w:val="single" w:color="auto" w:sz="4" w:space="0"/>
            </w:tcBorders>
            <w:vAlign w:val="center"/>
          </w:tcPr>
          <w:p>
            <w:pPr>
              <w:ind w:firstLine="422"/>
              <w:jc w:val="center"/>
              <w:rPr>
                <w:rFonts w:ascii="仿宋" w:hAnsi="仿宋" w:cs="宋体"/>
                <w:b/>
                <w:color w:val="auto"/>
                <w:szCs w:val="21"/>
                <w:highlight w:val="none"/>
              </w:rPr>
            </w:pPr>
            <w:r>
              <w:rPr>
                <w:rFonts w:hint="eastAsia" w:ascii="仿宋" w:hAnsi="仿宋" w:cs="宋体"/>
                <w:b/>
                <w:color w:val="auto"/>
                <w:szCs w:val="21"/>
                <w:highlight w:val="none"/>
              </w:rPr>
              <w:t>招标规格</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bCs/>
                <w:color w:val="auto"/>
                <w:szCs w:val="21"/>
                <w:highlight w:val="none"/>
              </w:rPr>
            </w:pPr>
            <w:r>
              <w:rPr>
                <w:rFonts w:hint="eastAsia" w:ascii="仿宋" w:hAnsi="仿宋" w:cs="宋体"/>
                <w:bCs/>
                <w:color w:val="auto"/>
                <w:szCs w:val="21"/>
                <w:highlight w:val="none"/>
              </w:rPr>
              <w:t>1</w:t>
            </w:r>
          </w:p>
        </w:tc>
        <w:tc>
          <w:tcPr>
            <w:tcW w:w="7655" w:type="dxa"/>
            <w:tcBorders>
              <w:top w:val="single" w:color="auto" w:sz="2" w:space="0"/>
              <w:bottom w:val="single" w:color="auto" w:sz="2" w:space="0"/>
            </w:tcBorders>
            <w:vAlign w:val="center"/>
          </w:tcPr>
          <w:p>
            <w:pPr>
              <w:ind w:firstLine="422"/>
              <w:rPr>
                <w:rFonts w:ascii="仿宋" w:hAnsi="仿宋" w:cs="宋体"/>
                <w:b/>
                <w:bCs/>
                <w:color w:val="auto"/>
                <w:szCs w:val="21"/>
                <w:highlight w:val="none"/>
              </w:rPr>
            </w:pPr>
            <w:r>
              <w:rPr>
                <w:rFonts w:hint="eastAsia" w:ascii="仿宋" w:hAnsi="仿宋" w:cs="宋体"/>
                <w:b/>
                <w:bCs/>
                <w:color w:val="auto"/>
                <w:szCs w:val="21"/>
                <w:highlight w:val="none"/>
              </w:rPr>
              <w:t>技术参数及指标</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bCs/>
                <w:color w:val="auto"/>
                <w:szCs w:val="21"/>
                <w:highlight w:val="none"/>
              </w:rPr>
            </w:pPr>
            <w:r>
              <w:rPr>
                <w:rFonts w:hint="eastAsia" w:ascii="仿宋" w:hAnsi="仿宋" w:cs="宋体"/>
                <w:bCs/>
                <w:color w:val="auto"/>
                <w:szCs w:val="21"/>
                <w:highlight w:val="none"/>
              </w:rPr>
              <w:t>1.1</w:t>
            </w:r>
          </w:p>
        </w:tc>
        <w:tc>
          <w:tcPr>
            <w:tcW w:w="7655" w:type="dxa"/>
            <w:tcBorders>
              <w:top w:val="single" w:color="auto" w:sz="2" w:space="0"/>
              <w:bottom w:val="single" w:color="auto" w:sz="2" w:space="0"/>
            </w:tcBorders>
            <w:vAlign w:val="center"/>
          </w:tcPr>
          <w:p>
            <w:pPr>
              <w:rPr>
                <w:rFonts w:ascii="仿宋" w:hAnsi="仿宋" w:cs="宋体"/>
                <w:b/>
                <w:bCs/>
                <w:color w:val="auto"/>
                <w:szCs w:val="21"/>
                <w:highlight w:val="none"/>
              </w:rPr>
            </w:pPr>
            <w:r>
              <w:rPr>
                <w:rFonts w:hint="eastAsia" w:ascii="仿宋" w:hAnsi="仿宋" w:cs="宋体"/>
                <w:color w:val="auto"/>
                <w:szCs w:val="21"/>
                <w:highlight w:val="none"/>
              </w:rPr>
              <w:t>光源：闪烁式氙灯，脉冲半峰宽小于2微秒，功率相对于连续发光时的75KW，氙灯必须只在工作时才闪烁；支持开盖测试。</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bCs/>
                <w:color w:val="auto"/>
                <w:szCs w:val="21"/>
                <w:highlight w:val="none"/>
              </w:rPr>
              <w:t>1.2</w:t>
            </w:r>
          </w:p>
        </w:tc>
        <w:tc>
          <w:tcPr>
            <w:tcW w:w="7655" w:type="dxa"/>
            <w:tcBorders>
              <w:top w:val="single" w:color="auto" w:sz="2" w:space="0"/>
              <w:bottom w:val="single" w:color="auto" w:sz="2" w:space="0"/>
            </w:tcBorders>
            <w:vAlign w:val="center"/>
          </w:tcPr>
          <w:p>
            <w:pPr>
              <w:rPr>
                <w:rFonts w:ascii="仿宋" w:hAnsi="仿宋" w:cs="宋体"/>
                <w:bCs/>
                <w:color w:val="auto"/>
                <w:szCs w:val="21"/>
                <w:highlight w:val="none"/>
              </w:rPr>
            </w:pPr>
            <w:r>
              <w:rPr>
                <w:rFonts w:hint="eastAsia" w:ascii="仿宋" w:hAnsi="仿宋" w:cs="宋体"/>
                <w:color w:val="auto"/>
                <w:szCs w:val="21"/>
                <w:highlight w:val="none"/>
              </w:rPr>
              <w:t>光源：10年质保；</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bCs/>
                <w:color w:val="auto"/>
                <w:szCs w:val="21"/>
                <w:highlight w:val="none"/>
              </w:rPr>
              <w:t>1.3</w:t>
            </w:r>
          </w:p>
        </w:tc>
        <w:tc>
          <w:tcPr>
            <w:tcW w:w="7655"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超低杂散光的切尼－特纳型单色器，水平狭缝光路，采用标准比色皿（1cm光程）测试样品量最少体积0.5mL；</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ascii="仿宋" w:hAnsi="仿宋"/>
                <w:color w:val="auto"/>
                <w:szCs w:val="21"/>
                <w:highlight w:val="none"/>
              </w:rPr>
              <w:t>▲</w:t>
            </w:r>
            <w:r>
              <w:rPr>
                <w:rFonts w:hint="eastAsia" w:ascii="仿宋" w:hAnsi="仿宋" w:cs="宋体"/>
                <w:bCs/>
                <w:color w:val="auto"/>
                <w:szCs w:val="21"/>
                <w:highlight w:val="none"/>
              </w:rPr>
              <w:t>1.4</w:t>
            </w:r>
          </w:p>
        </w:tc>
        <w:tc>
          <w:tcPr>
            <w:tcW w:w="7655"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光栅：激发光栅：30x35mm，1200L/mm，闪耀波长370nm；发射光栅：30x35mm，1200L/mm，闪耀波长440nm；</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bCs/>
                <w:color w:val="auto"/>
                <w:szCs w:val="21"/>
                <w:highlight w:val="none"/>
              </w:rPr>
              <w:t>1.5</w:t>
            </w:r>
          </w:p>
        </w:tc>
        <w:tc>
          <w:tcPr>
            <w:tcW w:w="7655"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检测器：内置2个R928高灵敏度光电倍增管，检测器电压可以在400-1000V间任意设定；</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bCs/>
                <w:color w:val="auto"/>
                <w:szCs w:val="21"/>
                <w:highlight w:val="none"/>
              </w:rPr>
              <w:t>1.6</w:t>
            </w:r>
          </w:p>
        </w:tc>
        <w:tc>
          <w:tcPr>
            <w:tcW w:w="7655"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波长范围</w:t>
            </w:r>
          </w:p>
          <w:p>
            <w:pPr>
              <w:rPr>
                <w:rFonts w:ascii="仿宋" w:hAnsi="仿宋" w:cs="宋体"/>
                <w:color w:val="auto"/>
                <w:szCs w:val="21"/>
                <w:highlight w:val="none"/>
              </w:rPr>
            </w:pPr>
            <w:r>
              <w:rPr>
                <w:rFonts w:hint="eastAsia" w:ascii="仿宋" w:hAnsi="仿宋" w:cs="宋体"/>
                <w:color w:val="auto"/>
                <w:szCs w:val="21"/>
                <w:highlight w:val="none"/>
              </w:rPr>
              <w:t>激发态：200-900nm零级可选；</w:t>
            </w:r>
          </w:p>
          <w:p>
            <w:pPr>
              <w:rPr>
                <w:rFonts w:ascii="仿宋" w:hAnsi="仿宋" w:cs="宋体"/>
                <w:color w:val="auto"/>
                <w:szCs w:val="21"/>
                <w:highlight w:val="none"/>
              </w:rPr>
            </w:pPr>
            <w:r>
              <w:rPr>
                <w:rFonts w:hint="eastAsia" w:ascii="仿宋" w:hAnsi="仿宋" w:cs="宋体"/>
                <w:color w:val="auto"/>
                <w:szCs w:val="21"/>
                <w:highlight w:val="none"/>
              </w:rPr>
              <w:t>发射态：200-900nm零级可选；</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bCs/>
                <w:color w:val="auto"/>
                <w:szCs w:val="21"/>
                <w:highlight w:val="none"/>
              </w:rPr>
              <w:t>1.7</w:t>
            </w:r>
          </w:p>
        </w:tc>
        <w:tc>
          <w:tcPr>
            <w:tcW w:w="7655"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波长精度：±0.5nm(541.92nm)；</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bCs/>
                <w:color w:val="auto"/>
                <w:szCs w:val="21"/>
                <w:highlight w:val="none"/>
              </w:rPr>
              <w:t>1.8</w:t>
            </w:r>
          </w:p>
        </w:tc>
        <w:tc>
          <w:tcPr>
            <w:tcW w:w="7655"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波长重现性：±0.2nm；</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bCs/>
                <w:color w:val="auto"/>
                <w:szCs w:val="21"/>
                <w:highlight w:val="none"/>
              </w:rPr>
              <w:t>1.9</w:t>
            </w:r>
          </w:p>
        </w:tc>
        <w:tc>
          <w:tcPr>
            <w:tcW w:w="7655"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灵敏度(水的Raman峰信噪比)</w:t>
            </w:r>
          </w:p>
          <w:p>
            <w:pPr>
              <w:rPr>
                <w:rFonts w:ascii="仿宋" w:hAnsi="仿宋" w:cs="宋体"/>
                <w:color w:val="auto"/>
                <w:szCs w:val="21"/>
                <w:highlight w:val="none"/>
              </w:rPr>
            </w:pPr>
            <w:r>
              <w:rPr>
                <w:rFonts w:hint="eastAsia" w:ascii="仿宋" w:hAnsi="仿宋" w:cs="宋体"/>
                <w:color w:val="auto"/>
                <w:szCs w:val="21"/>
                <w:highlight w:val="none"/>
              </w:rPr>
              <w:t>＞750：1 RMS，350nm激发，发射和激发狭缝为10nm，平均采样时间为1秒；</w:t>
            </w:r>
          </w:p>
          <w:p>
            <w:pPr>
              <w:rPr>
                <w:rFonts w:ascii="仿宋" w:hAnsi="仿宋" w:cs="宋体"/>
                <w:color w:val="auto"/>
                <w:szCs w:val="21"/>
                <w:highlight w:val="none"/>
              </w:rPr>
            </w:pPr>
            <w:r>
              <w:rPr>
                <w:rFonts w:hint="eastAsia" w:ascii="仿宋" w:hAnsi="仿宋" w:cs="宋体"/>
                <w:color w:val="auto"/>
                <w:szCs w:val="21"/>
                <w:highlight w:val="none"/>
              </w:rPr>
              <w:t>＞500：1 RMS，500nm激发，发射和激发狭缝为10nm，平均采样时间为1秒；</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ascii="仿宋" w:hAnsi="仿宋"/>
                <w:color w:val="auto"/>
                <w:szCs w:val="21"/>
                <w:highlight w:val="none"/>
              </w:rPr>
              <w:t>▲</w:t>
            </w:r>
            <w:r>
              <w:rPr>
                <w:rFonts w:hint="eastAsia" w:ascii="仿宋" w:hAnsi="仿宋" w:cs="宋体"/>
                <w:bCs/>
                <w:color w:val="auto"/>
                <w:szCs w:val="21"/>
                <w:highlight w:val="none"/>
              </w:rPr>
              <w:t>1.10</w:t>
            </w:r>
          </w:p>
        </w:tc>
        <w:tc>
          <w:tcPr>
            <w:tcW w:w="7655"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激发单色器标准配置4组自动滤光片，发射单色器标准配置5组自动滤光片，在扫描过程中软件自动选择合适的滤光片，以消除次级光和杂散光的影响。</w:t>
            </w:r>
          </w:p>
          <w:p>
            <w:pPr>
              <w:rPr>
                <w:rFonts w:ascii="仿宋" w:hAnsi="仿宋" w:cs="宋体"/>
                <w:color w:val="auto"/>
                <w:szCs w:val="21"/>
                <w:highlight w:val="none"/>
              </w:rPr>
            </w:pPr>
            <w:r>
              <w:rPr>
                <w:rFonts w:hint="eastAsia" w:ascii="仿宋" w:hAnsi="仿宋" w:cs="宋体"/>
                <w:color w:val="auto"/>
                <w:szCs w:val="21"/>
                <w:highlight w:val="none"/>
              </w:rPr>
              <w:t>激发：250～395nm，335～620nm，550～1100nm，695～1100nm；</w:t>
            </w:r>
          </w:p>
          <w:p>
            <w:pPr>
              <w:rPr>
                <w:rFonts w:ascii="仿宋" w:hAnsi="仿宋" w:cs="宋体"/>
                <w:color w:val="auto"/>
                <w:szCs w:val="21"/>
                <w:highlight w:val="none"/>
              </w:rPr>
            </w:pPr>
            <w:r>
              <w:rPr>
                <w:rFonts w:hint="eastAsia" w:ascii="仿宋" w:hAnsi="仿宋" w:cs="宋体"/>
                <w:color w:val="auto"/>
                <w:szCs w:val="21"/>
                <w:highlight w:val="none"/>
              </w:rPr>
              <w:t>发射：250～395nm，295～1100nm，360～1100nm，430～1100nm，550～1100nm以及3%的衰减片；</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ascii="仿宋" w:hAnsi="仿宋"/>
                <w:color w:val="auto"/>
                <w:szCs w:val="21"/>
                <w:highlight w:val="none"/>
              </w:rPr>
              <w:t>▲</w:t>
            </w:r>
            <w:r>
              <w:rPr>
                <w:rFonts w:hint="eastAsia" w:ascii="仿宋" w:hAnsi="仿宋" w:cs="宋体"/>
                <w:bCs/>
                <w:color w:val="auto"/>
                <w:szCs w:val="21"/>
                <w:highlight w:val="none"/>
              </w:rPr>
              <w:t>1.11</w:t>
            </w:r>
          </w:p>
        </w:tc>
        <w:tc>
          <w:tcPr>
            <w:tcW w:w="7655"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激发单色器和发射单色器滤光片轮总计有14个位置（Slots）。激发单色器6个，包括预装的4个滤光片、完全打开、完全关闭。发射单色器8个，包括预装的6个滤光片加衰减片、完全打开、完全关闭。</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bCs/>
                <w:color w:val="auto"/>
                <w:szCs w:val="21"/>
                <w:highlight w:val="none"/>
              </w:rPr>
              <w:t>1.12</w:t>
            </w:r>
          </w:p>
        </w:tc>
        <w:tc>
          <w:tcPr>
            <w:tcW w:w="7655"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狭缝宽度可调，激发/发射狭缝：1.5/2.5/5.0/10/20nm/10nm圆形狭缝。圆形狭缝用于测试微量样品。</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bCs/>
                <w:color w:val="auto"/>
                <w:szCs w:val="21"/>
                <w:highlight w:val="none"/>
              </w:rPr>
              <w:t>1.13</w:t>
            </w:r>
          </w:p>
        </w:tc>
        <w:tc>
          <w:tcPr>
            <w:tcW w:w="7655"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可以扫描荧光、磷光，测试磷光寿命可以达到微秒级。</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2</w:t>
            </w:r>
          </w:p>
        </w:tc>
        <w:tc>
          <w:tcPr>
            <w:tcW w:w="7655"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系统控制软件</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2.1</w:t>
            </w:r>
          </w:p>
        </w:tc>
        <w:tc>
          <w:tcPr>
            <w:tcW w:w="7655"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用户可以自行选择中文软件或者英文软件，适用于Win10操作系统，可测试荧光、磷光、生物化学发光，寿命测定，浓度测定，3D，等高线图等功能。用户可以定期运行性能认证模块，验证仪器是否处于正常状态。</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3</w:t>
            </w:r>
          </w:p>
        </w:tc>
        <w:tc>
          <w:tcPr>
            <w:tcW w:w="7655"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配置要求</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3.1</w:t>
            </w:r>
          </w:p>
        </w:tc>
        <w:tc>
          <w:tcPr>
            <w:tcW w:w="7655"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主机一台</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3.2</w:t>
            </w:r>
          </w:p>
        </w:tc>
        <w:tc>
          <w:tcPr>
            <w:tcW w:w="7655"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固体样品支架及固体粉末池 1套；</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3.3</w:t>
            </w:r>
          </w:p>
        </w:tc>
        <w:tc>
          <w:tcPr>
            <w:tcW w:w="7655"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控制系统一套，配置：3.2GHZ处理器，8G内存，500G硬盘</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3.4</w:t>
            </w:r>
          </w:p>
        </w:tc>
        <w:tc>
          <w:tcPr>
            <w:tcW w:w="7655"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输出设备一台</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4</w:t>
            </w:r>
          </w:p>
        </w:tc>
        <w:tc>
          <w:tcPr>
            <w:tcW w:w="7655"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技术文件、资料</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4.1</w:t>
            </w:r>
          </w:p>
        </w:tc>
        <w:tc>
          <w:tcPr>
            <w:tcW w:w="7655"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软件手册1套；</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4.2</w:t>
            </w:r>
          </w:p>
        </w:tc>
        <w:tc>
          <w:tcPr>
            <w:tcW w:w="7655"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全中文教学光盘1张；</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5</w:t>
            </w:r>
          </w:p>
        </w:tc>
        <w:tc>
          <w:tcPr>
            <w:tcW w:w="7655"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工作条件</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5.1</w:t>
            </w:r>
          </w:p>
        </w:tc>
        <w:tc>
          <w:tcPr>
            <w:tcW w:w="7655"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电源：220V±10%  50HZ</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5.2</w:t>
            </w:r>
          </w:p>
        </w:tc>
        <w:tc>
          <w:tcPr>
            <w:tcW w:w="7655"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温度：15～35°C</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5.3</w:t>
            </w:r>
          </w:p>
        </w:tc>
        <w:tc>
          <w:tcPr>
            <w:tcW w:w="7655"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相对湿度：25～85%</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6</w:t>
            </w:r>
          </w:p>
        </w:tc>
        <w:tc>
          <w:tcPr>
            <w:tcW w:w="7655"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售后服务、技术服务</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6.1</w:t>
            </w:r>
          </w:p>
        </w:tc>
        <w:tc>
          <w:tcPr>
            <w:tcW w:w="7655"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保修一年，具有热线电话提供技术支持服务。</w:t>
            </w:r>
          </w:p>
        </w:tc>
      </w:tr>
    </w:tbl>
    <w:p>
      <w:pPr>
        <w:pStyle w:val="29"/>
        <w:spacing w:before="120" w:beforeLines="50" w:after="120" w:afterLines="50" w:line="360" w:lineRule="auto"/>
        <w:ind w:firstLine="495" w:firstLineChars="235"/>
        <w:rPr>
          <w:rFonts w:ascii="宋体" w:hAnsi="宋体" w:cs="宋体"/>
          <w:b/>
          <w:bCs/>
          <w:color w:val="auto"/>
          <w:sz w:val="21"/>
          <w:szCs w:val="21"/>
          <w:highlight w:val="none"/>
        </w:rPr>
      </w:pPr>
      <w:r>
        <w:rPr>
          <w:rFonts w:hint="eastAsia" w:ascii="宋体" w:hAnsi="宋体" w:cs="宋体"/>
          <w:b/>
          <w:bCs/>
          <w:color w:val="auto"/>
          <w:sz w:val="21"/>
          <w:szCs w:val="21"/>
          <w:highlight w:val="none"/>
        </w:rPr>
        <w:t>序号3：同步热分析仪</w:t>
      </w:r>
    </w:p>
    <w:tbl>
      <w:tblPr>
        <w:tblStyle w:val="44"/>
        <w:tblW w:w="8931" w:type="dxa"/>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0" w:type="dxa"/>
          <w:bottom w:w="0" w:type="dxa"/>
          <w:right w:w="0" w:type="dxa"/>
        </w:tblCellMar>
      </w:tblPr>
      <w:tblGrid>
        <w:gridCol w:w="1276"/>
        <w:gridCol w:w="7655"/>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blHeader/>
        </w:trPr>
        <w:tc>
          <w:tcPr>
            <w:tcW w:w="1276" w:type="dxa"/>
            <w:tcBorders>
              <w:bottom w:val="single" w:color="auto" w:sz="4" w:space="0"/>
            </w:tcBorders>
            <w:vAlign w:val="center"/>
          </w:tcPr>
          <w:p>
            <w:pPr>
              <w:ind w:firstLine="422"/>
              <w:jc w:val="center"/>
              <w:rPr>
                <w:rFonts w:ascii="仿宋" w:hAnsi="仿宋" w:cs="宋体"/>
                <w:b/>
                <w:color w:val="auto"/>
                <w:szCs w:val="21"/>
                <w:highlight w:val="none"/>
              </w:rPr>
            </w:pPr>
            <w:r>
              <w:rPr>
                <w:rFonts w:hint="eastAsia" w:ascii="仿宋" w:hAnsi="仿宋" w:cs="宋体"/>
                <w:b/>
                <w:color w:val="auto"/>
                <w:szCs w:val="21"/>
                <w:highlight w:val="none"/>
              </w:rPr>
              <w:t>条款号</w:t>
            </w:r>
          </w:p>
        </w:tc>
        <w:tc>
          <w:tcPr>
            <w:tcW w:w="7655" w:type="dxa"/>
            <w:tcBorders>
              <w:bottom w:val="single" w:color="auto" w:sz="4" w:space="0"/>
            </w:tcBorders>
            <w:vAlign w:val="center"/>
          </w:tcPr>
          <w:p>
            <w:pPr>
              <w:ind w:firstLine="422"/>
              <w:jc w:val="center"/>
              <w:rPr>
                <w:rFonts w:ascii="仿宋" w:hAnsi="仿宋" w:cs="宋体"/>
                <w:b/>
                <w:color w:val="auto"/>
                <w:szCs w:val="21"/>
                <w:highlight w:val="none"/>
              </w:rPr>
            </w:pPr>
            <w:r>
              <w:rPr>
                <w:rFonts w:hint="eastAsia" w:ascii="仿宋" w:hAnsi="仿宋" w:cs="宋体"/>
                <w:b/>
                <w:color w:val="auto"/>
                <w:szCs w:val="21"/>
                <w:highlight w:val="none"/>
              </w:rPr>
              <w:t>招标规格</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bCs/>
                <w:color w:val="auto"/>
                <w:szCs w:val="21"/>
                <w:highlight w:val="none"/>
              </w:rPr>
            </w:pPr>
            <w:r>
              <w:rPr>
                <w:rFonts w:hint="eastAsia" w:ascii="仿宋" w:hAnsi="仿宋" w:cs="宋体"/>
                <w:bCs/>
                <w:color w:val="auto"/>
                <w:szCs w:val="21"/>
                <w:highlight w:val="none"/>
              </w:rPr>
              <w:t>一</w:t>
            </w:r>
          </w:p>
        </w:tc>
        <w:tc>
          <w:tcPr>
            <w:tcW w:w="7655" w:type="dxa"/>
            <w:tcBorders>
              <w:top w:val="single" w:color="auto" w:sz="2" w:space="0"/>
              <w:bottom w:val="single" w:color="auto" w:sz="2" w:space="0"/>
            </w:tcBorders>
            <w:vAlign w:val="center"/>
          </w:tcPr>
          <w:p>
            <w:pPr>
              <w:tabs>
                <w:tab w:val="left" w:pos="180"/>
                <w:tab w:val="left" w:pos="3780"/>
              </w:tabs>
              <w:ind w:left="196" w:hanging="196" w:hangingChars="93"/>
              <w:rPr>
                <w:rFonts w:ascii="仿宋" w:hAnsi="仿宋" w:cs="宋体"/>
                <w:b/>
                <w:color w:val="auto"/>
                <w:szCs w:val="21"/>
                <w:highlight w:val="none"/>
              </w:rPr>
            </w:pPr>
            <w:r>
              <w:rPr>
                <w:rFonts w:hint="eastAsia" w:ascii="仿宋" w:hAnsi="仿宋" w:cs="宋体"/>
                <w:b/>
                <w:color w:val="auto"/>
                <w:szCs w:val="21"/>
                <w:highlight w:val="none"/>
              </w:rPr>
              <w:t>概述</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w:t>
            </w:r>
          </w:p>
        </w:tc>
        <w:tc>
          <w:tcPr>
            <w:tcW w:w="7655" w:type="dxa"/>
            <w:tcBorders>
              <w:top w:val="single" w:color="auto" w:sz="2" w:space="0"/>
              <w:bottom w:val="single" w:color="auto" w:sz="2"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同步热分析用于同时测量材料的质量和热焓随温度的变化，可以用来表征材料的热稳定性、分解温度、比热容、熔融温度、结晶温度等</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ind w:firstLine="422"/>
              <w:jc w:val="center"/>
              <w:rPr>
                <w:rFonts w:ascii="仿宋" w:hAnsi="仿宋" w:cs="宋体"/>
                <w:color w:val="auto"/>
                <w:szCs w:val="21"/>
                <w:highlight w:val="none"/>
              </w:rPr>
            </w:pPr>
            <w:r>
              <w:rPr>
                <w:rFonts w:hint="eastAsia" w:ascii="仿宋" w:hAnsi="仿宋" w:cs="宋体"/>
                <w:b/>
                <w:color w:val="auto"/>
                <w:szCs w:val="21"/>
                <w:highlight w:val="none"/>
              </w:rPr>
              <w:t>二</w:t>
            </w:r>
          </w:p>
        </w:tc>
        <w:tc>
          <w:tcPr>
            <w:tcW w:w="7655" w:type="dxa"/>
            <w:tcBorders>
              <w:top w:val="single" w:color="auto" w:sz="2" w:space="0"/>
              <w:bottom w:val="single" w:color="auto" w:sz="2" w:space="0"/>
            </w:tcBorders>
            <w:vAlign w:val="center"/>
          </w:tcPr>
          <w:p>
            <w:pPr>
              <w:ind w:firstLine="422"/>
              <w:jc w:val="left"/>
              <w:rPr>
                <w:rFonts w:ascii="仿宋" w:hAnsi="仿宋" w:cs="宋体"/>
                <w:b/>
                <w:color w:val="auto"/>
                <w:szCs w:val="21"/>
                <w:highlight w:val="none"/>
              </w:rPr>
            </w:pPr>
            <w:r>
              <w:rPr>
                <w:rFonts w:hint="eastAsia" w:ascii="仿宋" w:hAnsi="仿宋" w:cs="宋体"/>
                <w:b/>
                <w:color w:val="auto"/>
                <w:szCs w:val="21"/>
                <w:highlight w:val="none"/>
              </w:rPr>
              <w:t>工作条件：</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w:t>
            </w:r>
          </w:p>
        </w:tc>
        <w:tc>
          <w:tcPr>
            <w:tcW w:w="7655"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供电：220V/50Hz；</w:t>
            </w:r>
          </w:p>
          <w:p>
            <w:pPr>
              <w:jc w:val="left"/>
              <w:rPr>
                <w:rFonts w:ascii="仿宋" w:hAnsi="仿宋" w:cs="宋体"/>
                <w:color w:val="auto"/>
                <w:szCs w:val="21"/>
                <w:highlight w:val="none"/>
              </w:rPr>
            </w:pPr>
            <w:r>
              <w:rPr>
                <w:rFonts w:hint="eastAsia" w:ascii="仿宋" w:hAnsi="仿宋" w:cs="宋体"/>
                <w:color w:val="auto"/>
                <w:szCs w:val="21"/>
                <w:highlight w:val="none"/>
              </w:rPr>
              <w:t>环境温度：5～40℃；</w:t>
            </w:r>
          </w:p>
          <w:p>
            <w:pPr>
              <w:jc w:val="left"/>
              <w:rPr>
                <w:rFonts w:ascii="仿宋" w:hAnsi="仿宋" w:cs="宋体"/>
                <w:color w:val="auto"/>
                <w:szCs w:val="21"/>
                <w:highlight w:val="none"/>
              </w:rPr>
            </w:pPr>
            <w:r>
              <w:rPr>
                <w:rFonts w:hint="eastAsia" w:ascii="仿宋" w:hAnsi="仿宋" w:cs="宋体"/>
                <w:color w:val="auto"/>
                <w:szCs w:val="21"/>
                <w:highlight w:val="none"/>
              </w:rPr>
              <w:t>相对湿度：＜80％。</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三</w:t>
            </w:r>
          </w:p>
        </w:tc>
        <w:tc>
          <w:tcPr>
            <w:tcW w:w="7655" w:type="dxa"/>
            <w:tcBorders>
              <w:top w:val="single" w:color="auto" w:sz="2" w:space="0"/>
              <w:bottom w:val="single" w:color="auto" w:sz="2" w:space="0"/>
            </w:tcBorders>
            <w:vAlign w:val="center"/>
          </w:tcPr>
          <w:p>
            <w:pPr>
              <w:tabs>
                <w:tab w:val="left" w:pos="180"/>
                <w:tab w:val="left" w:pos="3780"/>
              </w:tabs>
              <w:ind w:left="196" w:hanging="196" w:hangingChars="93"/>
              <w:rPr>
                <w:rFonts w:ascii="仿宋" w:hAnsi="仿宋" w:cs="宋体"/>
                <w:b/>
                <w:color w:val="auto"/>
                <w:szCs w:val="21"/>
                <w:highlight w:val="none"/>
              </w:rPr>
            </w:pPr>
            <w:r>
              <w:rPr>
                <w:rFonts w:hint="eastAsia" w:ascii="仿宋" w:hAnsi="仿宋" w:cs="宋体"/>
                <w:b/>
                <w:color w:val="auto"/>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w:t>
            </w:r>
          </w:p>
        </w:tc>
        <w:tc>
          <w:tcPr>
            <w:tcW w:w="7655" w:type="dxa"/>
            <w:tcBorders>
              <w:top w:val="single" w:color="auto" w:sz="2" w:space="0"/>
              <w:bottom w:val="single" w:color="auto" w:sz="2" w:space="0"/>
            </w:tcBorders>
            <w:vAlign w:val="center"/>
          </w:tcPr>
          <w:p>
            <w:pPr>
              <w:ind w:firstLine="422"/>
              <w:rPr>
                <w:rFonts w:ascii="仿宋" w:hAnsi="仿宋" w:cs="宋体"/>
                <w:b/>
                <w:color w:val="auto"/>
                <w:szCs w:val="21"/>
                <w:highlight w:val="none"/>
              </w:rPr>
            </w:pPr>
            <w:r>
              <w:rPr>
                <w:rFonts w:hint="eastAsia" w:ascii="仿宋" w:hAnsi="仿宋" w:cs="宋体"/>
                <w:b/>
                <w:color w:val="auto"/>
                <w:szCs w:val="21"/>
                <w:highlight w:val="none"/>
              </w:rPr>
              <w:t>技术指标要求和功能要求</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ascii="仿宋" w:hAnsi="仿宋"/>
                <w:color w:val="auto"/>
                <w:szCs w:val="21"/>
                <w:highlight w:val="none"/>
              </w:rPr>
              <w:t>▲</w:t>
            </w:r>
            <w:r>
              <w:rPr>
                <w:rFonts w:hint="eastAsia" w:ascii="仿宋" w:hAnsi="仿宋" w:cs="宋体"/>
                <w:color w:val="auto"/>
                <w:szCs w:val="21"/>
                <w:highlight w:val="none"/>
              </w:rPr>
              <w:t>1.1</w:t>
            </w:r>
          </w:p>
        </w:tc>
        <w:tc>
          <w:tcPr>
            <w:tcW w:w="7655"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温度范围：室温 ~ 1600℃（样品温度）</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ascii="仿宋" w:hAnsi="仿宋"/>
                <w:color w:val="auto"/>
                <w:szCs w:val="21"/>
                <w:highlight w:val="none"/>
              </w:rPr>
              <w:t>▲</w:t>
            </w:r>
            <w:r>
              <w:rPr>
                <w:rFonts w:hint="eastAsia" w:ascii="仿宋" w:hAnsi="仿宋" w:cs="宋体"/>
                <w:color w:val="auto"/>
                <w:szCs w:val="21"/>
                <w:highlight w:val="none"/>
              </w:rPr>
              <w:t>1.2</w:t>
            </w:r>
          </w:p>
        </w:tc>
        <w:tc>
          <w:tcPr>
            <w:tcW w:w="7655"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温度精度：0.1度</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1.3</w:t>
            </w:r>
          </w:p>
        </w:tc>
        <w:tc>
          <w:tcPr>
            <w:tcW w:w="7655"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样品重量：不小于10g</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ascii="仿宋" w:hAnsi="仿宋"/>
                <w:color w:val="auto"/>
                <w:szCs w:val="21"/>
                <w:highlight w:val="none"/>
              </w:rPr>
              <w:t>▲</w:t>
            </w:r>
            <w:r>
              <w:rPr>
                <w:rFonts w:hint="eastAsia" w:ascii="仿宋" w:hAnsi="仿宋" w:cs="宋体"/>
                <w:color w:val="auto"/>
                <w:szCs w:val="21"/>
                <w:highlight w:val="none"/>
              </w:rPr>
              <w:t>1.4</w:t>
            </w:r>
          </w:p>
        </w:tc>
        <w:tc>
          <w:tcPr>
            <w:tcW w:w="7655"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垂直式气体流向：吹扫气流向由下往上同逸出气体自然流向一致，适合于做联用分析，可以扩展与FTIR,MS和GC-MS联用等</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ascii="仿宋" w:hAnsi="仿宋"/>
                <w:color w:val="auto"/>
                <w:szCs w:val="21"/>
                <w:highlight w:val="none"/>
              </w:rPr>
              <w:t>▲</w:t>
            </w:r>
            <w:r>
              <w:rPr>
                <w:rFonts w:hint="eastAsia" w:ascii="仿宋" w:hAnsi="仿宋" w:cs="宋体"/>
                <w:color w:val="auto"/>
                <w:szCs w:val="21"/>
                <w:highlight w:val="none"/>
              </w:rPr>
              <w:t>1.5</w:t>
            </w:r>
          </w:p>
        </w:tc>
        <w:tc>
          <w:tcPr>
            <w:tcW w:w="7655"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超微量电子天平，热重连续变化量：10g</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ascii="仿宋" w:hAnsi="仿宋"/>
                <w:color w:val="auto"/>
                <w:szCs w:val="21"/>
                <w:highlight w:val="none"/>
              </w:rPr>
              <w:t>▲</w:t>
            </w:r>
            <w:r>
              <w:rPr>
                <w:rFonts w:hint="eastAsia" w:ascii="仿宋" w:hAnsi="仿宋" w:cs="宋体"/>
                <w:color w:val="auto"/>
                <w:szCs w:val="21"/>
                <w:highlight w:val="none"/>
              </w:rPr>
              <w:t>1.6</w:t>
            </w:r>
          </w:p>
        </w:tc>
        <w:tc>
          <w:tcPr>
            <w:tcW w:w="7655"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全量程天平分辨率：0.1μg</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1.7</w:t>
            </w:r>
          </w:p>
        </w:tc>
        <w:tc>
          <w:tcPr>
            <w:tcW w:w="7655"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重量校正：内置砝码，自动校正</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ascii="仿宋" w:hAnsi="仿宋"/>
                <w:color w:val="auto"/>
                <w:szCs w:val="21"/>
                <w:highlight w:val="none"/>
              </w:rPr>
              <w:t>▲</w:t>
            </w:r>
            <w:r>
              <w:rPr>
                <w:rFonts w:hint="eastAsia" w:ascii="仿宋" w:hAnsi="仿宋" w:cs="宋体"/>
                <w:color w:val="auto"/>
                <w:szCs w:val="21"/>
                <w:highlight w:val="none"/>
              </w:rPr>
              <w:t>1.8</w:t>
            </w:r>
          </w:p>
        </w:tc>
        <w:tc>
          <w:tcPr>
            <w:tcW w:w="7655"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热焓精度：&lt; 1%（标准金属）</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1.9</w:t>
            </w:r>
          </w:p>
        </w:tc>
        <w:tc>
          <w:tcPr>
            <w:tcW w:w="7655"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加热速率：0 ~ 50K/min</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1.10</w:t>
            </w:r>
          </w:p>
        </w:tc>
        <w:tc>
          <w:tcPr>
            <w:tcW w:w="7655"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测试气氛：静态或动态；氧化、还原、惰性、真空</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1.11</w:t>
            </w:r>
          </w:p>
        </w:tc>
        <w:tc>
          <w:tcPr>
            <w:tcW w:w="7655"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真空度：独立法兰真空接口，真空度可达10</w:t>
            </w:r>
            <w:r>
              <w:rPr>
                <w:rFonts w:hint="eastAsia" w:ascii="仿宋" w:hAnsi="仿宋" w:cs="宋体"/>
                <w:color w:val="auto"/>
                <w:szCs w:val="21"/>
                <w:highlight w:val="none"/>
                <w:vertAlign w:val="superscript"/>
              </w:rPr>
              <w:t>-2</w:t>
            </w:r>
            <w:r>
              <w:rPr>
                <w:rFonts w:hint="eastAsia" w:ascii="仿宋" w:hAnsi="仿宋" w:cs="宋体"/>
                <w:color w:val="auto"/>
                <w:szCs w:val="21"/>
                <w:highlight w:val="none"/>
              </w:rPr>
              <w:t xml:space="preserve"> mbar，配置自动真空系统，软件控制自动抽真空及气体填充； </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1.12</w:t>
            </w:r>
          </w:p>
        </w:tc>
        <w:tc>
          <w:tcPr>
            <w:tcW w:w="7655"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样品支架：有TG-DSC 、TG-DTA和TG样品支架可选，且各种样品支架均具有快速接头，用户可自行方便更换</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1.13</w:t>
            </w:r>
          </w:p>
        </w:tc>
        <w:tc>
          <w:tcPr>
            <w:tcW w:w="7655"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气路：内置三路数字式质量流量计，软件记录气体流量和控制气体自动切换</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1.14</w:t>
            </w:r>
          </w:p>
        </w:tc>
        <w:tc>
          <w:tcPr>
            <w:tcW w:w="7655"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内核汉化的中英文操作软件，用于仪器控制和数据分析，可根据用户使用习惯，自由切换软件的不同语言操作界面</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1.15</w:t>
            </w:r>
          </w:p>
        </w:tc>
        <w:tc>
          <w:tcPr>
            <w:tcW w:w="7655"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配备远程控制系统，可通过手机、平板电脑等远程控制仪器操作、查看和处理测试数据等</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2</w:t>
            </w:r>
          </w:p>
        </w:tc>
        <w:tc>
          <w:tcPr>
            <w:tcW w:w="7655" w:type="dxa"/>
            <w:tcBorders>
              <w:top w:val="single" w:color="auto" w:sz="2" w:space="0"/>
              <w:bottom w:val="single" w:color="auto" w:sz="2" w:space="0"/>
            </w:tcBorders>
            <w:vAlign w:val="center"/>
          </w:tcPr>
          <w:p>
            <w:pPr>
              <w:ind w:firstLine="422"/>
              <w:rPr>
                <w:rFonts w:ascii="仿宋" w:hAnsi="仿宋" w:cs="宋体"/>
                <w:b/>
                <w:color w:val="auto"/>
                <w:szCs w:val="21"/>
                <w:highlight w:val="none"/>
              </w:rPr>
            </w:pPr>
            <w:r>
              <w:rPr>
                <w:rFonts w:hint="eastAsia" w:ascii="仿宋" w:hAnsi="仿宋" w:cs="宋体"/>
                <w:b/>
                <w:color w:val="auto"/>
                <w:szCs w:val="21"/>
                <w:highlight w:val="none"/>
              </w:rPr>
              <w:t>主要配置</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2.1</w:t>
            </w:r>
          </w:p>
        </w:tc>
        <w:tc>
          <w:tcPr>
            <w:tcW w:w="7655" w:type="dxa"/>
            <w:tcBorders>
              <w:top w:val="single" w:color="auto" w:sz="2" w:space="0"/>
              <w:bottom w:val="single" w:color="auto" w:sz="2" w:space="0"/>
            </w:tcBorders>
            <w:vAlign w:val="center"/>
          </w:tcPr>
          <w:p>
            <w:pPr>
              <w:ind w:right="-51"/>
              <w:jc w:val="left"/>
              <w:rPr>
                <w:rFonts w:ascii="仿宋" w:hAnsi="仿宋" w:cs="宋体"/>
                <w:color w:val="auto"/>
                <w:szCs w:val="21"/>
                <w:highlight w:val="none"/>
              </w:rPr>
            </w:pPr>
            <w:r>
              <w:rPr>
                <w:rFonts w:hint="eastAsia" w:ascii="仿宋" w:hAnsi="仿宋" w:cs="宋体"/>
                <w:color w:val="auto"/>
                <w:szCs w:val="21"/>
                <w:highlight w:val="none"/>
              </w:rPr>
              <w:t>同步热分析仪主机，1台</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2.2</w:t>
            </w:r>
          </w:p>
        </w:tc>
        <w:tc>
          <w:tcPr>
            <w:tcW w:w="7655" w:type="dxa"/>
            <w:tcBorders>
              <w:top w:val="single" w:color="auto" w:sz="2" w:space="0"/>
              <w:bottom w:val="single" w:color="auto" w:sz="2" w:space="0"/>
            </w:tcBorders>
            <w:vAlign w:val="center"/>
          </w:tcPr>
          <w:p>
            <w:pPr>
              <w:ind w:right="-51"/>
              <w:jc w:val="left"/>
              <w:rPr>
                <w:rFonts w:ascii="仿宋" w:hAnsi="仿宋" w:cs="宋体"/>
                <w:color w:val="auto"/>
                <w:szCs w:val="21"/>
                <w:highlight w:val="none"/>
              </w:rPr>
            </w:pPr>
            <w:r>
              <w:rPr>
                <w:rFonts w:hint="eastAsia" w:ascii="仿宋" w:hAnsi="仿宋" w:cs="宋体"/>
                <w:color w:val="auto"/>
                <w:szCs w:val="21"/>
                <w:highlight w:val="none"/>
              </w:rPr>
              <w:t>TG-DSC传感器，一套</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2.3</w:t>
            </w:r>
          </w:p>
        </w:tc>
        <w:tc>
          <w:tcPr>
            <w:tcW w:w="7655" w:type="dxa"/>
            <w:tcBorders>
              <w:top w:val="single" w:color="auto" w:sz="2" w:space="0"/>
              <w:bottom w:val="single" w:color="auto" w:sz="2" w:space="0"/>
            </w:tcBorders>
            <w:vAlign w:val="center"/>
          </w:tcPr>
          <w:p>
            <w:pPr>
              <w:ind w:right="-51"/>
              <w:jc w:val="left"/>
              <w:rPr>
                <w:rFonts w:ascii="仿宋" w:hAnsi="仿宋" w:cs="宋体"/>
                <w:color w:val="auto"/>
                <w:szCs w:val="21"/>
                <w:highlight w:val="none"/>
              </w:rPr>
            </w:pPr>
            <w:r>
              <w:rPr>
                <w:rFonts w:hint="eastAsia" w:ascii="仿宋" w:hAnsi="仿宋" w:cs="宋体"/>
                <w:color w:val="auto"/>
                <w:szCs w:val="21"/>
                <w:highlight w:val="none"/>
              </w:rPr>
              <w:t>内置电子恒温装置，保持天平室温度稳定，1台</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2.4</w:t>
            </w:r>
          </w:p>
        </w:tc>
        <w:tc>
          <w:tcPr>
            <w:tcW w:w="7655" w:type="dxa"/>
            <w:tcBorders>
              <w:top w:val="single" w:color="auto" w:sz="2" w:space="0"/>
              <w:bottom w:val="single" w:color="auto" w:sz="2" w:space="0"/>
            </w:tcBorders>
            <w:vAlign w:val="center"/>
          </w:tcPr>
          <w:p>
            <w:pPr>
              <w:ind w:right="-51"/>
              <w:jc w:val="left"/>
              <w:rPr>
                <w:rFonts w:ascii="仿宋" w:hAnsi="仿宋" w:cs="宋体"/>
                <w:color w:val="auto"/>
                <w:szCs w:val="21"/>
                <w:highlight w:val="none"/>
              </w:rPr>
            </w:pPr>
            <w:r>
              <w:rPr>
                <w:rFonts w:hint="eastAsia" w:ascii="仿宋" w:hAnsi="仿宋" w:cs="宋体"/>
                <w:color w:val="auto"/>
                <w:szCs w:val="21"/>
                <w:highlight w:val="none"/>
              </w:rPr>
              <w:t>内置式质量流量计，3路气体输入2路气体输出，1套</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2.5</w:t>
            </w:r>
          </w:p>
        </w:tc>
        <w:tc>
          <w:tcPr>
            <w:tcW w:w="7655" w:type="dxa"/>
            <w:tcBorders>
              <w:top w:val="single" w:color="auto" w:sz="2" w:space="0"/>
              <w:bottom w:val="single" w:color="auto" w:sz="2" w:space="0"/>
            </w:tcBorders>
            <w:vAlign w:val="center"/>
          </w:tcPr>
          <w:p>
            <w:pPr>
              <w:ind w:right="-51"/>
              <w:jc w:val="left"/>
              <w:rPr>
                <w:rFonts w:ascii="仿宋" w:hAnsi="仿宋" w:cs="宋体"/>
                <w:color w:val="auto"/>
                <w:szCs w:val="21"/>
                <w:highlight w:val="none"/>
              </w:rPr>
            </w:pPr>
            <w:r>
              <w:rPr>
                <w:rFonts w:hint="eastAsia" w:ascii="仿宋" w:hAnsi="仿宋" w:cs="宋体"/>
                <w:color w:val="auto"/>
                <w:szCs w:val="21"/>
                <w:highlight w:val="none"/>
              </w:rPr>
              <w:t>温度及热焓校正标样，包含8种标准金属，1套</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2.6</w:t>
            </w:r>
          </w:p>
        </w:tc>
        <w:tc>
          <w:tcPr>
            <w:tcW w:w="7655" w:type="dxa"/>
            <w:tcBorders>
              <w:top w:val="single" w:color="auto" w:sz="2" w:space="0"/>
              <w:bottom w:val="single" w:color="auto" w:sz="2" w:space="0"/>
            </w:tcBorders>
            <w:vAlign w:val="center"/>
          </w:tcPr>
          <w:p>
            <w:pPr>
              <w:ind w:right="-51"/>
              <w:jc w:val="left"/>
              <w:rPr>
                <w:rFonts w:ascii="仿宋" w:hAnsi="仿宋" w:cs="宋体"/>
                <w:color w:val="auto"/>
                <w:szCs w:val="21"/>
                <w:highlight w:val="none"/>
              </w:rPr>
            </w:pPr>
            <w:r>
              <w:rPr>
                <w:rFonts w:hint="eastAsia" w:ascii="仿宋" w:hAnsi="仿宋" w:cs="宋体"/>
                <w:color w:val="auto"/>
                <w:szCs w:val="21"/>
                <w:highlight w:val="none"/>
              </w:rPr>
              <w:t>氧化铝坩埚，≥100套</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3</w:t>
            </w:r>
          </w:p>
        </w:tc>
        <w:tc>
          <w:tcPr>
            <w:tcW w:w="7655" w:type="dxa"/>
            <w:tcBorders>
              <w:top w:val="single" w:color="auto" w:sz="2" w:space="0"/>
              <w:bottom w:val="single" w:color="auto" w:sz="2" w:space="0"/>
            </w:tcBorders>
            <w:vAlign w:val="center"/>
          </w:tcPr>
          <w:p>
            <w:pPr>
              <w:ind w:left="634" w:leftChars="34" w:hanging="563" w:hangingChars="267"/>
              <w:rPr>
                <w:rFonts w:ascii="仿宋" w:hAnsi="仿宋" w:cs="宋体"/>
                <w:b/>
                <w:color w:val="auto"/>
                <w:szCs w:val="21"/>
                <w:highlight w:val="none"/>
              </w:rPr>
            </w:pPr>
            <w:r>
              <w:rPr>
                <w:rFonts w:hint="eastAsia" w:ascii="仿宋" w:hAnsi="仿宋" w:cs="宋体"/>
                <w:b/>
                <w:color w:val="auto"/>
                <w:szCs w:val="21"/>
                <w:highlight w:val="none"/>
              </w:rPr>
              <w:t>软件要求</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3.1</w:t>
            </w:r>
          </w:p>
        </w:tc>
        <w:tc>
          <w:tcPr>
            <w:tcW w:w="7655"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原装正版计算机操作系统软件、仪器操作与数据分析软件，软件免费升级。</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ind w:firstLine="422"/>
              <w:jc w:val="center"/>
              <w:rPr>
                <w:rFonts w:ascii="仿宋" w:hAnsi="仿宋" w:cs="宋体"/>
                <w:color w:val="auto"/>
                <w:szCs w:val="21"/>
                <w:highlight w:val="none"/>
              </w:rPr>
            </w:pPr>
            <w:r>
              <w:rPr>
                <w:rFonts w:hint="eastAsia" w:ascii="仿宋" w:hAnsi="仿宋" w:cs="宋体"/>
                <w:b/>
                <w:color w:val="auto"/>
                <w:szCs w:val="21"/>
                <w:highlight w:val="none"/>
              </w:rPr>
              <w:t>四</w:t>
            </w:r>
          </w:p>
        </w:tc>
        <w:tc>
          <w:tcPr>
            <w:tcW w:w="7655" w:type="dxa"/>
            <w:tcBorders>
              <w:top w:val="single" w:color="auto" w:sz="2" w:space="0"/>
              <w:bottom w:val="single" w:color="auto" w:sz="2" w:space="0"/>
            </w:tcBorders>
            <w:vAlign w:val="center"/>
          </w:tcPr>
          <w:p>
            <w:pPr>
              <w:ind w:firstLine="422"/>
              <w:rPr>
                <w:rFonts w:ascii="仿宋" w:hAnsi="仿宋" w:cs="宋体"/>
                <w:b/>
                <w:color w:val="auto"/>
                <w:szCs w:val="21"/>
                <w:highlight w:val="none"/>
              </w:rPr>
            </w:pPr>
            <w:r>
              <w:rPr>
                <w:rFonts w:hint="eastAsia" w:ascii="仿宋" w:hAnsi="仿宋" w:cs="宋体"/>
                <w:b/>
                <w:color w:val="auto"/>
                <w:szCs w:val="21"/>
                <w:highlight w:val="none"/>
              </w:rPr>
              <w:t>安装、培训和技术文件</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w:t>
            </w:r>
          </w:p>
        </w:tc>
        <w:tc>
          <w:tcPr>
            <w:tcW w:w="7655"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仪器供应商授权技术人员按照招标人确定的时间在指定的场地免费安装和调试热重分析仪及其附件，按照上述“三、技术要求”对主机、主要配置、软件的性能和功能进行测试，在招标人认为测试合格的基础上，由招标人授权人签字验收。</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2</w:t>
            </w:r>
          </w:p>
        </w:tc>
        <w:tc>
          <w:tcPr>
            <w:tcW w:w="7655"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仪器供应商派遣合格的技术人员到招标人指定地点就同步</w:t>
            </w:r>
            <w:r>
              <w:rPr>
                <w:rFonts w:hint="eastAsia" w:ascii="仿宋" w:hAnsi="仿宋" w:cs="宋体"/>
                <w:bCs/>
                <w:color w:val="auto"/>
                <w:szCs w:val="21"/>
                <w:highlight w:val="none"/>
              </w:rPr>
              <w:t>热分析</w:t>
            </w:r>
            <w:r>
              <w:rPr>
                <w:rFonts w:hint="eastAsia" w:ascii="仿宋" w:hAnsi="仿宋" w:cs="宋体"/>
                <w:color w:val="auto"/>
                <w:szCs w:val="21"/>
                <w:highlight w:val="none"/>
              </w:rPr>
              <w:t>仪及其附件的校准、技术原理、仪器操作、数据处理、软件的使用和结果分析及仪器基本维护等内容培训使用单位业务人员2名，直至业务人员能够熟练操作仪器为止。</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1276" w:type="dxa"/>
            <w:tcBorders>
              <w:top w:val="single" w:color="auto" w:sz="2" w:space="0"/>
              <w:bottom w:val="single" w:color="auto" w:sz="2"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3</w:t>
            </w:r>
          </w:p>
        </w:tc>
        <w:tc>
          <w:tcPr>
            <w:tcW w:w="7655" w:type="dxa"/>
            <w:tcBorders>
              <w:top w:val="single" w:color="auto" w:sz="2" w:space="0"/>
              <w:bottom w:val="single" w:color="auto" w:sz="2"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提供同步</w:t>
            </w:r>
            <w:r>
              <w:rPr>
                <w:rFonts w:hint="eastAsia" w:ascii="仿宋" w:hAnsi="仿宋" w:cs="宋体"/>
                <w:bCs/>
                <w:color w:val="auto"/>
                <w:szCs w:val="21"/>
                <w:highlight w:val="none"/>
              </w:rPr>
              <w:t>热分析</w:t>
            </w:r>
            <w:r>
              <w:rPr>
                <w:rFonts w:hint="eastAsia" w:ascii="仿宋" w:hAnsi="仿宋" w:cs="宋体"/>
                <w:color w:val="auto"/>
                <w:szCs w:val="21"/>
                <w:highlight w:val="none"/>
              </w:rPr>
              <w:t>仪及附件操作、维护等方面内容的全套技术资料。</w:t>
            </w:r>
          </w:p>
        </w:tc>
      </w:tr>
    </w:tbl>
    <w:p>
      <w:pPr>
        <w:pStyle w:val="29"/>
        <w:spacing w:before="120" w:beforeLines="50" w:after="120" w:afterLines="50" w:line="360" w:lineRule="auto"/>
        <w:ind w:firstLine="495" w:firstLineChars="235"/>
        <w:rPr>
          <w:rFonts w:ascii="宋体" w:hAnsi="宋体" w:cs="宋体"/>
          <w:b/>
          <w:bCs/>
          <w:color w:val="auto"/>
          <w:sz w:val="21"/>
          <w:szCs w:val="21"/>
          <w:highlight w:val="none"/>
        </w:rPr>
      </w:pPr>
      <w:r>
        <w:rPr>
          <w:rFonts w:hint="eastAsia" w:ascii="宋体" w:hAnsi="宋体" w:cs="宋体"/>
          <w:b/>
          <w:bCs/>
          <w:color w:val="auto"/>
          <w:sz w:val="21"/>
          <w:szCs w:val="21"/>
          <w:highlight w:val="none"/>
        </w:rPr>
        <w:t>（2）商务要求</w:t>
      </w:r>
    </w:p>
    <w:tbl>
      <w:tblPr>
        <w:tblStyle w:val="44"/>
        <w:tblW w:w="8931" w:type="dxa"/>
        <w:tblInd w:w="108" w:type="dxa"/>
        <w:tblLayout w:type="fixed"/>
        <w:tblCellMar>
          <w:top w:w="0" w:type="dxa"/>
          <w:left w:w="108" w:type="dxa"/>
          <w:bottom w:w="0" w:type="dxa"/>
          <w:right w:w="108" w:type="dxa"/>
        </w:tblCellMar>
      </w:tblPr>
      <w:tblGrid>
        <w:gridCol w:w="709"/>
        <w:gridCol w:w="1559"/>
        <w:gridCol w:w="6663"/>
      </w:tblGrid>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b/>
                <w:color w:val="auto"/>
                <w:szCs w:val="21"/>
                <w:highlight w:val="none"/>
              </w:rPr>
            </w:pPr>
            <w:r>
              <w:rPr>
                <w:rFonts w:hint="eastAsia" w:ascii="仿宋" w:hAnsi="仿宋" w:cs="宋体"/>
                <w:b/>
                <w:color w:val="auto"/>
                <w:szCs w:val="21"/>
                <w:highlight w:val="none"/>
              </w:rPr>
              <w:t>序号</w:t>
            </w:r>
          </w:p>
        </w:tc>
        <w:tc>
          <w:tcPr>
            <w:tcW w:w="1559" w:type="dxa"/>
            <w:tcBorders>
              <w:top w:val="single" w:color="000000" w:sz="4" w:space="0"/>
              <w:left w:val="single" w:color="000000" w:sz="4" w:space="0"/>
              <w:bottom w:val="single" w:color="000000" w:sz="4" w:space="0"/>
              <w:right w:val="single" w:color="000000" w:sz="4" w:space="0"/>
            </w:tcBorders>
            <w:vAlign w:val="center"/>
          </w:tcPr>
          <w:p>
            <w:pPr>
              <w:ind w:firstLine="422"/>
              <w:jc w:val="center"/>
              <w:rPr>
                <w:rFonts w:ascii="仿宋" w:hAnsi="仿宋" w:cs="宋体"/>
                <w:b/>
                <w:color w:val="auto"/>
                <w:szCs w:val="21"/>
                <w:highlight w:val="none"/>
              </w:rPr>
            </w:pPr>
            <w:r>
              <w:rPr>
                <w:rFonts w:hint="eastAsia" w:ascii="仿宋" w:hAnsi="仿宋" w:cs="宋体"/>
                <w:b/>
                <w:color w:val="auto"/>
                <w:szCs w:val="21"/>
                <w:highlight w:val="none"/>
              </w:rPr>
              <w:t>项目</w:t>
            </w:r>
          </w:p>
        </w:tc>
        <w:tc>
          <w:tcPr>
            <w:tcW w:w="6663" w:type="dxa"/>
            <w:tcBorders>
              <w:top w:val="single" w:color="000000" w:sz="4" w:space="0"/>
              <w:left w:val="single" w:color="000000" w:sz="4" w:space="0"/>
              <w:bottom w:val="single" w:color="000000" w:sz="4" w:space="0"/>
              <w:right w:val="single" w:color="000000" w:sz="4" w:space="0"/>
            </w:tcBorders>
            <w:vAlign w:val="center"/>
          </w:tcPr>
          <w:p>
            <w:pPr>
              <w:ind w:firstLine="422"/>
              <w:jc w:val="center"/>
              <w:rPr>
                <w:rFonts w:ascii="仿宋" w:hAnsi="仿宋" w:cs="宋体"/>
                <w:b/>
                <w:color w:val="auto"/>
                <w:szCs w:val="21"/>
                <w:highlight w:val="none"/>
              </w:rPr>
            </w:pPr>
            <w:r>
              <w:rPr>
                <w:rFonts w:hint="eastAsia" w:ascii="仿宋" w:hAnsi="仿宋" w:cs="宋体"/>
                <w:b/>
                <w:color w:val="auto"/>
                <w:szCs w:val="21"/>
                <w:highlight w:val="none"/>
              </w:rPr>
              <w:t>要求</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交货及交付验收时间</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合同签订生效之日起</w:t>
            </w:r>
            <w:r>
              <w:rPr>
                <w:rFonts w:ascii="仿宋" w:hAnsi="仿宋" w:cs="宋体"/>
                <w:color w:val="auto"/>
                <w:szCs w:val="21"/>
                <w:highlight w:val="none"/>
              </w:rPr>
              <w:t>90</w:t>
            </w:r>
            <w:r>
              <w:rPr>
                <w:rFonts w:hint="eastAsia" w:ascii="仿宋" w:hAnsi="仿宋" w:cs="宋体"/>
                <w:color w:val="auto"/>
                <w:szCs w:val="21"/>
                <w:highlight w:val="none"/>
              </w:rPr>
              <w:t>天内到货，到货后</w:t>
            </w:r>
            <w:r>
              <w:rPr>
                <w:rFonts w:ascii="仿宋" w:hAnsi="仿宋" w:cs="宋体"/>
                <w:color w:val="auto"/>
                <w:szCs w:val="21"/>
                <w:highlight w:val="none"/>
              </w:rPr>
              <w:t>3</w:t>
            </w:r>
            <w:r>
              <w:rPr>
                <w:rFonts w:hint="eastAsia" w:ascii="仿宋" w:hAnsi="仿宋" w:cs="宋体"/>
                <w:color w:val="auto"/>
                <w:szCs w:val="21"/>
                <w:highlight w:val="none"/>
              </w:rPr>
              <w:t>0天内完成安装调试交付验收。</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2</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交货地点</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bCs/>
                <w:color w:val="auto"/>
                <w:kern w:val="0"/>
                <w:szCs w:val="21"/>
                <w:highlight w:val="none"/>
              </w:rPr>
              <w:t xml:space="preserve">宁波市前湾新区滨海二路769号宁波工程学院新能源学院 </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3</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产品包装要求</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确保所有设备均采用国家或专业标准保护措施进行包装，使包装适应于远距离运输、防潮、防震、防锈和防粗暴装卸，以确保设备安全无损运抵交货现场。设备到货时，所有外包装箱箱体无严重破损或变形，封条应完整无缺，内包装应符合标准运输包装要求，拆箱后设备主体外表无任何磕碰、碎裂、划伤痕迹。运输途中设备出现的任何问题均由中标人负责解决。</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4</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产品及服务质量保证</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（1）投标人所供应的设备及其所有部件必须均是全新原装合格产品,在中国境内采购人拥有合法的产权和使用权。如发生交付设备与合同不符,采购人有权拒收或退货,由此产生的一切责任和后果由中标人承担。</w:t>
            </w:r>
          </w:p>
          <w:p>
            <w:pPr>
              <w:rPr>
                <w:rFonts w:ascii="仿宋" w:hAnsi="仿宋" w:cs="宋体"/>
                <w:color w:val="auto"/>
                <w:szCs w:val="21"/>
                <w:highlight w:val="none"/>
              </w:rPr>
            </w:pPr>
            <w:r>
              <w:rPr>
                <w:rFonts w:hint="eastAsia" w:ascii="仿宋" w:hAnsi="仿宋" w:cs="宋体"/>
                <w:color w:val="auto"/>
                <w:szCs w:val="21"/>
                <w:highlight w:val="none"/>
              </w:rPr>
              <w:t>（2）属于国家强制性产品认证范围的产品必须具有国家法定认证机构颁发的“CCC”认证证书。</w:t>
            </w:r>
          </w:p>
          <w:p>
            <w:pPr>
              <w:rPr>
                <w:rFonts w:ascii="仿宋" w:hAnsi="仿宋" w:cs="宋体"/>
                <w:color w:val="auto"/>
                <w:szCs w:val="21"/>
                <w:highlight w:val="none"/>
              </w:rPr>
            </w:pPr>
            <w:r>
              <w:rPr>
                <w:rFonts w:hint="eastAsia" w:ascii="仿宋" w:hAnsi="仿宋" w:cs="宋体"/>
                <w:color w:val="auto"/>
                <w:szCs w:val="21"/>
                <w:highlight w:val="none"/>
              </w:rPr>
              <w:t>（3）在设备交付时，中标人必须向采购人提供必备的相关资料。</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5</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质量标准</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产品质量必须执行国家相关标准、行业标准、地方标准或者其它标准、规范（从严）：</w:t>
            </w:r>
          </w:p>
          <w:p>
            <w:pPr>
              <w:rPr>
                <w:rFonts w:ascii="仿宋" w:hAnsi="仿宋" w:cs="宋体"/>
                <w:color w:val="auto"/>
                <w:szCs w:val="21"/>
                <w:highlight w:val="none"/>
              </w:rPr>
            </w:pPr>
            <w:r>
              <w:rPr>
                <w:rFonts w:hint="eastAsia" w:ascii="仿宋" w:hAnsi="仿宋" w:cs="宋体"/>
                <w:color w:val="auto"/>
                <w:szCs w:val="21"/>
                <w:highlight w:val="none"/>
              </w:rPr>
              <w:t>具有国家标准及规范的，按最新的标准及规范执行；具有行业标准及规范的，按最新的标准及规范执行；具有其他标准及规范的，按照最新的标准及规范执行；没有相关标准及规范的，按照招标文件的技术及服务要求执行。</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6</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产品保修期</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1）所有设备提供不少于1年的免费保修期及保证所有相关软件终生免费升级、维护。在保修期内，仪器供应商在接到招标人要求对所购热重分析仪及附件进行维修的通知时,应在4小时内给予答复，并派出专门维修人员2日内到达现场进行维修服务及负担所有的费用。</w:t>
            </w:r>
          </w:p>
          <w:p>
            <w:pPr>
              <w:rPr>
                <w:rFonts w:ascii="仿宋" w:hAnsi="仿宋" w:cs="宋体"/>
                <w:color w:val="auto"/>
                <w:szCs w:val="21"/>
                <w:highlight w:val="none"/>
              </w:rPr>
            </w:pPr>
            <w:r>
              <w:rPr>
                <w:rFonts w:hint="eastAsia" w:ascii="仿宋" w:hAnsi="仿宋" w:cs="宋体"/>
                <w:color w:val="auto"/>
                <w:szCs w:val="21"/>
                <w:highlight w:val="none"/>
              </w:rPr>
              <w:t>（2）保修期在双方签署项目最终验收报告之日起计算，在此期间内，任何非因采购人原因造成的设备质量及使用问题均由中标人提供相关保修服务，包括但不仅限于维修或更换，其费用含在投标报价中，相关费用包含达到设备正常使用目标所需的零部件费用、技术人员费用、交通差旅费等，维修必须遵守制造商的技术及零部件使用标准。</w:t>
            </w:r>
          </w:p>
          <w:p>
            <w:pPr>
              <w:rPr>
                <w:rFonts w:ascii="仿宋" w:hAnsi="仿宋" w:cs="宋体"/>
                <w:color w:val="auto"/>
                <w:szCs w:val="21"/>
                <w:highlight w:val="none"/>
              </w:rPr>
            </w:pPr>
            <w:r>
              <w:rPr>
                <w:rFonts w:hint="eastAsia" w:ascii="仿宋" w:hAnsi="仿宋" w:cs="宋体"/>
                <w:color w:val="auto"/>
                <w:szCs w:val="21"/>
                <w:highlight w:val="none"/>
              </w:rPr>
              <w:t>（3）保修期过后至少提供10年的零配件供应,并提供终生优质的跟踪维修服务。</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7</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验收</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设备安装调试完成后，双方按照确定的技术标准进行验收。验收前，乙方应向甲方提交所有验收必备资料。</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8</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签订合同时间</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采购人在中标通知书发出之日起30日内与中标人签订书面合同，具体签约时间以采购人通知为准。</w:t>
            </w:r>
          </w:p>
        </w:tc>
      </w:tr>
      <w:tr>
        <w:tblPrEx>
          <w:tblCellMar>
            <w:top w:w="0" w:type="dxa"/>
            <w:left w:w="108" w:type="dxa"/>
            <w:bottom w:w="0" w:type="dxa"/>
            <w:right w:w="108" w:type="dxa"/>
          </w:tblCellMar>
        </w:tblPrEx>
        <w:trPr>
          <w:trHeight w:val="132"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9</w:t>
            </w:r>
          </w:p>
        </w:tc>
        <w:tc>
          <w:tcPr>
            <w:tcW w:w="1559"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合同款项支付条件及方式</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shd w:val="clear" w:color="auto" w:fill="FFFFFF"/>
              </w:rPr>
            </w:pPr>
            <w:r>
              <w:rPr>
                <w:rFonts w:hint="eastAsia" w:ascii="仿宋" w:hAnsi="仿宋" w:cs="宋体"/>
                <w:color w:val="auto"/>
                <w:szCs w:val="21"/>
                <w:highlight w:val="none"/>
                <w:shd w:val="clear" w:color="auto" w:fill="FFFFFF"/>
              </w:rPr>
              <w:t>（1）所投标项为国产设备中标的，按照以下条件支付合同款：</w:t>
            </w:r>
          </w:p>
          <w:p>
            <w:pPr>
              <w:rPr>
                <w:rFonts w:ascii="仿宋" w:hAnsi="仿宋" w:cs="宋体"/>
                <w:color w:val="auto"/>
                <w:szCs w:val="21"/>
                <w:highlight w:val="none"/>
                <w:shd w:val="clear" w:color="auto" w:fill="FFFFFF"/>
              </w:rPr>
            </w:pPr>
            <w:r>
              <w:rPr>
                <w:rFonts w:hint="eastAsia" w:ascii="仿宋" w:hAnsi="仿宋" w:cs="宋体"/>
                <w:color w:val="auto"/>
                <w:szCs w:val="21"/>
                <w:highlight w:val="none"/>
                <w:shd w:val="clear" w:color="auto" w:fill="FFFFFF"/>
              </w:rPr>
              <w:t>1）合同签订生效之日起7个工作日内支付合同总价的40%作为预付款。</w:t>
            </w:r>
          </w:p>
          <w:p>
            <w:pPr>
              <w:rPr>
                <w:rFonts w:ascii="仿宋" w:hAnsi="仿宋" w:cs="宋体"/>
                <w:color w:val="auto"/>
                <w:szCs w:val="21"/>
                <w:highlight w:val="none"/>
                <w:shd w:val="clear" w:color="auto" w:fill="FFFFFF"/>
              </w:rPr>
            </w:pPr>
            <w:r>
              <w:rPr>
                <w:rFonts w:hint="eastAsia" w:ascii="仿宋" w:hAnsi="仿宋" w:cs="宋体"/>
                <w:color w:val="auto"/>
                <w:szCs w:val="21"/>
                <w:highlight w:val="none"/>
                <w:shd w:val="clear" w:color="auto" w:fill="FFFFFF"/>
              </w:rPr>
              <w:t>2）所有设备到达指定地点后15日内支付合同总价的50%。</w:t>
            </w:r>
          </w:p>
          <w:p>
            <w:pPr>
              <w:rPr>
                <w:rFonts w:ascii="仿宋" w:hAnsi="仿宋" w:cs="宋体"/>
                <w:color w:val="auto"/>
                <w:szCs w:val="21"/>
                <w:highlight w:val="none"/>
                <w:shd w:val="clear" w:color="auto" w:fill="FFFFFF"/>
              </w:rPr>
            </w:pPr>
            <w:r>
              <w:rPr>
                <w:rFonts w:hint="eastAsia" w:ascii="仿宋" w:hAnsi="仿宋" w:cs="宋体"/>
                <w:color w:val="auto"/>
                <w:szCs w:val="21"/>
                <w:highlight w:val="none"/>
                <w:shd w:val="clear" w:color="auto" w:fill="FFFFFF"/>
              </w:rPr>
              <w:t>3）设备安装调试完毕，且经使用单位验收合格后</w:t>
            </w:r>
            <w:r>
              <w:rPr>
                <w:rFonts w:ascii="仿宋" w:hAnsi="仿宋" w:cs="宋体"/>
                <w:color w:val="auto"/>
                <w:szCs w:val="21"/>
                <w:highlight w:val="none"/>
                <w:shd w:val="clear" w:color="auto" w:fill="FFFFFF"/>
              </w:rPr>
              <w:t>15</w:t>
            </w:r>
            <w:r>
              <w:rPr>
                <w:rFonts w:hint="eastAsia" w:ascii="仿宋" w:hAnsi="仿宋" w:cs="宋体"/>
                <w:color w:val="auto"/>
                <w:szCs w:val="21"/>
                <w:highlight w:val="none"/>
                <w:shd w:val="clear" w:color="auto" w:fill="FFFFFF"/>
              </w:rPr>
              <w:t>日内一次性支付余款。</w:t>
            </w:r>
          </w:p>
          <w:p>
            <w:pPr>
              <w:rPr>
                <w:rFonts w:ascii="仿宋" w:hAnsi="仿宋" w:cs="宋体"/>
                <w:color w:val="auto"/>
                <w:szCs w:val="21"/>
                <w:highlight w:val="none"/>
                <w:shd w:val="clear" w:color="auto" w:fill="FFFFFF"/>
              </w:rPr>
            </w:pPr>
            <w:r>
              <w:rPr>
                <w:rFonts w:hint="eastAsia" w:ascii="仿宋" w:hAnsi="仿宋" w:cs="宋体"/>
                <w:color w:val="auto"/>
                <w:szCs w:val="21"/>
                <w:highlight w:val="none"/>
                <w:shd w:val="clear" w:color="auto" w:fill="FFFFFF"/>
              </w:rPr>
              <w:t>注：中标人于合同签订前书面承诺放弃预付款或降低预付款支付比例的，可不适用本条款且具体支付方式由双方在合同中自行约定。</w:t>
            </w:r>
          </w:p>
          <w:p>
            <w:pPr>
              <w:rPr>
                <w:rFonts w:ascii="仿宋" w:hAnsi="仿宋" w:cs="宋体"/>
                <w:color w:val="auto"/>
                <w:szCs w:val="21"/>
                <w:highlight w:val="none"/>
                <w:shd w:val="clear" w:color="auto" w:fill="FFFFFF"/>
              </w:rPr>
            </w:pPr>
            <w:r>
              <w:rPr>
                <w:rFonts w:hint="eastAsia" w:ascii="仿宋" w:hAnsi="仿宋" w:cs="宋体"/>
                <w:color w:val="auto"/>
                <w:szCs w:val="21"/>
                <w:highlight w:val="none"/>
                <w:shd w:val="clear" w:color="auto" w:fill="FFFFFF"/>
              </w:rPr>
              <w:t>（2）所投标项为进口设备中标的，按照以下条件支付合同款：</w:t>
            </w:r>
          </w:p>
          <w:p>
            <w:pPr>
              <w:rPr>
                <w:rFonts w:ascii="仿宋" w:hAnsi="仿宋" w:cs="宋体"/>
                <w:color w:val="auto"/>
                <w:szCs w:val="21"/>
                <w:highlight w:val="none"/>
                <w:shd w:val="clear" w:color="auto" w:fill="FFFFFF"/>
              </w:rPr>
            </w:pPr>
            <w:r>
              <w:rPr>
                <w:rFonts w:hint="eastAsia" w:ascii="仿宋" w:hAnsi="仿宋" w:cs="宋体"/>
                <w:color w:val="auto"/>
                <w:szCs w:val="21"/>
                <w:highlight w:val="none"/>
                <w:shd w:val="clear" w:color="auto" w:fill="FFFFFF"/>
              </w:rPr>
              <w:t>买方开具100%不可撤消即期信用证。其中80%凭货运单据收取，20%凭宁波工程学院盖章的货物验收合格报告收取。</w:t>
            </w:r>
          </w:p>
        </w:tc>
      </w:tr>
      <w:tr>
        <w:tblPrEx>
          <w:tblCellMar>
            <w:top w:w="0" w:type="dxa"/>
            <w:left w:w="108" w:type="dxa"/>
            <w:bottom w:w="0" w:type="dxa"/>
            <w:right w:w="108" w:type="dxa"/>
          </w:tblCellMar>
        </w:tblPrEx>
        <w:trPr>
          <w:trHeight w:val="649"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10</w:t>
            </w:r>
          </w:p>
        </w:tc>
        <w:tc>
          <w:tcPr>
            <w:tcW w:w="1559"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发票要求</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（1）中标人应在采购人支付费用前，依据相应的金额，向采购人提供足额且符合税法规定的发票。采购人在收到中标人提供的发票后在合同约定的时间内支付相应款项。</w:t>
            </w:r>
          </w:p>
          <w:p>
            <w:pPr>
              <w:rPr>
                <w:rFonts w:ascii="仿宋" w:hAnsi="仿宋" w:cs="宋体"/>
                <w:color w:val="auto"/>
                <w:szCs w:val="21"/>
                <w:highlight w:val="none"/>
              </w:rPr>
            </w:pPr>
            <w:r>
              <w:rPr>
                <w:rFonts w:hint="eastAsia" w:ascii="仿宋" w:hAnsi="仿宋" w:cs="宋体"/>
                <w:color w:val="auto"/>
                <w:szCs w:val="21"/>
                <w:highlight w:val="none"/>
              </w:rPr>
              <w:t>（2）本项目合同签署的中标人名称与发票开具单位及收款单位必须一致，中标人不得以任何理由在合同执行过程中要求调整发票开具单位或收款单位（中标人依法变更单位名称或存在其他特殊情况符合规定要求除外），否则视为中标人违约并自行承担相关责任，且须承担由此对采购人造成的一切损失。</w:t>
            </w:r>
          </w:p>
        </w:tc>
      </w:tr>
      <w:tr>
        <w:tblPrEx>
          <w:tblCellMar>
            <w:top w:w="0" w:type="dxa"/>
            <w:left w:w="108" w:type="dxa"/>
            <w:bottom w:w="0" w:type="dxa"/>
            <w:right w:w="108" w:type="dxa"/>
          </w:tblCellMar>
        </w:tblPrEx>
        <w:trPr>
          <w:trHeight w:val="541"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11</w:t>
            </w:r>
          </w:p>
        </w:tc>
        <w:tc>
          <w:tcPr>
            <w:tcW w:w="1559"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履约保证金</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本项目要求中标人缴纳合同总额1</w:t>
            </w:r>
            <w:r>
              <w:rPr>
                <w:rFonts w:ascii="仿宋" w:hAnsi="仿宋" w:cs="宋体"/>
                <w:color w:val="auto"/>
                <w:szCs w:val="21"/>
                <w:highlight w:val="none"/>
              </w:rPr>
              <w:t>%</w:t>
            </w:r>
            <w:r>
              <w:rPr>
                <w:rFonts w:hint="eastAsia" w:ascii="仿宋" w:hAnsi="仿宋" w:cs="宋体"/>
                <w:color w:val="auto"/>
                <w:szCs w:val="21"/>
                <w:highlight w:val="none"/>
              </w:rPr>
              <w:t>的履约保证金，在合同签订后7个工作日内以支票、汇票、本票或者金融机构、担保机构出具的保函等非现金形式提交，项目验收合格后一次性退还。</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12</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cs="宋体"/>
                <w:color w:val="auto"/>
                <w:szCs w:val="21"/>
                <w:highlight w:val="none"/>
              </w:rPr>
            </w:pPr>
            <w:r>
              <w:rPr>
                <w:rFonts w:hint="eastAsia" w:ascii="仿宋" w:hAnsi="仿宋" w:cs="宋体"/>
                <w:color w:val="auto"/>
                <w:szCs w:val="21"/>
                <w:highlight w:val="none"/>
              </w:rPr>
              <w:t>其他</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在合同履行过程中，中标供应商应承担由于其行为所造成的采购人或第三人的人身伤害、财产损失或损坏的责任，无论何种原因所造成，与采购人无涉，由此导致的损失由中标供应商承担，无论何种原因采购人先行支付的，采购人有权向中标供应商进行追偿。</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cs="宋体"/>
                <w:color w:val="auto"/>
                <w:szCs w:val="21"/>
                <w:highlight w:val="none"/>
              </w:rPr>
            </w:pPr>
            <w:r>
              <w:rPr>
                <w:rFonts w:hint="eastAsia" w:ascii="仿宋" w:hAnsi="仿宋" w:cs="宋体"/>
                <w:color w:val="auto"/>
                <w:szCs w:val="21"/>
                <w:highlight w:val="none"/>
              </w:rPr>
              <w:t>13</w:t>
            </w:r>
          </w:p>
        </w:tc>
        <w:tc>
          <w:tcPr>
            <w:tcW w:w="1559"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知识产权要求</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cs="宋体"/>
                <w:color w:val="auto"/>
                <w:szCs w:val="21"/>
                <w:highlight w:val="none"/>
              </w:rPr>
            </w:pPr>
            <w:r>
              <w:rPr>
                <w:rFonts w:hint="eastAsia" w:ascii="仿宋" w:hAnsi="仿宋" w:cs="宋体"/>
                <w:color w:val="auto"/>
                <w:szCs w:val="21"/>
                <w:highlight w:val="none"/>
              </w:rPr>
              <w:t>投标人提供的产品未侵犯他人的知识产权。</w:t>
            </w:r>
          </w:p>
        </w:tc>
      </w:tr>
    </w:tbl>
    <w:p>
      <w:pPr>
        <w:pStyle w:val="3"/>
        <w:ind w:firstLine="280"/>
        <w:rPr>
          <w:color w:val="auto"/>
          <w:highlight w:val="none"/>
        </w:rPr>
      </w:pPr>
    </w:p>
    <w:p>
      <w:pPr>
        <w:rPr>
          <w:color w:val="auto"/>
          <w:highlight w:val="none"/>
        </w:rPr>
      </w:pPr>
    </w:p>
    <w:bookmarkEnd w:id="34"/>
    <w:bookmarkEnd w:id="35"/>
    <w:bookmarkEnd w:id="36"/>
    <w:p>
      <w:pPr>
        <w:adjustRightInd w:val="0"/>
        <w:spacing w:line="360" w:lineRule="auto"/>
        <w:rPr>
          <w:rFonts w:asciiTheme="minorEastAsia" w:hAnsiTheme="minorEastAsia" w:eastAsiaTheme="minorEastAsia"/>
          <w:b/>
          <w:color w:val="auto"/>
          <w:sz w:val="24"/>
          <w:szCs w:val="18"/>
          <w:highlight w:val="none"/>
        </w:rPr>
      </w:pPr>
      <w:r>
        <w:rPr>
          <w:rFonts w:asciiTheme="minorEastAsia" w:hAnsiTheme="minorEastAsia" w:eastAsiaTheme="minorEastAsia"/>
          <w:bCs/>
          <w:color w:val="auto"/>
          <w:szCs w:val="21"/>
          <w:highlight w:val="none"/>
        </w:rPr>
        <w:br w:type="page"/>
      </w:r>
    </w:p>
    <w:p>
      <w:pPr>
        <w:pStyle w:val="4"/>
        <w:ind w:firstLine="482"/>
        <w:rPr>
          <w:rFonts w:asciiTheme="minorEastAsia" w:hAnsiTheme="minorEastAsia" w:eastAsiaTheme="minorEastAsia"/>
          <w:color w:val="auto"/>
          <w:sz w:val="32"/>
          <w:highlight w:val="none"/>
        </w:rPr>
      </w:pPr>
      <w:bookmarkStart w:id="40" w:name="_Toc118452526"/>
      <w:bookmarkStart w:id="41" w:name="_Toc34844743"/>
      <w:r>
        <w:rPr>
          <w:rFonts w:hint="eastAsia" w:asciiTheme="minorEastAsia" w:hAnsiTheme="minorEastAsia" w:eastAsiaTheme="minorEastAsia"/>
          <w:color w:val="auto"/>
          <w:highlight w:val="none"/>
        </w:rPr>
        <w:t>第三章  投标人须知</w:t>
      </w:r>
      <w:bookmarkEnd w:id="40"/>
      <w:bookmarkEnd w:id="41"/>
    </w:p>
    <w:p>
      <w:pPr>
        <w:spacing w:line="360" w:lineRule="auto"/>
        <w:ind w:firstLine="422"/>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投标人须知前附表</w:t>
      </w:r>
    </w:p>
    <w:p>
      <w:pPr>
        <w:spacing w:line="360" w:lineRule="auto"/>
        <w:jc w:val="left"/>
        <w:rPr>
          <w:rStyle w:val="364"/>
          <w:rFonts w:hint="default" w:asciiTheme="minorEastAsia" w:hAnsiTheme="minorEastAsia" w:eastAsiaTheme="minorEastAsia"/>
          <w:color w:val="auto"/>
          <w:sz w:val="21"/>
          <w:highlight w:val="none"/>
        </w:rPr>
      </w:pPr>
      <w:r>
        <w:rPr>
          <w:rStyle w:val="364"/>
          <w:rFonts w:hint="default" w:asciiTheme="minorEastAsia" w:hAnsiTheme="minorEastAsia" w:eastAsiaTheme="minorEastAsia"/>
          <w:color w:val="auto"/>
          <w:sz w:val="21"/>
          <w:highlight w:val="none"/>
        </w:rPr>
        <w:t>注：本表是本项目的具体要求，是对投标人须知的具体补充和修改，如有不一致，以本表为准。</w:t>
      </w:r>
    </w:p>
    <w:tbl>
      <w:tblPr>
        <w:tblStyle w:val="44"/>
        <w:tblW w:w="88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2"/>
        <w:gridCol w:w="892"/>
        <w:gridCol w:w="1817"/>
        <w:gridCol w:w="54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序号</w:t>
            </w:r>
          </w:p>
        </w:tc>
        <w:tc>
          <w:tcPr>
            <w:tcW w:w="89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条款号</w:t>
            </w:r>
          </w:p>
        </w:tc>
        <w:tc>
          <w:tcPr>
            <w:tcW w:w="1817" w:type="dxa"/>
            <w:tcBorders>
              <w:top w:val="single" w:color="auto" w:sz="4" w:space="0"/>
              <w:left w:val="single" w:color="auto" w:sz="4" w:space="0"/>
              <w:bottom w:val="single" w:color="auto" w:sz="4" w:space="0"/>
              <w:right w:val="single" w:color="auto" w:sz="4" w:space="0"/>
            </w:tcBorders>
            <w:vAlign w:val="center"/>
          </w:tcPr>
          <w:p>
            <w:pPr>
              <w:ind w:firstLine="422"/>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条款名称</w:t>
            </w:r>
          </w:p>
        </w:tc>
        <w:tc>
          <w:tcPr>
            <w:tcW w:w="5486" w:type="dxa"/>
            <w:tcBorders>
              <w:top w:val="single" w:color="auto" w:sz="4" w:space="0"/>
              <w:left w:val="single" w:color="auto" w:sz="4" w:space="0"/>
              <w:bottom w:val="single" w:color="auto" w:sz="4" w:space="0"/>
              <w:right w:val="single" w:color="auto" w:sz="4" w:space="0"/>
            </w:tcBorders>
            <w:vAlign w:val="center"/>
          </w:tcPr>
          <w:p>
            <w:pPr>
              <w:ind w:firstLine="422"/>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3.1</w:t>
            </w:r>
          </w:p>
        </w:tc>
        <w:tc>
          <w:tcPr>
            <w:tcW w:w="181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采购人</w:t>
            </w:r>
          </w:p>
        </w:tc>
        <w:tc>
          <w:tcPr>
            <w:tcW w:w="5486"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宁波工程学院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3.2</w:t>
            </w:r>
          </w:p>
        </w:tc>
        <w:tc>
          <w:tcPr>
            <w:tcW w:w="181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采购代理机构</w:t>
            </w:r>
          </w:p>
        </w:tc>
        <w:tc>
          <w:tcPr>
            <w:tcW w:w="5486"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宁波名诚招标代理有限公司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w:t>
            </w:r>
          </w:p>
        </w:tc>
        <w:tc>
          <w:tcPr>
            <w:tcW w:w="181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政府采购监督管理部门</w:t>
            </w:r>
          </w:p>
        </w:tc>
        <w:tc>
          <w:tcPr>
            <w:tcW w:w="5486" w:type="dxa"/>
            <w:tcBorders>
              <w:top w:val="single" w:color="auto" w:sz="4" w:space="0"/>
              <w:left w:val="single" w:color="auto" w:sz="4" w:space="0"/>
              <w:bottom w:val="single" w:color="auto" w:sz="4" w:space="0"/>
              <w:right w:val="single" w:color="auto" w:sz="4" w:space="0"/>
            </w:tcBorders>
            <w:vAlign w:val="center"/>
          </w:tcPr>
          <w:p>
            <w:pPr>
              <w:pStyle w:val="301"/>
              <w:widowControl w:val="0"/>
              <w:spacing w:before="0" w:beforeAutospacing="0" w:afterAutospacing="0"/>
              <w:jc w:val="both"/>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宁波市财政局政府采购办公室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3.4</w:t>
            </w:r>
          </w:p>
        </w:tc>
        <w:tc>
          <w:tcPr>
            <w:tcW w:w="181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是否为专门面向中小企业采购</w:t>
            </w:r>
          </w:p>
        </w:tc>
        <w:tc>
          <w:tcPr>
            <w:tcW w:w="5486" w:type="dxa"/>
            <w:tcBorders>
              <w:top w:val="single" w:color="auto" w:sz="4" w:space="0"/>
              <w:left w:val="single" w:color="auto" w:sz="4" w:space="0"/>
              <w:bottom w:val="single" w:color="auto" w:sz="4" w:space="0"/>
              <w:right w:val="single" w:color="auto" w:sz="4" w:space="0"/>
            </w:tcBorders>
            <w:vAlign w:val="center"/>
          </w:tcPr>
          <w:p>
            <w:pPr>
              <w:pStyle w:val="301"/>
              <w:widowControl w:val="0"/>
              <w:spacing w:before="0" w:beforeAutospacing="0" w:afterAutospacing="0"/>
              <w:jc w:val="both"/>
              <w:rPr>
                <w:rFonts w:asciiTheme="minorEastAsia" w:hAnsiTheme="minorEastAsia" w:eastAsiaTheme="minorEastAsia"/>
                <w:bCs/>
                <w:color w:val="auto"/>
                <w:sz w:val="21"/>
                <w:szCs w:val="21"/>
                <w:highlight w:val="none"/>
              </w:rPr>
            </w:pPr>
            <w:r>
              <w:rPr>
                <w:rFonts w:hint="eastAsia" w:asciiTheme="minorEastAsia" w:hAnsiTheme="minorEastAsia" w:eastAsiaTheme="minorEastAsia"/>
                <w:color w:val="auto"/>
                <w:sz w:val="21"/>
                <w:szCs w:val="21"/>
                <w:highlight w:val="none"/>
              </w:rPr>
              <w:t xml:space="preserve">□是  </w:t>
            </w:r>
            <w:r>
              <w:rPr>
                <w:rFonts w:hint="eastAsia" w:asciiTheme="minorEastAsia" w:hAnsiTheme="minorEastAsia" w:eastAsiaTheme="minorEastAsia"/>
                <w:color w:val="auto"/>
                <w:sz w:val="21"/>
                <w:szCs w:val="21"/>
                <w:highlight w:val="none"/>
              </w:rPr>
              <w:sym w:font="Wingdings" w:char="F0FE"/>
            </w:r>
            <w:r>
              <w:rPr>
                <w:rFonts w:hint="eastAsia" w:asciiTheme="minorEastAsia" w:hAnsiTheme="minorEastAsia" w:eastAsiaTheme="minorEastAsia"/>
                <w:color w:val="auto"/>
                <w:sz w:val="21"/>
                <w:szCs w:val="21"/>
                <w:highlight w:val="none"/>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5</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10.2</w:t>
            </w:r>
          </w:p>
        </w:tc>
        <w:tc>
          <w:tcPr>
            <w:tcW w:w="181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本项目核心产品</w:t>
            </w:r>
          </w:p>
        </w:tc>
        <w:tc>
          <w:tcPr>
            <w:tcW w:w="5486" w:type="dxa"/>
            <w:tcBorders>
              <w:top w:val="single" w:color="auto" w:sz="4" w:space="0"/>
              <w:left w:val="single" w:color="auto" w:sz="4" w:space="0"/>
              <w:bottom w:val="single" w:color="auto" w:sz="4" w:space="0"/>
              <w:right w:val="single" w:color="auto" w:sz="4" w:space="0"/>
            </w:tcBorders>
            <w:vAlign w:val="center"/>
          </w:tcPr>
          <w:p>
            <w:pPr>
              <w:pStyle w:val="301"/>
              <w:widowControl w:val="0"/>
              <w:spacing w:before="0" w:beforeAutospacing="0" w:afterAutospacing="0"/>
              <w:jc w:val="both"/>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《第二章  采购需求》以●标记的产品为多产品采购项目的核心产品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6</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11.3</w:t>
            </w:r>
          </w:p>
        </w:tc>
        <w:tc>
          <w:tcPr>
            <w:tcW w:w="181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质疑函递交方式、接收部门、联系电话和通讯地址</w:t>
            </w:r>
          </w:p>
        </w:tc>
        <w:tc>
          <w:tcPr>
            <w:tcW w:w="5486" w:type="dxa"/>
            <w:tcBorders>
              <w:top w:val="single" w:color="auto" w:sz="4" w:space="0"/>
              <w:left w:val="single" w:color="auto" w:sz="4" w:space="0"/>
              <w:bottom w:val="single" w:color="auto" w:sz="4" w:space="0"/>
              <w:right w:val="single" w:color="auto" w:sz="4" w:space="0"/>
            </w:tcBorders>
            <w:vAlign w:val="center"/>
          </w:tcPr>
          <w:p>
            <w:pPr>
              <w:pStyle w:val="301"/>
              <w:widowControl w:val="0"/>
              <w:spacing w:before="0" w:beforeAutospacing="0" w:afterAutospacing="0"/>
              <w:jc w:val="both"/>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递交方式：</w:t>
            </w:r>
            <w:r>
              <w:rPr>
                <w:rFonts w:hint="eastAsia" w:asciiTheme="minorEastAsia" w:hAnsiTheme="minorEastAsia" w:eastAsiaTheme="minorEastAsia"/>
                <w:color w:val="auto"/>
                <w:sz w:val="21"/>
                <w:szCs w:val="21"/>
                <w:highlight w:val="none"/>
                <w:u w:val="single"/>
              </w:rPr>
              <w:t>书面形式</w:t>
            </w:r>
          </w:p>
          <w:p>
            <w:pPr>
              <w:pStyle w:val="301"/>
              <w:widowControl w:val="0"/>
              <w:spacing w:before="0" w:beforeAutospacing="0" w:afterAutospacing="0"/>
              <w:jc w:val="both"/>
              <w:rPr>
                <w:rFonts w:asciiTheme="minorEastAsia" w:hAnsiTheme="minorEastAsia" w:eastAsiaTheme="minorEastAsia"/>
                <w:b/>
                <w:bCs/>
                <w:color w:val="auto"/>
                <w:sz w:val="21"/>
                <w:szCs w:val="21"/>
                <w:highlight w:val="none"/>
                <w:u w:val="single"/>
              </w:rPr>
            </w:pPr>
            <w:r>
              <w:rPr>
                <w:rFonts w:hint="eastAsia" w:asciiTheme="minorEastAsia" w:hAnsiTheme="minorEastAsia" w:eastAsiaTheme="minorEastAsia"/>
                <w:color w:val="auto"/>
                <w:sz w:val="21"/>
                <w:szCs w:val="21"/>
                <w:highlight w:val="none"/>
              </w:rPr>
              <w:t>接收部门：</w:t>
            </w:r>
            <w:r>
              <w:rPr>
                <w:rFonts w:hint="eastAsia" w:asciiTheme="minorEastAsia" w:hAnsiTheme="minorEastAsia" w:eastAsiaTheme="minorEastAsia"/>
                <w:color w:val="auto"/>
                <w:sz w:val="21"/>
                <w:szCs w:val="21"/>
                <w:highlight w:val="none"/>
                <w:u w:val="single"/>
              </w:rPr>
              <w:t>综合办</w:t>
            </w:r>
          </w:p>
          <w:p>
            <w:pPr>
              <w:pStyle w:val="301"/>
              <w:widowControl w:val="0"/>
              <w:spacing w:before="0" w:beforeAutospacing="0" w:afterAutospacing="0"/>
              <w:jc w:val="both"/>
              <w:rPr>
                <w:rFonts w:asciiTheme="minorEastAsia" w:hAnsiTheme="minorEastAsia" w:eastAsiaTheme="minorEastAsia"/>
                <w:b/>
                <w:bCs/>
                <w:color w:val="auto"/>
                <w:sz w:val="21"/>
                <w:szCs w:val="21"/>
                <w:highlight w:val="none"/>
                <w:u w:val="single"/>
              </w:rPr>
            </w:pPr>
            <w:r>
              <w:rPr>
                <w:rFonts w:asciiTheme="minorEastAsia" w:hAnsiTheme="minorEastAsia" w:eastAsiaTheme="minorEastAsia"/>
                <w:color w:val="auto"/>
                <w:sz w:val="21"/>
                <w:szCs w:val="21"/>
                <w:highlight w:val="none"/>
              </w:rPr>
              <w:t>联系电话：</w:t>
            </w:r>
            <w:r>
              <w:rPr>
                <w:rFonts w:hint="eastAsia" w:asciiTheme="minorEastAsia" w:hAnsiTheme="minorEastAsia" w:eastAsiaTheme="minorEastAsia"/>
                <w:bCs/>
                <w:color w:val="auto"/>
                <w:sz w:val="21"/>
                <w:szCs w:val="21"/>
                <w:highlight w:val="none"/>
                <w:u w:val="single"/>
              </w:rPr>
              <w:t>0574-87101271</w:t>
            </w:r>
          </w:p>
          <w:p>
            <w:pPr>
              <w:ind w:firstLine="29" w:firstLineChars="14"/>
              <w:jc w:val="left"/>
              <w:rPr>
                <w:rFonts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通讯地址：</w:t>
            </w:r>
            <w:r>
              <w:rPr>
                <w:rFonts w:hint="eastAsia" w:asciiTheme="minorEastAsia" w:hAnsiTheme="minorEastAsia" w:eastAsiaTheme="minorEastAsia"/>
                <w:bCs/>
                <w:color w:val="auto"/>
                <w:szCs w:val="21"/>
                <w:highlight w:val="none"/>
                <w:u w:val="single"/>
              </w:rPr>
              <w:t>宁波市海曙区江汇城496号姚江时代14幢3楼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7</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14.1</w:t>
            </w:r>
          </w:p>
        </w:tc>
        <w:tc>
          <w:tcPr>
            <w:tcW w:w="181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w:t>
            </w:r>
            <w:r>
              <w:rPr>
                <w:rFonts w:asciiTheme="minorEastAsia" w:hAnsiTheme="minorEastAsia" w:eastAsiaTheme="minorEastAsia"/>
                <w:color w:val="auto"/>
                <w:szCs w:val="21"/>
                <w:highlight w:val="none"/>
              </w:rPr>
              <w:t>代理</w:t>
            </w:r>
            <w:r>
              <w:rPr>
                <w:rFonts w:hint="eastAsia" w:asciiTheme="minorEastAsia" w:hAnsiTheme="minorEastAsia" w:eastAsiaTheme="minorEastAsia"/>
                <w:color w:val="auto"/>
                <w:szCs w:val="21"/>
                <w:highlight w:val="none"/>
              </w:rPr>
              <w:t>服务</w:t>
            </w:r>
            <w:r>
              <w:rPr>
                <w:rFonts w:asciiTheme="minorEastAsia" w:hAnsiTheme="minorEastAsia" w:eastAsiaTheme="minorEastAsia"/>
                <w:color w:val="auto"/>
                <w:szCs w:val="21"/>
                <w:highlight w:val="none"/>
              </w:rPr>
              <w:t>费用的收取标准</w:t>
            </w:r>
          </w:p>
        </w:tc>
        <w:tc>
          <w:tcPr>
            <w:tcW w:w="5486" w:type="dxa"/>
            <w:tcBorders>
              <w:top w:val="single" w:color="auto" w:sz="4" w:space="0"/>
              <w:left w:val="single" w:color="auto" w:sz="4" w:space="0"/>
              <w:bottom w:val="single" w:color="auto" w:sz="4" w:space="0"/>
              <w:right w:val="single" w:color="auto" w:sz="4" w:space="0"/>
            </w:tcBorders>
            <w:vAlign w:val="center"/>
          </w:tcPr>
          <w:p>
            <w:pPr>
              <w:ind w:firstLine="29" w:firstLineChars="14"/>
              <w:jc w:val="left"/>
              <w:rPr>
                <w:color w:val="auto"/>
                <w:highlight w:val="none"/>
              </w:rPr>
            </w:pPr>
            <w:r>
              <w:rPr>
                <w:rFonts w:hint="eastAsia"/>
                <w:color w:val="auto"/>
                <w:highlight w:val="none"/>
              </w:rPr>
              <w:t>1.每个标项按照“按原国家计委关于引发《招标代理服务收费管理暂行办法》（计价格〔2002〕1980号文件）、发改价格〔2011〕534《国家发展改革委关于降低部分建设项目收费标准规范收费行为等有关问题的通知》”，在此基础上，下浮20%，以中标金额作为计算基数。</w:t>
            </w:r>
          </w:p>
          <w:p>
            <w:pPr>
              <w:ind w:firstLine="29" w:firstLineChars="14"/>
              <w:jc w:val="left"/>
              <w:rPr>
                <w:rFonts w:asciiTheme="minorEastAsia" w:hAnsiTheme="minorEastAsia" w:eastAsiaTheme="minorEastAsia"/>
                <w:bCs/>
                <w:color w:val="auto"/>
                <w:highlight w:val="none"/>
              </w:rPr>
            </w:pPr>
            <w:r>
              <w:rPr>
                <w:rFonts w:hint="eastAsia"/>
                <w:color w:val="auto"/>
                <w:highlight w:val="none"/>
              </w:rPr>
              <w:t>2.采购代理服务费收取不足人民币叁仟元整（￥3000.00）的，按人民币叁仟元整（￥3000.00）收取；超过人民币伍万元整（￥50000.00）的，按人民币伍万元整（￥50000.00）收取。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8</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14.2</w:t>
            </w:r>
          </w:p>
        </w:tc>
        <w:tc>
          <w:tcPr>
            <w:tcW w:w="181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采购代理服务费的支付</w:t>
            </w:r>
          </w:p>
        </w:tc>
        <w:tc>
          <w:tcPr>
            <w:tcW w:w="5486" w:type="dxa"/>
            <w:tcBorders>
              <w:top w:val="single" w:color="auto" w:sz="4" w:space="0"/>
              <w:left w:val="single" w:color="auto" w:sz="4" w:space="0"/>
              <w:bottom w:val="single" w:color="auto" w:sz="4" w:space="0"/>
              <w:right w:val="single" w:color="auto" w:sz="4" w:space="0"/>
            </w:tcBorders>
            <w:vAlign w:val="center"/>
          </w:tcPr>
          <w:p>
            <w:pPr>
              <w:ind w:firstLine="29" w:firstLineChars="14"/>
              <w:jc w:val="left"/>
              <w:rPr>
                <w:rFonts w:asciiTheme="minorEastAsia" w:hAnsiTheme="minorEastAsia" w:eastAsiaTheme="minorEastAsia"/>
                <w:bCs/>
                <w:color w:val="auto"/>
                <w:highlight w:val="none"/>
              </w:rPr>
            </w:pPr>
            <w:r>
              <w:rPr>
                <w:rFonts w:hint="eastAsia" w:asciiTheme="minorEastAsia" w:hAnsiTheme="minorEastAsia" w:eastAsiaTheme="minorEastAsia"/>
                <w:bCs/>
                <w:color w:val="auto"/>
                <w:highlight w:val="none"/>
              </w:rPr>
              <w:t>本项目代理服务费由中标人支付，中标人必须在领取中标通知书时一次性全额支付，代理服务费金额为固定金额，不随合同金额的增减而浮动。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9</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18.1</w:t>
            </w:r>
          </w:p>
        </w:tc>
        <w:tc>
          <w:tcPr>
            <w:tcW w:w="1817" w:type="dxa"/>
            <w:tcBorders>
              <w:top w:val="single" w:color="auto" w:sz="4" w:space="0"/>
              <w:left w:val="single" w:color="auto" w:sz="4" w:space="0"/>
              <w:bottom w:val="single" w:color="auto" w:sz="4" w:space="0"/>
              <w:right w:val="single" w:color="auto" w:sz="4" w:space="0"/>
            </w:tcBorders>
            <w:vAlign w:val="center"/>
          </w:tcPr>
          <w:p>
            <w:pPr>
              <w:pStyle w:val="301"/>
              <w:widowControl w:val="0"/>
              <w:spacing w:before="0" w:beforeAutospacing="0" w:afterAutospacing="0"/>
              <w:jc w:val="left"/>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现场考察</w:t>
            </w:r>
          </w:p>
        </w:tc>
        <w:tc>
          <w:tcPr>
            <w:tcW w:w="548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sym w:font="Wingdings" w:char="F0FE"/>
            </w:r>
            <w:r>
              <w:rPr>
                <w:rFonts w:hint="eastAsia" w:asciiTheme="minorEastAsia" w:hAnsiTheme="minorEastAsia" w:eastAsiaTheme="minorEastAsia"/>
                <w:color w:val="auto"/>
                <w:szCs w:val="21"/>
                <w:highlight w:val="none"/>
              </w:rPr>
              <w:t>不</w:t>
            </w:r>
            <w:r>
              <w:rPr>
                <w:rFonts w:hint="eastAsia" w:asciiTheme="minorEastAsia" w:hAnsiTheme="minorEastAsia" w:eastAsiaTheme="minorEastAsia"/>
                <w:bCs/>
                <w:color w:val="auto"/>
                <w:szCs w:val="21"/>
                <w:highlight w:val="none"/>
              </w:rPr>
              <w:t>统一</w:t>
            </w:r>
            <w:r>
              <w:rPr>
                <w:rFonts w:hint="eastAsia" w:asciiTheme="minorEastAsia" w:hAnsiTheme="minorEastAsia" w:eastAsiaTheme="minorEastAsia"/>
                <w:color w:val="auto"/>
                <w:szCs w:val="21"/>
                <w:highlight w:val="none"/>
              </w:rPr>
              <w:t>组织，投标人</w:t>
            </w:r>
            <w:r>
              <w:rPr>
                <w:rFonts w:hint="eastAsia" w:asciiTheme="minorEastAsia" w:hAnsiTheme="minorEastAsia" w:eastAsiaTheme="minorEastAsia"/>
                <w:bCs/>
                <w:color w:val="auto"/>
                <w:szCs w:val="21"/>
                <w:highlight w:val="none"/>
              </w:rPr>
              <w:t>自行考察，考察前联系采购人的项目联系人</w:t>
            </w:r>
            <w:r>
              <w:rPr>
                <w:rFonts w:hint="eastAsia" w:asciiTheme="minorEastAsia" w:hAnsiTheme="minorEastAsia" w:eastAsiaTheme="minorEastAsia"/>
                <w:color w:val="auto"/>
                <w:szCs w:val="21"/>
                <w:highlight w:val="none"/>
              </w:rPr>
              <w:t>。</w:t>
            </w:r>
          </w:p>
          <w:p>
            <w:pPr>
              <w:rPr>
                <w:rFonts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bCs/>
                <w:color w:val="auto"/>
                <w:szCs w:val="21"/>
                <w:highlight w:val="none"/>
              </w:rPr>
              <w:t>统一组织</w:t>
            </w:r>
          </w:p>
          <w:p>
            <w:pPr>
              <w:rPr>
                <w:rFonts w:asciiTheme="minorEastAsia" w:hAnsiTheme="minorEastAsia" w:eastAsiaTheme="minorEastAsia"/>
                <w:bCs/>
                <w:color w:val="auto"/>
                <w:szCs w:val="21"/>
                <w:highlight w:val="none"/>
                <w:u w:val="single"/>
              </w:rPr>
            </w:pPr>
            <w:r>
              <w:rPr>
                <w:rFonts w:hint="eastAsia" w:asciiTheme="minorEastAsia" w:hAnsiTheme="minorEastAsia" w:eastAsiaTheme="minorEastAsia"/>
                <w:bCs/>
                <w:color w:val="auto"/>
                <w:szCs w:val="21"/>
                <w:highlight w:val="none"/>
              </w:rPr>
              <w:t>时间： 年 月 日 时 分</w:t>
            </w:r>
          </w:p>
          <w:p>
            <w:pPr>
              <w:rPr>
                <w:rFonts w:asciiTheme="minorEastAsia" w:hAnsiTheme="minorEastAsia" w:eastAsiaTheme="minorEastAsia"/>
                <w:bCs/>
                <w:color w:val="auto"/>
                <w:szCs w:val="21"/>
                <w:highlight w:val="none"/>
                <w:u w:val="single"/>
              </w:rPr>
            </w:pPr>
            <w:r>
              <w:rPr>
                <w:rFonts w:hint="eastAsia" w:asciiTheme="minorEastAsia" w:hAnsiTheme="minorEastAsia" w:eastAsiaTheme="minorEastAsia"/>
                <w:bCs/>
                <w:color w:val="auto"/>
                <w:szCs w:val="21"/>
                <w:highlight w:val="none"/>
              </w:rPr>
              <w:t>地点：</w:t>
            </w:r>
          </w:p>
          <w:p>
            <w:pP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现场考察联系人及联系电话：</w:t>
            </w:r>
          </w:p>
          <w:p>
            <w:pPr>
              <w:pStyle w:val="301"/>
              <w:widowControl w:val="0"/>
              <w:spacing w:before="0" w:beforeAutospacing="0" w:afterAutospacing="0"/>
              <w:jc w:val="both"/>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注：如投标人未参加采购人统一组织的现场考察，视同放弃现场考察，由此引起的一切责任由投标人自行承担。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10</w:t>
            </w:r>
          </w:p>
        </w:tc>
        <w:tc>
          <w:tcPr>
            <w:tcW w:w="892"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22.1</w:t>
            </w:r>
          </w:p>
        </w:tc>
        <w:tc>
          <w:tcPr>
            <w:tcW w:w="1817"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资格要求响应文件的组成</w:t>
            </w:r>
          </w:p>
        </w:tc>
        <w:tc>
          <w:tcPr>
            <w:tcW w:w="5486"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1.投标人资格声明函；</w:t>
            </w:r>
          </w:p>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2.法人或者其他组织的营业执照等登记证明文件复印件；</w:t>
            </w:r>
          </w:p>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3.进口产品投标须提供产品制造商或其国内总代理出具的唯一授权函（国产产品投标无需提供）。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702"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11</w:t>
            </w:r>
          </w:p>
        </w:tc>
        <w:tc>
          <w:tcPr>
            <w:tcW w:w="892" w:type="dxa"/>
            <w:vMerge w:val="continue"/>
            <w:tcBorders>
              <w:left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p>
        </w:tc>
        <w:tc>
          <w:tcPr>
            <w:tcW w:w="1817"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商务技术文件的组成</w:t>
            </w:r>
          </w:p>
        </w:tc>
        <w:tc>
          <w:tcPr>
            <w:tcW w:w="5486"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1.投标函；</w:t>
            </w:r>
          </w:p>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2.投标人法定代表人身份证复印件（双面）或法定代表人授权委托书及其附件；</w:t>
            </w:r>
          </w:p>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商务要求</w:t>
            </w:r>
            <w:r>
              <w:rPr>
                <w:rFonts w:hint="eastAsia" w:asciiTheme="minorEastAsia" w:hAnsiTheme="minorEastAsia" w:eastAsiaTheme="minorEastAsia"/>
                <w:color w:val="auto"/>
                <w:szCs w:val="21"/>
                <w:highlight w:val="none"/>
              </w:rPr>
              <w:t>响应表；</w:t>
            </w:r>
          </w:p>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4.技术要求响应表；</w:t>
            </w:r>
          </w:p>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5.项目实施人员情况表；</w:t>
            </w:r>
          </w:p>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6</w:t>
            </w:r>
            <w:r>
              <w:rPr>
                <w:rFonts w:hint="eastAsia" w:asciiTheme="minorEastAsia" w:hAnsiTheme="minorEastAsia" w:eastAsiaTheme="minorEastAsia"/>
                <w:color w:val="auto"/>
                <w:szCs w:val="21"/>
                <w:highlight w:val="none"/>
              </w:rPr>
              <w:t>.类似项目业绩一览表；</w:t>
            </w:r>
          </w:p>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7</w:t>
            </w:r>
            <w:r>
              <w:rPr>
                <w:rFonts w:hint="eastAsia" w:asciiTheme="minorEastAsia" w:hAnsiTheme="minorEastAsia" w:eastAsiaTheme="minorEastAsia"/>
                <w:color w:val="auto"/>
                <w:szCs w:val="21"/>
                <w:highlight w:val="none"/>
              </w:rPr>
              <w:t>.服务方案等与项目评审及履行合同有关的其他资料。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702"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2</w:t>
            </w:r>
          </w:p>
        </w:tc>
        <w:tc>
          <w:tcPr>
            <w:tcW w:w="892" w:type="dxa"/>
            <w:vMerge w:val="continue"/>
            <w:tcBorders>
              <w:left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p>
        </w:tc>
        <w:tc>
          <w:tcPr>
            <w:tcW w:w="1817"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报价要求响应文件的组成</w:t>
            </w:r>
          </w:p>
        </w:tc>
        <w:tc>
          <w:tcPr>
            <w:tcW w:w="5486" w:type="dxa"/>
            <w:tcBorders>
              <w:top w:val="single" w:color="auto" w:sz="4" w:space="0"/>
              <w:left w:val="single" w:color="auto" w:sz="4" w:space="0"/>
              <w:right w:val="single" w:color="auto" w:sz="4" w:space="0"/>
            </w:tcBorders>
            <w:vAlign w:val="center"/>
          </w:tcPr>
          <w:p>
            <w:pPr>
              <w:tabs>
                <w:tab w:val="left" w:pos="3870"/>
                <w:tab w:val="left" w:pos="4085"/>
              </w:tabs>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1.开标一览表；</w:t>
            </w:r>
          </w:p>
          <w:p>
            <w:pPr>
              <w:pStyle w:val="26"/>
              <w:ind w:left="0" w:leftChars="0"/>
              <w:rPr>
                <w:rFonts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kern w:val="2"/>
                <w:sz w:val="21"/>
                <w:szCs w:val="21"/>
                <w:highlight w:val="none"/>
              </w:rPr>
              <w:t>2.投标</w:t>
            </w:r>
            <w:r>
              <w:rPr>
                <w:rFonts w:asciiTheme="minorEastAsia" w:hAnsiTheme="minorEastAsia" w:eastAsiaTheme="minorEastAsia"/>
                <w:color w:val="auto"/>
                <w:kern w:val="2"/>
                <w:sz w:val="21"/>
                <w:szCs w:val="21"/>
                <w:highlight w:val="none"/>
              </w:rPr>
              <w:t>报价组成明细表</w:t>
            </w:r>
            <w:r>
              <w:rPr>
                <w:rFonts w:hint="eastAsia" w:asciiTheme="minorEastAsia" w:hAnsiTheme="minorEastAsia" w:eastAsiaTheme="minorEastAsia"/>
                <w:color w:val="auto"/>
                <w:kern w:val="2"/>
                <w:sz w:val="21"/>
                <w:szCs w:val="21"/>
                <w:highlight w:val="none"/>
              </w:rPr>
              <w:t>；</w:t>
            </w:r>
          </w:p>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3.中小企业声明函（如不符合或无法获得政策优惠可不提供）；</w:t>
            </w:r>
          </w:p>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.残疾人福利性单位声明函（如不符合或无法获得政策优惠可不提供）；</w:t>
            </w:r>
          </w:p>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.监狱企业证明文件（如不符合或无法获得政策优惠可不提供）。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9" w:hRule="atLeast"/>
          <w:jc w:val="center"/>
        </w:trPr>
        <w:tc>
          <w:tcPr>
            <w:tcW w:w="702"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13</w:t>
            </w:r>
          </w:p>
        </w:tc>
        <w:tc>
          <w:tcPr>
            <w:tcW w:w="892" w:type="dxa"/>
            <w:tcBorders>
              <w:left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25</w:t>
            </w:r>
          </w:p>
        </w:tc>
        <w:tc>
          <w:tcPr>
            <w:tcW w:w="1817"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投标报价要求</w:t>
            </w:r>
          </w:p>
        </w:tc>
        <w:tc>
          <w:tcPr>
            <w:tcW w:w="5486" w:type="dxa"/>
            <w:tcBorders>
              <w:top w:val="single" w:color="auto" w:sz="4" w:space="0"/>
              <w:left w:val="single" w:color="auto" w:sz="4" w:space="0"/>
              <w:right w:val="single" w:color="auto" w:sz="4" w:space="0"/>
            </w:tcBorders>
            <w:vAlign w:val="center"/>
          </w:tcPr>
          <w:p>
            <w:pPr>
              <w:pStyle w:val="26"/>
              <w:ind w:left="0" w:leftChars="0"/>
              <w:rPr>
                <w:rFonts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kern w:val="2"/>
                <w:sz w:val="21"/>
                <w:szCs w:val="21"/>
                <w:highlight w:val="none"/>
              </w:rPr>
              <w:t>（1）报价方式：总价包干。</w:t>
            </w:r>
          </w:p>
          <w:p>
            <w:pPr>
              <w:pStyle w:val="26"/>
              <w:ind w:left="0" w:leftChars="0"/>
              <w:rPr>
                <w:rFonts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kern w:val="2"/>
                <w:sz w:val="21"/>
                <w:szCs w:val="21"/>
                <w:highlight w:val="none"/>
              </w:rPr>
              <w:t>1）投标货币：人民币（关境内提供的货物和服务）。</w:t>
            </w:r>
          </w:p>
          <w:p>
            <w:pPr>
              <w:pStyle w:val="26"/>
              <w:ind w:left="0" w:leftChars="0"/>
              <w:rPr>
                <w:rFonts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kern w:val="2"/>
                <w:sz w:val="21"/>
                <w:szCs w:val="21"/>
                <w:highlight w:val="none"/>
              </w:rPr>
              <w:t>2）投标货币：美元（关境外提供的货物和服务）。</w:t>
            </w:r>
          </w:p>
          <w:p>
            <w:pPr>
              <w:pStyle w:val="26"/>
              <w:ind w:left="0" w:leftChars="0"/>
              <w:rPr>
                <w:rFonts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kern w:val="2"/>
                <w:sz w:val="21"/>
                <w:szCs w:val="21"/>
                <w:highlight w:val="none"/>
              </w:rPr>
              <w:t>（2）报价内容：含附件价、零备件和专用工具价、包装费、送到业主指定安放地运输和保险费，软件报软件价、维护等一切费用；安装调试费、培训费、维护保养费、外贸代理费等一切税金和费用。</w:t>
            </w:r>
          </w:p>
          <w:p>
            <w:pPr>
              <w:pStyle w:val="26"/>
              <w:ind w:left="0" w:leftChars="0"/>
              <w:rPr>
                <w:rFonts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kern w:val="2"/>
                <w:sz w:val="21"/>
                <w:szCs w:val="21"/>
                <w:highlight w:val="none"/>
              </w:rPr>
              <w:t>注：此报价已包含进口环节各类费用，具体已包含外贸代理公司的进口设备外贸代理费用、检验检疫费用、报关费、仓储费、港口堆存费、运费、银行手续费及伴随后期升级、培训费、质保期内的服务费等一切与项目相关费用等，以上费用均与中标商结算，合同履行过程中的汇率风险由货物中标商承担。</w:t>
            </w:r>
          </w:p>
          <w:p>
            <w:pPr>
              <w:pStyle w:val="26"/>
              <w:ind w:left="0" w:leftChars="0"/>
              <w:rPr>
                <w:rFonts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kern w:val="2"/>
                <w:sz w:val="21"/>
                <w:szCs w:val="21"/>
                <w:highlight w:val="none"/>
              </w:rPr>
              <w:t>（3）本项目采购的设备用于高校的研发工作，按国家相关政策，可以减免进口环节税。进口设备要求同时提供DAP宁波工程学院（关境外提供的货物）美元免税报价，以及以采购公告发布当日中国银行09:00后的第一个美元兑换人民币的现汇卖出价进行折算的人民币报价。</w:t>
            </w:r>
          </w:p>
          <w:p>
            <w:pPr>
              <w:pStyle w:val="26"/>
              <w:ind w:left="0" w:leftChars="0"/>
              <w:rPr>
                <w:rFonts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kern w:val="2"/>
                <w:sz w:val="21"/>
                <w:szCs w:val="21"/>
                <w:highlight w:val="none"/>
              </w:rPr>
              <w:t>（4）签订合同以及采购人结算时的汇率均按采购公告发布当日中国银行09:00后的第一个美元兑换人民币的现汇卖出价进行折算。</w:t>
            </w:r>
          </w:p>
          <w:p>
            <w:pPr>
              <w:pStyle w:val="26"/>
              <w:ind w:left="0" w:leftChars="0"/>
              <w:rPr>
                <w:rFonts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kern w:val="2"/>
                <w:sz w:val="21"/>
                <w:szCs w:val="21"/>
                <w:highlight w:val="none"/>
              </w:rPr>
              <w:t>注：结算时，实际发生款项和三方协议约定款项（人民币）出现出入，由中标供应商负责补足不足款项或收回多余款项。</w:t>
            </w:r>
          </w:p>
          <w:p>
            <w:pPr>
              <w:pStyle w:val="26"/>
              <w:ind w:left="0" w:leftChars="0"/>
              <w:rPr>
                <w:rFonts w:asciiTheme="minorEastAsia" w:hAnsiTheme="minorEastAsia" w:eastAsiaTheme="minorEastAsia"/>
                <w:color w:val="auto"/>
                <w:szCs w:val="21"/>
                <w:highlight w:val="none"/>
              </w:rPr>
            </w:pPr>
            <w:r>
              <w:rPr>
                <w:rFonts w:hint="eastAsia" w:asciiTheme="minorEastAsia" w:hAnsiTheme="minorEastAsia" w:eastAsiaTheme="minorEastAsia"/>
                <w:color w:val="auto"/>
                <w:kern w:val="2"/>
                <w:sz w:val="21"/>
                <w:szCs w:val="21"/>
                <w:highlight w:val="none"/>
              </w:rPr>
              <w:t>（</w:t>
            </w:r>
            <w:r>
              <w:rPr>
                <w:rFonts w:asciiTheme="minorEastAsia" w:hAnsiTheme="minorEastAsia" w:eastAsiaTheme="minorEastAsia"/>
                <w:color w:val="auto"/>
                <w:kern w:val="2"/>
                <w:sz w:val="21"/>
                <w:szCs w:val="21"/>
                <w:highlight w:val="none"/>
              </w:rPr>
              <w:t>5</w:t>
            </w:r>
            <w:r>
              <w:rPr>
                <w:rFonts w:hint="eastAsia" w:asciiTheme="minorEastAsia" w:hAnsiTheme="minorEastAsia" w:eastAsiaTheme="minorEastAsia"/>
                <w:color w:val="auto"/>
                <w:kern w:val="2"/>
                <w:sz w:val="21"/>
                <w:szCs w:val="21"/>
                <w:highlight w:val="none"/>
              </w:rPr>
              <w:t>）投标人应承担其参加本招标活动自身所发生的费用。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14</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27.1</w:t>
            </w:r>
          </w:p>
        </w:tc>
        <w:tc>
          <w:tcPr>
            <w:tcW w:w="181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w:t>
            </w:r>
            <w:r>
              <w:rPr>
                <w:rFonts w:asciiTheme="minorEastAsia" w:hAnsiTheme="minorEastAsia" w:eastAsiaTheme="minorEastAsia"/>
                <w:color w:val="auto"/>
                <w:szCs w:val="21"/>
                <w:highlight w:val="none"/>
              </w:rPr>
              <w:t>有效期</w:t>
            </w:r>
          </w:p>
        </w:tc>
        <w:tc>
          <w:tcPr>
            <w:tcW w:w="5486"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90日历天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15</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30.1</w:t>
            </w:r>
          </w:p>
        </w:tc>
        <w:tc>
          <w:tcPr>
            <w:tcW w:w="1817" w:type="dxa"/>
            <w:tcBorders>
              <w:top w:val="single" w:color="auto" w:sz="4" w:space="0"/>
              <w:left w:val="single" w:color="auto" w:sz="4" w:space="0"/>
              <w:bottom w:val="single" w:color="auto" w:sz="4" w:space="0"/>
              <w:right w:val="single" w:color="auto" w:sz="4" w:space="0"/>
            </w:tcBorders>
            <w:vAlign w:val="center"/>
          </w:tcPr>
          <w:p>
            <w:pPr>
              <w:pStyle w:val="301"/>
              <w:widowControl w:val="0"/>
              <w:spacing w:before="0" w:beforeAutospacing="0" w:afterAutospacing="0"/>
              <w:jc w:val="both"/>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投标截止时间及地点</w:t>
            </w:r>
          </w:p>
        </w:tc>
        <w:tc>
          <w:tcPr>
            <w:tcW w:w="5486" w:type="dxa"/>
            <w:tcBorders>
              <w:top w:val="single" w:color="auto" w:sz="4" w:space="0"/>
              <w:left w:val="single" w:color="auto" w:sz="4" w:space="0"/>
              <w:bottom w:val="single" w:color="auto" w:sz="4" w:space="0"/>
              <w:right w:val="single" w:color="auto" w:sz="4" w:space="0"/>
            </w:tcBorders>
            <w:vAlign w:val="center"/>
          </w:tcPr>
          <w:p>
            <w:pPr>
              <w:pStyle w:val="301"/>
              <w:widowControl w:val="0"/>
              <w:spacing w:before="0" w:beforeAutospacing="0" w:afterAutospacing="0"/>
              <w:jc w:val="both"/>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见</w:t>
            </w:r>
            <w:r>
              <w:rPr>
                <w:rFonts w:hint="eastAsia" w:asciiTheme="minorEastAsia" w:hAnsiTheme="minorEastAsia" w:eastAsiaTheme="minorEastAsia"/>
                <w:bCs/>
                <w:color w:val="auto"/>
                <w:sz w:val="21"/>
                <w:szCs w:val="21"/>
                <w:highlight w:val="none"/>
                <w:u w:val="single"/>
              </w:rPr>
              <w:t>招标公告（投标邀请）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16</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32.2</w:t>
            </w:r>
          </w:p>
        </w:tc>
        <w:tc>
          <w:tcPr>
            <w:tcW w:w="1817" w:type="dxa"/>
            <w:tcBorders>
              <w:top w:val="single" w:color="auto" w:sz="4" w:space="0"/>
              <w:left w:val="single" w:color="auto" w:sz="4" w:space="0"/>
              <w:bottom w:val="single" w:color="auto" w:sz="4" w:space="0"/>
              <w:right w:val="single" w:color="auto" w:sz="4" w:space="0"/>
            </w:tcBorders>
            <w:vAlign w:val="center"/>
          </w:tcPr>
          <w:p>
            <w:pPr>
              <w:pStyle w:val="301"/>
              <w:widowControl w:val="0"/>
              <w:spacing w:before="0" w:beforeAutospacing="0" w:afterAutospacing="0"/>
              <w:jc w:val="both"/>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投标文件解密时间</w:t>
            </w:r>
          </w:p>
        </w:tc>
        <w:tc>
          <w:tcPr>
            <w:tcW w:w="5486" w:type="dxa"/>
            <w:tcBorders>
              <w:top w:val="single" w:color="auto" w:sz="4" w:space="0"/>
              <w:left w:val="single" w:color="auto" w:sz="4" w:space="0"/>
              <w:bottom w:val="single" w:color="auto" w:sz="4" w:space="0"/>
              <w:right w:val="single" w:color="auto" w:sz="4" w:space="0"/>
            </w:tcBorders>
            <w:vAlign w:val="center"/>
          </w:tcPr>
          <w:p>
            <w:pPr>
              <w:pStyle w:val="301"/>
              <w:widowControl w:val="0"/>
              <w:spacing w:before="0" w:beforeAutospacing="0" w:afterAutospacing="0"/>
              <w:jc w:val="both"/>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开标后3</w:t>
            </w:r>
            <w:r>
              <w:rPr>
                <w:rFonts w:asciiTheme="minorEastAsia" w:hAnsiTheme="minorEastAsia" w:eastAsiaTheme="minorEastAsia"/>
                <w:color w:val="auto"/>
                <w:sz w:val="21"/>
                <w:szCs w:val="21"/>
                <w:highlight w:val="none"/>
              </w:rPr>
              <w:t>0</w:t>
            </w:r>
            <w:r>
              <w:rPr>
                <w:rFonts w:hint="eastAsia" w:asciiTheme="minorEastAsia" w:hAnsiTheme="minorEastAsia" w:eastAsiaTheme="minorEastAsia"/>
                <w:color w:val="auto"/>
                <w:sz w:val="21"/>
                <w:szCs w:val="21"/>
                <w:highlight w:val="none"/>
              </w:rPr>
              <w:t>分钟内（以电子交易系统解密倒计时为准）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17</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36.2</w:t>
            </w:r>
          </w:p>
        </w:tc>
        <w:tc>
          <w:tcPr>
            <w:tcW w:w="1817" w:type="dxa"/>
            <w:tcBorders>
              <w:top w:val="single" w:color="auto" w:sz="4" w:space="0"/>
              <w:left w:val="single" w:color="auto" w:sz="4" w:space="0"/>
              <w:bottom w:val="single" w:color="auto" w:sz="4" w:space="0"/>
              <w:right w:val="single" w:color="auto" w:sz="4" w:space="0"/>
            </w:tcBorders>
            <w:vAlign w:val="center"/>
          </w:tcPr>
          <w:p>
            <w:pPr>
              <w:pStyle w:val="301"/>
              <w:widowControl w:val="0"/>
              <w:spacing w:before="0" w:beforeAutospacing="0" w:afterAutospacing="0"/>
              <w:jc w:val="both"/>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评标方法</w:t>
            </w:r>
          </w:p>
        </w:tc>
        <w:tc>
          <w:tcPr>
            <w:tcW w:w="5486" w:type="dxa"/>
            <w:tcBorders>
              <w:top w:val="single" w:color="auto" w:sz="4" w:space="0"/>
              <w:left w:val="single" w:color="auto" w:sz="4" w:space="0"/>
              <w:bottom w:val="single" w:color="auto" w:sz="4" w:space="0"/>
              <w:right w:val="single" w:color="auto" w:sz="4" w:space="0"/>
            </w:tcBorders>
            <w:vAlign w:val="center"/>
          </w:tcPr>
          <w:p>
            <w:pPr>
              <w:pStyle w:val="301"/>
              <w:widowControl w:val="0"/>
              <w:spacing w:before="0" w:beforeAutospacing="0" w:afterAutospacing="0"/>
              <w:jc w:val="both"/>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综合评分法</w:t>
            </w:r>
          </w:p>
        </w:tc>
      </w:tr>
    </w:tbl>
    <w:p>
      <w:pPr>
        <w:spacing w:line="360" w:lineRule="auto"/>
        <w:ind w:firstLine="422"/>
        <w:rPr>
          <w:rFonts w:asciiTheme="minorEastAsia" w:hAnsiTheme="minorEastAsia" w:eastAsiaTheme="minorEastAsia"/>
          <w:b/>
          <w:color w:val="auto"/>
          <w:szCs w:val="21"/>
          <w:highlight w:val="none"/>
        </w:rPr>
      </w:pPr>
    </w:p>
    <w:p>
      <w:pPr>
        <w:pStyle w:val="256"/>
        <w:spacing w:before="120" w:after="120"/>
        <w:ind w:firstLine="643"/>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br w:type="page"/>
      </w:r>
      <w:bookmarkStart w:id="42" w:name="_Toc118452527"/>
      <w:r>
        <w:rPr>
          <w:rFonts w:hint="eastAsia" w:asciiTheme="minorEastAsia" w:hAnsiTheme="minorEastAsia" w:eastAsiaTheme="minorEastAsia"/>
          <w:color w:val="auto"/>
          <w:sz w:val="21"/>
          <w:szCs w:val="21"/>
          <w:highlight w:val="none"/>
        </w:rPr>
        <w:t>一、总则</w:t>
      </w:r>
      <w:bookmarkEnd w:id="42"/>
    </w:p>
    <w:p>
      <w:pPr>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w:t>
      </w:r>
      <w:r>
        <w:rPr>
          <w:rFonts w:asciiTheme="minorEastAsia" w:hAnsiTheme="minorEastAsia" w:eastAsiaTheme="minorEastAsia"/>
          <w:b/>
          <w:color w:val="auto"/>
          <w:szCs w:val="21"/>
          <w:highlight w:val="none"/>
        </w:rPr>
        <w:t>适用范围</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本招标文件适用于本次公开招标所述的产品采购。</w:t>
      </w:r>
    </w:p>
    <w:p>
      <w:pPr>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2.定义</w:t>
      </w:r>
    </w:p>
    <w:p>
      <w:pPr>
        <w:snapToGrid w:val="0"/>
        <w:spacing w:line="360" w:lineRule="auto"/>
        <w:ind w:firstLine="420" w:firstLineChars="200"/>
        <w:jc w:val="lef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2.1</w:t>
      </w:r>
      <w:r>
        <w:rPr>
          <w:rFonts w:cs="Arial" w:asciiTheme="minorEastAsia" w:hAnsiTheme="minorEastAsia" w:eastAsiaTheme="minorEastAsia"/>
          <w:color w:val="auto"/>
          <w:szCs w:val="21"/>
          <w:highlight w:val="none"/>
        </w:rPr>
        <w:t>书面形式</w:t>
      </w:r>
      <w:r>
        <w:rPr>
          <w:rFonts w:hint="eastAsia" w:cs="Arial" w:asciiTheme="minorEastAsia" w:hAnsiTheme="minorEastAsia" w:eastAsiaTheme="minorEastAsia"/>
          <w:color w:val="auto"/>
          <w:szCs w:val="21"/>
          <w:highlight w:val="none"/>
        </w:rPr>
        <w:t>：</w:t>
      </w:r>
      <w:r>
        <w:rPr>
          <w:rFonts w:cs="Arial" w:asciiTheme="minorEastAsia" w:hAnsiTheme="minorEastAsia" w:eastAsiaTheme="minorEastAsia"/>
          <w:color w:val="auto"/>
          <w:szCs w:val="21"/>
          <w:highlight w:val="none"/>
        </w:rPr>
        <w:t>包括</w:t>
      </w:r>
      <w:r>
        <w:rPr>
          <w:rFonts w:hint="eastAsia" w:cs="Arial" w:asciiTheme="minorEastAsia" w:hAnsiTheme="minorEastAsia" w:eastAsiaTheme="minorEastAsia"/>
          <w:color w:val="auto"/>
          <w:szCs w:val="21"/>
          <w:highlight w:val="none"/>
        </w:rPr>
        <w:t>信件、</w:t>
      </w:r>
      <w:r>
        <w:rPr>
          <w:rFonts w:cs="Arial" w:asciiTheme="minorEastAsia" w:hAnsiTheme="minorEastAsia" w:eastAsiaTheme="minorEastAsia"/>
          <w:color w:val="auto"/>
          <w:szCs w:val="21"/>
          <w:highlight w:val="none"/>
        </w:rPr>
        <w:t>电报、电传、传真</w:t>
      </w:r>
      <w:r>
        <w:rPr>
          <w:rFonts w:hint="eastAsia" w:cs="Arial" w:asciiTheme="minorEastAsia" w:hAnsiTheme="minorEastAsia" w:eastAsiaTheme="minorEastAsia"/>
          <w:color w:val="auto"/>
          <w:szCs w:val="21"/>
          <w:highlight w:val="none"/>
        </w:rPr>
        <w:t>、网上公告</w:t>
      </w:r>
      <w:r>
        <w:rPr>
          <w:rFonts w:cs="Arial" w:asciiTheme="minorEastAsia" w:hAnsiTheme="minorEastAsia" w:eastAsiaTheme="minorEastAsia"/>
          <w:color w:val="auto"/>
          <w:szCs w:val="21"/>
          <w:highlight w:val="none"/>
        </w:rPr>
        <w:t>等可以有形地表现所载内容的形式</w:t>
      </w:r>
      <w:r>
        <w:rPr>
          <w:rFonts w:hint="eastAsia" w:cs="Arial" w:asciiTheme="minorEastAsia" w:hAnsiTheme="minorEastAsia" w:eastAsiaTheme="minorEastAsia"/>
          <w:color w:val="auto"/>
          <w:szCs w:val="21"/>
          <w:highlight w:val="none"/>
        </w:rPr>
        <w:t>。以电子数据交换、电子邮件等方式能够有形地表现所载内容，并可以随时调取查用的数据电文，视为书面形式。</w:t>
      </w:r>
    </w:p>
    <w:p>
      <w:pPr>
        <w:snapToGrid w:val="0"/>
        <w:spacing w:line="360" w:lineRule="auto"/>
        <w:ind w:firstLine="420" w:firstLineChars="200"/>
        <w:jc w:val="lef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2.2实质性条款：标注</w:t>
      </w:r>
      <w:r>
        <w:rPr>
          <w:rFonts w:cs="Arial" w:asciiTheme="minorEastAsia" w:hAnsiTheme="minorEastAsia" w:eastAsiaTheme="minorEastAsia"/>
          <w:color w:val="auto"/>
          <w:szCs w:val="21"/>
          <w:highlight w:val="none"/>
        </w:rPr>
        <w:t>“▲”</w:t>
      </w:r>
      <w:r>
        <w:rPr>
          <w:rFonts w:hint="eastAsia" w:cs="Arial" w:asciiTheme="minorEastAsia" w:hAnsiTheme="minorEastAsia" w:eastAsiaTheme="minorEastAsia"/>
          <w:color w:val="auto"/>
          <w:szCs w:val="21"/>
          <w:highlight w:val="none"/>
        </w:rPr>
        <w:t>的属于招标文件的</w:t>
      </w:r>
      <w:r>
        <w:rPr>
          <w:rFonts w:cs="Arial" w:asciiTheme="minorEastAsia" w:hAnsiTheme="minorEastAsia" w:eastAsiaTheme="minorEastAsia"/>
          <w:color w:val="auto"/>
          <w:szCs w:val="21"/>
          <w:highlight w:val="none"/>
        </w:rPr>
        <w:t>实质性要求条款。</w:t>
      </w:r>
    </w:p>
    <w:p>
      <w:pPr>
        <w:snapToGrid w:val="0"/>
        <w:spacing w:line="360" w:lineRule="auto"/>
        <w:ind w:firstLine="420" w:firstLineChars="200"/>
        <w:jc w:val="lef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2.3公章：</w:t>
      </w:r>
      <w:r>
        <w:rPr>
          <w:rFonts w:cs="Arial" w:asciiTheme="minorEastAsia" w:hAnsiTheme="minorEastAsia" w:eastAsiaTheme="minorEastAsia"/>
          <w:color w:val="auto"/>
          <w:szCs w:val="21"/>
          <w:highlight w:val="none"/>
        </w:rPr>
        <w:t>投标人在投标文件及通知等事项的书面文件中的单位盖章、公章等处，均仅指与投标当事人名称全称相一致的标准公章</w:t>
      </w:r>
      <w:r>
        <w:rPr>
          <w:rFonts w:hint="eastAsia" w:cs="Arial" w:asciiTheme="minorEastAsia" w:hAnsiTheme="minorEastAsia" w:eastAsiaTheme="minorEastAsia"/>
          <w:color w:val="auto"/>
          <w:szCs w:val="21"/>
          <w:highlight w:val="none"/>
        </w:rPr>
        <w:t>（行政章）</w:t>
      </w:r>
      <w:r>
        <w:rPr>
          <w:rFonts w:cs="Arial" w:asciiTheme="minorEastAsia" w:hAnsiTheme="minorEastAsia" w:eastAsiaTheme="minorEastAsia"/>
          <w:color w:val="auto"/>
          <w:szCs w:val="21"/>
          <w:highlight w:val="none"/>
        </w:rPr>
        <w:t>，不得使用其它形式，如带有“专用章”</w:t>
      </w:r>
      <w:r>
        <w:rPr>
          <w:rFonts w:hint="eastAsia" w:cs="Arial" w:asciiTheme="minorEastAsia" w:hAnsiTheme="minorEastAsia" w:eastAsiaTheme="minorEastAsia"/>
          <w:color w:val="auto"/>
          <w:szCs w:val="21"/>
          <w:highlight w:val="none"/>
        </w:rPr>
        <w:t>“业务章”</w:t>
      </w:r>
      <w:r>
        <w:rPr>
          <w:rFonts w:cs="Arial" w:asciiTheme="minorEastAsia" w:hAnsiTheme="minorEastAsia" w:eastAsiaTheme="minorEastAsia"/>
          <w:color w:val="auto"/>
          <w:szCs w:val="21"/>
          <w:highlight w:val="none"/>
        </w:rPr>
        <w:t>等字样的印章。</w:t>
      </w:r>
    </w:p>
    <w:p>
      <w:pPr>
        <w:wordWrap w:val="0"/>
        <w:snapToGrid w:val="0"/>
        <w:spacing w:line="360" w:lineRule="auto"/>
        <w:ind w:firstLine="420" w:firstLineChars="200"/>
        <w:jc w:val="lef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2.4“电子交易平台”是指本项目政府采购活动所依托的政府采购云平台（https://www.zcygov.cn/）。</w:t>
      </w:r>
    </w:p>
    <w:p>
      <w:pPr>
        <w:snapToGrid w:val="0"/>
        <w:spacing w:line="360" w:lineRule="auto"/>
        <w:ind w:firstLine="420" w:firstLineChars="200"/>
        <w:jc w:val="lef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2.5电子签章：为投标人单位法定名称电子公章。</w:t>
      </w:r>
    </w:p>
    <w:p>
      <w:pPr>
        <w:snapToGrid w:val="0"/>
        <w:spacing w:line="360" w:lineRule="auto"/>
        <w:ind w:firstLine="420" w:firstLineChars="200"/>
        <w:jc w:val="lef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2.6依法获取招标文件：供应商按照</w:t>
      </w:r>
      <w:r>
        <w:rPr>
          <w:rFonts w:hint="eastAsia" w:asciiTheme="minorEastAsia" w:hAnsiTheme="minorEastAsia" w:eastAsiaTheme="minorEastAsia"/>
          <w:bCs/>
          <w:color w:val="auto"/>
          <w:szCs w:val="21"/>
          <w:highlight w:val="none"/>
          <w:u w:val="single"/>
        </w:rPr>
        <w:t>招标公告（投标邀请）</w:t>
      </w:r>
      <w:r>
        <w:rPr>
          <w:rFonts w:hint="eastAsia" w:asciiTheme="minorEastAsia" w:hAnsiTheme="minorEastAsia" w:eastAsiaTheme="minorEastAsia"/>
          <w:bCs/>
          <w:color w:val="auto"/>
          <w:szCs w:val="21"/>
          <w:highlight w:val="none"/>
        </w:rPr>
        <w:t>第三条的约定实施，并最终在</w:t>
      </w:r>
      <w:r>
        <w:rPr>
          <w:rFonts w:hint="eastAsia" w:asciiTheme="minorEastAsia" w:hAnsiTheme="minorEastAsia" w:eastAsiaTheme="minorEastAsia"/>
          <w:color w:val="auto"/>
          <w:highlight w:val="none"/>
        </w:rPr>
        <w:t>政采云平台系统后台显示通过。</w:t>
      </w:r>
    </w:p>
    <w:p>
      <w:pPr>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采购人、采购代理机构及投标人</w:t>
      </w:r>
    </w:p>
    <w:p>
      <w:pPr>
        <w:spacing w:line="360" w:lineRule="auto"/>
        <w:ind w:firstLine="42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.1采购人：是指依法开展政府采购活动的国家机关、事业单位、团体组织。</w:t>
      </w:r>
      <w:r>
        <w:rPr>
          <w:rFonts w:hint="eastAsia" w:asciiTheme="minorEastAsia" w:hAnsiTheme="minorEastAsia" w:eastAsiaTheme="minorEastAsia"/>
          <w:color w:val="auto"/>
          <w:szCs w:val="21"/>
          <w:highlight w:val="none"/>
        </w:rPr>
        <w:t>本项目的采购人见</w:t>
      </w:r>
      <w:r>
        <w:rPr>
          <w:rFonts w:hint="eastAsia" w:asciiTheme="minorEastAsia" w:hAnsiTheme="minorEastAsia" w:eastAsiaTheme="minorEastAsia"/>
          <w:color w:val="auto"/>
          <w:szCs w:val="21"/>
          <w:highlight w:val="none"/>
          <w:u w:val="single"/>
        </w:rPr>
        <w:t>投标人须知前附表</w:t>
      </w:r>
      <w:r>
        <w:rPr>
          <w:rFonts w:hint="eastAsia" w:asciiTheme="minorEastAsia" w:hAnsiTheme="minorEastAsia" w:eastAsiaTheme="minorEastAsia"/>
          <w:color w:val="auto"/>
          <w:szCs w:val="21"/>
          <w:highlight w:val="none"/>
        </w:rPr>
        <w:t>。</w:t>
      </w:r>
    </w:p>
    <w:p>
      <w:pPr>
        <w:spacing w:line="360" w:lineRule="auto"/>
        <w:ind w:firstLine="42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.2采购代理机构：是指从事采购代理业务的社会中介机构。本项目的采购代理机构见</w:t>
      </w:r>
      <w:r>
        <w:rPr>
          <w:rFonts w:hint="eastAsia" w:asciiTheme="minorEastAsia" w:hAnsiTheme="minorEastAsia" w:eastAsiaTheme="minorEastAsia"/>
          <w:color w:val="auto"/>
          <w:szCs w:val="21"/>
          <w:highlight w:val="none"/>
          <w:u w:val="single"/>
        </w:rPr>
        <w:t>投标人须知前附表</w:t>
      </w:r>
      <w:r>
        <w:rPr>
          <w:rFonts w:asciiTheme="minorEastAsia" w:hAnsiTheme="minorEastAsia" w:eastAsiaTheme="minorEastAsia"/>
          <w:color w:val="auto"/>
          <w:szCs w:val="21"/>
          <w:highlight w:val="none"/>
        </w:rPr>
        <w:t>。</w:t>
      </w:r>
    </w:p>
    <w:p>
      <w:pPr>
        <w:spacing w:line="360" w:lineRule="auto"/>
        <w:ind w:firstLine="42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3.3政府采购监督管理部门：</w:t>
      </w:r>
      <w:r>
        <w:rPr>
          <w:rFonts w:hint="eastAsia" w:asciiTheme="minorEastAsia" w:hAnsiTheme="minorEastAsia" w:eastAsiaTheme="minorEastAsia"/>
          <w:color w:val="auto"/>
          <w:szCs w:val="21"/>
          <w:highlight w:val="none"/>
        </w:rPr>
        <w:t>各级人民政府指定的有关部门依法履行与政府采购活动有关的监督管理职责。本项目的政府采购监督管理部门见</w:t>
      </w:r>
      <w:r>
        <w:rPr>
          <w:rFonts w:hint="eastAsia" w:asciiTheme="minorEastAsia" w:hAnsiTheme="minorEastAsia" w:eastAsiaTheme="minorEastAsia"/>
          <w:color w:val="auto"/>
          <w:szCs w:val="21"/>
          <w:highlight w:val="none"/>
          <w:u w:val="single"/>
        </w:rPr>
        <w:t>投标人须知前附表</w:t>
      </w:r>
      <w:r>
        <w:rPr>
          <w:rFonts w:asciiTheme="minorEastAsia" w:hAnsiTheme="minorEastAsia" w:eastAsiaTheme="minorEastAsia"/>
          <w:color w:val="auto"/>
          <w:szCs w:val="21"/>
          <w:highlight w:val="none"/>
        </w:rPr>
        <w:t>。</w:t>
      </w:r>
    </w:p>
    <w:p>
      <w:pPr>
        <w:spacing w:line="360" w:lineRule="auto"/>
        <w:ind w:firstLine="42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.4投标人</w:t>
      </w:r>
      <w:r>
        <w:rPr>
          <w:rFonts w:hint="eastAsia" w:asciiTheme="minorEastAsia" w:hAnsiTheme="minorEastAsia" w:eastAsiaTheme="minorEastAsia"/>
          <w:color w:val="auto"/>
          <w:szCs w:val="21"/>
          <w:highlight w:val="none"/>
        </w:rPr>
        <w:t>（供应商）</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是指向采购人提供货物、工程或者服务的法人、其他组织或者自然人</w:t>
      </w:r>
      <w:r>
        <w:rPr>
          <w:rFonts w:asciiTheme="minorEastAsia" w:hAnsiTheme="minorEastAsia" w:eastAsiaTheme="minorEastAsia"/>
          <w:color w:val="auto"/>
          <w:szCs w:val="21"/>
          <w:highlight w:val="none"/>
        </w:rPr>
        <w:t>。</w:t>
      </w:r>
      <w:r>
        <w:rPr>
          <w:rFonts w:hint="eastAsia" w:asciiTheme="minorEastAsia" w:hAnsiTheme="minorEastAsia" w:eastAsiaTheme="minorEastAsia"/>
          <w:b/>
          <w:color w:val="auto"/>
          <w:szCs w:val="21"/>
          <w:highlight w:val="none"/>
        </w:rPr>
        <w:t>本项目不接受分支机构投标。</w:t>
      </w:r>
      <w:r>
        <w:rPr>
          <w:rFonts w:asciiTheme="minorEastAsia" w:hAnsiTheme="minorEastAsia" w:eastAsiaTheme="minorEastAsia"/>
          <w:color w:val="auto"/>
          <w:szCs w:val="21"/>
          <w:highlight w:val="none"/>
        </w:rPr>
        <w:t>本项目的投标人须满足</w:t>
      </w:r>
      <w:r>
        <w:rPr>
          <w:rFonts w:hint="eastAsia" w:asciiTheme="minorEastAsia" w:hAnsiTheme="minorEastAsia" w:eastAsiaTheme="minorEastAsia"/>
          <w:color w:val="auto"/>
          <w:szCs w:val="21"/>
          <w:highlight w:val="none"/>
          <w:u w:val="single"/>
        </w:rPr>
        <w:t>招标公告（投标邀请）</w:t>
      </w:r>
      <w:r>
        <w:rPr>
          <w:rFonts w:hint="eastAsia" w:asciiTheme="minorEastAsia" w:hAnsiTheme="minorEastAsia" w:eastAsiaTheme="minorEastAsia"/>
          <w:color w:val="auto"/>
          <w:szCs w:val="21"/>
          <w:highlight w:val="none"/>
        </w:rPr>
        <w:t>中</w:t>
      </w:r>
      <w:r>
        <w:rPr>
          <w:rFonts w:asciiTheme="minorEastAsia" w:hAnsiTheme="minorEastAsia" w:eastAsiaTheme="minorEastAsia"/>
          <w:color w:val="auto"/>
          <w:szCs w:val="21"/>
          <w:highlight w:val="none"/>
        </w:rPr>
        <w:t>关于</w:t>
      </w:r>
      <w:r>
        <w:rPr>
          <w:rFonts w:hint="eastAsia" w:asciiTheme="minorEastAsia" w:hAnsiTheme="minorEastAsia" w:eastAsiaTheme="minorEastAsia"/>
          <w:color w:val="auto"/>
          <w:szCs w:val="21"/>
          <w:highlight w:val="none"/>
        </w:rPr>
        <w:t>申请人的资格要求</w:t>
      </w:r>
      <w:r>
        <w:rPr>
          <w:rFonts w:asciiTheme="minorEastAsia" w:hAnsiTheme="minorEastAsia" w:eastAsiaTheme="minorEastAsia"/>
          <w:color w:val="auto"/>
          <w:szCs w:val="21"/>
          <w:highlight w:val="none"/>
        </w:rPr>
        <w:t>的规定。</w:t>
      </w:r>
    </w:p>
    <w:p>
      <w:pPr>
        <w:spacing w:line="360" w:lineRule="auto"/>
        <w:ind w:firstLine="420"/>
        <w:rPr>
          <w:rFonts w:asciiTheme="minorEastAsia" w:hAnsiTheme="minorEastAsia" w:eastAsiaTheme="minorEastAsia"/>
          <w:color w:val="auto"/>
          <w:szCs w:val="21"/>
          <w:highlight w:val="none"/>
        </w:rPr>
      </w:pPr>
      <w:bookmarkStart w:id="43" w:name="_Hlk60580861"/>
      <w:r>
        <w:rPr>
          <w:rFonts w:hint="eastAsia" w:asciiTheme="minorEastAsia" w:hAnsiTheme="minorEastAsia" w:eastAsiaTheme="minorEastAsia"/>
          <w:bCs/>
          <w:color w:val="auto"/>
          <w:kern w:val="0"/>
          <w:szCs w:val="21"/>
          <w:highlight w:val="none"/>
        </w:rPr>
        <w:t>3</w:t>
      </w:r>
      <w:r>
        <w:rPr>
          <w:rFonts w:asciiTheme="minorEastAsia" w:hAnsiTheme="minorEastAsia" w:eastAsiaTheme="minorEastAsia"/>
          <w:bCs/>
          <w:color w:val="auto"/>
          <w:kern w:val="0"/>
          <w:szCs w:val="21"/>
          <w:highlight w:val="none"/>
        </w:rPr>
        <w:t>.5</w:t>
      </w:r>
      <w:r>
        <w:rPr>
          <w:rFonts w:hint="eastAsia" w:asciiTheme="minorEastAsia" w:hAnsiTheme="minorEastAsia" w:eastAsiaTheme="minorEastAsia"/>
          <w:bCs/>
          <w:color w:val="auto"/>
          <w:kern w:val="0"/>
          <w:szCs w:val="21"/>
          <w:highlight w:val="none"/>
        </w:rPr>
        <w:t>本项目不接受</w:t>
      </w:r>
      <w:r>
        <w:rPr>
          <w:rFonts w:asciiTheme="minorEastAsia" w:hAnsiTheme="minorEastAsia" w:eastAsiaTheme="minorEastAsia"/>
          <w:bCs/>
          <w:color w:val="auto"/>
          <w:kern w:val="0"/>
          <w:szCs w:val="21"/>
          <w:highlight w:val="none"/>
        </w:rPr>
        <w:t>联合体投标</w:t>
      </w:r>
      <w:r>
        <w:rPr>
          <w:rFonts w:hint="eastAsia" w:asciiTheme="minorEastAsia" w:hAnsiTheme="minorEastAsia" w:eastAsiaTheme="minorEastAsia"/>
          <w:bCs/>
          <w:color w:val="auto"/>
          <w:kern w:val="0"/>
          <w:szCs w:val="21"/>
          <w:highlight w:val="none"/>
        </w:rPr>
        <w:t>。</w:t>
      </w:r>
    </w:p>
    <w:bookmarkEnd w:id="43"/>
    <w:p>
      <w:pPr>
        <w:spacing w:line="360" w:lineRule="auto"/>
        <w:ind w:firstLine="42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.6单位负责人为同一人或者存在直接控股、管理关系的不同供应商，</w:t>
      </w:r>
      <w:r>
        <w:rPr>
          <w:rFonts w:hint="eastAsia" w:asciiTheme="minorEastAsia" w:hAnsiTheme="minorEastAsia" w:eastAsiaTheme="minorEastAsia"/>
          <w:color w:val="auto"/>
          <w:szCs w:val="21"/>
          <w:highlight w:val="none"/>
        </w:rPr>
        <w:t>不得参加同一合同项下的政府采购活动，否则其投标将被认定为</w:t>
      </w:r>
      <w:r>
        <w:rPr>
          <w:rFonts w:hint="eastAsia" w:asciiTheme="minorEastAsia" w:hAnsiTheme="minorEastAsia" w:eastAsiaTheme="minorEastAsia"/>
          <w:b/>
          <w:bCs/>
          <w:color w:val="auto"/>
          <w:szCs w:val="21"/>
          <w:highlight w:val="none"/>
        </w:rPr>
        <w:t>投标无效</w:t>
      </w:r>
      <w:r>
        <w:rPr>
          <w:rFonts w:hint="eastAsia" w:asciiTheme="minorEastAsia" w:hAnsiTheme="minorEastAsia" w:eastAsiaTheme="minorEastAsia"/>
          <w:color w:val="auto"/>
          <w:szCs w:val="21"/>
          <w:highlight w:val="none"/>
        </w:rPr>
        <w:t>。</w:t>
      </w:r>
    </w:p>
    <w:p>
      <w:pPr>
        <w:spacing w:line="360" w:lineRule="auto"/>
        <w:ind w:firstLine="42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.7为本项目提供过整体设计、规范编制或者项目管理、监理、检测等服务的供应商，不得再参加本项目的采购活动</w:t>
      </w:r>
      <w:bookmarkStart w:id="44" w:name="_Hlk13431092"/>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否则其投标将被认定为</w:t>
      </w:r>
      <w:r>
        <w:rPr>
          <w:rFonts w:asciiTheme="minorEastAsia" w:hAnsiTheme="minorEastAsia" w:eastAsiaTheme="minorEastAsia"/>
          <w:b/>
          <w:color w:val="auto"/>
          <w:szCs w:val="21"/>
          <w:highlight w:val="none"/>
        </w:rPr>
        <w:t>投标无效</w:t>
      </w:r>
      <w:r>
        <w:rPr>
          <w:rFonts w:asciiTheme="minorEastAsia" w:hAnsiTheme="minorEastAsia" w:eastAsiaTheme="minorEastAsia"/>
          <w:color w:val="auto"/>
          <w:szCs w:val="21"/>
          <w:highlight w:val="none"/>
        </w:rPr>
        <w:t>。</w:t>
      </w:r>
      <w:bookmarkEnd w:id="44"/>
    </w:p>
    <w:p>
      <w:pPr>
        <w:spacing w:line="360" w:lineRule="auto"/>
        <w:ind w:firstLine="422"/>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4</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资金来源</w:t>
      </w:r>
    </w:p>
    <w:p>
      <w:pPr>
        <w:spacing w:line="360" w:lineRule="auto"/>
        <w:ind w:firstLine="42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本项目的采购人已获得足以支付本次招标后所签订的合同项下的资金。</w:t>
      </w:r>
    </w:p>
    <w:p>
      <w:pPr>
        <w:spacing w:line="360" w:lineRule="auto"/>
        <w:ind w:firstLine="420"/>
        <w:rPr>
          <w:rFonts w:asciiTheme="minorEastAsia" w:hAnsiTheme="minorEastAsia" w:eastAsiaTheme="minorEastAsia"/>
          <w:color w:val="auto"/>
          <w:szCs w:val="21"/>
          <w:highlight w:val="none"/>
        </w:rPr>
      </w:pPr>
      <w:bookmarkStart w:id="45" w:name="_Hlk11702998"/>
      <w:r>
        <w:rPr>
          <w:rFonts w:hint="eastAsia" w:asciiTheme="minorEastAsia" w:hAnsiTheme="minorEastAsia" w:eastAsiaTheme="minorEastAsia"/>
          <w:color w:val="auto"/>
          <w:szCs w:val="21"/>
          <w:highlight w:val="none"/>
        </w:rPr>
        <w:t>4.2项目预算金额和最高限价见</w:t>
      </w:r>
      <w:r>
        <w:rPr>
          <w:rFonts w:hint="eastAsia" w:asciiTheme="minorEastAsia" w:hAnsiTheme="minorEastAsia" w:eastAsiaTheme="minorEastAsia"/>
          <w:bCs/>
          <w:color w:val="auto"/>
          <w:kern w:val="0"/>
          <w:szCs w:val="21"/>
          <w:highlight w:val="none"/>
          <w:u w:val="single"/>
        </w:rPr>
        <w:t>招标公告（投标邀请）</w:t>
      </w:r>
      <w:r>
        <w:rPr>
          <w:rFonts w:hint="eastAsia" w:asciiTheme="minorEastAsia" w:hAnsiTheme="minorEastAsia" w:eastAsiaTheme="minorEastAsia"/>
          <w:color w:val="auto"/>
          <w:szCs w:val="21"/>
          <w:highlight w:val="none"/>
        </w:rPr>
        <w:t>。</w:t>
      </w:r>
    </w:p>
    <w:bookmarkEnd w:id="45"/>
    <w:p>
      <w:pPr>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5.投标委托</w:t>
      </w:r>
    </w:p>
    <w:p>
      <w:pPr>
        <w:pStyle w:val="266"/>
        <w:widowControl w:val="0"/>
        <w:spacing w:afterLines="0" w:line="360" w:lineRule="auto"/>
        <w:ind w:firstLine="42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投标文件的签署人应当为投标人的法定代表人，并在投标文件中提供法定代表人身份证正反面复印件。如投标人的法定代表人委托他人签署投标文件办理投标事务的，投标文件中必须提供投标人的</w:t>
      </w:r>
      <w:r>
        <w:rPr>
          <w:rFonts w:asciiTheme="minorEastAsia" w:hAnsiTheme="minorEastAsia" w:eastAsiaTheme="minorEastAsia"/>
          <w:color w:val="auto"/>
          <w:sz w:val="21"/>
          <w:szCs w:val="21"/>
          <w:highlight w:val="none"/>
        </w:rPr>
        <w:t>法定代表人出具的授权委托书</w:t>
      </w:r>
      <w:r>
        <w:rPr>
          <w:rFonts w:hint="eastAsia" w:asciiTheme="minorEastAsia" w:hAnsiTheme="minorEastAsia" w:eastAsiaTheme="minorEastAsia"/>
          <w:color w:val="auto"/>
          <w:sz w:val="21"/>
          <w:szCs w:val="21"/>
          <w:highlight w:val="none"/>
        </w:rPr>
        <w:t>及授权代表的身份证正反面复印件</w:t>
      </w:r>
      <w:r>
        <w:rPr>
          <w:rFonts w:asciiTheme="minorEastAsia" w:hAnsiTheme="minorEastAsia" w:eastAsiaTheme="minorEastAsia"/>
          <w:color w:val="auto"/>
          <w:sz w:val="21"/>
          <w:szCs w:val="21"/>
          <w:highlight w:val="none"/>
        </w:rPr>
        <w:t>。</w:t>
      </w:r>
    </w:p>
    <w:p>
      <w:pPr>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6.投标费用</w:t>
      </w:r>
    </w:p>
    <w:p>
      <w:pPr>
        <w:pStyle w:val="266"/>
        <w:widowControl w:val="0"/>
        <w:spacing w:afterLines="0" w:line="360" w:lineRule="auto"/>
        <w:ind w:firstLine="42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不论投标的结果如何，投标人自行承担所有与准备和参加投标有关的费用。</w:t>
      </w:r>
    </w:p>
    <w:p>
      <w:pPr>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7</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适用法律</w:t>
      </w:r>
    </w:p>
    <w:p>
      <w:pPr>
        <w:pStyle w:val="266"/>
        <w:widowControl w:val="0"/>
        <w:spacing w:afterLines="0" w:line="360" w:lineRule="auto"/>
        <w:ind w:firstLine="42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目采购人、采购代理机构、投标人、评标委员会的相关行为均受《中华人民共和国政府采购法》《中华人民共和国政府采购法实施条例》《政府采购货物和服务招标投标管理办法》等政府采购法律法规的约束，其权利亦受到上述法律法规的保护。</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8.知识产权</w:t>
      </w:r>
    </w:p>
    <w:p>
      <w:pPr>
        <w:pStyle w:val="25"/>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投标人应保证在本项目使用的任何产品（包括部分使用），不会产生因第三方提出侵犯其</w:t>
      </w:r>
      <w:r>
        <w:rPr>
          <w:rFonts w:hint="eastAsia" w:asciiTheme="minorEastAsia" w:hAnsiTheme="minorEastAsia" w:eastAsiaTheme="minorEastAsia"/>
          <w:color w:val="auto"/>
          <w:sz w:val="21"/>
          <w:szCs w:val="21"/>
          <w:highlight w:val="none"/>
        </w:rPr>
        <w:t>著作权、</w:t>
      </w:r>
      <w:r>
        <w:rPr>
          <w:rFonts w:asciiTheme="minorEastAsia" w:hAnsiTheme="minorEastAsia" w:eastAsiaTheme="minorEastAsia"/>
          <w:color w:val="auto"/>
          <w:sz w:val="21"/>
          <w:szCs w:val="21"/>
          <w:highlight w:val="none"/>
        </w:rPr>
        <w:t>专利权、商标权</w:t>
      </w:r>
      <w:r>
        <w:rPr>
          <w:rFonts w:hint="eastAsia" w:asciiTheme="minorEastAsia" w:hAnsiTheme="minorEastAsia" w:eastAsiaTheme="minorEastAsia"/>
          <w:color w:val="auto"/>
          <w:sz w:val="21"/>
          <w:szCs w:val="21"/>
          <w:highlight w:val="none"/>
        </w:rPr>
        <w:t>等</w:t>
      </w:r>
      <w:r>
        <w:rPr>
          <w:rFonts w:asciiTheme="minorEastAsia" w:hAnsiTheme="minorEastAsia" w:eastAsiaTheme="minorEastAsia"/>
          <w:color w:val="auto"/>
          <w:sz w:val="21"/>
          <w:szCs w:val="21"/>
          <w:highlight w:val="none"/>
        </w:rPr>
        <w:t>知识产权而引起</w:t>
      </w:r>
      <w:r>
        <w:rPr>
          <w:rFonts w:hint="eastAsia" w:asciiTheme="minorEastAsia" w:hAnsiTheme="minorEastAsia" w:eastAsiaTheme="minorEastAsia"/>
          <w:color w:val="auto"/>
          <w:sz w:val="21"/>
          <w:szCs w:val="21"/>
          <w:highlight w:val="none"/>
        </w:rPr>
        <w:t>法律或经济纠纷。</w:t>
      </w:r>
      <w:r>
        <w:rPr>
          <w:rFonts w:asciiTheme="minorEastAsia" w:hAnsiTheme="minorEastAsia" w:eastAsiaTheme="minorEastAsia"/>
          <w:color w:val="auto"/>
          <w:sz w:val="21"/>
          <w:szCs w:val="21"/>
          <w:highlight w:val="none"/>
        </w:rPr>
        <w:t>如果任何第三方提出侵权</w:t>
      </w:r>
      <w:r>
        <w:rPr>
          <w:rFonts w:hint="eastAsia" w:asciiTheme="minorEastAsia" w:hAnsiTheme="minorEastAsia" w:eastAsiaTheme="minorEastAsia"/>
          <w:color w:val="auto"/>
          <w:sz w:val="21"/>
          <w:szCs w:val="21"/>
          <w:highlight w:val="none"/>
        </w:rPr>
        <w:t>指控，由投标人</w:t>
      </w:r>
      <w:r>
        <w:rPr>
          <w:rFonts w:asciiTheme="minorEastAsia" w:hAnsiTheme="minorEastAsia" w:eastAsiaTheme="minorEastAsia"/>
          <w:color w:val="auto"/>
          <w:sz w:val="21"/>
          <w:szCs w:val="21"/>
          <w:highlight w:val="none"/>
        </w:rPr>
        <w:t>与该第三方交涉并承担由此发生的一切责任、费用和赔偿</w:t>
      </w:r>
      <w:r>
        <w:rPr>
          <w:rFonts w:hint="eastAsia" w:asciiTheme="minorEastAsia" w:hAnsiTheme="minorEastAsia" w:eastAsiaTheme="minorEastAsia"/>
          <w:color w:val="auto"/>
          <w:sz w:val="21"/>
          <w:szCs w:val="21"/>
          <w:highlight w:val="none"/>
        </w:rPr>
        <w:t>。</w:t>
      </w:r>
    </w:p>
    <w:p>
      <w:pPr>
        <w:pStyle w:val="25"/>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投标人采用自身所不拥有的知识产权，无论是否在投标报价中单独列明，采购人均视为报价已包含投标人合法获取该知识产权的相关费用。</w:t>
      </w:r>
    </w:p>
    <w:p>
      <w:pPr>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9.转包与分包</w:t>
      </w:r>
    </w:p>
    <w:p>
      <w:pPr>
        <w:pStyle w:val="25"/>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9.1</w:t>
      </w:r>
      <w:r>
        <w:rPr>
          <w:rFonts w:asciiTheme="minorEastAsia" w:hAnsiTheme="minorEastAsia" w:eastAsiaTheme="minorEastAsia"/>
          <w:color w:val="auto"/>
          <w:sz w:val="21"/>
          <w:szCs w:val="21"/>
          <w:highlight w:val="none"/>
        </w:rPr>
        <w:t>本项目不允许转包</w:t>
      </w:r>
      <w:r>
        <w:rPr>
          <w:rFonts w:hint="eastAsia" w:asciiTheme="minorEastAsia" w:hAnsiTheme="minorEastAsia" w:eastAsiaTheme="minorEastAsia"/>
          <w:color w:val="auto"/>
          <w:sz w:val="21"/>
          <w:szCs w:val="21"/>
          <w:highlight w:val="none"/>
        </w:rPr>
        <w:t>。</w:t>
      </w:r>
    </w:p>
    <w:p>
      <w:pPr>
        <w:pStyle w:val="25"/>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9.2本项目不允许分包。</w:t>
      </w:r>
    </w:p>
    <w:p>
      <w:pPr>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10.</w:t>
      </w:r>
      <w:r>
        <w:rPr>
          <w:rFonts w:asciiTheme="minorEastAsia" w:hAnsiTheme="minorEastAsia" w:eastAsiaTheme="minorEastAsia"/>
          <w:b/>
          <w:color w:val="auto"/>
          <w:szCs w:val="21"/>
          <w:highlight w:val="none"/>
        </w:rPr>
        <w:t>提供相同品牌产品</w:t>
      </w:r>
      <w:r>
        <w:rPr>
          <w:rFonts w:hint="eastAsia" w:asciiTheme="minorEastAsia" w:hAnsiTheme="minorEastAsia" w:eastAsiaTheme="minorEastAsia"/>
          <w:b/>
          <w:color w:val="auto"/>
          <w:szCs w:val="21"/>
          <w:highlight w:val="none"/>
        </w:rPr>
        <w:t>投标的处理原则</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10.1提供相同品牌产品且通过资格审查、符合性审查的不同投标人参加本项目投标的，按一家投标人计算，评审后得分最高的同品牌投标人获得中标人推荐资格；评审得分相同的，按投标报价由低到高顺序排列并推荐；得分且投标报价相同的，由得分相同的投标人采取随机抽取方式确定，其</w:t>
      </w:r>
      <w:r>
        <w:rPr>
          <w:rFonts w:hint="eastAsia" w:cs="Arial" w:asciiTheme="minorEastAsia" w:hAnsiTheme="minorEastAsia" w:eastAsiaTheme="minorEastAsia"/>
          <w:color w:val="auto"/>
          <w:szCs w:val="21"/>
          <w:highlight w:val="none"/>
        </w:rPr>
        <w:t>他同品牌投标人不</w:t>
      </w:r>
      <w:r>
        <w:rPr>
          <w:rFonts w:hint="eastAsia" w:asciiTheme="minorEastAsia" w:hAnsiTheme="minorEastAsia" w:eastAsiaTheme="minorEastAsia"/>
          <w:color w:val="auto"/>
          <w:szCs w:val="21"/>
          <w:highlight w:val="none"/>
        </w:rPr>
        <w:t>作为中标候选人，抽取的顺序按照投标文件解密的先后排序进行。</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10.2本项目核心产品：见</w:t>
      </w:r>
      <w:r>
        <w:rPr>
          <w:rFonts w:hint="eastAsia" w:asciiTheme="minorEastAsia" w:hAnsiTheme="minorEastAsia" w:eastAsiaTheme="minorEastAsia"/>
          <w:color w:val="auto"/>
          <w:szCs w:val="21"/>
          <w:highlight w:val="none"/>
          <w:u w:val="single"/>
        </w:rPr>
        <w:t>投标人须知前附表</w:t>
      </w:r>
      <w:r>
        <w:rPr>
          <w:rFonts w:hint="eastAsia" w:asciiTheme="minorEastAsia" w:hAnsiTheme="minorEastAsia" w:eastAsiaTheme="minorEastAsia"/>
          <w:color w:val="auto"/>
          <w:szCs w:val="21"/>
          <w:highlight w:val="none"/>
        </w:rPr>
        <w:t>。</w:t>
      </w:r>
    </w:p>
    <w:p>
      <w:pPr>
        <w:tabs>
          <w:tab w:val="left" w:pos="426"/>
        </w:tabs>
        <w:snapToGrid w:val="0"/>
        <w:spacing w:line="360" w:lineRule="auto"/>
        <w:ind w:firstLine="422" w:firstLineChars="200"/>
        <w:rPr>
          <w:rFonts w:cs="宋体" w:asciiTheme="minorEastAsia" w:hAnsiTheme="minorEastAsia" w:eastAsiaTheme="minorEastAsia"/>
          <w:b/>
          <w:color w:val="auto"/>
          <w:kern w:val="0"/>
          <w:szCs w:val="21"/>
          <w:highlight w:val="none"/>
        </w:rPr>
      </w:pPr>
      <w:r>
        <w:rPr>
          <w:rFonts w:hint="eastAsia" w:cs="宋体" w:asciiTheme="minorEastAsia" w:hAnsiTheme="minorEastAsia" w:eastAsiaTheme="minorEastAsia"/>
          <w:b/>
          <w:color w:val="auto"/>
          <w:kern w:val="0"/>
          <w:szCs w:val="21"/>
          <w:highlight w:val="none"/>
        </w:rPr>
        <w:t>11.</w:t>
      </w:r>
      <w:r>
        <w:rPr>
          <w:rFonts w:cs="宋体" w:asciiTheme="minorEastAsia" w:hAnsiTheme="minorEastAsia" w:eastAsiaTheme="minorEastAsia"/>
          <w:b/>
          <w:color w:val="auto"/>
          <w:kern w:val="0"/>
          <w:szCs w:val="21"/>
          <w:highlight w:val="none"/>
        </w:rPr>
        <w:t>质疑和投诉</w:t>
      </w:r>
    </w:p>
    <w:p>
      <w:pPr>
        <w:pStyle w:val="25"/>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11.1供应商认为招标文件、招标过程和中标结果使自己的权益受到损害的，可以根据</w:t>
      </w:r>
      <w:r>
        <w:rPr>
          <w:rFonts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rPr>
        <w:t>中华人民共和国政府</w:t>
      </w:r>
      <w:r>
        <w:rPr>
          <w:rFonts w:asciiTheme="minorEastAsia" w:hAnsiTheme="minorEastAsia" w:eastAsiaTheme="minorEastAsia"/>
          <w:color w:val="auto"/>
          <w:sz w:val="21"/>
          <w:szCs w:val="21"/>
          <w:highlight w:val="none"/>
        </w:rPr>
        <w:t>采购法》《</w:t>
      </w:r>
      <w:r>
        <w:rPr>
          <w:rFonts w:hint="eastAsia" w:asciiTheme="minorEastAsia" w:hAnsiTheme="minorEastAsia" w:eastAsiaTheme="minorEastAsia"/>
          <w:color w:val="auto"/>
          <w:sz w:val="21"/>
          <w:szCs w:val="21"/>
          <w:highlight w:val="none"/>
        </w:rPr>
        <w:t>中华人民共和国政府</w:t>
      </w:r>
      <w:r>
        <w:rPr>
          <w:rFonts w:asciiTheme="minorEastAsia" w:hAnsiTheme="minorEastAsia" w:eastAsiaTheme="minorEastAsia"/>
          <w:color w:val="auto"/>
          <w:sz w:val="21"/>
          <w:szCs w:val="21"/>
          <w:highlight w:val="none"/>
        </w:rPr>
        <w:t>采购法实施条例》</w:t>
      </w:r>
      <w:r>
        <w:rPr>
          <w:rFonts w:hint="eastAsia" w:asciiTheme="minorEastAsia" w:hAnsiTheme="minorEastAsia" w:eastAsiaTheme="minorEastAsia"/>
          <w:color w:val="auto"/>
          <w:sz w:val="21"/>
          <w:szCs w:val="21"/>
          <w:highlight w:val="none"/>
        </w:rPr>
        <w:t>和</w:t>
      </w:r>
      <w:r>
        <w:rPr>
          <w:rFonts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rPr>
        <w:t>政府</w:t>
      </w:r>
      <w:r>
        <w:rPr>
          <w:rFonts w:asciiTheme="minorEastAsia" w:hAnsiTheme="minorEastAsia" w:eastAsiaTheme="minorEastAsia"/>
          <w:color w:val="auto"/>
          <w:sz w:val="21"/>
          <w:szCs w:val="21"/>
          <w:highlight w:val="none"/>
        </w:rPr>
        <w:t>采购质疑和投诉办法》</w:t>
      </w:r>
      <w:r>
        <w:rPr>
          <w:rFonts w:hint="eastAsia" w:asciiTheme="minorEastAsia" w:hAnsiTheme="minorEastAsia" w:eastAsiaTheme="minorEastAsia"/>
          <w:color w:val="auto"/>
          <w:sz w:val="21"/>
          <w:szCs w:val="21"/>
          <w:highlight w:val="none"/>
        </w:rPr>
        <w:t>的</w:t>
      </w:r>
      <w:r>
        <w:rPr>
          <w:rFonts w:asciiTheme="minorEastAsia" w:hAnsiTheme="minorEastAsia" w:eastAsiaTheme="minorEastAsia"/>
          <w:color w:val="auto"/>
          <w:sz w:val="21"/>
          <w:szCs w:val="21"/>
          <w:highlight w:val="none"/>
        </w:rPr>
        <w:t>有关规定，</w:t>
      </w:r>
      <w:r>
        <w:rPr>
          <w:rFonts w:hint="eastAsia" w:asciiTheme="minorEastAsia" w:hAnsiTheme="minorEastAsia" w:eastAsiaTheme="minorEastAsia"/>
          <w:color w:val="auto"/>
          <w:sz w:val="21"/>
          <w:szCs w:val="21"/>
          <w:highlight w:val="none"/>
        </w:rPr>
        <w:t>依法向采购人或采购代理机构提出质疑。</w:t>
      </w:r>
    </w:p>
    <w:p>
      <w:pPr>
        <w:pStyle w:val="25"/>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w:t>
      </w: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供应商</w:t>
      </w:r>
      <w:r>
        <w:rPr>
          <w:rFonts w:asciiTheme="minorEastAsia" w:hAnsiTheme="minorEastAsia" w:eastAsiaTheme="minorEastAsia"/>
          <w:color w:val="auto"/>
          <w:sz w:val="21"/>
          <w:szCs w:val="21"/>
          <w:highlight w:val="none"/>
        </w:rPr>
        <w:t>应</w:t>
      </w:r>
      <w:r>
        <w:rPr>
          <w:rFonts w:hint="eastAsia" w:asciiTheme="minorEastAsia" w:hAnsiTheme="minorEastAsia" w:eastAsiaTheme="minorEastAsia"/>
          <w:color w:val="auto"/>
          <w:sz w:val="21"/>
          <w:szCs w:val="21"/>
          <w:highlight w:val="none"/>
        </w:rPr>
        <w:t>按</w:t>
      </w:r>
      <w:r>
        <w:rPr>
          <w:rFonts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rPr>
        <w:t>政府</w:t>
      </w:r>
      <w:r>
        <w:rPr>
          <w:rFonts w:asciiTheme="minorEastAsia" w:hAnsiTheme="minorEastAsia" w:eastAsiaTheme="minorEastAsia"/>
          <w:color w:val="auto"/>
          <w:sz w:val="21"/>
          <w:szCs w:val="21"/>
          <w:highlight w:val="none"/>
        </w:rPr>
        <w:t>采购质疑和投诉办法》的要求</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在法定质疑期内</w:t>
      </w:r>
      <w:r>
        <w:rPr>
          <w:rFonts w:hint="eastAsia" w:asciiTheme="minorEastAsia" w:hAnsiTheme="minorEastAsia" w:eastAsiaTheme="minorEastAsia"/>
          <w:color w:val="auto"/>
          <w:sz w:val="21"/>
          <w:szCs w:val="21"/>
          <w:highlight w:val="none"/>
        </w:rPr>
        <w:t>以书面形式</w:t>
      </w:r>
      <w:r>
        <w:rPr>
          <w:rFonts w:asciiTheme="minorEastAsia" w:hAnsiTheme="minorEastAsia" w:eastAsiaTheme="minorEastAsia"/>
          <w:color w:val="auto"/>
          <w:sz w:val="21"/>
          <w:szCs w:val="21"/>
          <w:highlight w:val="none"/>
        </w:rPr>
        <w:t>提出质疑</w:t>
      </w:r>
      <w:r>
        <w:rPr>
          <w:rFonts w:hint="eastAsia" w:asciiTheme="minorEastAsia" w:hAnsiTheme="minorEastAsia" w:eastAsiaTheme="minorEastAsia"/>
          <w:color w:val="auto"/>
          <w:sz w:val="21"/>
          <w:szCs w:val="21"/>
          <w:highlight w:val="none"/>
        </w:rPr>
        <w:t>，超出法定质疑期提交的质疑将被拒绝，针对同一采购程序环节的质疑应一次性提出。</w:t>
      </w:r>
    </w:p>
    <w:p>
      <w:pPr>
        <w:pStyle w:val="25"/>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11.3采购代理机构的质疑函接收部门、联系电话和通讯地址</w:t>
      </w:r>
      <w:r>
        <w:rPr>
          <w:rFonts w:hint="eastAsia" w:asciiTheme="minorEastAsia" w:hAnsiTheme="minorEastAsia" w:eastAsiaTheme="minorEastAsia"/>
          <w:color w:val="auto"/>
          <w:sz w:val="21"/>
          <w:szCs w:val="21"/>
          <w:highlight w:val="none"/>
          <w:u w:val="single"/>
        </w:rPr>
        <w:t>详见投标人须知前附表</w:t>
      </w:r>
      <w:r>
        <w:rPr>
          <w:rFonts w:hint="eastAsia" w:asciiTheme="minorEastAsia" w:hAnsiTheme="minorEastAsia" w:eastAsiaTheme="minorEastAsia"/>
          <w:color w:val="auto"/>
          <w:sz w:val="21"/>
          <w:szCs w:val="21"/>
          <w:highlight w:val="none"/>
        </w:rPr>
        <w:t>。</w:t>
      </w:r>
    </w:p>
    <w:p>
      <w:pPr>
        <w:pStyle w:val="25"/>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11.4质疑供应商对采购人、采购代理机构的答复不满意，或者采购人、采购代理机构未在规定时间内作出答复，可以在答复期满后15个工作日内向财政部门提起投诉，财政部门信息详见</w:t>
      </w:r>
      <w:r>
        <w:rPr>
          <w:rFonts w:hint="eastAsia" w:asciiTheme="minorEastAsia" w:hAnsiTheme="minorEastAsia" w:eastAsiaTheme="minorEastAsia"/>
          <w:color w:val="auto"/>
          <w:sz w:val="21"/>
          <w:szCs w:val="21"/>
          <w:highlight w:val="none"/>
          <w:u w:val="single"/>
        </w:rPr>
        <w:t>招标公告</w:t>
      </w:r>
      <w:r>
        <w:rPr>
          <w:rFonts w:hint="eastAsia" w:asciiTheme="minorEastAsia" w:hAnsiTheme="minorEastAsia" w:eastAsiaTheme="minorEastAsia"/>
          <w:color w:val="auto"/>
          <w:sz w:val="21"/>
          <w:szCs w:val="21"/>
          <w:highlight w:val="none"/>
        </w:rPr>
        <w:t>。</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12.投标人信用记录查询及使用</w:t>
      </w:r>
    </w:p>
    <w:p>
      <w:pPr>
        <w:pStyle w:val="20"/>
        <w:snapToGrid w:val="0"/>
        <w:spacing w:after="0" w:line="360" w:lineRule="auto"/>
        <w:ind w:left="0" w:leftChars="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12.1</w:t>
      </w:r>
      <w:r>
        <w:rPr>
          <w:rFonts w:asciiTheme="minorEastAsia" w:hAnsiTheme="minorEastAsia" w:eastAsiaTheme="minorEastAsia"/>
          <w:color w:val="auto"/>
          <w:sz w:val="21"/>
          <w:szCs w:val="21"/>
          <w:highlight w:val="none"/>
        </w:rPr>
        <w:t>信用信息查询渠道</w:t>
      </w:r>
      <w:r>
        <w:rPr>
          <w:rFonts w:hint="eastAsia" w:asciiTheme="minorEastAsia" w:hAnsiTheme="minorEastAsia" w:eastAsiaTheme="minorEastAsia"/>
          <w:color w:val="auto"/>
          <w:sz w:val="21"/>
          <w:szCs w:val="21"/>
          <w:highlight w:val="none"/>
        </w:rPr>
        <w:t>：“信用中国”网站（www.creditchina.gov.cn）、中国政府采购网（www.ccgp.gov.cn）。</w:t>
      </w:r>
    </w:p>
    <w:p>
      <w:pPr>
        <w:pStyle w:val="20"/>
        <w:snapToGrid w:val="0"/>
        <w:spacing w:after="0" w:line="360" w:lineRule="auto"/>
        <w:ind w:left="0" w:leftChars="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12.2</w:t>
      </w:r>
      <w:r>
        <w:rPr>
          <w:rFonts w:asciiTheme="minorEastAsia" w:hAnsiTheme="minorEastAsia" w:eastAsiaTheme="minorEastAsia"/>
          <w:color w:val="auto"/>
          <w:sz w:val="21"/>
          <w:szCs w:val="21"/>
          <w:highlight w:val="none"/>
        </w:rPr>
        <w:t>信用信息查询截止时点</w:t>
      </w:r>
      <w:r>
        <w:rPr>
          <w:rFonts w:hint="eastAsia" w:asciiTheme="minorEastAsia" w:hAnsiTheme="minorEastAsia" w:eastAsiaTheme="minorEastAsia"/>
          <w:color w:val="auto"/>
          <w:sz w:val="21"/>
          <w:szCs w:val="21"/>
          <w:highlight w:val="none"/>
        </w:rPr>
        <w:t>：投标截止时间后至评审结束前。</w:t>
      </w:r>
    </w:p>
    <w:p>
      <w:pPr>
        <w:pStyle w:val="20"/>
        <w:snapToGrid w:val="0"/>
        <w:spacing w:after="0" w:line="360" w:lineRule="auto"/>
        <w:ind w:left="0" w:leftChars="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12.3</w:t>
      </w:r>
      <w:r>
        <w:rPr>
          <w:rFonts w:asciiTheme="minorEastAsia" w:hAnsiTheme="minorEastAsia" w:eastAsiaTheme="minorEastAsia"/>
          <w:color w:val="auto"/>
          <w:sz w:val="21"/>
          <w:szCs w:val="21"/>
          <w:highlight w:val="none"/>
        </w:rPr>
        <w:t>信用信息查询记录和证据留存的具体方式</w:t>
      </w:r>
      <w:r>
        <w:rPr>
          <w:rFonts w:hint="eastAsia" w:asciiTheme="minorEastAsia" w:hAnsiTheme="minorEastAsia" w:eastAsiaTheme="minorEastAsia"/>
          <w:color w:val="auto"/>
          <w:sz w:val="21"/>
          <w:szCs w:val="21"/>
          <w:highlight w:val="none"/>
        </w:rPr>
        <w:t>：由</w:t>
      </w:r>
      <w:r>
        <w:rPr>
          <w:rFonts w:asciiTheme="minorEastAsia" w:hAnsiTheme="minorEastAsia" w:eastAsiaTheme="minorEastAsia"/>
          <w:color w:val="auto"/>
          <w:sz w:val="21"/>
          <w:szCs w:val="21"/>
          <w:highlight w:val="none"/>
        </w:rPr>
        <w:t>采购代理机构</w:t>
      </w:r>
      <w:r>
        <w:rPr>
          <w:rFonts w:hint="eastAsia" w:asciiTheme="minorEastAsia" w:hAnsiTheme="minorEastAsia" w:eastAsiaTheme="minorEastAsia"/>
          <w:color w:val="auto"/>
          <w:sz w:val="21"/>
          <w:szCs w:val="21"/>
          <w:highlight w:val="none"/>
        </w:rPr>
        <w:t>工作人员将查询网页打印并与其他采购文件一并存档备查。</w:t>
      </w:r>
    </w:p>
    <w:p>
      <w:pPr>
        <w:pStyle w:val="20"/>
        <w:snapToGrid w:val="0"/>
        <w:spacing w:after="0" w:line="360" w:lineRule="auto"/>
        <w:ind w:left="0" w:leftChars="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投标人不良信用记录以</w:t>
      </w:r>
      <w:r>
        <w:rPr>
          <w:rFonts w:asciiTheme="minorEastAsia" w:hAnsiTheme="minorEastAsia" w:eastAsiaTheme="minorEastAsia"/>
          <w:color w:val="auto"/>
          <w:sz w:val="21"/>
          <w:szCs w:val="21"/>
          <w:highlight w:val="none"/>
        </w:rPr>
        <w:t>采购代理机构</w:t>
      </w:r>
      <w:r>
        <w:rPr>
          <w:rFonts w:hint="eastAsia" w:asciiTheme="minorEastAsia" w:hAnsiTheme="minorEastAsia" w:eastAsiaTheme="minorEastAsia"/>
          <w:color w:val="auto"/>
          <w:sz w:val="21"/>
          <w:szCs w:val="21"/>
          <w:highlight w:val="none"/>
        </w:rPr>
        <w:t>查询结果为准。</w:t>
      </w:r>
      <w:bookmarkStart w:id="46" w:name="_Hlk24663338"/>
      <w:r>
        <w:rPr>
          <w:rFonts w:hint="eastAsia" w:asciiTheme="minorEastAsia" w:hAnsiTheme="minorEastAsia" w:eastAsiaTheme="minorEastAsia"/>
          <w:color w:val="auto"/>
          <w:sz w:val="21"/>
          <w:szCs w:val="21"/>
          <w:highlight w:val="none"/>
        </w:rPr>
        <w:t>在</w:t>
      </w:r>
      <w:r>
        <w:rPr>
          <w:rFonts w:asciiTheme="minorEastAsia" w:hAnsiTheme="minorEastAsia" w:eastAsiaTheme="minorEastAsia"/>
          <w:color w:val="auto"/>
          <w:sz w:val="21"/>
          <w:szCs w:val="21"/>
          <w:highlight w:val="none"/>
        </w:rPr>
        <w:t>招标文件规定</w:t>
      </w:r>
      <w:r>
        <w:rPr>
          <w:rFonts w:hint="eastAsia" w:asciiTheme="minorEastAsia" w:hAnsiTheme="minorEastAsia" w:eastAsiaTheme="minorEastAsia"/>
          <w:color w:val="auto"/>
          <w:sz w:val="21"/>
          <w:szCs w:val="21"/>
          <w:highlight w:val="none"/>
        </w:rPr>
        <w:t>的查询时间之外，网站信息发生的任何变更均不作为资格审查依据</w:t>
      </w:r>
      <w:bookmarkEnd w:id="46"/>
      <w:r>
        <w:rPr>
          <w:rFonts w:hint="eastAsia" w:asciiTheme="minorEastAsia" w:hAnsiTheme="minorEastAsia" w:eastAsiaTheme="minorEastAsia"/>
          <w:color w:val="auto"/>
          <w:sz w:val="21"/>
          <w:szCs w:val="21"/>
          <w:highlight w:val="none"/>
        </w:rPr>
        <w:t>，投标人自行提供的网站查询结果材料亦不作为资格审查依据。</w:t>
      </w:r>
    </w:p>
    <w:p>
      <w:pPr>
        <w:pStyle w:val="20"/>
        <w:snapToGrid w:val="0"/>
        <w:spacing w:after="0" w:line="360" w:lineRule="auto"/>
        <w:ind w:left="0" w:leftChars="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12.4</w:t>
      </w:r>
      <w:r>
        <w:rPr>
          <w:rFonts w:asciiTheme="minorEastAsia" w:hAnsiTheme="minorEastAsia" w:eastAsiaTheme="minorEastAsia"/>
          <w:color w:val="auto"/>
          <w:sz w:val="21"/>
          <w:szCs w:val="21"/>
          <w:highlight w:val="none"/>
        </w:rPr>
        <w:t>信用信息的使用规则</w:t>
      </w:r>
      <w:r>
        <w:rPr>
          <w:rFonts w:hint="eastAsia" w:asciiTheme="minorEastAsia" w:hAnsiTheme="minorEastAsia" w:eastAsiaTheme="minorEastAsia"/>
          <w:color w:val="auto"/>
          <w:sz w:val="21"/>
          <w:szCs w:val="21"/>
          <w:highlight w:val="none"/>
        </w:rPr>
        <w:t>：投标人存在招标文件明确的不良信用记录的，其投标将被认定为</w:t>
      </w:r>
      <w:r>
        <w:rPr>
          <w:rFonts w:hint="eastAsia" w:asciiTheme="minorEastAsia" w:hAnsiTheme="minorEastAsia" w:eastAsiaTheme="minorEastAsia"/>
          <w:b/>
          <w:color w:val="auto"/>
          <w:sz w:val="21"/>
          <w:szCs w:val="21"/>
          <w:highlight w:val="none"/>
        </w:rPr>
        <w:t>投标无效</w:t>
      </w:r>
      <w:r>
        <w:rPr>
          <w:rFonts w:hint="eastAsia" w:asciiTheme="minorEastAsia" w:hAnsiTheme="minorEastAsia" w:eastAsiaTheme="minorEastAsia"/>
          <w:color w:val="auto"/>
          <w:sz w:val="21"/>
          <w:szCs w:val="21"/>
          <w:highlight w:val="none"/>
        </w:rPr>
        <w:t>。</w:t>
      </w:r>
    </w:p>
    <w:p>
      <w:pPr>
        <w:spacing w:line="360" w:lineRule="auto"/>
        <w:ind w:firstLine="422"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13.政府采购信息发布媒体</w:t>
      </w:r>
    </w:p>
    <w:p>
      <w:pPr>
        <w:pStyle w:val="20"/>
        <w:snapToGrid w:val="0"/>
        <w:spacing w:after="0" w:line="360" w:lineRule="auto"/>
        <w:ind w:left="0" w:leftChars="0"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本项目政府采购信息发布在</w:t>
      </w:r>
      <w:r>
        <w:rPr>
          <w:rFonts w:hint="eastAsia" w:asciiTheme="minorEastAsia" w:hAnsiTheme="minorEastAsia" w:eastAsiaTheme="minorEastAsia"/>
          <w:bCs/>
          <w:color w:val="auto"/>
          <w:sz w:val="21"/>
          <w:szCs w:val="21"/>
          <w:highlight w:val="none"/>
        </w:rPr>
        <w:t>宁波政府采购网（</w:t>
      </w:r>
      <w:r>
        <w:rPr>
          <w:rFonts w:asciiTheme="minorEastAsia" w:hAnsiTheme="minorEastAsia" w:eastAsiaTheme="minorEastAsia"/>
          <w:bCs/>
          <w:color w:val="auto"/>
          <w:sz w:val="21"/>
          <w:szCs w:val="21"/>
          <w:highlight w:val="none"/>
        </w:rPr>
        <w:t>http：//www.nbzfcg.cn/</w:t>
      </w:r>
      <w:r>
        <w:rPr>
          <w:rFonts w:hint="eastAsia" w:asciiTheme="minorEastAsia" w:hAnsiTheme="minorEastAsia" w:eastAsiaTheme="minorEastAsia"/>
          <w:bCs/>
          <w:color w:val="auto"/>
          <w:sz w:val="21"/>
          <w:szCs w:val="21"/>
          <w:highlight w:val="none"/>
        </w:rPr>
        <w:t>）、浙江政府采购网（</w:t>
      </w:r>
      <w:r>
        <w:rPr>
          <w:rFonts w:asciiTheme="minorEastAsia" w:hAnsiTheme="minorEastAsia" w:eastAsiaTheme="minorEastAsia"/>
          <w:bCs/>
          <w:color w:val="auto"/>
          <w:sz w:val="21"/>
          <w:szCs w:val="21"/>
          <w:highlight w:val="none"/>
        </w:rPr>
        <w:t>https：//zfcg.czt.zj.gov.cn/</w:t>
      </w:r>
      <w:r>
        <w:rPr>
          <w:rFonts w:hint="eastAsia" w:asciiTheme="minorEastAsia" w:hAnsiTheme="minorEastAsia" w:eastAsiaTheme="minorEastAsia"/>
          <w:bCs/>
          <w:color w:val="auto"/>
          <w:sz w:val="21"/>
          <w:szCs w:val="21"/>
          <w:highlight w:val="none"/>
        </w:rPr>
        <w:t>）。</w:t>
      </w:r>
    </w:p>
    <w:p>
      <w:pPr>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14.</w:t>
      </w:r>
      <w:r>
        <w:rPr>
          <w:rFonts w:asciiTheme="minorEastAsia" w:hAnsiTheme="minorEastAsia" w:eastAsiaTheme="minorEastAsia"/>
          <w:b/>
          <w:color w:val="auto"/>
          <w:szCs w:val="21"/>
          <w:highlight w:val="none"/>
        </w:rPr>
        <w:t>采购代理</w:t>
      </w:r>
      <w:r>
        <w:rPr>
          <w:rFonts w:hint="eastAsia" w:asciiTheme="minorEastAsia" w:hAnsiTheme="minorEastAsia" w:eastAsiaTheme="minorEastAsia"/>
          <w:b/>
          <w:color w:val="auto"/>
          <w:szCs w:val="21"/>
          <w:highlight w:val="none"/>
        </w:rPr>
        <w:t>服务</w:t>
      </w:r>
      <w:r>
        <w:rPr>
          <w:rFonts w:asciiTheme="minorEastAsia" w:hAnsiTheme="minorEastAsia" w:eastAsiaTheme="minorEastAsia"/>
          <w:b/>
          <w:color w:val="auto"/>
          <w:szCs w:val="21"/>
          <w:highlight w:val="none"/>
        </w:rPr>
        <w:t>费用的收取标准和方式</w:t>
      </w:r>
    </w:p>
    <w:p>
      <w:pPr>
        <w:pStyle w:val="20"/>
        <w:snapToGrid w:val="0"/>
        <w:spacing w:after="0" w:line="360" w:lineRule="auto"/>
        <w:ind w:left="0" w:leftChars="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14.1</w:t>
      </w:r>
      <w:r>
        <w:rPr>
          <w:rFonts w:asciiTheme="minorEastAsia" w:hAnsiTheme="minorEastAsia" w:eastAsiaTheme="minorEastAsia"/>
          <w:color w:val="auto"/>
          <w:sz w:val="21"/>
          <w:szCs w:val="21"/>
          <w:highlight w:val="none"/>
        </w:rPr>
        <w:t>采购</w:t>
      </w:r>
      <w:r>
        <w:rPr>
          <w:rFonts w:hint="eastAsia" w:asciiTheme="minorEastAsia" w:hAnsiTheme="minorEastAsia" w:eastAsiaTheme="minorEastAsia"/>
          <w:color w:val="auto"/>
          <w:sz w:val="21"/>
          <w:szCs w:val="21"/>
          <w:highlight w:val="none"/>
        </w:rPr>
        <w:t>代理服务费用的收取标准：见</w:t>
      </w:r>
      <w:r>
        <w:rPr>
          <w:rFonts w:hint="eastAsia" w:asciiTheme="minorEastAsia" w:hAnsiTheme="minorEastAsia" w:eastAsiaTheme="minorEastAsia"/>
          <w:color w:val="auto"/>
          <w:sz w:val="21"/>
          <w:szCs w:val="21"/>
          <w:highlight w:val="none"/>
          <w:u w:val="single"/>
        </w:rPr>
        <w:t>投标人须知前附表</w:t>
      </w:r>
      <w:r>
        <w:rPr>
          <w:rFonts w:hint="eastAsia" w:asciiTheme="minorEastAsia" w:hAnsiTheme="minorEastAsia" w:eastAsiaTheme="minorEastAsia"/>
          <w:color w:val="auto"/>
          <w:sz w:val="21"/>
          <w:szCs w:val="21"/>
          <w:highlight w:val="none"/>
        </w:rPr>
        <w:t>。</w:t>
      </w:r>
    </w:p>
    <w:p>
      <w:pPr>
        <w:pStyle w:val="20"/>
        <w:snapToGrid w:val="0"/>
        <w:spacing w:after="0" w:line="360" w:lineRule="auto"/>
        <w:ind w:left="0" w:leftChars="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14.2</w:t>
      </w:r>
      <w:r>
        <w:rPr>
          <w:rFonts w:asciiTheme="minorEastAsia" w:hAnsiTheme="minorEastAsia" w:eastAsiaTheme="minorEastAsia"/>
          <w:color w:val="auto"/>
          <w:sz w:val="21"/>
          <w:szCs w:val="21"/>
          <w:highlight w:val="none"/>
        </w:rPr>
        <w:t>采购</w:t>
      </w:r>
      <w:r>
        <w:rPr>
          <w:rFonts w:hint="eastAsia" w:asciiTheme="minorEastAsia" w:hAnsiTheme="minorEastAsia" w:eastAsiaTheme="minorEastAsia"/>
          <w:color w:val="auto"/>
          <w:sz w:val="21"/>
          <w:szCs w:val="21"/>
          <w:highlight w:val="none"/>
        </w:rPr>
        <w:t>代理服务费的支付：见</w:t>
      </w:r>
      <w:r>
        <w:rPr>
          <w:rFonts w:hint="eastAsia" w:asciiTheme="minorEastAsia" w:hAnsiTheme="minorEastAsia" w:eastAsiaTheme="minorEastAsia"/>
          <w:color w:val="auto"/>
          <w:sz w:val="21"/>
          <w:szCs w:val="21"/>
          <w:highlight w:val="none"/>
          <w:u w:val="single"/>
        </w:rPr>
        <w:t>投标人须知前附表</w:t>
      </w:r>
      <w:r>
        <w:rPr>
          <w:rFonts w:hint="eastAsia" w:asciiTheme="minorEastAsia" w:hAnsiTheme="minorEastAsia" w:eastAsiaTheme="minorEastAsia"/>
          <w:color w:val="auto"/>
          <w:sz w:val="21"/>
          <w:szCs w:val="21"/>
          <w:highlight w:val="none"/>
        </w:rPr>
        <w:t>。</w:t>
      </w:r>
    </w:p>
    <w:p>
      <w:pPr>
        <w:pStyle w:val="20"/>
        <w:snapToGrid w:val="0"/>
        <w:spacing w:after="0" w:line="360" w:lineRule="auto"/>
        <w:ind w:left="0" w:leftChars="0" w:firstLine="420" w:firstLineChars="200"/>
        <w:jc w:val="left"/>
        <w:rPr>
          <w:rFonts w:cs="宋体" w:asciiTheme="minorEastAsia" w:hAnsiTheme="minorEastAsia" w:eastAsiaTheme="minorEastAsia"/>
          <w:bCs/>
          <w:color w:val="auto"/>
          <w:highlight w:val="none"/>
        </w:rPr>
      </w:pPr>
      <w:r>
        <w:rPr>
          <w:rFonts w:hint="eastAsia"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Cs w:val="21"/>
          <w:highlight w:val="none"/>
        </w:rPr>
        <w:t>4</w:t>
      </w:r>
      <w:r>
        <w:rPr>
          <w:rFonts w:hint="eastAsia" w:asciiTheme="minorEastAsia" w:hAnsiTheme="minorEastAsia" w:eastAsiaTheme="minorEastAsia"/>
          <w:color w:val="auto"/>
          <w:sz w:val="21"/>
          <w:szCs w:val="21"/>
          <w:highlight w:val="none"/>
        </w:rPr>
        <w:t>.3中标人应当将采购</w:t>
      </w:r>
      <w:r>
        <w:rPr>
          <w:rFonts w:asciiTheme="minorEastAsia" w:hAnsiTheme="minorEastAsia" w:eastAsiaTheme="minorEastAsia"/>
          <w:color w:val="auto"/>
          <w:sz w:val="21"/>
          <w:szCs w:val="21"/>
          <w:highlight w:val="none"/>
        </w:rPr>
        <w:t>代理</w:t>
      </w:r>
      <w:r>
        <w:rPr>
          <w:rFonts w:hint="eastAsia" w:asciiTheme="minorEastAsia" w:hAnsiTheme="minorEastAsia" w:eastAsiaTheme="minorEastAsia"/>
          <w:color w:val="auto"/>
          <w:sz w:val="21"/>
          <w:szCs w:val="21"/>
          <w:highlight w:val="none"/>
        </w:rPr>
        <w:t>服务</w:t>
      </w:r>
      <w:r>
        <w:rPr>
          <w:rFonts w:asciiTheme="minorEastAsia" w:hAnsiTheme="minorEastAsia" w:eastAsiaTheme="minorEastAsia"/>
          <w:color w:val="auto"/>
          <w:sz w:val="21"/>
          <w:szCs w:val="21"/>
          <w:highlight w:val="none"/>
        </w:rPr>
        <w:t>费</w:t>
      </w:r>
      <w:r>
        <w:rPr>
          <w:rFonts w:hint="eastAsia" w:asciiTheme="minorEastAsia" w:hAnsiTheme="minorEastAsia" w:eastAsiaTheme="minorEastAsia"/>
          <w:color w:val="auto"/>
          <w:sz w:val="21"/>
          <w:szCs w:val="21"/>
          <w:highlight w:val="none"/>
        </w:rPr>
        <w:t>交至代理机构银行账户，并</w:t>
      </w:r>
      <w:r>
        <w:rPr>
          <w:rFonts w:hint="eastAsia" w:asciiTheme="minorEastAsia" w:hAnsiTheme="minorEastAsia" w:eastAsiaTheme="minorEastAsia"/>
          <w:color w:val="auto"/>
          <w:szCs w:val="21"/>
          <w:highlight w:val="none"/>
        </w:rPr>
        <w:t>将</w:t>
      </w:r>
      <w:r>
        <w:rPr>
          <w:rFonts w:hint="eastAsia" w:asciiTheme="minorEastAsia" w:hAnsiTheme="minorEastAsia" w:eastAsiaTheme="minorEastAsia"/>
          <w:color w:val="auto"/>
          <w:sz w:val="21"/>
          <w:szCs w:val="21"/>
          <w:highlight w:val="none"/>
        </w:rPr>
        <w:t>开票信息、开票要求</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 w:val="21"/>
          <w:szCs w:val="21"/>
          <w:highlight w:val="none"/>
        </w:rPr>
        <w:t>发票收件地址信息</w:t>
      </w:r>
      <w:r>
        <w:rPr>
          <w:rFonts w:hint="eastAsia" w:asciiTheme="minorEastAsia" w:hAnsiTheme="minorEastAsia" w:eastAsiaTheme="minorEastAsia"/>
          <w:color w:val="auto"/>
          <w:szCs w:val="21"/>
          <w:highlight w:val="none"/>
        </w:rPr>
        <w:t>发</w:t>
      </w:r>
      <w:r>
        <w:rPr>
          <w:rFonts w:hint="eastAsia" w:asciiTheme="minorEastAsia" w:hAnsiTheme="minorEastAsia" w:eastAsiaTheme="minorEastAsia"/>
          <w:color w:val="auto"/>
          <w:sz w:val="21"/>
          <w:szCs w:val="21"/>
          <w:highlight w:val="none"/>
        </w:rPr>
        <w:t>送至</w:t>
      </w:r>
      <w:r>
        <w:rPr>
          <w:rFonts w:asciiTheme="minorEastAsia" w:hAnsiTheme="minorEastAsia" w:eastAsiaTheme="minorEastAsia"/>
          <w:color w:val="auto"/>
          <w:sz w:val="21"/>
          <w:szCs w:val="21"/>
          <w:highlight w:val="none"/>
        </w:rPr>
        <w:t>3302172248@qq.com</w:t>
      </w:r>
      <w:r>
        <w:rPr>
          <w:rFonts w:hint="eastAsia" w:asciiTheme="minorEastAsia" w:hAnsiTheme="minorEastAsia" w:eastAsiaTheme="minorEastAsia"/>
          <w:color w:val="auto"/>
          <w:sz w:val="21"/>
          <w:szCs w:val="21"/>
          <w:highlight w:val="none"/>
        </w:rPr>
        <w:t>，代理机构</w:t>
      </w:r>
      <w:r>
        <w:rPr>
          <w:rFonts w:hint="eastAsia" w:cs="宋体" w:asciiTheme="minorEastAsia" w:hAnsiTheme="minorEastAsia" w:eastAsiaTheme="minorEastAsia"/>
          <w:bCs/>
          <w:color w:val="auto"/>
          <w:highlight w:val="none"/>
        </w:rPr>
        <w:t>收款账户信息：</w:t>
      </w:r>
    </w:p>
    <w:p>
      <w:pPr>
        <w:snapToGrid w:val="0"/>
        <w:spacing w:line="360" w:lineRule="auto"/>
        <w:ind w:firstLine="472" w:firstLineChars="225"/>
        <w:rPr>
          <w:rFonts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开户银行：宁波银行海曙支行</w:t>
      </w:r>
    </w:p>
    <w:p>
      <w:pPr>
        <w:snapToGrid w:val="0"/>
        <w:spacing w:line="360" w:lineRule="auto"/>
        <w:ind w:firstLine="472" w:firstLineChars="225"/>
        <w:rPr>
          <w:rFonts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户名：宁波名诚招标代理有限公司</w:t>
      </w:r>
    </w:p>
    <w:p>
      <w:pPr>
        <w:snapToGrid w:val="0"/>
        <w:spacing w:line="360" w:lineRule="auto"/>
        <w:ind w:firstLine="472" w:firstLineChars="225"/>
        <w:rPr>
          <w:rFonts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账号：</w:t>
      </w:r>
      <w:r>
        <w:rPr>
          <w:rFonts w:cs="宋体" w:asciiTheme="minorEastAsia" w:hAnsiTheme="minorEastAsia" w:eastAsiaTheme="minorEastAsia"/>
          <w:bCs/>
          <w:color w:val="auto"/>
          <w:highlight w:val="none"/>
        </w:rPr>
        <w:t>20010122000443166</w:t>
      </w:r>
    </w:p>
    <w:p>
      <w:pPr>
        <w:pStyle w:val="25"/>
        <w:snapToGrid w:val="0"/>
        <w:spacing w:beforeLines="0" w:afterLines="0" w:line="360" w:lineRule="auto"/>
        <w:ind w:firstLine="422" w:firstLineChars="200"/>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15.其他</w:t>
      </w:r>
    </w:p>
    <w:p>
      <w:pPr>
        <w:pStyle w:val="25"/>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15.1招标文件的标题和序号只是为了查阅方便，不影响对招标文件的理解。</w:t>
      </w:r>
    </w:p>
    <w:p>
      <w:pPr>
        <w:pStyle w:val="25"/>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15.2投标人提交的投标文件针对招标文件同一条款出现不同表述（响应）的，在合同签订或履行中发现存在上述情形的，按照有利于采购人的方式执行。</w:t>
      </w:r>
    </w:p>
    <w:p>
      <w:pPr>
        <w:snapToGrid w:val="0"/>
        <w:spacing w:line="360" w:lineRule="auto"/>
        <w:ind w:firstLine="420" w:firstLineChars="200"/>
        <w:jc w:val="lef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15.3招标文件要求携带原件备查的资料，如该资料可以通过互联网或者相关信息系统查询的，投标人能够当场提供账号、网址等进行查询、核实资料真伪及有关数据的，视同提供了原件。</w:t>
      </w:r>
    </w:p>
    <w:p>
      <w:pPr>
        <w:snapToGrid w:val="0"/>
        <w:spacing w:line="360" w:lineRule="auto"/>
        <w:ind w:firstLine="420" w:firstLineChars="200"/>
        <w:jc w:val="lef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15.4投标人应当及时维护政采云注册信息，包含但不仅限于单位银行账户信息等。</w:t>
      </w:r>
    </w:p>
    <w:p>
      <w:pPr>
        <w:snapToGrid w:val="0"/>
        <w:spacing w:line="360" w:lineRule="auto"/>
        <w:ind w:firstLine="420" w:firstLineChars="200"/>
        <w:jc w:val="lef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15.5本项目经批准允许采购进口产品，优先采购向我国企业转让技术、与我国企业签订消化吸收再创新方案的供应商的进口产品。</w:t>
      </w:r>
    </w:p>
    <w:p>
      <w:pPr>
        <w:snapToGrid w:val="0"/>
        <w:spacing w:line="360" w:lineRule="auto"/>
        <w:ind w:firstLine="420" w:firstLineChars="200"/>
        <w:jc w:val="lef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如因信息不对称等原因，仍有满足需求的国内产品要求参与采购竞争的，允许参加本项目投标响应，采购人按照公平竞争的原则实施采购。</w:t>
      </w:r>
    </w:p>
    <w:p>
      <w:pPr>
        <w:pStyle w:val="256"/>
        <w:spacing w:before="120" w:after="120"/>
        <w:ind w:firstLine="422"/>
        <w:jc w:val="center"/>
        <w:rPr>
          <w:rFonts w:asciiTheme="minorEastAsia" w:hAnsiTheme="minorEastAsia" w:eastAsiaTheme="minorEastAsia"/>
          <w:color w:val="auto"/>
          <w:sz w:val="21"/>
          <w:szCs w:val="21"/>
          <w:highlight w:val="none"/>
        </w:rPr>
      </w:pPr>
      <w:bookmarkStart w:id="47" w:name="_Toc118452528"/>
      <w:r>
        <w:rPr>
          <w:rFonts w:asciiTheme="minorEastAsia" w:hAnsiTheme="minorEastAsia" w:eastAsiaTheme="minorEastAsia"/>
          <w:color w:val="auto"/>
          <w:sz w:val="21"/>
          <w:szCs w:val="21"/>
          <w:highlight w:val="none"/>
        </w:rPr>
        <w:t>二</w:t>
      </w:r>
      <w:r>
        <w:rPr>
          <w:rFonts w:hint="eastAsia" w:asciiTheme="minorEastAsia" w:hAnsiTheme="minorEastAsia" w:eastAsiaTheme="minorEastAsia"/>
          <w:color w:val="auto"/>
          <w:sz w:val="21"/>
          <w:szCs w:val="21"/>
          <w:highlight w:val="none"/>
        </w:rPr>
        <w:t>、招标</w:t>
      </w:r>
      <w:r>
        <w:rPr>
          <w:rFonts w:asciiTheme="minorEastAsia" w:hAnsiTheme="minorEastAsia" w:eastAsiaTheme="minorEastAsia"/>
          <w:color w:val="auto"/>
          <w:sz w:val="21"/>
          <w:szCs w:val="21"/>
          <w:highlight w:val="none"/>
        </w:rPr>
        <w:t>文件</w:t>
      </w:r>
      <w:bookmarkEnd w:id="47"/>
    </w:p>
    <w:p>
      <w:pPr>
        <w:pStyle w:val="25"/>
        <w:snapToGrid w:val="0"/>
        <w:spacing w:beforeLines="0" w:afterLines="0" w:line="360" w:lineRule="auto"/>
        <w:ind w:firstLine="422" w:firstLineChars="200"/>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16.招标文件的构成</w:t>
      </w:r>
    </w:p>
    <w:p>
      <w:pPr>
        <w:pStyle w:val="25"/>
        <w:snapToGrid w:val="0"/>
        <w:spacing w:beforeLines="0" w:afterLines="0" w:line="360" w:lineRule="auto"/>
        <w:ind w:firstLine="420" w:firstLineChars="200"/>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招标文件共七章，由下列文件以及在招标过程中发出的澄清或修改文件组成，内容如下：</w:t>
      </w:r>
    </w:p>
    <w:p>
      <w:pPr>
        <w:pStyle w:val="25"/>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第一章  投标邀请</w:t>
      </w:r>
    </w:p>
    <w:p>
      <w:pPr>
        <w:pStyle w:val="25"/>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第二章  </w:t>
      </w:r>
      <w:r>
        <w:rPr>
          <w:rFonts w:asciiTheme="minorEastAsia" w:hAnsiTheme="minorEastAsia" w:eastAsiaTheme="minorEastAsia"/>
          <w:color w:val="auto"/>
          <w:sz w:val="21"/>
          <w:szCs w:val="21"/>
          <w:highlight w:val="none"/>
        </w:rPr>
        <w:t>采购需求</w:t>
      </w:r>
    </w:p>
    <w:p>
      <w:pPr>
        <w:pStyle w:val="25"/>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第三章  </w:t>
      </w:r>
      <w:r>
        <w:rPr>
          <w:rFonts w:asciiTheme="minorEastAsia" w:hAnsiTheme="minorEastAsia" w:eastAsiaTheme="minorEastAsia"/>
          <w:color w:val="auto"/>
          <w:sz w:val="21"/>
          <w:szCs w:val="21"/>
          <w:highlight w:val="none"/>
        </w:rPr>
        <w:t>投标人须知</w:t>
      </w:r>
    </w:p>
    <w:p>
      <w:pPr>
        <w:pStyle w:val="25"/>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第四章  </w:t>
      </w:r>
      <w:r>
        <w:rPr>
          <w:rFonts w:asciiTheme="minorEastAsia" w:hAnsiTheme="minorEastAsia" w:eastAsiaTheme="minorEastAsia"/>
          <w:color w:val="auto"/>
          <w:sz w:val="21"/>
          <w:szCs w:val="21"/>
          <w:highlight w:val="none"/>
        </w:rPr>
        <w:t>评标方法和标准</w:t>
      </w:r>
    </w:p>
    <w:p>
      <w:pPr>
        <w:pStyle w:val="25"/>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第五章  </w:t>
      </w:r>
      <w:r>
        <w:rPr>
          <w:rFonts w:asciiTheme="minorEastAsia" w:hAnsiTheme="minorEastAsia" w:eastAsiaTheme="minorEastAsia"/>
          <w:color w:val="auto"/>
          <w:sz w:val="21"/>
          <w:szCs w:val="21"/>
          <w:highlight w:val="none"/>
        </w:rPr>
        <w:t>合同文本</w:t>
      </w:r>
    </w:p>
    <w:p>
      <w:pPr>
        <w:pStyle w:val="25"/>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第六章  </w:t>
      </w:r>
      <w:r>
        <w:rPr>
          <w:rFonts w:asciiTheme="minorEastAsia" w:hAnsiTheme="minorEastAsia" w:eastAsiaTheme="minorEastAsia"/>
          <w:color w:val="auto"/>
          <w:sz w:val="21"/>
          <w:szCs w:val="21"/>
          <w:highlight w:val="none"/>
        </w:rPr>
        <w:t>投标文件格式</w:t>
      </w:r>
    </w:p>
    <w:p>
      <w:pPr>
        <w:pStyle w:val="25"/>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第七章  政府采购供应商质疑函及投诉书范本</w:t>
      </w:r>
    </w:p>
    <w:p>
      <w:pPr>
        <w:pStyle w:val="14"/>
        <w:widowControl w:val="0"/>
        <w:numPr>
          <w:ilvl w:val="0"/>
          <w:numId w:val="0"/>
        </w:numPr>
        <w:tabs>
          <w:tab w:val="clear" w:pos="454"/>
        </w:tabs>
        <w:snapToGrid w:val="0"/>
        <w:spacing w:afterLines="0" w:line="360" w:lineRule="auto"/>
        <w:ind w:firstLine="422" w:firstLineChars="200"/>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17.招标文件的询问、澄清和修改</w:t>
      </w:r>
    </w:p>
    <w:p>
      <w:pPr>
        <w:pStyle w:val="25"/>
        <w:snapToGrid w:val="0"/>
        <w:spacing w:beforeLines="0" w:afterLines="0" w:line="360" w:lineRule="auto"/>
        <w:ind w:firstLine="420" w:firstLineChars="200"/>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17.</w:t>
      </w:r>
      <w:r>
        <w:rPr>
          <w:rFonts w:asciiTheme="minorEastAsia" w:hAnsiTheme="minorEastAsia" w:eastAsiaTheme="minorEastAsia"/>
          <w:bCs/>
          <w:color w:val="auto"/>
          <w:sz w:val="21"/>
          <w:szCs w:val="21"/>
          <w:highlight w:val="none"/>
        </w:rPr>
        <w:t>1</w:t>
      </w:r>
      <w:r>
        <w:rPr>
          <w:rFonts w:hint="eastAsia" w:asciiTheme="minorEastAsia" w:hAnsiTheme="minorEastAsia" w:eastAsiaTheme="minorEastAsia"/>
          <w:bCs/>
          <w:color w:val="auto"/>
          <w:sz w:val="21"/>
          <w:szCs w:val="21"/>
          <w:highlight w:val="none"/>
        </w:rPr>
        <w:t>询问</w:t>
      </w:r>
    </w:p>
    <w:p>
      <w:pPr>
        <w:pStyle w:val="25"/>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bCs/>
          <w:color w:val="auto"/>
          <w:sz w:val="21"/>
          <w:szCs w:val="21"/>
          <w:highlight w:val="none"/>
        </w:rPr>
        <w:t>投标人</w:t>
      </w:r>
      <w:r>
        <w:rPr>
          <w:rFonts w:hint="eastAsia" w:asciiTheme="minorEastAsia" w:hAnsiTheme="minorEastAsia" w:eastAsiaTheme="minorEastAsia"/>
          <w:bCs/>
          <w:color w:val="auto"/>
          <w:sz w:val="21"/>
          <w:szCs w:val="21"/>
          <w:highlight w:val="none"/>
        </w:rPr>
        <w:t>对招标文件有疑问，可以向</w:t>
      </w:r>
      <w:r>
        <w:rPr>
          <w:rFonts w:hint="eastAsia" w:asciiTheme="minorEastAsia" w:hAnsiTheme="minorEastAsia" w:eastAsiaTheme="minorEastAsia"/>
          <w:color w:val="auto"/>
          <w:sz w:val="21"/>
          <w:szCs w:val="21"/>
          <w:highlight w:val="none"/>
        </w:rPr>
        <w:t>采购人或采购代理机构</w:t>
      </w:r>
      <w:r>
        <w:rPr>
          <w:rFonts w:hint="eastAsia" w:asciiTheme="minorEastAsia" w:hAnsiTheme="minorEastAsia" w:eastAsiaTheme="minorEastAsia"/>
          <w:bCs/>
          <w:color w:val="auto"/>
          <w:sz w:val="21"/>
          <w:szCs w:val="21"/>
          <w:highlight w:val="none"/>
        </w:rPr>
        <w:t>询问，</w:t>
      </w:r>
      <w:r>
        <w:rPr>
          <w:rFonts w:hint="eastAsia" w:asciiTheme="minorEastAsia" w:hAnsiTheme="minorEastAsia" w:eastAsiaTheme="minorEastAsia"/>
          <w:color w:val="auto"/>
          <w:sz w:val="21"/>
          <w:szCs w:val="21"/>
          <w:highlight w:val="none"/>
        </w:rPr>
        <w:t>采购人或采购代理机构将依法</w:t>
      </w:r>
      <w:r>
        <w:rPr>
          <w:rFonts w:hint="eastAsia" w:asciiTheme="minorEastAsia" w:hAnsiTheme="minorEastAsia" w:eastAsiaTheme="minorEastAsia"/>
          <w:bCs/>
          <w:color w:val="auto"/>
          <w:sz w:val="21"/>
          <w:szCs w:val="21"/>
          <w:highlight w:val="none"/>
        </w:rPr>
        <w:t>对潜在投标人</w:t>
      </w:r>
      <w:r>
        <w:rPr>
          <w:rFonts w:hint="eastAsia" w:asciiTheme="minorEastAsia" w:hAnsiTheme="minorEastAsia" w:eastAsiaTheme="minorEastAsia"/>
          <w:color w:val="auto"/>
          <w:sz w:val="21"/>
          <w:szCs w:val="21"/>
          <w:highlight w:val="none"/>
        </w:rPr>
        <w:t>的询问作出答复。</w:t>
      </w:r>
    </w:p>
    <w:p>
      <w:pPr>
        <w:pStyle w:val="25"/>
        <w:snapToGrid w:val="0"/>
        <w:spacing w:beforeLines="0" w:afterLines="0" w:line="360" w:lineRule="auto"/>
        <w:ind w:firstLine="420" w:firstLineChars="200"/>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17.2澄清和修改</w:t>
      </w:r>
    </w:p>
    <w:p>
      <w:pPr>
        <w:pStyle w:val="25"/>
        <w:snapToGrid w:val="0"/>
        <w:spacing w:beforeLines="0" w:afterLines="0" w:line="360" w:lineRule="auto"/>
        <w:ind w:firstLine="420" w:firstLineChars="200"/>
        <w:rPr>
          <w:rFonts w:hAnsi="宋体"/>
          <w:bCs/>
          <w:color w:val="auto"/>
          <w:sz w:val="21"/>
          <w:szCs w:val="21"/>
          <w:highlight w:val="none"/>
        </w:rPr>
      </w:pPr>
      <w:r>
        <w:rPr>
          <w:rFonts w:hint="eastAsia" w:hAnsi="宋体"/>
          <w:bCs/>
          <w:color w:val="auto"/>
          <w:sz w:val="21"/>
          <w:szCs w:val="21"/>
          <w:highlight w:val="none"/>
        </w:rPr>
        <w:t>（1）</w:t>
      </w:r>
      <w:r>
        <w:rPr>
          <w:rFonts w:hint="eastAsia" w:hAnsi="宋体"/>
          <w:color w:val="auto"/>
          <w:sz w:val="21"/>
          <w:szCs w:val="21"/>
          <w:highlight w:val="none"/>
        </w:rPr>
        <w:t>采购人或采购代理机构</w:t>
      </w:r>
      <w:r>
        <w:rPr>
          <w:rFonts w:hAnsi="宋体"/>
          <w:bCs/>
          <w:color w:val="auto"/>
          <w:sz w:val="21"/>
          <w:szCs w:val="21"/>
          <w:highlight w:val="none"/>
        </w:rPr>
        <w:t>可以</w:t>
      </w:r>
      <w:r>
        <w:rPr>
          <w:rFonts w:hint="eastAsia" w:hAnsi="宋体"/>
          <w:bCs/>
          <w:color w:val="auto"/>
          <w:sz w:val="21"/>
          <w:szCs w:val="21"/>
          <w:highlight w:val="none"/>
        </w:rPr>
        <w:t>主动地或在解答投标人提出的问题时</w:t>
      </w:r>
      <w:r>
        <w:rPr>
          <w:rFonts w:hAnsi="宋体"/>
          <w:bCs/>
          <w:color w:val="auto"/>
          <w:sz w:val="21"/>
          <w:szCs w:val="21"/>
          <w:highlight w:val="none"/>
        </w:rPr>
        <w:t>对已发出的招标文件进行必要的澄清或者修改。</w:t>
      </w:r>
    </w:p>
    <w:p>
      <w:pPr>
        <w:pStyle w:val="25"/>
        <w:snapToGrid w:val="0"/>
        <w:spacing w:beforeLines="0" w:afterLines="0" w:line="360" w:lineRule="auto"/>
        <w:ind w:firstLine="420" w:firstLineChars="200"/>
        <w:rPr>
          <w:rFonts w:hAnsi="宋体"/>
          <w:bCs/>
          <w:color w:val="auto"/>
          <w:sz w:val="21"/>
          <w:szCs w:val="21"/>
          <w:highlight w:val="none"/>
        </w:rPr>
      </w:pPr>
      <w:r>
        <w:rPr>
          <w:rFonts w:hint="eastAsia" w:hAnsi="宋体"/>
          <w:bCs/>
          <w:color w:val="auto"/>
          <w:sz w:val="21"/>
          <w:szCs w:val="21"/>
          <w:highlight w:val="none"/>
        </w:rPr>
        <w:t>（2）更正信息将以网上公告的方式在宁波政府采购网（</w:t>
      </w:r>
      <w:r>
        <w:rPr>
          <w:rFonts w:hAnsi="宋体"/>
          <w:bCs/>
          <w:color w:val="auto"/>
          <w:sz w:val="21"/>
          <w:szCs w:val="21"/>
          <w:highlight w:val="none"/>
        </w:rPr>
        <w:t>http://www.nbzfcg.cn/</w:t>
      </w:r>
      <w:r>
        <w:rPr>
          <w:rFonts w:hint="eastAsia" w:hAnsi="宋体"/>
          <w:bCs/>
          <w:color w:val="auto"/>
          <w:sz w:val="21"/>
          <w:szCs w:val="21"/>
          <w:highlight w:val="none"/>
        </w:rPr>
        <w:t>）、浙江政府采购网（</w:t>
      </w:r>
      <w:r>
        <w:rPr>
          <w:rFonts w:hAnsi="宋体"/>
          <w:bCs/>
          <w:color w:val="auto"/>
          <w:sz w:val="21"/>
          <w:szCs w:val="21"/>
          <w:highlight w:val="none"/>
        </w:rPr>
        <w:t>https://zfcg.czt.zj.gov.cn/</w:t>
      </w:r>
      <w:r>
        <w:rPr>
          <w:rFonts w:hint="eastAsia" w:hAnsi="宋体"/>
          <w:bCs/>
          <w:color w:val="auto"/>
          <w:sz w:val="21"/>
          <w:szCs w:val="21"/>
          <w:highlight w:val="none"/>
        </w:rPr>
        <w:t>）公开发布。政采云平台将发送短信通知所有获取采购文件的投标人，投标人自行登陆上述网站并浏览更正内容，并按照更正后的采购文件编制投标文件。</w:t>
      </w:r>
    </w:p>
    <w:p>
      <w:pPr>
        <w:pStyle w:val="25"/>
        <w:snapToGrid w:val="0"/>
        <w:spacing w:beforeLines="0" w:afterLines="0" w:line="360" w:lineRule="auto"/>
        <w:ind w:firstLine="420" w:firstLineChars="200"/>
        <w:rPr>
          <w:rFonts w:hAnsi="宋体"/>
          <w:bCs/>
          <w:color w:val="auto"/>
          <w:sz w:val="21"/>
          <w:szCs w:val="21"/>
          <w:highlight w:val="none"/>
        </w:rPr>
      </w:pPr>
      <w:r>
        <w:rPr>
          <w:rFonts w:hint="eastAsia" w:hAnsi="宋体"/>
          <w:bCs/>
          <w:color w:val="auto"/>
          <w:sz w:val="21"/>
          <w:szCs w:val="21"/>
          <w:highlight w:val="none"/>
        </w:rPr>
        <w:t>（3）投标人</w:t>
      </w:r>
      <w:r>
        <w:rPr>
          <w:rFonts w:hAnsi="宋体"/>
          <w:bCs/>
          <w:color w:val="auto"/>
          <w:sz w:val="21"/>
          <w:szCs w:val="21"/>
          <w:highlight w:val="none"/>
        </w:rPr>
        <w:t>在收到书面通知后，</w:t>
      </w:r>
      <w:r>
        <w:rPr>
          <w:rFonts w:hint="eastAsia" w:hAnsi="宋体"/>
          <w:bCs/>
          <w:color w:val="auto"/>
          <w:sz w:val="21"/>
          <w:szCs w:val="21"/>
          <w:highlight w:val="none"/>
        </w:rPr>
        <w:t>认为</w:t>
      </w:r>
      <w:r>
        <w:rPr>
          <w:rFonts w:hAnsi="宋体"/>
          <w:bCs/>
          <w:color w:val="auto"/>
          <w:sz w:val="21"/>
          <w:szCs w:val="21"/>
          <w:highlight w:val="none"/>
        </w:rPr>
        <w:t>澄清或者修改的</w:t>
      </w:r>
      <w:r>
        <w:rPr>
          <w:rFonts w:hint="eastAsia" w:hAnsi="宋体"/>
          <w:bCs/>
          <w:color w:val="auto"/>
          <w:sz w:val="21"/>
          <w:szCs w:val="21"/>
          <w:highlight w:val="none"/>
        </w:rPr>
        <w:t>内容</w:t>
      </w:r>
      <w:r>
        <w:rPr>
          <w:rFonts w:hAnsi="宋体"/>
          <w:bCs/>
          <w:color w:val="auto"/>
          <w:sz w:val="21"/>
          <w:szCs w:val="21"/>
          <w:highlight w:val="none"/>
        </w:rPr>
        <w:t>影响</w:t>
      </w:r>
      <w:r>
        <w:rPr>
          <w:rFonts w:hint="eastAsia" w:hAnsi="宋体"/>
          <w:bCs/>
          <w:color w:val="auto"/>
          <w:sz w:val="21"/>
          <w:szCs w:val="21"/>
          <w:highlight w:val="none"/>
        </w:rPr>
        <w:t>投标</w:t>
      </w:r>
      <w:r>
        <w:rPr>
          <w:rFonts w:hAnsi="宋体"/>
          <w:bCs/>
          <w:color w:val="auto"/>
          <w:sz w:val="21"/>
          <w:szCs w:val="21"/>
          <w:highlight w:val="none"/>
        </w:rPr>
        <w:t>文件编制</w:t>
      </w:r>
      <w:r>
        <w:rPr>
          <w:rFonts w:hint="eastAsia" w:hAnsi="宋体"/>
          <w:bCs/>
          <w:color w:val="auto"/>
          <w:sz w:val="21"/>
          <w:szCs w:val="21"/>
          <w:highlight w:val="none"/>
        </w:rPr>
        <w:t>的</w:t>
      </w:r>
      <w:r>
        <w:rPr>
          <w:rFonts w:hAnsi="宋体"/>
          <w:bCs/>
          <w:color w:val="auto"/>
          <w:sz w:val="21"/>
          <w:szCs w:val="21"/>
          <w:highlight w:val="none"/>
        </w:rPr>
        <w:t>，</w:t>
      </w:r>
      <w:r>
        <w:rPr>
          <w:rFonts w:hint="eastAsia" w:hAnsi="宋体"/>
          <w:bCs/>
          <w:color w:val="auto"/>
          <w:sz w:val="21"/>
          <w:szCs w:val="21"/>
          <w:highlight w:val="none"/>
        </w:rPr>
        <w:t>应当</w:t>
      </w:r>
      <w:r>
        <w:rPr>
          <w:rFonts w:hAnsi="宋体"/>
          <w:bCs/>
          <w:color w:val="auto"/>
          <w:sz w:val="21"/>
          <w:szCs w:val="21"/>
          <w:highlight w:val="none"/>
        </w:rPr>
        <w:t>在收到</w:t>
      </w:r>
      <w:r>
        <w:rPr>
          <w:rFonts w:hint="eastAsia" w:hAnsi="宋体"/>
          <w:bCs/>
          <w:color w:val="auto"/>
          <w:sz w:val="21"/>
          <w:szCs w:val="21"/>
          <w:highlight w:val="none"/>
        </w:rPr>
        <w:t>书面通知</w:t>
      </w:r>
      <w:r>
        <w:rPr>
          <w:rFonts w:hAnsi="宋体"/>
          <w:bCs/>
          <w:color w:val="auto"/>
          <w:sz w:val="21"/>
          <w:szCs w:val="21"/>
          <w:highlight w:val="none"/>
        </w:rPr>
        <w:t>后</w:t>
      </w:r>
      <w:r>
        <w:rPr>
          <w:rFonts w:hint="eastAsia" w:hAnsi="宋体"/>
          <w:bCs/>
          <w:color w:val="auto"/>
          <w:sz w:val="21"/>
          <w:szCs w:val="21"/>
          <w:highlight w:val="none"/>
        </w:rPr>
        <w:t>及时</w:t>
      </w:r>
      <w:r>
        <w:rPr>
          <w:rFonts w:hAnsi="宋体"/>
          <w:bCs/>
          <w:color w:val="auto"/>
          <w:sz w:val="21"/>
          <w:szCs w:val="21"/>
          <w:highlight w:val="none"/>
        </w:rPr>
        <w:t>将</w:t>
      </w:r>
      <w:r>
        <w:rPr>
          <w:rFonts w:hint="eastAsia" w:hAnsi="宋体"/>
          <w:bCs/>
          <w:color w:val="auto"/>
          <w:sz w:val="21"/>
          <w:szCs w:val="21"/>
          <w:highlight w:val="none"/>
        </w:rPr>
        <w:t>有关</w:t>
      </w:r>
      <w:r>
        <w:rPr>
          <w:rFonts w:hAnsi="宋体"/>
          <w:bCs/>
          <w:color w:val="auto"/>
          <w:sz w:val="21"/>
          <w:szCs w:val="21"/>
          <w:highlight w:val="none"/>
        </w:rPr>
        <w:t>意见以书面形式向</w:t>
      </w:r>
      <w:r>
        <w:rPr>
          <w:rFonts w:hint="eastAsia" w:hAnsi="宋体"/>
          <w:color w:val="auto"/>
          <w:sz w:val="21"/>
          <w:szCs w:val="21"/>
          <w:highlight w:val="none"/>
        </w:rPr>
        <w:t>采购人、采购代理机构</w:t>
      </w:r>
      <w:r>
        <w:rPr>
          <w:rFonts w:hAnsi="宋体"/>
          <w:bCs/>
          <w:color w:val="auto"/>
          <w:sz w:val="21"/>
          <w:szCs w:val="21"/>
          <w:highlight w:val="none"/>
        </w:rPr>
        <w:t>提出，否则，</w:t>
      </w:r>
      <w:r>
        <w:rPr>
          <w:rFonts w:hint="eastAsia" w:hAnsi="宋体"/>
          <w:color w:val="auto"/>
          <w:sz w:val="21"/>
          <w:szCs w:val="21"/>
          <w:highlight w:val="none"/>
        </w:rPr>
        <w:t>采购人、采购代理机构</w:t>
      </w:r>
      <w:r>
        <w:rPr>
          <w:rFonts w:hAnsi="宋体"/>
          <w:bCs/>
          <w:color w:val="auto"/>
          <w:sz w:val="21"/>
          <w:szCs w:val="21"/>
          <w:highlight w:val="none"/>
        </w:rPr>
        <w:t>视</w:t>
      </w:r>
      <w:r>
        <w:rPr>
          <w:rFonts w:hint="eastAsia" w:hAnsi="宋体"/>
          <w:bCs/>
          <w:color w:val="auto"/>
          <w:sz w:val="21"/>
          <w:szCs w:val="21"/>
          <w:highlight w:val="none"/>
        </w:rPr>
        <w:t>为投标人</w:t>
      </w:r>
      <w:r>
        <w:rPr>
          <w:rFonts w:hAnsi="宋体"/>
          <w:bCs/>
          <w:color w:val="auto"/>
          <w:sz w:val="21"/>
          <w:szCs w:val="21"/>
          <w:highlight w:val="none"/>
        </w:rPr>
        <w:t>完全接受澄清或者修改的</w:t>
      </w:r>
      <w:r>
        <w:rPr>
          <w:rFonts w:hint="eastAsia" w:hAnsi="宋体"/>
          <w:bCs/>
          <w:color w:val="auto"/>
          <w:sz w:val="21"/>
          <w:szCs w:val="21"/>
          <w:highlight w:val="none"/>
        </w:rPr>
        <w:t>内容，</w:t>
      </w:r>
      <w:r>
        <w:rPr>
          <w:rFonts w:hAnsi="宋体"/>
          <w:bCs/>
          <w:color w:val="auto"/>
          <w:sz w:val="21"/>
          <w:szCs w:val="21"/>
          <w:highlight w:val="none"/>
        </w:rPr>
        <w:t>且</w:t>
      </w:r>
      <w:r>
        <w:rPr>
          <w:rFonts w:hint="eastAsia" w:hAnsi="宋体"/>
          <w:bCs/>
          <w:color w:val="auto"/>
          <w:sz w:val="21"/>
          <w:szCs w:val="21"/>
          <w:highlight w:val="none"/>
        </w:rPr>
        <w:t>不</w:t>
      </w:r>
      <w:r>
        <w:rPr>
          <w:rFonts w:hAnsi="宋体"/>
          <w:bCs/>
          <w:color w:val="auto"/>
          <w:sz w:val="21"/>
          <w:szCs w:val="21"/>
          <w:highlight w:val="none"/>
        </w:rPr>
        <w:t>影响</w:t>
      </w:r>
      <w:r>
        <w:rPr>
          <w:rFonts w:hint="eastAsia" w:hAnsi="宋体"/>
          <w:bCs/>
          <w:color w:val="auto"/>
          <w:sz w:val="21"/>
          <w:szCs w:val="21"/>
          <w:highlight w:val="none"/>
        </w:rPr>
        <w:t>投标文件</w:t>
      </w:r>
      <w:r>
        <w:rPr>
          <w:rFonts w:hAnsi="宋体"/>
          <w:bCs/>
          <w:color w:val="auto"/>
          <w:sz w:val="21"/>
          <w:szCs w:val="21"/>
          <w:highlight w:val="none"/>
        </w:rPr>
        <w:t>编制。</w:t>
      </w:r>
    </w:p>
    <w:p>
      <w:pPr>
        <w:pStyle w:val="25"/>
        <w:snapToGrid w:val="0"/>
        <w:spacing w:beforeLines="0" w:afterLines="0" w:line="360" w:lineRule="auto"/>
        <w:ind w:firstLine="420" w:firstLineChars="200"/>
        <w:rPr>
          <w:rFonts w:hAnsi="宋体"/>
          <w:bCs/>
          <w:color w:val="auto"/>
          <w:sz w:val="21"/>
          <w:szCs w:val="21"/>
          <w:highlight w:val="none"/>
        </w:rPr>
      </w:pPr>
      <w:r>
        <w:rPr>
          <w:rFonts w:hint="eastAsia" w:hAnsi="宋体"/>
          <w:bCs/>
          <w:color w:val="auto"/>
          <w:sz w:val="21"/>
          <w:szCs w:val="21"/>
          <w:highlight w:val="none"/>
        </w:rPr>
        <w:t>投标人</w:t>
      </w:r>
      <w:r>
        <w:rPr>
          <w:rFonts w:hAnsi="宋体"/>
          <w:bCs/>
          <w:color w:val="auto"/>
          <w:sz w:val="21"/>
          <w:szCs w:val="21"/>
          <w:highlight w:val="none"/>
        </w:rPr>
        <w:t>要求澄清</w:t>
      </w:r>
      <w:r>
        <w:rPr>
          <w:rFonts w:hint="eastAsia" w:hAnsi="宋体"/>
          <w:bCs/>
          <w:color w:val="auto"/>
          <w:sz w:val="21"/>
          <w:szCs w:val="21"/>
          <w:highlight w:val="none"/>
        </w:rPr>
        <w:t>和回复的书面材料</w:t>
      </w:r>
      <w:r>
        <w:rPr>
          <w:rFonts w:hAnsi="宋体"/>
          <w:bCs/>
          <w:color w:val="auto"/>
          <w:sz w:val="21"/>
          <w:szCs w:val="21"/>
          <w:highlight w:val="none"/>
        </w:rPr>
        <w:t>应</w:t>
      </w:r>
      <w:r>
        <w:rPr>
          <w:rFonts w:hint="eastAsia" w:hAnsi="宋体"/>
          <w:bCs/>
          <w:color w:val="auto"/>
          <w:sz w:val="21"/>
          <w:szCs w:val="21"/>
          <w:highlight w:val="none"/>
        </w:rPr>
        <w:t>当</w:t>
      </w:r>
      <w:r>
        <w:rPr>
          <w:rFonts w:hAnsi="宋体"/>
          <w:bCs/>
          <w:color w:val="auto"/>
          <w:sz w:val="21"/>
          <w:szCs w:val="21"/>
          <w:highlight w:val="none"/>
        </w:rPr>
        <w:t>加盖单位公章</w:t>
      </w:r>
      <w:r>
        <w:rPr>
          <w:rFonts w:hint="eastAsia" w:hAnsi="宋体"/>
          <w:bCs/>
          <w:color w:val="auto"/>
          <w:sz w:val="21"/>
          <w:szCs w:val="21"/>
          <w:highlight w:val="none"/>
        </w:rPr>
        <w:t>并注明</w:t>
      </w:r>
      <w:r>
        <w:rPr>
          <w:rFonts w:hAnsi="宋体"/>
          <w:bCs/>
          <w:color w:val="auto"/>
          <w:sz w:val="21"/>
          <w:szCs w:val="21"/>
          <w:highlight w:val="none"/>
        </w:rPr>
        <w:t>日期。</w:t>
      </w:r>
    </w:p>
    <w:p>
      <w:pPr>
        <w:pStyle w:val="25"/>
        <w:snapToGrid w:val="0"/>
        <w:spacing w:beforeLines="0" w:afterLines="0" w:line="360" w:lineRule="auto"/>
        <w:ind w:firstLine="420" w:firstLineChars="200"/>
        <w:rPr>
          <w:rFonts w:hAnsi="宋体"/>
          <w:bCs/>
          <w:color w:val="auto"/>
          <w:sz w:val="21"/>
          <w:szCs w:val="21"/>
          <w:highlight w:val="none"/>
        </w:rPr>
      </w:pPr>
      <w:r>
        <w:rPr>
          <w:rFonts w:hint="eastAsia" w:hAnsi="宋体"/>
          <w:bCs/>
          <w:color w:val="auto"/>
          <w:sz w:val="21"/>
          <w:szCs w:val="21"/>
          <w:highlight w:val="none"/>
        </w:rPr>
        <w:t>（4）投标人应当保证获取招标文件时所登记的项目联系人信息资料的真实和准确，并确保联系方式的畅通，否则，因此导致未及时收到通知事项造成的后果由投标人自行承担。</w:t>
      </w:r>
    </w:p>
    <w:p>
      <w:pPr>
        <w:pStyle w:val="25"/>
        <w:snapToGrid w:val="0"/>
        <w:spacing w:beforeLines="0" w:afterLines="0" w:line="360" w:lineRule="auto"/>
        <w:ind w:firstLine="422" w:firstLineChars="200"/>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18.现场考察及召开开标前答疑会</w:t>
      </w:r>
    </w:p>
    <w:p>
      <w:pPr>
        <w:pStyle w:val="25"/>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18.1现场考察事项见</w:t>
      </w:r>
      <w:r>
        <w:rPr>
          <w:rFonts w:hint="eastAsia" w:asciiTheme="minorEastAsia" w:hAnsiTheme="minorEastAsia" w:eastAsiaTheme="minorEastAsia"/>
          <w:color w:val="auto"/>
          <w:sz w:val="21"/>
          <w:szCs w:val="21"/>
          <w:highlight w:val="none"/>
          <w:u w:val="single"/>
        </w:rPr>
        <w:t>投标人须知前附表</w:t>
      </w:r>
      <w:r>
        <w:rPr>
          <w:rFonts w:hint="eastAsia" w:asciiTheme="minorEastAsia" w:hAnsiTheme="minorEastAsia" w:eastAsiaTheme="minorEastAsia"/>
          <w:color w:val="auto"/>
          <w:sz w:val="21"/>
          <w:szCs w:val="21"/>
          <w:highlight w:val="none"/>
        </w:rPr>
        <w:t>。</w:t>
      </w:r>
    </w:p>
    <w:p>
      <w:pPr>
        <w:pStyle w:val="25"/>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18.2</w:t>
      </w:r>
      <w:r>
        <w:rPr>
          <w:rFonts w:asciiTheme="minorEastAsia" w:hAnsiTheme="minorEastAsia" w:eastAsiaTheme="minorEastAsia"/>
          <w:color w:val="auto"/>
          <w:sz w:val="21"/>
          <w:szCs w:val="21"/>
          <w:highlight w:val="none"/>
        </w:rPr>
        <w:t>潜在投标人</w:t>
      </w:r>
      <w:r>
        <w:rPr>
          <w:rFonts w:hint="eastAsia" w:asciiTheme="minorEastAsia" w:hAnsiTheme="minorEastAsia" w:eastAsiaTheme="minorEastAsia"/>
          <w:color w:val="auto"/>
          <w:sz w:val="21"/>
          <w:szCs w:val="21"/>
          <w:highlight w:val="none"/>
        </w:rPr>
        <w:t>应当在通知的时间准时参加现场考察，否则自行承担未及时参加造成的后果。除采购人的原因外，投标人自行负责现场考察造成的自身或第三人的人身伤害、财产损失或损坏的责任。</w:t>
      </w:r>
    </w:p>
    <w:p>
      <w:pPr>
        <w:pStyle w:val="25"/>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18.3本项目不组织召开开标前答疑会。</w:t>
      </w:r>
    </w:p>
    <w:p>
      <w:pPr>
        <w:pStyle w:val="256"/>
        <w:spacing w:before="120" w:after="120"/>
        <w:ind w:firstLine="422"/>
        <w:jc w:val="center"/>
        <w:rPr>
          <w:rFonts w:asciiTheme="minorEastAsia" w:hAnsiTheme="minorEastAsia" w:eastAsiaTheme="minorEastAsia"/>
          <w:color w:val="auto"/>
          <w:sz w:val="21"/>
          <w:szCs w:val="21"/>
          <w:highlight w:val="none"/>
        </w:rPr>
      </w:pPr>
      <w:bookmarkStart w:id="48" w:name="_Toc118452529"/>
      <w:r>
        <w:rPr>
          <w:rFonts w:asciiTheme="minorEastAsia" w:hAnsiTheme="minorEastAsia" w:eastAsiaTheme="minorEastAsia"/>
          <w:color w:val="auto"/>
          <w:sz w:val="21"/>
          <w:szCs w:val="21"/>
          <w:highlight w:val="none"/>
        </w:rPr>
        <w:t>三、投标文件的编制</w:t>
      </w:r>
      <w:bookmarkEnd w:id="48"/>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19.投标范围</w:t>
      </w:r>
    </w:p>
    <w:p>
      <w:pPr>
        <w:spacing w:line="360" w:lineRule="auto"/>
        <w:ind w:firstLine="42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投标人应当对所投</w:t>
      </w:r>
      <w:r>
        <w:rPr>
          <w:rFonts w:hint="eastAsia" w:asciiTheme="minorEastAsia" w:hAnsiTheme="minorEastAsia" w:eastAsiaTheme="minorEastAsia"/>
          <w:color w:val="auto"/>
          <w:szCs w:val="21"/>
          <w:highlight w:val="none"/>
        </w:rPr>
        <w:t>标项的“采购</w:t>
      </w:r>
      <w:r>
        <w:rPr>
          <w:rFonts w:asciiTheme="minorEastAsia" w:hAnsiTheme="minorEastAsia" w:eastAsiaTheme="minorEastAsia"/>
          <w:color w:val="auto"/>
          <w:szCs w:val="21"/>
          <w:highlight w:val="none"/>
        </w:rPr>
        <w:t>需求</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所列的</w:t>
      </w:r>
      <w:r>
        <w:rPr>
          <w:rFonts w:hint="eastAsia" w:asciiTheme="minorEastAsia" w:hAnsiTheme="minorEastAsia" w:eastAsiaTheme="minorEastAsia"/>
          <w:color w:val="auto"/>
          <w:szCs w:val="21"/>
          <w:highlight w:val="none"/>
        </w:rPr>
        <w:t>全部</w:t>
      </w:r>
      <w:r>
        <w:rPr>
          <w:rFonts w:asciiTheme="minorEastAsia" w:hAnsiTheme="minorEastAsia" w:eastAsiaTheme="minorEastAsia"/>
          <w:color w:val="auto"/>
          <w:szCs w:val="21"/>
          <w:highlight w:val="none"/>
        </w:rPr>
        <w:t>内容进行投标，如仅响应</w:t>
      </w:r>
      <w:r>
        <w:rPr>
          <w:rFonts w:hint="eastAsia" w:asciiTheme="minorEastAsia" w:hAnsiTheme="minorEastAsia" w:eastAsiaTheme="minorEastAsia"/>
          <w:color w:val="auto"/>
          <w:szCs w:val="21"/>
          <w:highlight w:val="none"/>
        </w:rPr>
        <w:t>所投标项</w:t>
      </w:r>
      <w:r>
        <w:rPr>
          <w:rFonts w:asciiTheme="minorEastAsia" w:hAnsiTheme="minorEastAsia" w:eastAsiaTheme="minorEastAsia"/>
          <w:color w:val="auto"/>
          <w:szCs w:val="21"/>
          <w:highlight w:val="none"/>
        </w:rPr>
        <w:t>中的部分内容，其</w:t>
      </w:r>
      <w:r>
        <w:rPr>
          <w:rFonts w:hint="eastAsia" w:asciiTheme="minorEastAsia" w:hAnsiTheme="minorEastAsia" w:eastAsiaTheme="minorEastAsia"/>
          <w:color w:val="auto"/>
          <w:szCs w:val="21"/>
          <w:highlight w:val="none"/>
        </w:rPr>
        <w:t>对该标项的</w:t>
      </w:r>
      <w:r>
        <w:rPr>
          <w:rFonts w:asciiTheme="minorEastAsia" w:hAnsiTheme="minorEastAsia" w:eastAsiaTheme="minorEastAsia"/>
          <w:color w:val="auto"/>
          <w:szCs w:val="21"/>
          <w:highlight w:val="none"/>
        </w:rPr>
        <w:t>投标将被认定为</w:t>
      </w:r>
      <w:r>
        <w:rPr>
          <w:rFonts w:asciiTheme="minorEastAsia" w:hAnsiTheme="minorEastAsia" w:eastAsiaTheme="minorEastAsia"/>
          <w:b/>
          <w:color w:val="auto"/>
          <w:szCs w:val="21"/>
          <w:highlight w:val="none"/>
        </w:rPr>
        <w:t>投标无效</w:t>
      </w:r>
      <w:r>
        <w:rPr>
          <w:rFonts w:asciiTheme="minorEastAsia" w:hAnsiTheme="minorEastAsia" w:eastAsiaTheme="minorEastAsia"/>
          <w:color w:val="auto"/>
          <w:szCs w:val="21"/>
          <w:highlight w:val="none"/>
        </w:rPr>
        <w:t>。</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20.投标文件中标准和计量单位的使用</w:t>
      </w:r>
    </w:p>
    <w:p>
      <w:pPr>
        <w:spacing w:line="360" w:lineRule="auto"/>
        <w:ind w:firstLine="420"/>
        <w:rPr>
          <w:rFonts w:asciiTheme="minorEastAsia" w:hAnsiTheme="minorEastAsia" w:eastAsiaTheme="minorEastAsia"/>
          <w:color w:val="auto"/>
          <w:szCs w:val="21"/>
          <w:highlight w:val="none"/>
        </w:rPr>
      </w:pPr>
      <w:bookmarkStart w:id="49" w:name="_Hlk16458980"/>
      <w:r>
        <w:rPr>
          <w:rFonts w:hint="eastAsia" w:asciiTheme="minorEastAsia" w:hAnsiTheme="minorEastAsia" w:eastAsiaTheme="minorEastAsia"/>
          <w:color w:val="auto"/>
          <w:szCs w:val="21"/>
          <w:highlight w:val="none"/>
        </w:rPr>
        <w:t>20.1</w:t>
      </w:r>
      <w:r>
        <w:rPr>
          <w:rFonts w:asciiTheme="minorEastAsia" w:hAnsiTheme="minorEastAsia" w:eastAsiaTheme="minorEastAsia"/>
          <w:color w:val="auto"/>
          <w:szCs w:val="21"/>
          <w:highlight w:val="none"/>
        </w:rPr>
        <w:t>无论招标文件中是否要求，</w:t>
      </w:r>
      <w:r>
        <w:rPr>
          <w:rFonts w:hint="eastAsia" w:asciiTheme="minorEastAsia" w:hAnsiTheme="minorEastAsia" w:eastAsiaTheme="minorEastAsia"/>
          <w:color w:val="auto"/>
          <w:szCs w:val="21"/>
          <w:highlight w:val="none"/>
        </w:rPr>
        <w:t>投标人所提供的货物及伴随的服务均应符合国家强制性标准。</w:t>
      </w:r>
    </w:p>
    <w:bookmarkEnd w:id="49"/>
    <w:p>
      <w:pPr>
        <w:pStyle w:val="25"/>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20.2</w:t>
      </w:r>
      <w:r>
        <w:rPr>
          <w:rFonts w:asciiTheme="minorEastAsia" w:hAnsiTheme="minorEastAsia" w:eastAsiaTheme="minorEastAsia"/>
          <w:color w:val="auto"/>
          <w:sz w:val="21"/>
          <w:szCs w:val="21"/>
          <w:highlight w:val="none"/>
        </w:rPr>
        <w:t>投标人与</w:t>
      </w:r>
      <w:r>
        <w:rPr>
          <w:rFonts w:hint="eastAsia" w:asciiTheme="minorEastAsia" w:hAnsiTheme="minorEastAsia" w:eastAsiaTheme="minorEastAsia"/>
          <w:color w:val="auto"/>
          <w:sz w:val="21"/>
          <w:szCs w:val="21"/>
          <w:highlight w:val="none"/>
        </w:rPr>
        <w:t>采购人或</w:t>
      </w:r>
      <w:r>
        <w:rPr>
          <w:rFonts w:asciiTheme="minorEastAsia" w:hAnsiTheme="minorEastAsia" w:eastAsiaTheme="minorEastAsia"/>
          <w:color w:val="auto"/>
          <w:sz w:val="21"/>
          <w:szCs w:val="21"/>
          <w:highlight w:val="none"/>
        </w:rPr>
        <w:t>采购</w:t>
      </w:r>
      <w:r>
        <w:rPr>
          <w:rFonts w:hint="eastAsia" w:asciiTheme="minorEastAsia" w:hAnsiTheme="minorEastAsia" w:eastAsiaTheme="minorEastAsia"/>
          <w:color w:val="auto"/>
          <w:sz w:val="21"/>
          <w:szCs w:val="21"/>
          <w:highlight w:val="none"/>
        </w:rPr>
        <w:t>代理</w:t>
      </w:r>
      <w:r>
        <w:rPr>
          <w:rFonts w:asciiTheme="minorEastAsia" w:hAnsiTheme="minorEastAsia" w:eastAsiaTheme="minorEastAsia"/>
          <w:color w:val="auto"/>
          <w:sz w:val="21"/>
          <w:szCs w:val="21"/>
          <w:highlight w:val="none"/>
        </w:rPr>
        <w:t>机构之间与投标有关的所有往来通知、函件和投标文件均用中文表述。投标人随投标文件提供的证明文件和资料可以为其它语言</w:t>
      </w:r>
      <w:r>
        <w:rPr>
          <w:rFonts w:hint="eastAsia" w:asciiTheme="minorEastAsia" w:hAnsiTheme="minorEastAsia" w:eastAsiaTheme="minorEastAsia"/>
          <w:color w:val="auto"/>
          <w:sz w:val="21"/>
          <w:szCs w:val="21"/>
          <w:highlight w:val="none"/>
        </w:rPr>
        <w:t>（文字）</w:t>
      </w:r>
      <w:r>
        <w:rPr>
          <w:rFonts w:asciiTheme="minorEastAsia" w:hAnsiTheme="minorEastAsia" w:eastAsiaTheme="minorEastAsia"/>
          <w:color w:val="auto"/>
          <w:sz w:val="21"/>
          <w:szCs w:val="21"/>
          <w:highlight w:val="none"/>
        </w:rPr>
        <w:t>，但</w:t>
      </w:r>
      <w:r>
        <w:rPr>
          <w:rFonts w:hint="eastAsia" w:asciiTheme="minorEastAsia" w:hAnsiTheme="minorEastAsia" w:eastAsiaTheme="minorEastAsia"/>
          <w:color w:val="auto"/>
          <w:sz w:val="21"/>
          <w:szCs w:val="21"/>
          <w:highlight w:val="none"/>
        </w:rPr>
        <w:t>应当</w:t>
      </w:r>
      <w:r>
        <w:rPr>
          <w:rFonts w:asciiTheme="minorEastAsia" w:hAnsiTheme="minorEastAsia" w:eastAsiaTheme="minorEastAsia"/>
          <w:color w:val="auto"/>
          <w:sz w:val="21"/>
          <w:szCs w:val="21"/>
          <w:highlight w:val="none"/>
        </w:rPr>
        <w:t>附中文译文</w:t>
      </w:r>
      <w:r>
        <w:rPr>
          <w:rFonts w:hint="eastAsia" w:asciiTheme="minorEastAsia" w:hAnsiTheme="minorEastAsia" w:eastAsiaTheme="minorEastAsia"/>
          <w:color w:val="auto"/>
          <w:sz w:val="21"/>
          <w:szCs w:val="21"/>
          <w:highlight w:val="none"/>
        </w:rPr>
        <w:t>，未提供中文译文的视为未提供，</w:t>
      </w:r>
      <w:r>
        <w:rPr>
          <w:rFonts w:asciiTheme="minorEastAsia" w:hAnsiTheme="minorEastAsia" w:eastAsiaTheme="minorEastAsia"/>
          <w:color w:val="auto"/>
          <w:sz w:val="21"/>
          <w:szCs w:val="21"/>
          <w:highlight w:val="none"/>
        </w:rPr>
        <w:t>翻译的中文资料与外文资料出现差异时，以中文为准。</w:t>
      </w:r>
    </w:p>
    <w:p>
      <w:pPr>
        <w:spacing w:line="360" w:lineRule="auto"/>
        <w:ind w:firstLine="42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20.3</w:t>
      </w:r>
      <w:r>
        <w:rPr>
          <w:rFonts w:asciiTheme="minorEastAsia" w:hAnsiTheme="minorEastAsia" w:eastAsiaTheme="minorEastAsia"/>
          <w:color w:val="auto"/>
          <w:szCs w:val="21"/>
          <w:highlight w:val="none"/>
        </w:rPr>
        <w:t>除招标文件中有特殊要求外，投标文件中所使用的计量单位，应采用中华人民共和国法定计量单位。</w:t>
      </w:r>
    </w:p>
    <w:p>
      <w:pPr>
        <w:pStyle w:val="25"/>
        <w:snapToGrid w:val="0"/>
        <w:spacing w:beforeLines="0" w:afterLines="0" w:line="360" w:lineRule="auto"/>
        <w:ind w:firstLine="422"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b/>
          <w:color w:val="auto"/>
          <w:sz w:val="21"/>
          <w:szCs w:val="21"/>
          <w:highlight w:val="none"/>
        </w:rPr>
        <w:t>21.投标文件的形式</w:t>
      </w:r>
    </w:p>
    <w:p>
      <w:pPr>
        <w:pStyle w:val="25"/>
        <w:snapToGrid w:val="0"/>
        <w:spacing w:beforeLines="0" w:afterLines="0" w:line="360" w:lineRule="auto"/>
        <w:ind w:firstLine="422"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b/>
          <w:color w:val="auto"/>
          <w:sz w:val="21"/>
          <w:szCs w:val="21"/>
          <w:highlight w:val="none"/>
        </w:rPr>
        <w:t>本项目采用电子投标文件形式，分为电子加密投标文件和备份投标文件两种。</w:t>
      </w:r>
    </w:p>
    <w:p>
      <w:pPr>
        <w:pStyle w:val="25"/>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21.1电子加密投标文件是指通过“政采云电子投标客户端”完成投标文件编制后生成并加密的数据电文形式的加密标书，后缀名为【.jmbs】。</w:t>
      </w:r>
    </w:p>
    <w:p>
      <w:pPr>
        <w:pStyle w:val="25"/>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21.2备份投标文件是指与电子加密投标文件同时生成的数据电文形式的备份标书，后缀名为【.bfbs】。</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22.投标文件内容的构成</w:t>
      </w:r>
    </w:p>
    <w:p>
      <w:pPr>
        <w:pStyle w:val="25"/>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22.1投标人编写的投标文件应包含资格要求响应文件、商务技术文件和报价要求响应文件。</w:t>
      </w:r>
    </w:p>
    <w:p>
      <w:pPr>
        <w:pStyle w:val="25"/>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上述各项文件的组成内容见</w:t>
      </w:r>
      <w:r>
        <w:rPr>
          <w:rFonts w:hint="eastAsia" w:asciiTheme="minorEastAsia" w:hAnsiTheme="minorEastAsia" w:eastAsiaTheme="minorEastAsia"/>
          <w:color w:val="auto"/>
          <w:sz w:val="21"/>
          <w:szCs w:val="21"/>
          <w:highlight w:val="none"/>
          <w:u w:val="single"/>
        </w:rPr>
        <w:t>投标人须知前附表</w:t>
      </w:r>
      <w:r>
        <w:rPr>
          <w:rFonts w:hint="eastAsia" w:asciiTheme="minorEastAsia" w:hAnsiTheme="minorEastAsia" w:eastAsiaTheme="minorEastAsia"/>
          <w:color w:val="auto"/>
          <w:sz w:val="21"/>
          <w:szCs w:val="21"/>
          <w:highlight w:val="none"/>
        </w:rPr>
        <w:t>，未列入其中的内容，投标人认为需要的可以自行提供相关材料。</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22.2招标文件明确要求在投标文件中附（提交）证明材料而投标人未在投标文件中提供的，不被认定为对具体要求作出响应。</w:t>
      </w:r>
      <w:r>
        <w:rPr>
          <w:rFonts w:hint="eastAsia" w:asciiTheme="minorEastAsia" w:hAnsiTheme="minorEastAsia" w:eastAsiaTheme="minorEastAsia"/>
          <w:b/>
          <w:color w:val="auto"/>
          <w:szCs w:val="21"/>
          <w:highlight w:val="none"/>
        </w:rPr>
        <w:t>提供的合同等证明材料应当是完整无删减、无遮挡（盖）、页码连续的原始文件的复印件，否则因证明材料缺少评审所需的关键或必要的信息或因中间页码缺失导致无法有效认定造成不予认可的风险和责任由投标人自行承担。</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23.投标文件的制作</w:t>
      </w:r>
    </w:p>
    <w:p>
      <w:pPr>
        <w:spacing w:line="360" w:lineRule="auto"/>
        <w:ind w:firstLine="420" w:firstLineChars="200"/>
        <w:rPr>
          <w:rFonts w:cs="Arial"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kern w:val="0"/>
          <w:szCs w:val="21"/>
          <w:highlight w:val="none"/>
        </w:rPr>
        <w:t>投标人应当安装“政采云电子投标客户端”，按照招标文件和政采云平台的要求编制并加密投标文件。</w:t>
      </w:r>
      <w:r>
        <w:rPr>
          <w:rFonts w:cs="Arial" w:asciiTheme="minorEastAsia" w:hAnsiTheme="minorEastAsia" w:eastAsiaTheme="minorEastAsia"/>
          <w:color w:val="auto"/>
          <w:kern w:val="0"/>
          <w:szCs w:val="21"/>
          <w:highlight w:val="none"/>
        </w:rPr>
        <w:t>投标文件的制作应满足以下规定：</w:t>
      </w:r>
    </w:p>
    <w:p>
      <w:pPr>
        <w:spacing w:line="360" w:lineRule="auto"/>
        <w:ind w:firstLine="420" w:firstLineChars="200"/>
        <w:rPr>
          <w:rFonts w:cs="Arial"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kern w:val="0"/>
          <w:szCs w:val="21"/>
          <w:highlight w:val="none"/>
        </w:rPr>
        <w:t>（1）由</w:t>
      </w:r>
      <w:r>
        <w:rPr>
          <w:rFonts w:cs="Arial" w:asciiTheme="minorEastAsia" w:hAnsiTheme="minorEastAsia" w:eastAsiaTheme="minorEastAsia"/>
          <w:color w:val="auto"/>
          <w:kern w:val="0"/>
          <w:szCs w:val="21"/>
          <w:highlight w:val="none"/>
        </w:rPr>
        <w:t>投标人使用电子交易系统提供的投标文件制作工具制作生成。</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（2）投标人应完整地填写投标函、开标一览表等招标文件提供的格式文件，以及为响应招标文件的要求及项目评审必须提供的其他材料。</w:t>
      </w:r>
    </w:p>
    <w:p>
      <w:pPr>
        <w:snapToGrid w:val="0"/>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注：投标人应准确设置评审关联定位，避免未设置或设置错误导致投标文件被误读、漏读或者查找不到相关内容。</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24.投标文件的签署及盖章</w:t>
      </w:r>
    </w:p>
    <w:p>
      <w:pPr>
        <w:snapToGrid w:val="0"/>
        <w:spacing w:line="360" w:lineRule="auto"/>
        <w:ind w:firstLine="420"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rPr>
        <w:t>电子签章操作指南详见《政府采购项目电子交易管理操作指南-供应商》,</w:t>
      </w:r>
      <w:r>
        <w:rPr>
          <w:rFonts w:hint="eastAsia" w:asciiTheme="minorEastAsia" w:hAnsiTheme="minorEastAsia" w:eastAsiaTheme="minorEastAsia"/>
          <w:b/>
          <w:color w:val="auto"/>
          <w:szCs w:val="21"/>
          <w:highlight w:val="none"/>
        </w:rPr>
        <w:t>系统要求进行电子签章的文件，按系统要求签章。</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（1）招标文件要求签字的应当由投标人的法定代表人或经其正式授权的代表签字或盖章，</w:t>
      </w:r>
      <w:r>
        <w:rPr>
          <w:rFonts w:hint="eastAsia" w:asciiTheme="minorEastAsia" w:hAnsiTheme="minorEastAsia" w:eastAsiaTheme="minorEastAsia"/>
          <w:b/>
          <w:color w:val="auto"/>
          <w:szCs w:val="21"/>
          <w:highlight w:val="none"/>
        </w:rPr>
        <w:t>因未获取电子姓名签章无法直接在系统中进行法定代表人或其授权代表电子签名操作的，可以线下签字或盖章后扫描上传。</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cs="Arial" w:asciiTheme="minorEastAsia" w:hAnsiTheme="minorEastAsia" w:eastAsiaTheme="minorEastAsia"/>
          <w:color w:val="auto"/>
          <w:kern w:val="0"/>
          <w:szCs w:val="21"/>
          <w:highlight w:val="none"/>
        </w:rPr>
        <w:t>（2）《</w:t>
      </w:r>
      <w:r>
        <w:rPr>
          <w:rFonts w:cs="Arial" w:asciiTheme="minorEastAsia" w:hAnsiTheme="minorEastAsia" w:eastAsiaTheme="minorEastAsia"/>
          <w:color w:val="auto"/>
          <w:kern w:val="0"/>
          <w:szCs w:val="21"/>
          <w:highlight w:val="none"/>
        </w:rPr>
        <w:t>第</w:t>
      </w:r>
      <w:r>
        <w:rPr>
          <w:rFonts w:hint="eastAsia" w:cs="Arial" w:asciiTheme="minorEastAsia" w:hAnsiTheme="minorEastAsia" w:eastAsiaTheme="minorEastAsia"/>
          <w:color w:val="auto"/>
          <w:kern w:val="0"/>
          <w:szCs w:val="21"/>
          <w:highlight w:val="none"/>
        </w:rPr>
        <w:t>六</w:t>
      </w:r>
      <w:r>
        <w:rPr>
          <w:rFonts w:cs="Arial" w:asciiTheme="minorEastAsia" w:hAnsiTheme="minorEastAsia" w:eastAsiaTheme="minorEastAsia"/>
          <w:color w:val="auto"/>
          <w:kern w:val="0"/>
          <w:szCs w:val="21"/>
          <w:highlight w:val="none"/>
        </w:rPr>
        <w:t>章</w:t>
      </w:r>
      <w:r>
        <w:rPr>
          <w:rFonts w:hint="eastAsia" w:cs="Arial" w:asciiTheme="minorEastAsia" w:hAnsiTheme="minorEastAsia" w:eastAsiaTheme="minorEastAsia"/>
          <w:color w:val="auto"/>
          <w:kern w:val="0"/>
          <w:szCs w:val="21"/>
          <w:highlight w:val="none"/>
        </w:rPr>
        <w:t xml:space="preserve"> </w:t>
      </w:r>
      <w:r>
        <w:rPr>
          <w:rFonts w:cs="Arial" w:asciiTheme="minorEastAsia" w:hAnsiTheme="minorEastAsia" w:eastAsiaTheme="minorEastAsia"/>
          <w:color w:val="auto"/>
          <w:kern w:val="0"/>
          <w:szCs w:val="21"/>
          <w:highlight w:val="none"/>
        </w:rPr>
        <w:t xml:space="preserve"> 投标文件格式</w:t>
      </w:r>
      <w:r>
        <w:rPr>
          <w:rFonts w:hint="eastAsia" w:cs="Arial" w:asciiTheme="minorEastAsia" w:hAnsiTheme="minorEastAsia" w:eastAsiaTheme="minorEastAsia"/>
          <w:color w:val="auto"/>
          <w:kern w:val="0"/>
          <w:szCs w:val="21"/>
          <w:highlight w:val="none"/>
        </w:rPr>
        <w:t>》提供的相关文件</w:t>
      </w:r>
      <w:r>
        <w:rPr>
          <w:rFonts w:cs="Arial" w:asciiTheme="minorEastAsia" w:hAnsiTheme="minorEastAsia" w:eastAsiaTheme="minorEastAsia"/>
          <w:color w:val="auto"/>
          <w:kern w:val="0"/>
          <w:szCs w:val="21"/>
          <w:highlight w:val="none"/>
        </w:rPr>
        <w:t>要求</w:t>
      </w:r>
      <w:r>
        <w:rPr>
          <w:rFonts w:hint="eastAsia" w:cs="Arial" w:asciiTheme="minorEastAsia" w:hAnsiTheme="minorEastAsia" w:eastAsiaTheme="minorEastAsia"/>
          <w:color w:val="auto"/>
          <w:kern w:val="0"/>
          <w:szCs w:val="21"/>
          <w:highlight w:val="none"/>
        </w:rPr>
        <w:t>加盖公</w:t>
      </w:r>
      <w:r>
        <w:rPr>
          <w:rFonts w:cs="Arial" w:asciiTheme="minorEastAsia" w:hAnsiTheme="minorEastAsia" w:eastAsiaTheme="minorEastAsia"/>
          <w:color w:val="auto"/>
          <w:kern w:val="0"/>
          <w:szCs w:val="21"/>
          <w:highlight w:val="none"/>
        </w:rPr>
        <w:t>章处，投标人均应加盖</w:t>
      </w:r>
      <w:r>
        <w:rPr>
          <w:rFonts w:hint="eastAsia" w:cs="Arial" w:asciiTheme="minorEastAsia" w:hAnsiTheme="minorEastAsia" w:eastAsiaTheme="minorEastAsia"/>
          <w:color w:val="auto"/>
          <w:kern w:val="0"/>
          <w:szCs w:val="21"/>
          <w:highlight w:val="none"/>
        </w:rPr>
        <w:t>公</w:t>
      </w:r>
      <w:r>
        <w:rPr>
          <w:rFonts w:cs="Arial" w:asciiTheme="minorEastAsia" w:hAnsiTheme="minorEastAsia" w:eastAsiaTheme="minorEastAsia"/>
          <w:color w:val="auto"/>
          <w:kern w:val="0"/>
          <w:szCs w:val="21"/>
          <w:highlight w:val="none"/>
        </w:rPr>
        <w:t>章</w:t>
      </w:r>
      <w:r>
        <w:rPr>
          <w:rFonts w:hint="eastAsia" w:cs="Arial" w:asciiTheme="minorEastAsia" w:hAnsiTheme="minorEastAsia" w:eastAsiaTheme="minorEastAsia"/>
          <w:color w:val="auto"/>
          <w:kern w:val="0"/>
          <w:szCs w:val="21"/>
          <w:highlight w:val="none"/>
        </w:rPr>
        <w:t>，</w:t>
      </w:r>
      <w:r>
        <w:rPr>
          <w:rFonts w:hint="eastAsia" w:asciiTheme="minorEastAsia" w:hAnsiTheme="minorEastAsia" w:eastAsiaTheme="minorEastAsia"/>
          <w:color w:val="auto"/>
          <w:szCs w:val="21"/>
          <w:highlight w:val="none"/>
        </w:rPr>
        <w:t>可使用电子公章在线签章或线下加盖公章后扫描上传。</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（3）投标</w:t>
      </w:r>
      <w:r>
        <w:rPr>
          <w:rFonts w:asciiTheme="minorEastAsia" w:hAnsiTheme="minorEastAsia" w:eastAsiaTheme="minorEastAsia"/>
          <w:color w:val="auto"/>
          <w:szCs w:val="21"/>
          <w:highlight w:val="none"/>
        </w:rPr>
        <w:t>文件若有错</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漏处</w:t>
      </w:r>
      <w:r>
        <w:rPr>
          <w:rFonts w:hint="eastAsia" w:asciiTheme="minorEastAsia" w:hAnsiTheme="minorEastAsia" w:eastAsiaTheme="minorEastAsia"/>
          <w:color w:val="auto"/>
          <w:szCs w:val="21"/>
          <w:highlight w:val="none"/>
        </w:rPr>
        <w:t>等必须修改的，修改处应当</w:t>
      </w:r>
      <w:r>
        <w:rPr>
          <w:rFonts w:asciiTheme="minorEastAsia" w:hAnsiTheme="minorEastAsia" w:eastAsiaTheme="minorEastAsia"/>
          <w:color w:val="auto"/>
          <w:szCs w:val="21"/>
          <w:highlight w:val="none"/>
        </w:rPr>
        <w:t>加盖</w:t>
      </w:r>
      <w:r>
        <w:rPr>
          <w:rFonts w:hint="eastAsia" w:asciiTheme="minorEastAsia" w:hAnsiTheme="minorEastAsia" w:eastAsiaTheme="minorEastAsia"/>
          <w:color w:val="auto"/>
          <w:szCs w:val="21"/>
          <w:highlight w:val="none"/>
        </w:rPr>
        <w:t>投标人</w:t>
      </w:r>
      <w:r>
        <w:rPr>
          <w:rFonts w:asciiTheme="minorEastAsia" w:hAnsiTheme="minorEastAsia" w:eastAsiaTheme="minorEastAsia"/>
          <w:color w:val="auto"/>
          <w:szCs w:val="21"/>
          <w:highlight w:val="none"/>
        </w:rPr>
        <w:t>公章或者</w:t>
      </w:r>
      <w:r>
        <w:rPr>
          <w:rFonts w:hint="eastAsia" w:asciiTheme="minorEastAsia" w:hAnsiTheme="minorEastAsia" w:eastAsiaTheme="minorEastAsia"/>
          <w:color w:val="auto"/>
          <w:szCs w:val="21"/>
          <w:highlight w:val="none"/>
        </w:rPr>
        <w:t>由投标人的</w:t>
      </w:r>
      <w:r>
        <w:rPr>
          <w:rFonts w:asciiTheme="minorEastAsia" w:hAnsiTheme="minorEastAsia" w:eastAsiaTheme="minorEastAsia"/>
          <w:color w:val="auto"/>
          <w:szCs w:val="21"/>
          <w:highlight w:val="none"/>
        </w:rPr>
        <w:t>法定代表人</w:t>
      </w:r>
      <w:r>
        <w:rPr>
          <w:rFonts w:hint="eastAsia" w:asciiTheme="minorEastAsia" w:hAnsiTheme="minorEastAsia" w:eastAsiaTheme="minorEastAsia"/>
          <w:color w:val="auto"/>
          <w:szCs w:val="21"/>
          <w:highlight w:val="none"/>
        </w:rPr>
        <w:t>或其</w:t>
      </w:r>
      <w:r>
        <w:rPr>
          <w:rFonts w:asciiTheme="minorEastAsia" w:hAnsiTheme="minorEastAsia" w:eastAsiaTheme="minorEastAsia"/>
          <w:color w:val="auto"/>
          <w:szCs w:val="21"/>
          <w:highlight w:val="none"/>
        </w:rPr>
        <w:t>授权</w:t>
      </w:r>
      <w:r>
        <w:rPr>
          <w:rFonts w:hint="eastAsia" w:asciiTheme="minorEastAsia" w:hAnsiTheme="minorEastAsia" w:eastAsiaTheme="minorEastAsia"/>
          <w:color w:val="auto"/>
          <w:szCs w:val="21"/>
          <w:highlight w:val="none"/>
        </w:rPr>
        <w:t>代表</w:t>
      </w:r>
      <w:r>
        <w:rPr>
          <w:rFonts w:asciiTheme="minorEastAsia" w:hAnsiTheme="minorEastAsia" w:eastAsiaTheme="minorEastAsia"/>
          <w:color w:val="auto"/>
          <w:szCs w:val="21"/>
          <w:highlight w:val="none"/>
        </w:rPr>
        <w:t>签字</w:t>
      </w:r>
      <w:r>
        <w:rPr>
          <w:rFonts w:hint="eastAsia" w:asciiTheme="minorEastAsia" w:hAnsiTheme="minorEastAsia" w:eastAsiaTheme="minorEastAsia"/>
          <w:color w:val="auto"/>
          <w:szCs w:val="21"/>
          <w:highlight w:val="none"/>
        </w:rPr>
        <w:t>或盖章</w:t>
      </w:r>
      <w:r>
        <w:rPr>
          <w:rFonts w:asciiTheme="minorEastAsia" w:hAnsiTheme="minorEastAsia" w:eastAsiaTheme="minorEastAsia"/>
          <w:color w:val="auto"/>
          <w:szCs w:val="21"/>
          <w:highlight w:val="none"/>
        </w:rPr>
        <w:t>。</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2</w:t>
      </w:r>
      <w:r>
        <w:rPr>
          <w:rFonts w:hint="eastAsia" w:asciiTheme="minorEastAsia" w:hAnsiTheme="minorEastAsia" w:eastAsiaTheme="minorEastAsia"/>
          <w:b/>
          <w:color w:val="auto"/>
          <w:szCs w:val="21"/>
          <w:highlight w:val="none"/>
        </w:rPr>
        <w:t>5</w:t>
      </w:r>
      <w:r>
        <w:rPr>
          <w:rFonts w:asciiTheme="minorEastAsia" w:hAnsiTheme="minorEastAsia" w:eastAsiaTheme="minorEastAsia"/>
          <w:b/>
          <w:color w:val="auto"/>
          <w:szCs w:val="21"/>
          <w:highlight w:val="none"/>
        </w:rPr>
        <w:t>.投标报价要求</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25.1最高限价：本项目每个标项的最高限价详见《第一章  投标邀请》，每个标项的最高限价为预算金额或等额美元（以采购公告发布当日中国银行09:00后的第一个美元兑换人民币的现汇卖出价进行折算），投标报价超过投标标项的最高限价的作无效投标处理。</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5.2</w:t>
      </w:r>
      <w:r>
        <w:rPr>
          <w:rFonts w:hint="eastAsia" w:asciiTheme="minorEastAsia" w:hAnsiTheme="minorEastAsia" w:eastAsiaTheme="minorEastAsia"/>
          <w:color w:val="auto"/>
          <w:szCs w:val="21"/>
          <w:highlight w:val="none"/>
        </w:rPr>
        <w:t>报价要求：详见投标人须知前附表。</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25.</w:t>
      </w:r>
      <w:r>
        <w:rPr>
          <w:rFonts w:hint="eastAsia" w:asciiTheme="minorEastAsia" w:hAnsiTheme="minorEastAsia" w:eastAsiaTheme="minorEastAsia"/>
          <w:color w:val="auto"/>
          <w:szCs w:val="21"/>
          <w:highlight w:val="none"/>
        </w:rPr>
        <w:t>3进口设备的外贸代理公司收费标准：</w:t>
      </w:r>
    </w:p>
    <w:p>
      <w:pPr>
        <w:spacing w:line="360" w:lineRule="auto"/>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drawing>
          <wp:inline distT="0" distB="0" distL="0" distR="0">
            <wp:extent cx="4946015" cy="991870"/>
            <wp:effectExtent l="0" t="0" r="0" b="0"/>
            <wp:docPr id="16450107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01076"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946015" cy="991870"/>
                    </a:xfrm>
                    <a:prstGeom prst="rect">
                      <a:avLst/>
                    </a:prstGeom>
                    <a:noFill/>
                    <a:ln>
                      <a:noFill/>
                    </a:ln>
                  </pic:spPr>
                </pic:pic>
              </a:graphicData>
            </a:graphic>
          </wp:inline>
        </w:drawing>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注：外贸代理服务收费在以上标准下浮20%，单个项目最低不低于1000元人民币，最高不超过2万人民币。</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25.4投标人应在分项报价文件中标明分项货物、伴随的服务的价格和总价，未标明的视同包含在投标报价中。</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25.5投标报价及结算货币均为人民币（进口设备需报出DAP美元价并据此结算），针对本项目的投标报价（包含分项报价）</w:t>
      </w:r>
      <w:r>
        <w:rPr>
          <w:rFonts w:asciiTheme="minorEastAsia" w:hAnsiTheme="minorEastAsia" w:eastAsiaTheme="minorEastAsia"/>
          <w:color w:val="auto"/>
          <w:szCs w:val="21"/>
          <w:highlight w:val="none"/>
        </w:rPr>
        <w:t>只允许有一个，</w:t>
      </w:r>
      <w:r>
        <w:rPr>
          <w:rFonts w:hint="eastAsia" w:asciiTheme="minorEastAsia" w:hAnsiTheme="minorEastAsia" w:eastAsiaTheme="minorEastAsia"/>
          <w:color w:val="auto"/>
          <w:szCs w:val="21"/>
          <w:highlight w:val="none"/>
        </w:rPr>
        <w:t>不接受</w:t>
      </w:r>
      <w:r>
        <w:rPr>
          <w:rFonts w:asciiTheme="minorEastAsia" w:hAnsiTheme="minorEastAsia" w:eastAsiaTheme="minorEastAsia"/>
          <w:color w:val="auto"/>
          <w:szCs w:val="21"/>
          <w:highlight w:val="none"/>
        </w:rPr>
        <w:t>有选择的</w:t>
      </w:r>
      <w:r>
        <w:rPr>
          <w:rFonts w:hint="eastAsia" w:asciiTheme="minorEastAsia" w:hAnsiTheme="minorEastAsia" w:eastAsiaTheme="minorEastAsia"/>
          <w:color w:val="auto"/>
          <w:szCs w:val="21"/>
          <w:highlight w:val="none"/>
        </w:rPr>
        <w:t>或有附加条件的投标</w:t>
      </w:r>
      <w:r>
        <w:rPr>
          <w:rFonts w:asciiTheme="minorEastAsia" w:hAnsiTheme="minorEastAsia" w:eastAsiaTheme="minorEastAsia"/>
          <w:color w:val="auto"/>
          <w:szCs w:val="21"/>
          <w:highlight w:val="none"/>
        </w:rPr>
        <w:t>报价</w:t>
      </w:r>
      <w:r>
        <w:rPr>
          <w:rFonts w:hint="eastAsia" w:asciiTheme="minorEastAsia" w:hAnsiTheme="minorEastAsia" w:eastAsiaTheme="minorEastAsia"/>
          <w:color w:val="auto"/>
          <w:szCs w:val="21"/>
          <w:highlight w:val="none"/>
        </w:rPr>
        <w:t>（包含分项报价）</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报价评审以人民币报价作为依据，根据招标文件规定的折算方式，人民币报价和DAP美元价不一致的，以人民币报价为准并修正DAP美元价。</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25.6投标报价（包含分项报价）不允许为0元（即赠送），采购人不予接受，其投标文件按照投标无效处理。</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26.投标保证金</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本项目无须投标人缴纳投标保证金。</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27.投标有效期</w:t>
      </w:r>
    </w:p>
    <w:p>
      <w:pPr>
        <w:pStyle w:val="25"/>
        <w:snapToGrid w:val="0"/>
        <w:spacing w:beforeLines="0" w:afterLines="0"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27.1投标有效期为从投标截止之日算起的日历天数，投标有效期见</w:t>
      </w:r>
      <w:r>
        <w:rPr>
          <w:rFonts w:hint="eastAsia" w:asciiTheme="minorEastAsia" w:hAnsiTheme="minorEastAsia" w:eastAsiaTheme="minorEastAsia"/>
          <w:color w:val="auto"/>
          <w:sz w:val="21"/>
          <w:szCs w:val="21"/>
          <w:highlight w:val="none"/>
          <w:u w:val="single"/>
        </w:rPr>
        <w:t>投标人须知前附表</w:t>
      </w:r>
      <w:r>
        <w:rPr>
          <w:rFonts w:hint="eastAsia" w:asciiTheme="minorEastAsia" w:hAnsiTheme="minorEastAsia" w:eastAsiaTheme="minorEastAsia"/>
          <w:color w:val="auto"/>
          <w:sz w:val="21"/>
          <w:szCs w:val="21"/>
          <w:highlight w:val="none"/>
        </w:rPr>
        <w:t>。</w:t>
      </w:r>
    </w:p>
    <w:p>
      <w:pPr>
        <w:spacing w:line="360" w:lineRule="auto"/>
        <w:ind w:firstLine="42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27.2在投标有效期内，投标人的投标保持有效，投标人不得要求撤销或修改其投标文件。投标有效期不满足要求的投标，其投标将被认定为</w:t>
      </w:r>
      <w:r>
        <w:rPr>
          <w:rFonts w:hint="eastAsia" w:asciiTheme="minorEastAsia" w:hAnsiTheme="minorEastAsia" w:eastAsiaTheme="minorEastAsia"/>
          <w:b/>
          <w:color w:val="auto"/>
          <w:kern w:val="0"/>
          <w:szCs w:val="21"/>
          <w:highlight w:val="none"/>
        </w:rPr>
        <w:t>投标无效</w:t>
      </w:r>
      <w:r>
        <w:rPr>
          <w:rFonts w:hint="eastAsia" w:asciiTheme="minorEastAsia" w:hAnsiTheme="minorEastAsia" w:eastAsiaTheme="minorEastAsia"/>
          <w:color w:val="auto"/>
          <w:kern w:val="0"/>
          <w:szCs w:val="21"/>
          <w:highlight w:val="none"/>
        </w:rPr>
        <w:t>。</w:t>
      </w:r>
    </w:p>
    <w:p>
      <w:pPr>
        <w:pStyle w:val="256"/>
        <w:spacing w:before="120" w:after="120"/>
        <w:ind w:firstLine="422"/>
        <w:jc w:val="center"/>
        <w:rPr>
          <w:rFonts w:asciiTheme="minorEastAsia" w:hAnsiTheme="minorEastAsia" w:eastAsiaTheme="minorEastAsia"/>
          <w:color w:val="auto"/>
          <w:sz w:val="21"/>
          <w:szCs w:val="21"/>
          <w:highlight w:val="none"/>
        </w:rPr>
      </w:pPr>
      <w:bookmarkStart w:id="50" w:name="_Toc118452530"/>
      <w:r>
        <w:rPr>
          <w:rFonts w:hint="eastAsia" w:asciiTheme="minorEastAsia" w:hAnsiTheme="minorEastAsia" w:eastAsiaTheme="minorEastAsia"/>
          <w:color w:val="auto"/>
          <w:sz w:val="21"/>
          <w:szCs w:val="21"/>
          <w:highlight w:val="none"/>
        </w:rPr>
        <w:t>四、投标文件的提交</w:t>
      </w:r>
      <w:bookmarkEnd w:id="50"/>
    </w:p>
    <w:p>
      <w:pPr>
        <w:pStyle w:val="25"/>
        <w:snapToGrid w:val="0"/>
        <w:spacing w:beforeLines="0" w:afterLines="0" w:line="360" w:lineRule="auto"/>
        <w:ind w:firstLine="422" w:firstLineChars="200"/>
        <w:jc w:val="left"/>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28.电子加密投标文件的提交</w:t>
      </w:r>
    </w:p>
    <w:p>
      <w:pPr>
        <w:pStyle w:val="25"/>
        <w:wordWrap w:val="0"/>
        <w:snapToGrid w:val="0"/>
        <w:spacing w:beforeLines="0" w:afterLines="0" w:line="360" w:lineRule="auto"/>
        <w:ind w:firstLine="420" w:firstLineChars="200"/>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投标人应当在投标截止时间前将电子加密投标文件上传至政采云平台（https://www.zcygov.cn/），成功上传后，投标人可自行打印投标文件接收回执。</w:t>
      </w:r>
    </w:p>
    <w:p>
      <w:pPr>
        <w:pStyle w:val="25"/>
        <w:snapToGrid w:val="0"/>
        <w:spacing w:beforeLines="0" w:afterLines="0" w:line="360" w:lineRule="auto"/>
        <w:ind w:firstLine="422" w:firstLineChars="200"/>
        <w:jc w:val="left"/>
        <w:rPr>
          <w:rFonts w:cs="宋体"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29.</w:t>
      </w:r>
      <w:r>
        <w:rPr>
          <w:rFonts w:hint="eastAsia" w:cs="宋体" w:asciiTheme="minorEastAsia" w:hAnsiTheme="minorEastAsia" w:eastAsiaTheme="minorEastAsia"/>
          <w:b/>
          <w:color w:val="auto"/>
          <w:sz w:val="21"/>
          <w:szCs w:val="21"/>
          <w:highlight w:val="none"/>
        </w:rPr>
        <w:t>备份投标文件的提交</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可以在投标截止时间前提交备份投标文件。备份投标文件的载体必须密封包装，密封包装应当清楚的标明项目名称、项目编号、投标人名称并加盖公章。采购人或采购代理机构有权拒绝接收未按照规定密封、标注、盖章的备份投标文件。</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30.投标截止时间及地点</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30.1投标截止时间及地点见</w:t>
      </w:r>
      <w:r>
        <w:rPr>
          <w:rFonts w:hint="eastAsia" w:asciiTheme="minorEastAsia" w:hAnsiTheme="minorEastAsia" w:eastAsiaTheme="minorEastAsia"/>
          <w:color w:val="auto"/>
          <w:szCs w:val="21"/>
          <w:highlight w:val="none"/>
          <w:u w:val="single"/>
        </w:rPr>
        <w:t>招标公告（投标邀请）</w:t>
      </w:r>
      <w:r>
        <w:rPr>
          <w:rFonts w:hint="eastAsia" w:asciiTheme="minorEastAsia" w:hAnsiTheme="minorEastAsia" w:eastAsiaTheme="minorEastAsia"/>
          <w:color w:val="auto"/>
          <w:szCs w:val="21"/>
          <w:highlight w:val="none"/>
        </w:rPr>
        <w:t>。</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30.2采购人或采购代理机构可以根据项目情况</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推迟投标截止时间。在此情况下，采购人、采购代理机构和投标人受投标截止时间约束的所有权利和义务均延长至新的截止时间。</w:t>
      </w:r>
    </w:p>
    <w:p>
      <w:pPr>
        <w:snapToGrid w:val="0"/>
        <w:spacing w:line="360" w:lineRule="auto"/>
        <w:ind w:firstLine="422"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31.投标文件的修改和撤回</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31.1</w:t>
      </w:r>
      <w:r>
        <w:rPr>
          <w:rFonts w:asciiTheme="minorEastAsia" w:hAnsiTheme="minorEastAsia" w:eastAsiaTheme="minorEastAsia"/>
          <w:color w:val="auto"/>
          <w:szCs w:val="21"/>
          <w:highlight w:val="none"/>
        </w:rPr>
        <w:t>投标人在投标截止时间前，可以对</w:t>
      </w:r>
      <w:r>
        <w:rPr>
          <w:rFonts w:hint="eastAsia" w:asciiTheme="minorEastAsia" w:hAnsiTheme="minorEastAsia" w:eastAsiaTheme="minorEastAsia"/>
          <w:color w:val="auto"/>
          <w:szCs w:val="21"/>
          <w:highlight w:val="none"/>
        </w:rPr>
        <w:t>已经提交</w:t>
      </w:r>
      <w:r>
        <w:rPr>
          <w:rFonts w:asciiTheme="minorEastAsia" w:hAnsiTheme="minorEastAsia" w:eastAsiaTheme="minorEastAsia"/>
          <w:color w:val="auto"/>
          <w:szCs w:val="21"/>
          <w:highlight w:val="none"/>
        </w:rPr>
        <w:t>的投标文件进行补充、修改或者撤回。</w:t>
      </w:r>
    </w:p>
    <w:p>
      <w:pPr>
        <w:snapToGrid w:val="0"/>
        <w:spacing w:line="360" w:lineRule="auto"/>
        <w:ind w:firstLine="420" w:firstLineChars="200"/>
        <w:jc w:val="left"/>
        <w:rPr>
          <w:rFonts w:cs="Helvetica" w:asciiTheme="minorEastAsia" w:hAnsiTheme="minorEastAsia" w:eastAsiaTheme="minorEastAsia"/>
          <w:color w:val="auto"/>
          <w:kern w:val="0"/>
          <w:szCs w:val="21"/>
          <w:highlight w:val="none"/>
        </w:rPr>
      </w:pPr>
      <w:r>
        <w:rPr>
          <w:rFonts w:hint="eastAsia" w:asciiTheme="minorEastAsia" w:hAnsiTheme="minorEastAsia" w:eastAsiaTheme="minorEastAsia"/>
          <w:color w:val="auto"/>
          <w:szCs w:val="21"/>
          <w:highlight w:val="none"/>
        </w:rPr>
        <w:t>对已经完成传输递交的</w:t>
      </w:r>
      <w:r>
        <w:rPr>
          <w:rFonts w:hint="eastAsia" w:cs="宋体" w:asciiTheme="minorEastAsia" w:hAnsiTheme="minorEastAsia" w:eastAsiaTheme="minorEastAsia"/>
          <w:color w:val="auto"/>
          <w:szCs w:val="21"/>
          <w:highlight w:val="none"/>
        </w:rPr>
        <w:t>电子加密投标文件进行</w:t>
      </w:r>
      <w:r>
        <w:rPr>
          <w:rFonts w:hint="eastAsia" w:cs="Helvetica" w:asciiTheme="minorEastAsia" w:hAnsiTheme="minorEastAsia" w:eastAsiaTheme="minorEastAsia"/>
          <w:color w:val="auto"/>
          <w:kern w:val="0"/>
          <w:szCs w:val="21"/>
          <w:highlight w:val="none"/>
        </w:rPr>
        <w:t>补充或者修改的，应当先行撤回原文件，补充、修改后重新传输递交。投标人在投标截止时间前未重新完成传输递交的，</w:t>
      </w:r>
      <w:r>
        <w:rPr>
          <w:rFonts w:hint="eastAsia" w:cs="Helvetica" w:asciiTheme="minorEastAsia" w:hAnsiTheme="minorEastAsia" w:eastAsiaTheme="minorEastAsia"/>
          <w:b/>
          <w:color w:val="auto"/>
          <w:kern w:val="0"/>
          <w:szCs w:val="21"/>
          <w:highlight w:val="none"/>
        </w:rPr>
        <w:t>视为撤回投标文件</w:t>
      </w:r>
      <w:r>
        <w:rPr>
          <w:rFonts w:hint="eastAsia" w:cs="Helvetica" w:asciiTheme="minorEastAsia" w:hAnsiTheme="minorEastAsia" w:eastAsiaTheme="minorEastAsia"/>
          <w:color w:val="auto"/>
          <w:kern w:val="0"/>
          <w:szCs w:val="21"/>
          <w:highlight w:val="none"/>
        </w:rPr>
        <w:t>。投标截止时间后递交的电子加密投标文件，电子交易平台将拒收。</w:t>
      </w:r>
    </w:p>
    <w:p>
      <w:pPr>
        <w:snapToGrid w:val="0"/>
        <w:spacing w:line="360" w:lineRule="auto"/>
        <w:ind w:firstLine="420" w:firstLineChars="200"/>
        <w:jc w:val="left"/>
        <w:rPr>
          <w:rFonts w:cs="Helvetica"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szCs w:val="21"/>
          <w:highlight w:val="none"/>
        </w:rPr>
        <w:t>31.2投标人在投标截止时间前</w:t>
      </w:r>
      <w:r>
        <w:rPr>
          <w:rFonts w:cs="Arial" w:asciiTheme="minorEastAsia" w:hAnsiTheme="minorEastAsia" w:eastAsiaTheme="minorEastAsia"/>
          <w:color w:val="auto"/>
          <w:szCs w:val="21"/>
          <w:highlight w:val="none"/>
        </w:rPr>
        <w:t>递交</w:t>
      </w:r>
      <w:r>
        <w:rPr>
          <w:rFonts w:hint="eastAsia" w:cs="Arial" w:asciiTheme="minorEastAsia" w:hAnsiTheme="minorEastAsia" w:eastAsiaTheme="minorEastAsia"/>
          <w:color w:val="auto"/>
          <w:szCs w:val="21"/>
          <w:highlight w:val="none"/>
        </w:rPr>
        <w:t>了需要补充或修改的</w:t>
      </w:r>
      <w:r>
        <w:rPr>
          <w:rFonts w:hint="eastAsia" w:cs="宋体" w:asciiTheme="minorEastAsia" w:hAnsiTheme="minorEastAsia" w:eastAsiaTheme="minorEastAsia"/>
          <w:color w:val="auto"/>
          <w:szCs w:val="21"/>
          <w:highlight w:val="none"/>
        </w:rPr>
        <w:t>电子加密投标文件的</w:t>
      </w:r>
      <w:r>
        <w:rPr>
          <w:rFonts w:cs="Arial" w:asciiTheme="minorEastAsia" w:hAnsiTheme="minorEastAsia" w:eastAsiaTheme="minorEastAsia"/>
          <w:color w:val="auto"/>
          <w:szCs w:val="21"/>
          <w:highlight w:val="none"/>
        </w:rPr>
        <w:t>备份投标文件</w:t>
      </w:r>
      <w:r>
        <w:rPr>
          <w:rFonts w:hint="eastAsia" w:cs="Arial" w:asciiTheme="minorEastAsia" w:hAnsiTheme="minorEastAsia" w:eastAsiaTheme="minorEastAsia"/>
          <w:color w:val="auto"/>
          <w:szCs w:val="21"/>
          <w:highlight w:val="none"/>
        </w:rPr>
        <w:t>的，可以</w:t>
      </w:r>
      <w:r>
        <w:rPr>
          <w:rFonts w:cs="Arial" w:asciiTheme="minorEastAsia" w:hAnsiTheme="minorEastAsia" w:eastAsiaTheme="minorEastAsia"/>
          <w:color w:val="auto"/>
          <w:szCs w:val="21"/>
          <w:highlight w:val="none"/>
        </w:rPr>
        <w:t>重新</w:t>
      </w:r>
      <w:r>
        <w:rPr>
          <w:rFonts w:hint="eastAsia" w:cs="Arial" w:asciiTheme="minorEastAsia" w:hAnsiTheme="minorEastAsia" w:eastAsiaTheme="minorEastAsia"/>
          <w:color w:val="auto"/>
          <w:szCs w:val="21"/>
          <w:highlight w:val="none"/>
        </w:rPr>
        <w:t>提交补充或修改后的</w:t>
      </w:r>
      <w:r>
        <w:rPr>
          <w:rFonts w:cs="Arial" w:asciiTheme="minorEastAsia" w:hAnsiTheme="minorEastAsia" w:eastAsiaTheme="minorEastAsia"/>
          <w:color w:val="auto"/>
          <w:szCs w:val="21"/>
          <w:highlight w:val="none"/>
        </w:rPr>
        <w:t>备份投标文件</w:t>
      </w:r>
      <w:r>
        <w:rPr>
          <w:rFonts w:hint="eastAsia" w:cs="Arial" w:asciiTheme="minorEastAsia" w:hAnsiTheme="minorEastAsia" w:eastAsiaTheme="minorEastAsia"/>
          <w:color w:val="auto"/>
          <w:szCs w:val="21"/>
          <w:highlight w:val="none"/>
        </w:rPr>
        <w:t>。</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31.3</w:t>
      </w:r>
      <w:r>
        <w:rPr>
          <w:rFonts w:asciiTheme="minorEastAsia" w:hAnsiTheme="minorEastAsia" w:eastAsiaTheme="minorEastAsia"/>
          <w:color w:val="auto"/>
          <w:szCs w:val="21"/>
          <w:highlight w:val="none"/>
        </w:rPr>
        <w:t>投标截止时间后</w:t>
      </w:r>
      <w:r>
        <w:rPr>
          <w:rFonts w:hint="eastAsia" w:asciiTheme="minorEastAsia" w:hAnsiTheme="minorEastAsia" w:eastAsiaTheme="minorEastAsia"/>
          <w:color w:val="auto"/>
          <w:szCs w:val="21"/>
          <w:highlight w:val="none"/>
        </w:rPr>
        <w:t>，投标人不得对其投标文件进行补充、修改</w:t>
      </w:r>
      <w:r>
        <w:rPr>
          <w:rFonts w:asciiTheme="minorEastAsia" w:hAnsiTheme="minorEastAsia" w:eastAsiaTheme="minorEastAsia"/>
          <w:color w:val="auto"/>
          <w:szCs w:val="21"/>
          <w:highlight w:val="none"/>
        </w:rPr>
        <w:t>。</w:t>
      </w:r>
    </w:p>
    <w:p>
      <w:pPr>
        <w:pStyle w:val="256"/>
        <w:spacing w:before="120" w:after="120"/>
        <w:ind w:firstLine="422"/>
        <w:jc w:val="center"/>
        <w:rPr>
          <w:rFonts w:asciiTheme="minorEastAsia" w:hAnsiTheme="minorEastAsia" w:eastAsiaTheme="minorEastAsia"/>
          <w:color w:val="auto"/>
          <w:sz w:val="21"/>
          <w:szCs w:val="21"/>
          <w:highlight w:val="none"/>
        </w:rPr>
      </w:pPr>
      <w:bookmarkStart w:id="51" w:name="_Toc118452531"/>
      <w:r>
        <w:rPr>
          <w:rFonts w:hint="eastAsia" w:asciiTheme="minorEastAsia" w:hAnsiTheme="minorEastAsia" w:eastAsiaTheme="minorEastAsia"/>
          <w:color w:val="auto"/>
          <w:sz w:val="21"/>
          <w:szCs w:val="21"/>
          <w:highlight w:val="none"/>
        </w:rPr>
        <w:t>五、开标与评标</w:t>
      </w:r>
      <w:bookmarkEnd w:id="51"/>
    </w:p>
    <w:p>
      <w:pPr>
        <w:snapToGrid w:val="0"/>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32.开标</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32.1采购代理机构按招标文件规定的时间通过电子交易平台组织公开开标，所有投标人均应当准时在线参加</w:t>
      </w:r>
      <w:r>
        <w:rPr>
          <w:rFonts w:asciiTheme="minorEastAsia" w:hAnsiTheme="minorEastAsia" w:eastAsiaTheme="minorEastAsia"/>
          <w:color w:val="auto"/>
          <w:szCs w:val="21"/>
          <w:highlight w:val="none"/>
        </w:rPr>
        <w:t>。</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32.2开标时，采购代理机构依托电子交易平台发起开始解密指令，</w:t>
      </w:r>
      <w:r>
        <w:rPr>
          <w:rFonts w:asciiTheme="minorEastAsia" w:hAnsiTheme="minorEastAsia" w:eastAsiaTheme="minorEastAsia"/>
          <w:color w:val="auto"/>
          <w:szCs w:val="21"/>
          <w:highlight w:val="none"/>
        </w:rPr>
        <w:t>投标</w:t>
      </w:r>
      <w:r>
        <w:rPr>
          <w:rFonts w:hint="eastAsia" w:asciiTheme="minorEastAsia" w:hAnsiTheme="minorEastAsia" w:eastAsiaTheme="minorEastAsia"/>
          <w:color w:val="auto"/>
          <w:szCs w:val="21"/>
          <w:highlight w:val="none"/>
        </w:rPr>
        <w:t>人</w:t>
      </w:r>
      <w:r>
        <w:rPr>
          <w:rFonts w:asciiTheme="minorEastAsia" w:hAnsiTheme="minorEastAsia" w:eastAsiaTheme="minorEastAsia"/>
          <w:color w:val="auto"/>
          <w:szCs w:val="21"/>
          <w:highlight w:val="none"/>
        </w:rPr>
        <w:t>应</w:t>
      </w:r>
      <w:r>
        <w:rPr>
          <w:rFonts w:hint="eastAsia" w:asciiTheme="minorEastAsia" w:hAnsiTheme="minorEastAsia" w:eastAsiaTheme="minorEastAsia"/>
          <w:color w:val="auto"/>
          <w:szCs w:val="21"/>
          <w:highlight w:val="none"/>
        </w:rPr>
        <w:t>在30分钟内</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以电子交易系统解密倒计时为准</w:t>
      </w:r>
      <w:r>
        <w:rPr>
          <w:rFonts w:asciiTheme="minorEastAsia" w:hAnsiTheme="minorEastAsia" w:eastAsiaTheme="minorEastAsia"/>
          <w:color w:val="auto"/>
          <w:szCs w:val="21"/>
          <w:highlight w:val="none"/>
        </w:rPr>
        <w:t>）对本单位的投标文件</w:t>
      </w:r>
      <w:r>
        <w:rPr>
          <w:rFonts w:hint="eastAsia" w:asciiTheme="minorEastAsia" w:hAnsiTheme="minorEastAsia" w:eastAsiaTheme="minorEastAsia"/>
          <w:color w:val="auto"/>
          <w:szCs w:val="21"/>
          <w:highlight w:val="none"/>
        </w:rPr>
        <w:t>进行</w:t>
      </w:r>
      <w:r>
        <w:rPr>
          <w:rFonts w:asciiTheme="minorEastAsia" w:hAnsiTheme="minorEastAsia" w:eastAsiaTheme="minorEastAsia"/>
          <w:color w:val="auto"/>
          <w:szCs w:val="21"/>
          <w:highlight w:val="none"/>
        </w:rPr>
        <w:t>解密。</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32.3</w:t>
      </w:r>
      <w:r>
        <w:rPr>
          <w:rFonts w:asciiTheme="minorEastAsia" w:hAnsiTheme="minorEastAsia" w:eastAsiaTheme="minorEastAsia"/>
          <w:color w:val="auto"/>
          <w:szCs w:val="21"/>
          <w:highlight w:val="none"/>
        </w:rPr>
        <w:t>开标时，采购代理机构将通过网上开标系统公布</w:t>
      </w:r>
      <w:r>
        <w:rPr>
          <w:rFonts w:hint="eastAsia" w:asciiTheme="minorEastAsia" w:hAnsiTheme="minorEastAsia" w:eastAsiaTheme="minorEastAsia"/>
          <w:color w:val="auto"/>
          <w:szCs w:val="21"/>
          <w:highlight w:val="none"/>
        </w:rPr>
        <w:t>开标结果，公布内容包括投标人名称、投标报价及招标文件规定的其他内容。</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32.4投标人如未在线参加开标的，视同认可开标结果，事后不得对开标结果提出异议。同时，投标人因未在线参加开标而导致电子加密投标文件无法按时解密等一切后果由投标人自行承担。</w:t>
      </w:r>
    </w:p>
    <w:p>
      <w:pPr>
        <w:snapToGrid w:val="0"/>
        <w:spacing w:line="360" w:lineRule="auto"/>
        <w:ind w:firstLine="420" w:firstLineChars="200"/>
        <w:jc w:val="left"/>
        <w:rPr>
          <w:rFonts w:cs="Arial" w:asciiTheme="minorEastAsia" w:hAnsiTheme="minorEastAsia" w:eastAsiaTheme="minorEastAsia"/>
          <w:color w:val="auto"/>
          <w:kern w:val="0"/>
          <w:szCs w:val="21"/>
          <w:highlight w:val="none"/>
        </w:rPr>
      </w:pPr>
      <w:r>
        <w:rPr>
          <w:rFonts w:hint="eastAsia" w:asciiTheme="minorEastAsia" w:hAnsiTheme="minorEastAsia" w:eastAsiaTheme="minorEastAsia"/>
          <w:color w:val="auto"/>
          <w:szCs w:val="21"/>
          <w:highlight w:val="none"/>
        </w:rPr>
        <w:t>32.5发生电子加密投标文件解密失败的情形，如投标人已按招标文件规定提交了备份投标文件的，将由采购代理机构按政采云平台操作规范将备份投标文件上传至政采云平台异常端口处理，上传成功后，电子加密投标文件自动失效；使用备份投标文件仍无法成功或投标人</w:t>
      </w:r>
      <w:r>
        <w:rPr>
          <w:rFonts w:hint="eastAsia" w:cs="Arial" w:asciiTheme="minorEastAsia" w:hAnsiTheme="minorEastAsia" w:eastAsiaTheme="minorEastAsia"/>
          <w:color w:val="auto"/>
          <w:kern w:val="0"/>
          <w:szCs w:val="21"/>
          <w:highlight w:val="none"/>
        </w:rPr>
        <w:t>未按规定提交备份投标文件的</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b/>
          <w:color w:val="auto"/>
          <w:szCs w:val="21"/>
          <w:highlight w:val="none"/>
        </w:rPr>
        <w:t>视为撤回投标文件</w:t>
      </w:r>
      <w:r>
        <w:rPr>
          <w:rFonts w:hint="eastAsia" w:asciiTheme="minorEastAsia" w:hAnsiTheme="minorEastAsia" w:eastAsiaTheme="minorEastAsia"/>
          <w:color w:val="auto"/>
          <w:szCs w:val="21"/>
          <w:highlight w:val="none"/>
        </w:rPr>
        <w:t>。</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电子加密投标文件已按时解密的，备份投标文件自动失效。</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32.6</w:t>
      </w:r>
      <w:r>
        <w:rPr>
          <w:rFonts w:asciiTheme="minorEastAsia" w:hAnsiTheme="minorEastAsia" w:eastAsiaTheme="minorEastAsia"/>
          <w:color w:val="auto"/>
          <w:szCs w:val="21"/>
          <w:highlight w:val="none"/>
        </w:rPr>
        <w:t>开标过程由采购代理机构负责记录，由参加开标的投标人代表和相关工作人员签字确认后随采购文件一并存档。</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投标人代表对开标过程和开标记录有疑义，以及认为</w:t>
      </w:r>
      <w:r>
        <w:rPr>
          <w:rFonts w:hint="eastAsia" w:asciiTheme="minorEastAsia" w:hAnsiTheme="minorEastAsia" w:eastAsiaTheme="minorEastAsia"/>
          <w:color w:val="auto"/>
          <w:szCs w:val="21"/>
          <w:highlight w:val="none"/>
        </w:rPr>
        <w:t>采购人或采购代理机构</w:t>
      </w:r>
      <w:r>
        <w:rPr>
          <w:rFonts w:asciiTheme="minorEastAsia" w:hAnsiTheme="minorEastAsia" w:eastAsiaTheme="minorEastAsia"/>
          <w:color w:val="auto"/>
          <w:szCs w:val="21"/>
          <w:highlight w:val="none"/>
        </w:rPr>
        <w:t>相关工作人员有需要回避的情形的，应当场提出询问或者回避申请。</w:t>
      </w:r>
    </w:p>
    <w:p>
      <w:pPr>
        <w:snapToGrid w:val="0"/>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33.资格审查及组建评标委员会</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33.1开标结束后，采购人或采购代理机构依据法律法规和招标文件中规定的内容对投标人的资格进行审查，未通过资格审查的投标人不进入评标，通过资格审查的投标人不足3家的不进行评标。</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33.2评标委员会成员由7人以上单数组成。</w:t>
      </w:r>
    </w:p>
    <w:p>
      <w:pPr>
        <w:snapToGrid w:val="0"/>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34.投标文件符合性审查与澄清</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34.1评标委员会负责对符合资格要求的投标人的投标文件进行符合性审查，以确定其是否满足招标文件的实质性要求。</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34.2对于投标文件中含义不明确、同类问题表述不一致或者有明显文字和计算错误的内容，</w:t>
      </w:r>
      <w:r>
        <w:rPr>
          <w:rFonts w:asciiTheme="minorEastAsia" w:hAnsiTheme="minorEastAsia" w:eastAsiaTheme="minorEastAsia"/>
          <w:color w:val="auto"/>
          <w:szCs w:val="21"/>
          <w:highlight w:val="none"/>
        </w:rPr>
        <w:t>以及评标委员会认为投标人的报价明显低于其他通过符合性</w:t>
      </w:r>
      <w:r>
        <w:rPr>
          <w:rFonts w:hint="eastAsia" w:asciiTheme="minorEastAsia" w:hAnsiTheme="minorEastAsia" w:eastAsiaTheme="minorEastAsia"/>
          <w:color w:val="auto"/>
          <w:szCs w:val="21"/>
          <w:highlight w:val="none"/>
        </w:rPr>
        <w:t>审</w:t>
      </w:r>
      <w:r>
        <w:rPr>
          <w:rFonts w:asciiTheme="minorEastAsia" w:hAnsiTheme="minorEastAsia" w:eastAsiaTheme="minorEastAsia"/>
          <w:color w:val="auto"/>
          <w:szCs w:val="21"/>
          <w:highlight w:val="none"/>
        </w:rPr>
        <w:t>查投标人的报价，有可能</w:t>
      </w:r>
      <w:r>
        <w:rPr>
          <w:rFonts w:asciiTheme="minorEastAsia" w:hAnsiTheme="minorEastAsia" w:eastAsiaTheme="minorEastAsia"/>
          <w:color w:val="auto"/>
          <w:szCs w:val="21"/>
          <w:highlight w:val="none"/>
          <w:shd w:val="clear" w:color="auto" w:fill="FFFFFF"/>
        </w:rPr>
        <w:t>影响产品质量或者不能诚信履约的</w:t>
      </w:r>
      <w:r>
        <w:rPr>
          <w:rFonts w:hint="eastAsia" w:asciiTheme="minorEastAsia" w:hAnsiTheme="minorEastAsia" w:eastAsiaTheme="minorEastAsia"/>
          <w:color w:val="auto"/>
          <w:szCs w:val="21"/>
          <w:highlight w:val="none"/>
        </w:rPr>
        <w:t>，评标委员会以书面形式要求投标人作出必要的澄清、说明或者补正。</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的澄清、说明或者补正通过电子交易平台交换数据电文，投标人提交使用电子签名的相关数据电文或通过平台上传投标人的法定代表人或其授权的代表签字或加盖公章的文件的扫描件。给予投标人提交澄清、说明或补正的时间不少于30分钟，投标人已经明确表示澄清说明或补正完毕的除外。投标人的澄清、说明或者补正不得超出投标文件的范围或者改变投标文件的实质性内容。</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34.3投标人的澄清、说明或补正将作为投标文件的一部分。</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34.4报价修正</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投标文件报价出现不一致的，按照下列规定修正：</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（1）电子交易平台客户端里开标一览表录入的投标报价与报价要求响应文件中的开标一览表投标报价不一致的，以报价要求响应文件中的投标报价为准。</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（2）投标文件中开标一览表（报价表）内容与投标文件中其他内容不一致的，以开标一览表（报价表）为准；</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（3）投标文件中开标一览表（报价表）大写金额和小写金额不一致的，以大写金额为准。</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修正后的报价由投标人确认，经投标人确认后产生约束力，投标人不确认的，</w:t>
      </w:r>
      <w:r>
        <w:rPr>
          <w:rFonts w:hint="eastAsia" w:asciiTheme="minorEastAsia" w:hAnsiTheme="minorEastAsia" w:eastAsiaTheme="minorEastAsia"/>
          <w:b/>
          <w:color w:val="auto"/>
          <w:szCs w:val="21"/>
          <w:highlight w:val="none"/>
        </w:rPr>
        <w:t>其投标无效</w:t>
      </w:r>
      <w:r>
        <w:rPr>
          <w:rFonts w:hint="eastAsia" w:asciiTheme="minorEastAsia" w:hAnsiTheme="minorEastAsia" w:eastAsiaTheme="minorEastAsia"/>
          <w:color w:val="auto"/>
          <w:szCs w:val="21"/>
          <w:highlight w:val="none"/>
        </w:rPr>
        <w:t>。</w:t>
      </w:r>
    </w:p>
    <w:p>
      <w:pPr>
        <w:snapToGrid w:val="0"/>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35.投标无效</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35.1</w:t>
      </w:r>
      <w:r>
        <w:rPr>
          <w:rFonts w:asciiTheme="minorEastAsia" w:hAnsiTheme="minorEastAsia" w:eastAsiaTheme="minorEastAsia"/>
          <w:color w:val="auto"/>
          <w:szCs w:val="21"/>
          <w:highlight w:val="none"/>
        </w:rPr>
        <w:t>根据</w:t>
      </w:r>
      <w:r>
        <w:rPr>
          <w:rFonts w:hint="eastAsia" w:asciiTheme="minorEastAsia" w:hAnsiTheme="minorEastAsia" w:eastAsiaTheme="minorEastAsia"/>
          <w:color w:val="auto"/>
          <w:szCs w:val="21"/>
          <w:highlight w:val="none"/>
        </w:rPr>
        <w:t>招标文件</w:t>
      </w:r>
      <w:r>
        <w:rPr>
          <w:rFonts w:asciiTheme="minorEastAsia" w:hAnsiTheme="minorEastAsia" w:eastAsiaTheme="minorEastAsia"/>
          <w:color w:val="auto"/>
          <w:szCs w:val="21"/>
          <w:highlight w:val="none"/>
        </w:rPr>
        <w:t>的规定，评标委员会审查每份投标文件</w:t>
      </w:r>
      <w:r>
        <w:rPr>
          <w:rFonts w:hint="eastAsia" w:asciiTheme="minorEastAsia" w:hAnsiTheme="minorEastAsia" w:eastAsiaTheme="minorEastAsia"/>
          <w:color w:val="auto"/>
          <w:szCs w:val="21"/>
          <w:highlight w:val="none"/>
        </w:rPr>
        <w:t>，以确定其是否满足招标文件的实质性要求。</w:t>
      </w:r>
      <w:r>
        <w:rPr>
          <w:rFonts w:asciiTheme="minorEastAsia" w:hAnsiTheme="minorEastAsia" w:eastAsiaTheme="minorEastAsia"/>
          <w:color w:val="auto"/>
          <w:szCs w:val="21"/>
          <w:highlight w:val="none"/>
        </w:rPr>
        <w:t>投标人不得通过修正或撤销不符合要求的偏离，从而使其投标实质上响应</w:t>
      </w:r>
      <w:r>
        <w:rPr>
          <w:rFonts w:hint="eastAsia" w:asciiTheme="minorEastAsia" w:hAnsiTheme="minorEastAsia" w:eastAsiaTheme="minorEastAsia"/>
          <w:color w:val="auto"/>
          <w:szCs w:val="21"/>
          <w:highlight w:val="none"/>
        </w:rPr>
        <w:t>招标文件要求</w:t>
      </w:r>
      <w:r>
        <w:rPr>
          <w:rFonts w:asciiTheme="minorEastAsia" w:hAnsiTheme="minorEastAsia" w:eastAsiaTheme="minorEastAsia"/>
          <w:color w:val="auto"/>
          <w:szCs w:val="21"/>
          <w:highlight w:val="none"/>
        </w:rPr>
        <w:t>。</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35.2投标人存在下列情况之一的，投标无效：</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（1）投标文件未按招标文件要求签署、盖章而影响投标文件法律效力的；</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（2）不具备招标文件中规定的资格要求的（包括未提交合法有效的资格证明文件）；</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（3）未对招标文件的实质性条款作出响应（包括未按要求提交证明文件）的；</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（4）报价超过招标文件中规定的预算金额或最高限价（如有）或单项限价（如有）的；</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（5）采购人拟采购的产品属于政府强制采购的节能产品品目清单范围的，投标人未按招标文件要求提供国家确定的认证机构出具的、处于有效期之内的节能产品认证证书的；</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（6）投标文件含有采购人不能接受的附加条件的；</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（7）投标文件中含有虚假材料的；</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（8）投标人违背诚实信用原则的；</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（9）仅提交备份投标文件的；</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（10）法律、法规和招标文件规定的其他无效情形。</w:t>
      </w:r>
    </w:p>
    <w:p>
      <w:pPr>
        <w:snapToGrid w:val="0"/>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36</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比较与评价</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36.1评标委员会按照招标文件规定的评标方法和标准，对符合性审查合格的投标文件进行商务和技术评估，综合比较与评价。</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36.2本项目采用综合评分法，评标严格按照招标文件的要求和条件进行，详细评标标准见招标文件第四章。</w:t>
      </w:r>
    </w:p>
    <w:p>
      <w:pPr>
        <w:snapToGrid w:val="0"/>
        <w:spacing w:line="360" w:lineRule="auto"/>
        <w:ind w:firstLine="420" w:firstLineChars="200"/>
        <w:jc w:val="left"/>
        <w:rPr>
          <w:rFonts w:asciiTheme="minorEastAsia" w:hAnsiTheme="minorEastAsia" w:eastAsiaTheme="minorEastAsia"/>
          <w:color w:val="auto"/>
          <w:szCs w:val="21"/>
          <w:highlight w:val="none"/>
        </w:rPr>
      </w:pPr>
      <w:bookmarkStart w:id="52" w:name="_Hlk60581117"/>
      <w:r>
        <w:rPr>
          <w:rFonts w:hint="eastAsia" w:asciiTheme="minorEastAsia" w:hAnsiTheme="minorEastAsia" w:eastAsiaTheme="minorEastAsia"/>
          <w:color w:val="auto"/>
          <w:szCs w:val="21"/>
          <w:highlight w:val="none"/>
        </w:rPr>
        <w:t>36.3根据《政府采购促进中小企业发展管理办法》（财库〔</w:t>
      </w:r>
      <w:r>
        <w:rPr>
          <w:rFonts w:asciiTheme="minorEastAsia" w:hAnsiTheme="minorEastAsia" w:eastAsiaTheme="minorEastAsia"/>
          <w:color w:val="auto"/>
          <w:szCs w:val="21"/>
          <w:highlight w:val="none"/>
        </w:rPr>
        <w:t>2020〕46号</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财政部司法部关于政府采购支持监狱企业发展有关问题的通知</w:t>
      </w:r>
      <w:r>
        <w:rPr>
          <w:rFonts w:hint="eastAsia" w:asciiTheme="minorEastAsia" w:hAnsiTheme="minorEastAsia" w:eastAsiaTheme="minorEastAsia"/>
          <w:color w:val="auto"/>
          <w:szCs w:val="21"/>
          <w:highlight w:val="none"/>
        </w:rPr>
        <w:t>》（财库〔2014〕68号）和《三部门联合发布关于促进残疾人就业政府采购政策的通知》（财库〔2017〕141号）及财政部门的规定，对满足价格扣除条件且在投标文件中提交了</w:t>
      </w:r>
      <w:r>
        <w:rPr>
          <w:rFonts w:asciiTheme="minorEastAsia" w:hAnsiTheme="minorEastAsia" w:eastAsiaTheme="minorEastAsia"/>
          <w:color w:val="auto"/>
          <w:szCs w:val="21"/>
          <w:highlight w:val="none"/>
        </w:rPr>
        <w:t>《中小企业声明函》《残疾人福利性单位声明函》</w:t>
      </w:r>
      <w:r>
        <w:rPr>
          <w:rFonts w:hint="eastAsia" w:asciiTheme="minorEastAsia" w:hAnsiTheme="minorEastAsia" w:eastAsiaTheme="minorEastAsia"/>
          <w:color w:val="auto"/>
          <w:szCs w:val="21"/>
          <w:highlight w:val="none"/>
        </w:rPr>
        <w:t>或省级以上监狱管理局、戒毒管理局（含新疆生产建设兵团）出具的属于监狱企业的证明文件的投标人，其投标报价按照规定予以扣除后参与评审，具体扣除办法详见第五章。对于同时属于小微企业、监狱企业或残疾人福利性单位的，不重复进行投标报价扣除。</w:t>
      </w:r>
    </w:p>
    <w:bookmarkEnd w:id="52"/>
    <w:p>
      <w:pPr>
        <w:pStyle w:val="25"/>
        <w:snapToGrid w:val="0"/>
        <w:spacing w:beforeLines="0" w:afterLines="0" w:line="360" w:lineRule="auto"/>
        <w:ind w:firstLine="422" w:firstLineChars="200"/>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37.废标的情形</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在本项目招标采购中，出现下列情形之一的，应予废标：</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（1）符合资格要求的投标人或者对招标文件作实质响应的投标人不足三家的；</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（2）出现影响采购公正的违法、违规行为的；</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（3）投标人的报价均超过了采购预算，采购人不能支付的；</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（4）因重大变故，采购任务取消的。</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（5）电子交易平台无法正常运行，无法保证电子交易的公平、公正和安全的情况。</w:t>
      </w:r>
    </w:p>
    <w:p>
      <w:pPr>
        <w:pStyle w:val="25"/>
        <w:snapToGrid w:val="0"/>
        <w:spacing w:beforeLines="0" w:afterLines="0" w:line="360" w:lineRule="auto"/>
        <w:ind w:firstLine="422" w:firstLineChars="200"/>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38.中止电子交易活动的情形</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采购过程中出现以下情形，导致电子交易平台无法正常运行，或者无法保证电子交易的公平、公正和安全时，采购组织机构可中止电子交易活动：</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（1）电子交易平台发生故障而无法登录访问的；</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（2）电子交易平台应用或数据库出现错误，不能进行正常操作的；</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（3）电子交易平台发现严重安全漏洞，有潜在泄密危险的；</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（4）病毒发作导致不能进行正常操作的；</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（5）其他无法保证电子交易的公平、公正和安全的情况。</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出现前款规定情形，不影响采购公平、公正性的，采购组织机构可以待上述情形消除后继续组织电子交易活动；影响或可能影响采购公平、公正性的，将重新采购。</w:t>
      </w:r>
    </w:p>
    <w:p>
      <w:pPr>
        <w:pStyle w:val="25"/>
        <w:snapToGrid w:val="0"/>
        <w:spacing w:beforeLines="0" w:afterLines="0" w:line="360" w:lineRule="auto"/>
        <w:ind w:firstLine="422" w:firstLineChars="200"/>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39</w:t>
      </w:r>
      <w:r>
        <w:rPr>
          <w:rFonts w:asciiTheme="minorEastAsia" w:hAnsiTheme="minorEastAsia" w:eastAsiaTheme="minorEastAsia"/>
          <w:b/>
          <w:color w:val="auto"/>
          <w:sz w:val="21"/>
          <w:szCs w:val="21"/>
          <w:highlight w:val="none"/>
        </w:rPr>
        <w:t>.</w:t>
      </w:r>
      <w:r>
        <w:rPr>
          <w:rFonts w:hint="eastAsia" w:asciiTheme="minorEastAsia" w:hAnsiTheme="minorEastAsia" w:eastAsiaTheme="minorEastAsia"/>
          <w:b/>
          <w:color w:val="auto"/>
          <w:sz w:val="21"/>
          <w:szCs w:val="21"/>
          <w:highlight w:val="none"/>
        </w:rPr>
        <w:t>中标候选人的确定原则及标准</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本项目</w:t>
      </w:r>
      <w:r>
        <w:rPr>
          <w:rFonts w:hint="eastAsia" w:asciiTheme="minorEastAsia" w:hAnsiTheme="minorEastAsia" w:eastAsiaTheme="minorEastAsia"/>
          <w:color w:val="auto"/>
          <w:szCs w:val="21"/>
          <w:highlight w:val="none"/>
        </w:rPr>
        <w:t>所有有效投标人均为中标候选人，评标结果按评审后得分由高到低顺序排列。得分相同的，按投标报价由低到高顺序排列。得分且投标报价相同的并列。</w:t>
      </w:r>
    </w:p>
    <w:p>
      <w:pPr>
        <w:snapToGrid w:val="0"/>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40.编写评标报告</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根据全体评标委员会成员签字的原始评标记录和评标结果编写评标报告，评标报告由评标委员会全体成员签字。</w:t>
      </w:r>
      <w:r>
        <w:rPr>
          <w:rFonts w:asciiTheme="minorEastAsia" w:hAnsiTheme="minorEastAsia" w:eastAsiaTheme="minorEastAsia"/>
          <w:color w:val="auto"/>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pStyle w:val="256"/>
        <w:spacing w:before="120" w:after="120"/>
        <w:ind w:firstLine="422"/>
        <w:jc w:val="center"/>
        <w:rPr>
          <w:rFonts w:asciiTheme="minorEastAsia" w:hAnsiTheme="minorEastAsia" w:eastAsiaTheme="minorEastAsia"/>
          <w:color w:val="auto"/>
          <w:sz w:val="21"/>
          <w:szCs w:val="21"/>
          <w:highlight w:val="none"/>
        </w:rPr>
      </w:pPr>
      <w:bookmarkStart w:id="53" w:name="_Toc118452532"/>
      <w:r>
        <w:rPr>
          <w:rFonts w:hint="eastAsia" w:asciiTheme="minorEastAsia" w:hAnsiTheme="minorEastAsia" w:eastAsiaTheme="minorEastAsia"/>
          <w:color w:val="auto"/>
          <w:sz w:val="21"/>
          <w:szCs w:val="21"/>
          <w:highlight w:val="none"/>
        </w:rPr>
        <w:t>六、授予合同</w:t>
      </w:r>
      <w:bookmarkEnd w:id="53"/>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41.中标人的确定</w:t>
      </w:r>
    </w:p>
    <w:p>
      <w:pPr>
        <w:spacing w:line="360" w:lineRule="auto"/>
        <w:ind w:firstLine="420" w:firstLineChars="200"/>
        <w:rPr>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shd w:val="clear" w:color="auto" w:fill="FFFFFF"/>
        </w:rPr>
        <w:t>41.1中标人确定主体为采购人，确定每个标项排名第一位的中标候选人为中标人。</w:t>
      </w:r>
    </w:p>
    <w:p>
      <w:pPr>
        <w:spacing w:line="360" w:lineRule="auto"/>
        <w:ind w:firstLine="420" w:firstLineChars="200"/>
        <w:rPr>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shd w:val="clear" w:color="auto" w:fill="FFFFFF"/>
        </w:rPr>
        <w:t>41.2</w:t>
      </w:r>
      <w:r>
        <w:rPr>
          <w:rFonts w:asciiTheme="minorEastAsia" w:hAnsiTheme="minorEastAsia" w:eastAsiaTheme="minorEastAsia"/>
          <w:color w:val="auto"/>
          <w:szCs w:val="21"/>
          <w:highlight w:val="none"/>
          <w:shd w:val="clear" w:color="auto" w:fill="FFFFFF"/>
        </w:rPr>
        <w:t>中标候选人并列的</w:t>
      </w:r>
      <w:r>
        <w:rPr>
          <w:rFonts w:hint="eastAsia" w:asciiTheme="minorEastAsia" w:hAnsiTheme="minorEastAsia" w:eastAsiaTheme="minorEastAsia"/>
          <w:color w:val="auto"/>
          <w:szCs w:val="21"/>
          <w:highlight w:val="none"/>
          <w:shd w:val="clear" w:color="auto" w:fill="FFFFFF"/>
        </w:rPr>
        <w:t>，由并列的供应商随机抽取的方式确定中标候选顺序，按照投标文件解密先后顺序进行。</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42.中标结果公告</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自中标人确定之日起2个工作日内，采购代理机构在招标公告发布媒体上公告中标结果。</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43.中标通知书和招标结果通知书</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43.1在公告中标结果的同时，采购代理机构向中标人发出中标通知书，向未中标的投标人发出招标结果通知书。</w:t>
      </w:r>
    </w:p>
    <w:p>
      <w:pPr>
        <w:spacing w:line="360" w:lineRule="auto"/>
        <w:ind w:firstLine="42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43.2因重大变故采购任务取消时，采购人有权拒绝任何投标人中标，且对受影响的投标人不承担任何责任。</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44.签订合同</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采购人按照法律法规的规定与中标人签订书面合同。</w:t>
      </w:r>
    </w:p>
    <w:p>
      <w:pPr>
        <w:pStyle w:val="3"/>
        <w:ind w:firstLine="280"/>
        <w:rPr>
          <w:color w:val="auto"/>
          <w:highlight w:val="none"/>
        </w:rPr>
      </w:pPr>
    </w:p>
    <w:p>
      <w:pPr>
        <w:widowControl/>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br w:type="page"/>
      </w:r>
    </w:p>
    <w:p>
      <w:pPr>
        <w:pStyle w:val="4"/>
        <w:spacing w:before="0" w:after="0"/>
        <w:ind w:firstLine="482"/>
        <w:rPr>
          <w:rFonts w:asciiTheme="minorEastAsia" w:hAnsiTheme="minorEastAsia" w:eastAsiaTheme="minorEastAsia"/>
          <w:color w:val="auto"/>
          <w:szCs w:val="21"/>
          <w:highlight w:val="none"/>
        </w:rPr>
      </w:pPr>
      <w:bookmarkStart w:id="54" w:name="_Toc118452533"/>
      <w:bookmarkStart w:id="55" w:name="_Toc34844744"/>
      <w:r>
        <w:rPr>
          <w:rFonts w:hint="eastAsia" w:asciiTheme="minorEastAsia" w:hAnsiTheme="minorEastAsia" w:eastAsiaTheme="minorEastAsia"/>
          <w:color w:val="auto"/>
          <w:highlight w:val="none"/>
        </w:rPr>
        <w:t xml:space="preserve">第四章  </w:t>
      </w:r>
      <w:r>
        <w:rPr>
          <w:rFonts w:asciiTheme="minorEastAsia" w:hAnsiTheme="minorEastAsia" w:eastAsiaTheme="minorEastAsia"/>
          <w:color w:val="auto"/>
          <w:highlight w:val="none"/>
        </w:rPr>
        <w:t>评标方法和标准</w:t>
      </w:r>
      <w:bookmarkEnd w:id="54"/>
      <w:bookmarkEnd w:id="55"/>
    </w:p>
    <w:p>
      <w:pPr>
        <w:pStyle w:val="256"/>
        <w:spacing w:before="120" w:after="120" w:line="360" w:lineRule="auto"/>
        <w:ind w:firstLine="422"/>
        <w:jc w:val="center"/>
        <w:rPr>
          <w:rFonts w:asciiTheme="minorEastAsia" w:hAnsiTheme="minorEastAsia" w:eastAsiaTheme="minorEastAsia"/>
          <w:color w:val="auto"/>
          <w:sz w:val="21"/>
          <w:szCs w:val="21"/>
          <w:highlight w:val="none"/>
        </w:rPr>
      </w:pPr>
      <w:bookmarkStart w:id="56" w:name="_Toc118452534"/>
      <w:r>
        <w:rPr>
          <w:rFonts w:hint="eastAsia" w:asciiTheme="minorEastAsia" w:hAnsiTheme="minorEastAsia" w:eastAsiaTheme="minorEastAsia"/>
          <w:color w:val="auto"/>
          <w:sz w:val="21"/>
          <w:szCs w:val="21"/>
          <w:highlight w:val="none"/>
        </w:rPr>
        <w:t>一、总则</w:t>
      </w:r>
      <w:bookmarkEnd w:id="56"/>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遵循公开、公正、公平、择优和诚实信用的原则，评标人员应本着认真、公正、诚实、廉洁的精神进行评标工作，择优推荐中标候选人。</w:t>
      </w:r>
      <w:r>
        <w:rPr>
          <w:rFonts w:hint="eastAsia" w:asciiTheme="minorEastAsia" w:hAnsiTheme="minorEastAsia" w:eastAsiaTheme="minorEastAsia"/>
          <w:color w:val="auto"/>
          <w:szCs w:val="21"/>
          <w:highlight w:val="none"/>
        </w:rPr>
        <w:t>评标委员会成员</w:t>
      </w:r>
      <w:r>
        <w:rPr>
          <w:rFonts w:asciiTheme="minorEastAsia" w:hAnsiTheme="minorEastAsia" w:eastAsiaTheme="minorEastAsia"/>
          <w:color w:val="auto"/>
          <w:szCs w:val="21"/>
          <w:highlight w:val="none"/>
        </w:rPr>
        <w:t>必须严格遵守保密规定，不得泄露评标的有关情况。</w:t>
      </w:r>
    </w:p>
    <w:p>
      <w:pPr>
        <w:pStyle w:val="256"/>
        <w:spacing w:before="120" w:after="120" w:line="360" w:lineRule="auto"/>
        <w:ind w:firstLine="422"/>
        <w:jc w:val="center"/>
        <w:rPr>
          <w:rFonts w:asciiTheme="minorEastAsia" w:hAnsiTheme="minorEastAsia" w:eastAsiaTheme="minorEastAsia"/>
          <w:color w:val="auto"/>
          <w:sz w:val="21"/>
          <w:szCs w:val="21"/>
          <w:highlight w:val="none"/>
        </w:rPr>
      </w:pPr>
      <w:bookmarkStart w:id="57" w:name="_Toc118452535"/>
      <w:r>
        <w:rPr>
          <w:rFonts w:hint="eastAsia" w:asciiTheme="minorEastAsia" w:hAnsiTheme="minorEastAsia" w:eastAsiaTheme="minorEastAsia"/>
          <w:color w:val="auto"/>
          <w:sz w:val="21"/>
          <w:szCs w:val="21"/>
          <w:highlight w:val="none"/>
        </w:rPr>
        <w:t>二、评标方法</w:t>
      </w:r>
      <w:bookmarkEnd w:id="57"/>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本项目采用综合评分法进行评审</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1.评标时，评标委员会各成员独立对每个投标人的投标文件进行评价，根据评委打分表的</w:t>
      </w:r>
      <w:r>
        <w:rPr>
          <w:rFonts w:asciiTheme="minorEastAsia" w:hAnsiTheme="minorEastAsia" w:eastAsiaTheme="minorEastAsia"/>
          <w:color w:val="auto"/>
          <w:szCs w:val="21"/>
          <w:highlight w:val="none"/>
        </w:rPr>
        <w:t>评分标准</w:t>
      </w:r>
      <w:r>
        <w:rPr>
          <w:rFonts w:hint="eastAsia" w:asciiTheme="minorEastAsia" w:hAnsiTheme="minorEastAsia" w:eastAsiaTheme="minorEastAsia"/>
          <w:color w:val="auto"/>
          <w:szCs w:val="21"/>
          <w:highlight w:val="none"/>
        </w:rPr>
        <w:t>和评分</w:t>
      </w:r>
      <w:r>
        <w:rPr>
          <w:rFonts w:asciiTheme="minorEastAsia" w:hAnsiTheme="minorEastAsia" w:eastAsiaTheme="minorEastAsia"/>
          <w:color w:val="auto"/>
          <w:szCs w:val="21"/>
          <w:highlight w:val="none"/>
        </w:rPr>
        <w:t>范围</w:t>
      </w:r>
      <w:r>
        <w:rPr>
          <w:rFonts w:hint="eastAsia" w:asciiTheme="minorEastAsia" w:hAnsiTheme="minorEastAsia" w:eastAsiaTheme="minorEastAsia"/>
          <w:color w:val="auto"/>
          <w:szCs w:val="21"/>
          <w:highlight w:val="none"/>
        </w:rPr>
        <w:t>，逐栏打分并汇总。</w:t>
      </w:r>
      <w:r>
        <w:rPr>
          <w:rFonts w:asciiTheme="minorEastAsia" w:hAnsiTheme="minorEastAsia" w:eastAsiaTheme="minorEastAsia"/>
          <w:color w:val="auto"/>
          <w:szCs w:val="21"/>
          <w:highlight w:val="none"/>
        </w:rPr>
        <w:t>投标人的</w:t>
      </w:r>
      <w:r>
        <w:rPr>
          <w:rFonts w:hint="eastAsia" w:asciiTheme="minorEastAsia" w:hAnsiTheme="minorEastAsia" w:eastAsiaTheme="minorEastAsia"/>
          <w:color w:val="auto"/>
          <w:szCs w:val="21"/>
          <w:highlight w:val="none"/>
        </w:rPr>
        <w:t>最终评标</w:t>
      </w:r>
      <w:r>
        <w:rPr>
          <w:rFonts w:asciiTheme="minorEastAsia" w:hAnsiTheme="minorEastAsia" w:eastAsiaTheme="minorEastAsia"/>
          <w:color w:val="auto"/>
          <w:szCs w:val="21"/>
          <w:highlight w:val="none"/>
        </w:rPr>
        <w:t>得分为所有评委</w:t>
      </w:r>
      <w:r>
        <w:rPr>
          <w:rFonts w:hint="eastAsia" w:asciiTheme="minorEastAsia" w:hAnsiTheme="minorEastAsia" w:eastAsiaTheme="minorEastAsia"/>
          <w:color w:val="auto"/>
          <w:szCs w:val="21"/>
          <w:highlight w:val="none"/>
        </w:rPr>
        <w:t>评</w:t>
      </w:r>
      <w:r>
        <w:rPr>
          <w:rFonts w:asciiTheme="minorEastAsia" w:hAnsiTheme="minorEastAsia" w:eastAsiaTheme="minorEastAsia"/>
          <w:color w:val="auto"/>
          <w:szCs w:val="21"/>
          <w:highlight w:val="none"/>
        </w:rPr>
        <w:t>分的算术平均数</w:t>
      </w:r>
      <w:r>
        <w:rPr>
          <w:rFonts w:hint="eastAsia" w:asciiTheme="minorEastAsia" w:hAnsiTheme="minorEastAsia" w:eastAsiaTheme="minorEastAsia"/>
          <w:color w:val="auto"/>
          <w:szCs w:val="21"/>
          <w:highlight w:val="none"/>
        </w:rPr>
        <w:t>，小数点后四舍五入保留二位小数。</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2.价格扣除（价格优惠）：</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（1）对满足价格扣除条件且在投标文件中提交了</w:t>
      </w:r>
      <w:r>
        <w:rPr>
          <w:rFonts w:asciiTheme="minorEastAsia" w:hAnsiTheme="minorEastAsia" w:eastAsiaTheme="minorEastAsia"/>
          <w:color w:val="auto"/>
          <w:szCs w:val="21"/>
          <w:highlight w:val="none"/>
        </w:rPr>
        <w:t>《中小企业声明函》《残疾人福利性单位声明函》</w:t>
      </w:r>
      <w:r>
        <w:rPr>
          <w:rFonts w:hint="eastAsia" w:asciiTheme="minorEastAsia" w:hAnsiTheme="minorEastAsia" w:eastAsiaTheme="minorEastAsia"/>
          <w:color w:val="auto"/>
          <w:szCs w:val="21"/>
          <w:highlight w:val="none"/>
        </w:rPr>
        <w:t>或省级以上监狱管理局、戒毒管理局（含新疆生产建设兵团）出具的属于监狱企业的证明文件的投标人，</w:t>
      </w:r>
      <w:r>
        <w:rPr>
          <w:rFonts w:asciiTheme="minorEastAsia" w:hAnsiTheme="minorEastAsia" w:eastAsiaTheme="minorEastAsia"/>
          <w:color w:val="auto"/>
          <w:szCs w:val="21"/>
          <w:highlight w:val="none"/>
        </w:rPr>
        <w:t>对</w:t>
      </w:r>
      <w:r>
        <w:rPr>
          <w:rFonts w:hint="eastAsia" w:asciiTheme="minorEastAsia" w:hAnsiTheme="minorEastAsia" w:eastAsiaTheme="minorEastAsia"/>
          <w:color w:val="auto"/>
          <w:szCs w:val="21"/>
          <w:highlight w:val="none"/>
        </w:rPr>
        <w:t>其投标报价给予</w:t>
      </w:r>
      <w:r>
        <w:rPr>
          <w:rFonts w:asciiTheme="minorEastAsia" w:hAnsiTheme="minorEastAsia" w:eastAsiaTheme="minorEastAsia"/>
          <w:color w:val="auto"/>
          <w:szCs w:val="21"/>
          <w:highlight w:val="none"/>
        </w:rPr>
        <w:t>10</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的</w:t>
      </w:r>
      <w:r>
        <w:rPr>
          <w:rFonts w:hint="eastAsia" w:asciiTheme="minorEastAsia" w:hAnsiTheme="minorEastAsia" w:eastAsiaTheme="minorEastAsia"/>
          <w:color w:val="auto"/>
          <w:szCs w:val="21"/>
          <w:highlight w:val="none"/>
        </w:rPr>
        <w:t>扣除。</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（2）符合</w:t>
      </w:r>
      <w:r>
        <w:rPr>
          <w:rFonts w:asciiTheme="minorEastAsia" w:hAnsiTheme="minorEastAsia" w:eastAsiaTheme="minorEastAsia"/>
          <w:color w:val="auto"/>
          <w:szCs w:val="21"/>
          <w:highlight w:val="none"/>
        </w:rPr>
        <w:t>采购标的对应的中小企业划分标准所属行业</w:t>
      </w:r>
      <w:r>
        <w:rPr>
          <w:rFonts w:hint="eastAsia" w:asciiTheme="minorEastAsia" w:hAnsiTheme="minorEastAsia" w:eastAsiaTheme="minorEastAsia"/>
          <w:color w:val="auto"/>
          <w:szCs w:val="21"/>
          <w:highlight w:val="none"/>
        </w:rPr>
        <w:t>为工业。</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中小企业划分标准以《工业和信息化部、国家统计局、国家发展和改革委员会、财政部关于印发中小企业划型标准规定的通知》（工信部联企业[2011]300号）规定的划分标准为准。</w:t>
      </w:r>
    </w:p>
    <w:p>
      <w:pPr>
        <w:pStyle w:val="256"/>
        <w:spacing w:before="120" w:after="120" w:line="360" w:lineRule="auto"/>
        <w:ind w:firstLine="422"/>
        <w:jc w:val="center"/>
        <w:rPr>
          <w:rFonts w:asciiTheme="minorEastAsia" w:hAnsiTheme="minorEastAsia" w:eastAsiaTheme="minorEastAsia"/>
          <w:color w:val="auto"/>
          <w:sz w:val="21"/>
          <w:szCs w:val="21"/>
          <w:highlight w:val="none"/>
        </w:rPr>
      </w:pPr>
      <w:bookmarkStart w:id="58" w:name="_Toc118452536"/>
      <w:r>
        <w:rPr>
          <w:rFonts w:hint="eastAsia" w:asciiTheme="minorEastAsia" w:hAnsiTheme="minorEastAsia" w:eastAsiaTheme="minorEastAsia"/>
          <w:color w:val="auto"/>
          <w:sz w:val="21"/>
          <w:szCs w:val="21"/>
          <w:highlight w:val="none"/>
        </w:rPr>
        <w:t>三、评审程序</w:t>
      </w:r>
      <w:bookmarkEnd w:id="58"/>
    </w:p>
    <w:p>
      <w:pPr>
        <w:spacing w:line="360" w:lineRule="auto"/>
        <w:ind w:firstLine="422"/>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1.资格审查</w:t>
      </w:r>
    </w:p>
    <w:p>
      <w:pPr>
        <w:spacing w:line="360" w:lineRule="auto"/>
        <w:ind w:firstLine="42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由采购人或采购代理机构对</w:t>
      </w:r>
      <w:r>
        <w:rPr>
          <w:rFonts w:hint="eastAsia" w:asciiTheme="minorEastAsia" w:hAnsiTheme="minorEastAsia" w:eastAsiaTheme="minorEastAsia"/>
          <w:color w:val="auto"/>
          <w:szCs w:val="21"/>
          <w:highlight w:val="none"/>
        </w:rPr>
        <w:t>投标人进行资格审查</w:t>
      </w:r>
      <w:r>
        <w:rPr>
          <w:rFonts w:asciiTheme="minorEastAsia" w:hAnsiTheme="minorEastAsia" w:eastAsiaTheme="minorEastAsia"/>
          <w:color w:val="auto"/>
          <w:szCs w:val="21"/>
          <w:highlight w:val="none"/>
        </w:rPr>
        <w:t>。资格审查</w:t>
      </w:r>
      <w:r>
        <w:rPr>
          <w:rFonts w:hint="eastAsia" w:asciiTheme="minorEastAsia" w:hAnsiTheme="minorEastAsia" w:eastAsiaTheme="minorEastAsia"/>
          <w:color w:val="auto"/>
          <w:szCs w:val="21"/>
          <w:highlight w:val="none"/>
        </w:rPr>
        <w:t>内容</w:t>
      </w:r>
      <w:r>
        <w:rPr>
          <w:rFonts w:asciiTheme="minorEastAsia" w:hAnsiTheme="minorEastAsia" w:eastAsiaTheme="minorEastAsia"/>
          <w:color w:val="auto"/>
          <w:szCs w:val="21"/>
          <w:highlight w:val="none"/>
        </w:rPr>
        <w:t>如下：</w:t>
      </w:r>
    </w:p>
    <w:tbl>
      <w:tblPr>
        <w:tblStyle w:val="44"/>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2977"/>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tcBorders>
              <w:bottom w:val="single" w:color="auto" w:sz="4" w:space="0"/>
            </w:tcBorders>
            <w:vAlign w:val="center"/>
          </w:tcPr>
          <w:p>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1134" w:type="dxa"/>
            <w:tcBorders>
              <w:bottom w:val="single" w:color="auto" w:sz="4" w:space="0"/>
            </w:tcBorders>
            <w:vAlign w:val="center"/>
          </w:tcPr>
          <w:p>
            <w:pPr>
              <w:pStyle w:val="365"/>
              <w:pBdr>
                <w:bottom w:val="none" w:color="auto" w:sz="0" w:space="0"/>
              </w:pBdr>
              <w:tabs>
                <w:tab w:val="clear" w:pos="4153"/>
                <w:tab w:val="clear" w:pos="8306"/>
              </w:tabs>
              <w:snapToGrid w:val="0"/>
              <w:spacing w:line="240" w:lineRule="auto"/>
              <w:ind w:right="-10"/>
              <w:textAlignment w:val="auto"/>
              <w:rPr>
                <w:rFonts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kern w:val="2"/>
                <w:sz w:val="21"/>
                <w:szCs w:val="21"/>
                <w:highlight w:val="none"/>
              </w:rPr>
              <w:t>评审内容</w:t>
            </w:r>
          </w:p>
        </w:tc>
        <w:tc>
          <w:tcPr>
            <w:tcW w:w="2977" w:type="dxa"/>
            <w:tcBorders>
              <w:bottom w:val="single" w:color="auto" w:sz="4" w:space="0"/>
            </w:tcBorders>
            <w:vAlign w:val="center"/>
          </w:tcPr>
          <w:p>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审查要求</w:t>
            </w:r>
          </w:p>
        </w:tc>
        <w:tc>
          <w:tcPr>
            <w:tcW w:w="3969" w:type="dxa"/>
            <w:tcBorders>
              <w:bottom w:val="single" w:color="auto" w:sz="4" w:space="0"/>
            </w:tcBorders>
            <w:vAlign w:val="center"/>
          </w:tcPr>
          <w:p>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09" w:type="dxa"/>
            <w:vAlign w:val="center"/>
          </w:tcPr>
          <w:p>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1134" w:type="dxa"/>
            <w:vAlign w:val="center"/>
          </w:tcPr>
          <w:p>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基本资质</w:t>
            </w:r>
          </w:p>
        </w:tc>
        <w:tc>
          <w:tcPr>
            <w:tcW w:w="2977" w:type="dxa"/>
            <w:vAlign w:val="center"/>
          </w:tcPr>
          <w:p>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满足《中华人民共和国政府采购法》第二十二条第一款规定</w:t>
            </w:r>
          </w:p>
        </w:tc>
        <w:tc>
          <w:tcPr>
            <w:tcW w:w="3969" w:type="dxa"/>
            <w:vAlign w:val="center"/>
          </w:tcPr>
          <w:p>
            <w:pPr>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资格要求响应文件内提供《供应商资格声明函》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09" w:type="dxa"/>
            <w:vAlign w:val="center"/>
          </w:tcPr>
          <w:p>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1134" w:type="dxa"/>
            <w:vAlign w:val="center"/>
          </w:tcPr>
          <w:p>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营业执照</w:t>
            </w:r>
          </w:p>
        </w:tc>
        <w:tc>
          <w:tcPr>
            <w:tcW w:w="2977" w:type="dxa"/>
            <w:vAlign w:val="center"/>
          </w:tcPr>
          <w:p>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有效的营业执照或事业单位法人证书或社会团体法人登记证书或民办非企业单位登记证书等机构登记证明复印件</w:t>
            </w:r>
          </w:p>
        </w:tc>
        <w:tc>
          <w:tcPr>
            <w:tcW w:w="3969" w:type="dxa"/>
            <w:vAlign w:val="center"/>
          </w:tcPr>
          <w:p>
            <w:pPr>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资格要求响应文件内提供有效</w:t>
            </w:r>
            <w:r>
              <w:rPr>
                <w:rFonts w:hint="eastAsia" w:cs="宋体" w:asciiTheme="minorEastAsia" w:hAnsiTheme="minorEastAsia" w:eastAsiaTheme="minorEastAsia"/>
                <w:color w:val="auto"/>
                <w:kern w:val="1"/>
                <w:highlight w:val="none"/>
              </w:rPr>
              <w:t>的营业执照或事业单位法人证书或社会团体法人登记证书或民办非企业单位登记证书等机构登记证明，</w:t>
            </w:r>
            <w:r>
              <w:rPr>
                <w:rFonts w:hint="eastAsia" w:asciiTheme="minorEastAsia" w:hAnsiTheme="minorEastAsia" w:eastAsiaTheme="minorEastAsia"/>
                <w:color w:val="auto"/>
                <w:szCs w:val="21"/>
                <w:highlight w:val="none"/>
              </w:rPr>
              <w:t>应完整清晰的体现出证明材料的全部内容。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709" w:type="dxa"/>
            <w:vAlign w:val="center"/>
          </w:tcPr>
          <w:p>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1134" w:type="dxa"/>
            <w:vAlign w:val="center"/>
          </w:tcPr>
          <w:p>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特定资质</w:t>
            </w:r>
          </w:p>
        </w:tc>
        <w:tc>
          <w:tcPr>
            <w:tcW w:w="2977" w:type="dxa"/>
            <w:vAlign w:val="center"/>
          </w:tcPr>
          <w:p>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进口产品投标的提供产品制造商或其国内总代理出具的唯一授权函</w:t>
            </w:r>
          </w:p>
        </w:tc>
        <w:tc>
          <w:tcPr>
            <w:tcW w:w="3969" w:type="dxa"/>
            <w:vAlign w:val="center"/>
          </w:tcPr>
          <w:p>
            <w:pPr>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进口产品投标的必须提供产品制造商或其国内总代理出具的唯一授权函彩色扫描件（</w:t>
            </w:r>
            <w:r>
              <w:rPr>
                <w:rFonts w:hint="eastAsia" w:asciiTheme="minorEastAsia" w:hAnsiTheme="minorEastAsia" w:eastAsiaTheme="minorEastAsia"/>
                <w:b/>
                <w:color w:val="auto"/>
                <w:szCs w:val="21"/>
                <w:highlight w:val="none"/>
              </w:rPr>
              <w:t>国产产品投标无需提供</w:t>
            </w:r>
            <w:r>
              <w:rPr>
                <w:rFonts w:hint="eastAsia"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Align w:val="center"/>
          </w:tcPr>
          <w:p>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p>
        </w:tc>
        <w:tc>
          <w:tcPr>
            <w:tcW w:w="1134" w:type="dxa"/>
            <w:vAlign w:val="center"/>
          </w:tcPr>
          <w:p>
            <w:pPr>
              <w:ind w:right="-10"/>
              <w:jc w:val="left"/>
              <w:rPr>
                <w:rFonts w:ascii="宋体" w:hAnsi="宋体"/>
                <w:color w:val="auto"/>
                <w:szCs w:val="21"/>
                <w:highlight w:val="none"/>
              </w:rPr>
            </w:pPr>
            <w:r>
              <w:rPr>
                <w:rFonts w:hint="eastAsia" w:ascii="宋体" w:hAnsi="宋体"/>
                <w:color w:val="auto"/>
                <w:szCs w:val="21"/>
                <w:highlight w:val="none"/>
              </w:rPr>
              <w:t>信用情况</w:t>
            </w:r>
          </w:p>
        </w:tc>
        <w:tc>
          <w:tcPr>
            <w:tcW w:w="2977" w:type="dxa"/>
            <w:vAlign w:val="center"/>
          </w:tcPr>
          <w:p>
            <w:pPr>
              <w:ind w:right="-10"/>
              <w:jc w:val="left"/>
              <w:rPr>
                <w:rFonts w:ascii="宋体" w:hAnsi="宋体"/>
                <w:color w:val="auto"/>
                <w:szCs w:val="21"/>
                <w:highlight w:val="none"/>
              </w:rPr>
            </w:pPr>
            <w:r>
              <w:rPr>
                <w:rFonts w:hint="eastAsia" w:ascii="宋体" w:hAnsi="宋体"/>
                <w:color w:val="auto"/>
                <w:szCs w:val="21"/>
                <w:highlight w:val="none"/>
              </w:rPr>
              <w:t>未被“信用中国”（www.creditchina.gov.cn)、中国政府采购网（www.ccgp.gov.cn）列入失信被执行人、重大税收违法失信主体、政府采购严重违法失信行为记录名单</w:t>
            </w:r>
          </w:p>
        </w:tc>
        <w:tc>
          <w:tcPr>
            <w:tcW w:w="3969" w:type="dxa"/>
            <w:vAlign w:val="center"/>
          </w:tcPr>
          <w:p>
            <w:pPr>
              <w:adjustRightInd w:val="0"/>
              <w:snapToGrid w:val="0"/>
              <w:ind w:right="-10"/>
              <w:jc w:val="left"/>
              <w:rPr>
                <w:rFonts w:ascii="宋体" w:hAnsi="宋体"/>
                <w:color w:val="auto"/>
                <w:szCs w:val="21"/>
                <w:highlight w:val="none"/>
              </w:rPr>
            </w:pPr>
            <w:r>
              <w:rPr>
                <w:rFonts w:hint="eastAsia" w:ascii="宋体" w:hAnsi="宋体"/>
                <w:color w:val="auto"/>
                <w:szCs w:val="21"/>
                <w:highlight w:val="none"/>
              </w:rPr>
              <w:t>无需提供材料。</w:t>
            </w:r>
          </w:p>
        </w:tc>
      </w:tr>
    </w:tbl>
    <w:p>
      <w:pPr>
        <w:spacing w:line="360" w:lineRule="auto"/>
        <w:ind w:firstLine="422"/>
        <w:rPr>
          <w:rFonts w:asciiTheme="minorEastAsia" w:hAnsiTheme="minorEastAsia" w:eastAsiaTheme="minorEastAsia"/>
          <w:color w:val="auto"/>
          <w:szCs w:val="21"/>
          <w:highlight w:val="none"/>
        </w:rPr>
      </w:pPr>
      <w:r>
        <w:rPr>
          <w:rFonts w:hint="eastAsia" w:asciiTheme="minorEastAsia" w:hAnsiTheme="minorEastAsia" w:eastAsiaTheme="minorEastAsia"/>
          <w:b/>
          <w:bCs/>
          <w:color w:val="auto"/>
          <w:szCs w:val="21"/>
          <w:highlight w:val="none"/>
        </w:rPr>
        <w:t>资格审查指标通过标准：</w:t>
      </w:r>
      <w:r>
        <w:rPr>
          <w:rFonts w:hint="eastAsia" w:asciiTheme="minorEastAsia" w:hAnsiTheme="minorEastAsia" w:eastAsiaTheme="minorEastAsia"/>
          <w:color w:val="auto"/>
          <w:szCs w:val="21"/>
          <w:highlight w:val="none"/>
        </w:rPr>
        <w:t>投标人必须通过资格审查表中的全部评审指标。</w:t>
      </w:r>
    </w:p>
    <w:p>
      <w:pPr>
        <w:spacing w:line="360" w:lineRule="auto"/>
        <w:ind w:firstLine="422"/>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2.符合性审查</w:t>
      </w:r>
    </w:p>
    <w:p>
      <w:pPr>
        <w:spacing w:line="360" w:lineRule="auto"/>
        <w:ind w:firstLine="42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评标委员会对通过资格审查的投标人的投标文件进行符合性审查，以确定其是否满足招标文件的实质性要求。符合性</w:t>
      </w:r>
      <w:r>
        <w:rPr>
          <w:rFonts w:asciiTheme="minorEastAsia" w:hAnsiTheme="minorEastAsia" w:eastAsiaTheme="minorEastAsia"/>
          <w:color w:val="auto"/>
          <w:szCs w:val="21"/>
          <w:highlight w:val="none"/>
        </w:rPr>
        <w:t>审查</w:t>
      </w:r>
      <w:r>
        <w:rPr>
          <w:rFonts w:hint="eastAsia" w:asciiTheme="minorEastAsia" w:hAnsiTheme="minorEastAsia" w:eastAsiaTheme="minorEastAsia"/>
          <w:color w:val="auto"/>
          <w:szCs w:val="21"/>
          <w:highlight w:val="none"/>
        </w:rPr>
        <w:t>内容</w:t>
      </w:r>
      <w:r>
        <w:rPr>
          <w:rFonts w:asciiTheme="minorEastAsia" w:hAnsiTheme="minorEastAsia" w:eastAsiaTheme="minorEastAsia"/>
          <w:color w:val="auto"/>
          <w:szCs w:val="21"/>
          <w:highlight w:val="none"/>
        </w:rPr>
        <w:t>如下</w:t>
      </w:r>
      <w:r>
        <w:rPr>
          <w:rFonts w:hint="eastAsia" w:asciiTheme="minorEastAsia" w:hAnsiTheme="minorEastAsia" w:eastAsiaTheme="minorEastAsia"/>
          <w:color w:val="auto"/>
          <w:szCs w:val="21"/>
          <w:highlight w:val="none"/>
        </w:rPr>
        <w:t>：</w:t>
      </w:r>
    </w:p>
    <w:tbl>
      <w:tblPr>
        <w:tblStyle w:val="44"/>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90"/>
        <w:gridCol w:w="3260"/>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20" w:type="dxa"/>
            <w:tcBorders>
              <w:bottom w:val="single" w:color="auto" w:sz="4" w:space="0"/>
            </w:tcBorders>
            <w:vAlign w:val="center"/>
          </w:tcPr>
          <w:p>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1690" w:type="dxa"/>
            <w:tcBorders>
              <w:bottom w:val="single" w:color="auto" w:sz="4" w:space="0"/>
            </w:tcBorders>
            <w:vAlign w:val="center"/>
          </w:tcPr>
          <w:p>
            <w:pPr>
              <w:pStyle w:val="365"/>
              <w:pBdr>
                <w:bottom w:val="none" w:color="auto" w:sz="0" w:space="0"/>
              </w:pBdr>
              <w:tabs>
                <w:tab w:val="clear" w:pos="4153"/>
                <w:tab w:val="clear" w:pos="8306"/>
              </w:tabs>
              <w:snapToGrid w:val="0"/>
              <w:spacing w:line="240" w:lineRule="auto"/>
              <w:ind w:right="-10"/>
              <w:textAlignment w:val="auto"/>
              <w:rPr>
                <w:rFonts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kern w:val="2"/>
                <w:sz w:val="21"/>
                <w:szCs w:val="21"/>
                <w:highlight w:val="none"/>
              </w:rPr>
              <w:t>评审内容</w:t>
            </w:r>
          </w:p>
        </w:tc>
        <w:tc>
          <w:tcPr>
            <w:tcW w:w="3260" w:type="dxa"/>
            <w:tcBorders>
              <w:bottom w:val="single" w:color="auto" w:sz="4" w:space="0"/>
            </w:tcBorders>
            <w:vAlign w:val="center"/>
          </w:tcPr>
          <w:p>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要求</w:t>
            </w:r>
          </w:p>
        </w:tc>
        <w:tc>
          <w:tcPr>
            <w:tcW w:w="3119" w:type="dxa"/>
            <w:tcBorders>
              <w:bottom w:val="single" w:color="auto" w:sz="4" w:space="0"/>
            </w:tcBorders>
            <w:vAlign w:val="center"/>
          </w:tcPr>
          <w:p>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1690" w:type="dxa"/>
            <w:vAlign w:val="center"/>
          </w:tcPr>
          <w:p>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投标报价</w:t>
            </w:r>
          </w:p>
        </w:tc>
        <w:tc>
          <w:tcPr>
            <w:tcW w:w="3260" w:type="dxa"/>
            <w:vAlign w:val="center"/>
          </w:tcPr>
          <w:p>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格式、金额符合招标文件要求并加盖公章</w:t>
            </w:r>
          </w:p>
        </w:tc>
        <w:tc>
          <w:tcPr>
            <w:tcW w:w="3119" w:type="dxa"/>
            <w:vAlign w:val="center"/>
          </w:tcPr>
          <w:p>
            <w:pPr>
              <w:adjustRightInd w:val="0"/>
              <w:snapToGrid w:val="0"/>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投标文件内提供《开标一览表》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1690" w:type="dxa"/>
            <w:vAlign w:val="center"/>
          </w:tcPr>
          <w:p>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投标函</w:t>
            </w:r>
          </w:p>
        </w:tc>
        <w:tc>
          <w:tcPr>
            <w:tcW w:w="3260" w:type="dxa"/>
            <w:vAlign w:val="center"/>
          </w:tcPr>
          <w:p>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投标函格式、填写符合招标文件要求并加盖公章</w:t>
            </w:r>
          </w:p>
        </w:tc>
        <w:tc>
          <w:tcPr>
            <w:tcW w:w="3119" w:type="dxa"/>
            <w:vAlign w:val="center"/>
          </w:tcPr>
          <w:p>
            <w:pPr>
              <w:adjustRightInd w:val="0"/>
              <w:snapToGrid w:val="0"/>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投标文件内提供《投标函》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adjustRightInd w:val="0"/>
              <w:snapToGrid w:val="0"/>
              <w:ind w:right="-10"/>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p>
        </w:tc>
        <w:tc>
          <w:tcPr>
            <w:tcW w:w="1690" w:type="dxa"/>
            <w:vAlign w:val="center"/>
          </w:tcPr>
          <w:p>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投标文件签署</w:t>
            </w:r>
          </w:p>
        </w:tc>
        <w:tc>
          <w:tcPr>
            <w:tcW w:w="3260" w:type="dxa"/>
            <w:vAlign w:val="center"/>
          </w:tcPr>
          <w:p>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投标文件的签署人具有法定签署权或获得有效授权。</w:t>
            </w:r>
          </w:p>
        </w:tc>
        <w:tc>
          <w:tcPr>
            <w:tcW w:w="3119" w:type="dxa"/>
            <w:vAlign w:val="center"/>
          </w:tcPr>
          <w:p>
            <w:pPr>
              <w:adjustRightInd w:val="0"/>
              <w:snapToGrid w:val="0"/>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法定代表人参加投标的，提供身份证正反面复印件；授权代表参加投标的，提供法定代表人授权委托书及其附件。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720" w:type="dxa"/>
            <w:vAlign w:val="center"/>
          </w:tcPr>
          <w:p>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p>
        </w:tc>
        <w:tc>
          <w:tcPr>
            <w:tcW w:w="1690" w:type="dxa"/>
            <w:vAlign w:val="center"/>
          </w:tcPr>
          <w:p>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投标文件盖章</w:t>
            </w:r>
          </w:p>
        </w:tc>
        <w:tc>
          <w:tcPr>
            <w:tcW w:w="3260" w:type="dxa"/>
            <w:vAlign w:val="center"/>
          </w:tcPr>
          <w:p>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投标文件按照招标文件要求进行盖章</w:t>
            </w:r>
          </w:p>
        </w:tc>
        <w:tc>
          <w:tcPr>
            <w:tcW w:w="3119" w:type="dxa"/>
            <w:vAlign w:val="center"/>
          </w:tcPr>
          <w:p>
            <w:pPr>
              <w:adjustRightInd w:val="0"/>
              <w:snapToGrid w:val="0"/>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投标文件相关资料盖章满足招标文件要求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p>
        </w:tc>
        <w:tc>
          <w:tcPr>
            <w:tcW w:w="1690" w:type="dxa"/>
            <w:vAlign w:val="center"/>
          </w:tcPr>
          <w:p>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采购需求要求响应</w:t>
            </w:r>
          </w:p>
        </w:tc>
        <w:tc>
          <w:tcPr>
            <w:tcW w:w="3260" w:type="dxa"/>
            <w:vAlign w:val="center"/>
          </w:tcPr>
          <w:p>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符合招标文件采购需求中明确的实质性要求</w:t>
            </w:r>
          </w:p>
        </w:tc>
        <w:tc>
          <w:tcPr>
            <w:tcW w:w="3119" w:type="dxa"/>
            <w:vAlign w:val="center"/>
          </w:tcPr>
          <w:p>
            <w:pPr>
              <w:adjustRightInd w:val="0"/>
              <w:snapToGrid w:val="0"/>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投标文件内提供商务要求响应表、技术要求响应表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20" w:type="dxa"/>
            <w:vAlign w:val="center"/>
          </w:tcPr>
          <w:p>
            <w:pPr>
              <w:adjustRightInd w:val="0"/>
              <w:snapToGrid w:val="0"/>
              <w:ind w:right="-10"/>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6</w:t>
            </w:r>
          </w:p>
        </w:tc>
        <w:tc>
          <w:tcPr>
            <w:tcW w:w="1690" w:type="dxa"/>
            <w:vAlign w:val="center"/>
          </w:tcPr>
          <w:p>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其他要求</w:t>
            </w:r>
          </w:p>
        </w:tc>
        <w:tc>
          <w:tcPr>
            <w:tcW w:w="3260" w:type="dxa"/>
            <w:vAlign w:val="center"/>
          </w:tcPr>
          <w:p>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符合法律、行政法规规定的其他条件或不存在招标文件列明的拒绝投标、不允许存在的其他情形</w:t>
            </w:r>
          </w:p>
        </w:tc>
        <w:tc>
          <w:tcPr>
            <w:tcW w:w="3119" w:type="dxa"/>
            <w:vAlign w:val="center"/>
          </w:tcPr>
          <w:p>
            <w:pPr>
              <w:adjustRightInd w:val="0"/>
              <w:snapToGrid w:val="0"/>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无需提供材料</w:t>
            </w:r>
          </w:p>
        </w:tc>
      </w:tr>
    </w:tbl>
    <w:p>
      <w:pPr>
        <w:spacing w:line="360" w:lineRule="auto"/>
        <w:ind w:firstLine="422"/>
        <w:rPr>
          <w:rFonts w:asciiTheme="minorEastAsia" w:hAnsiTheme="minorEastAsia" w:eastAsiaTheme="minorEastAsia"/>
          <w:color w:val="auto"/>
          <w:szCs w:val="21"/>
          <w:highlight w:val="none"/>
        </w:rPr>
      </w:pPr>
      <w:r>
        <w:rPr>
          <w:rFonts w:hint="eastAsia" w:asciiTheme="minorEastAsia" w:hAnsiTheme="minorEastAsia" w:eastAsiaTheme="minorEastAsia"/>
          <w:b/>
          <w:bCs/>
          <w:color w:val="auto"/>
          <w:szCs w:val="21"/>
          <w:highlight w:val="none"/>
        </w:rPr>
        <w:t>符合性审查指标通过标准：</w:t>
      </w:r>
      <w:r>
        <w:rPr>
          <w:rFonts w:hint="eastAsia" w:asciiTheme="minorEastAsia" w:hAnsiTheme="minorEastAsia" w:eastAsiaTheme="minorEastAsia"/>
          <w:color w:val="auto"/>
          <w:szCs w:val="21"/>
          <w:highlight w:val="none"/>
        </w:rPr>
        <w:t>投标人必须通过符合性审查表中的全部评审指标。</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3.详细审查和评分（评标标准兼评委打分表）</w:t>
      </w:r>
    </w:p>
    <w:p>
      <w:pPr>
        <w:pStyle w:val="2"/>
        <w:jc w:val="right"/>
        <w:rPr>
          <w:color w:val="auto"/>
          <w:sz w:val="21"/>
          <w:highlight w:val="none"/>
        </w:rPr>
      </w:pPr>
      <w:r>
        <w:rPr>
          <w:rFonts w:hint="eastAsia"/>
          <w:color w:val="auto"/>
          <w:sz w:val="21"/>
          <w:highlight w:val="none"/>
        </w:rPr>
        <w:t>适用于所有标项</w:t>
      </w:r>
    </w:p>
    <w:tbl>
      <w:tblPr>
        <w:tblStyle w:val="44"/>
        <w:tblW w:w="4909"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7"/>
        <w:gridCol w:w="1416"/>
        <w:gridCol w:w="510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5" w:type="pct"/>
            <w:tcBorders>
              <w:top w:val="single" w:color="auto" w:sz="4" w:space="0"/>
              <w:left w:val="single" w:color="auto" w:sz="4" w:space="0"/>
              <w:bottom w:val="single" w:color="auto" w:sz="4" w:space="0"/>
              <w:right w:val="single" w:color="auto" w:sz="4" w:space="0"/>
            </w:tcBorders>
            <w:vAlign w:val="center"/>
          </w:tcPr>
          <w:p>
            <w:pPr>
              <w:ind w:firstLine="422"/>
              <w:jc w:val="center"/>
              <w:rPr>
                <w:rFonts w:ascii="宋体" w:hAnsi="宋体"/>
                <w:b/>
                <w:bCs/>
                <w:color w:val="auto"/>
                <w:szCs w:val="21"/>
                <w:highlight w:val="none"/>
              </w:rPr>
            </w:pPr>
            <w:r>
              <w:rPr>
                <w:rFonts w:hint="eastAsia" w:ascii="宋体" w:hAnsi="宋体"/>
                <w:b/>
                <w:bCs/>
                <w:color w:val="auto"/>
                <w:szCs w:val="21"/>
                <w:highlight w:val="none"/>
              </w:rPr>
              <w:t>类别</w:t>
            </w:r>
          </w:p>
        </w:tc>
        <w:tc>
          <w:tcPr>
            <w:tcW w:w="793" w:type="pct"/>
            <w:tcBorders>
              <w:top w:val="single" w:color="auto" w:sz="4" w:space="0"/>
              <w:left w:val="single" w:color="auto" w:sz="4" w:space="0"/>
              <w:bottom w:val="single" w:color="auto" w:sz="4" w:space="0"/>
              <w:right w:val="single" w:color="auto" w:sz="4" w:space="0"/>
            </w:tcBorders>
            <w:vAlign w:val="center"/>
          </w:tcPr>
          <w:p>
            <w:pPr>
              <w:rPr>
                <w:rFonts w:ascii="宋体" w:hAnsi="宋体"/>
                <w:b/>
                <w:bCs/>
                <w:color w:val="auto"/>
                <w:szCs w:val="21"/>
                <w:highlight w:val="none"/>
              </w:rPr>
            </w:pPr>
            <w:r>
              <w:rPr>
                <w:rFonts w:hint="eastAsia" w:ascii="宋体" w:hAnsi="宋体"/>
                <w:b/>
                <w:bCs/>
                <w:color w:val="auto"/>
                <w:szCs w:val="21"/>
                <w:highlight w:val="none"/>
              </w:rPr>
              <w:t>评分内容</w:t>
            </w:r>
          </w:p>
        </w:tc>
        <w:tc>
          <w:tcPr>
            <w:tcW w:w="2858" w:type="pct"/>
            <w:tcBorders>
              <w:top w:val="single" w:color="auto" w:sz="4" w:space="0"/>
              <w:left w:val="single" w:color="auto" w:sz="4" w:space="0"/>
              <w:bottom w:val="single" w:color="auto" w:sz="4" w:space="0"/>
              <w:right w:val="single" w:color="auto" w:sz="4" w:space="0"/>
            </w:tcBorders>
            <w:vAlign w:val="center"/>
          </w:tcPr>
          <w:p>
            <w:pPr>
              <w:ind w:firstLine="422"/>
              <w:jc w:val="center"/>
              <w:rPr>
                <w:rFonts w:ascii="宋体" w:hAnsi="宋体"/>
                <w:b/>
                <w:bCs/>
                <w:color w:val="auto"/>
                <w:szCs w:val="21"/>
                <w:highlight w:val="none"/>
              </w:rPr>
            </w:pPr>
            <w:r>
              <w:rPr>
                <w:rFonts w:hint="eastAsia" w:ascii="宋体" w:hAnsi="宋体"/>
                <w:b/>
                <w:bCs/>
                <w:color w:val="auto"/>
                <w:szCs w:val="21"/>
                <w:highlight w:val="none"/>
              </w:rPr>
              <w:t>评分标准</w:t>
            </w:r>
          </w:p>
        </w:tc>
        <w:tc>
          <w:tcPr>
            <w:tcW w:w="634" w:type="pct"/>
            <w:tcBorders>
              <w:top w:val="single" w:color="auto" w:sz="4" w:space="0"/>
              <w:left w:val="single" w:color="auto" w:sz="4" w:space="0"/>
              <w:bottom w:val="single" w:color="auto" w:sz="4" w:space="0"/>
              <w:right w:val="single" w:color="auto" w:sz="4" w:space="0"/>
            </w:tcBorders>
            <w:vAlign w:val="center"/>
          </w:tcPr>
          <w:p>
            <w:pPr>
              <w:rPr>
                <w:rFonts w:ascii="宋体" w:hAnsi="宋体"/>
                <w:b/>
                <w:bCs/>
                <w:color w:val="auto"/>
                <w:szCs w:val="21"/>
                <w:highlight w:val="none"/>
              </w:rPr>
            </w:pPr>
            <w:r>
              <w:rPr>
                <w:rFonts w:hint="eastAsia" w:ascii="宋体" w:hAnsi="宋体"/>
                <w:b/>
                <w:bCs/>
                <w:color w:val="auto"/>
                <w:szCs w:val="21"/>
                <w:highlight w:val="none"/>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5" w:type="pct"/>
            <w:vMerge w:val="restart"/>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kern w:val="0"/>
                <w:szCs w:val="21"/>
                <w:highlight w:val="none"/>
              </w:rPr>
              <w:t>商务技术</w:t>
            </w:r>
            <w:r>
              <w:rPr>
                <w:rFonts w:hint="eastAsia" w:ascii="宋体" w:hAnsi="宋体"/>
                <w:color w:val="auto"/>
                <w:szCs w:val="21"/>
                <w:highlight w:val="none"/>
              </w:rPr>
              <w:t>分</w:t>
            </w:r>
          </w:p>
          <w:p>
            <w:pPr>
              <w:jc w:val="center"/>
              <w:rPr>
                <w:rFonts w:ascii="宋体" w:hAnsi="宋体"/>
                <w:b/>
                <w:bCs/>
                <w:color w:val="auto"/>
                <w:szCs w:val="21"/>
                <w:highlight w:val="none"/>
              </w:rPr>
            </w:pPr>
            <w:r>
              <w:rPr>
                <w:rFonts w:hint="eastAsia" w:ascii="宋体" w:hAnsi="宋体"/>
                <w:color w:val="auto"/>
                <w:szCs w:val="21"/>
                <w:highlight w:val="none"/>
              </w:rPr>
              <w:t>（</w:t>
            </w:r>
            <w:r>
              <w:rPr>
                <w:rFonts w:ascii="宋体" w:hAnsi="宋体"/>
                <w:color w:val="auto"/>
                <w:szCs w:val="21"/>
                <w:highlight w:val="none"/>
                <w:u w:val="single"/>
              </w:rPr>
              <w:t>70</w:t>
            </w:r>
            <w:r>
              <w:rPr>
                <w:rFonts w:hint="eastAsia" w:ascii="宋体" w:hAnsi="宋体"/>
                <w:color w:val="auto"/>
                <w:szCs w:val="21"/>
                <w:highlight w:val="none"/>
              </w:rPr>
              <w:t>分）</w:t>
            </w:r>
          </w:p>
        </w:tc>
        <w:tc>
          <w:tcPr>
            <w:tcW w:w="793" w:type="pct"/>
            <w:tcBorders>
              <w:top w:val="single" w:color="auto" w:sz="4" w:space="0"/>
              <w:left w:val="single" w:color="auto" w:sz="4" w:space="0"/>
              <w:bottom w:val="single" w:color="auto" w:sz="4" w:space="0"/>
              <w:right w:val="single" w:color="auto" w:sz="4" w:space="0"/>
            </w:tcBorders>
            <w:vAlign w:val="center"/>
          </w:tcPr>
          <w:p>
            <w:pPr>
              <w:ind w:right="-69" w:rightChars="-33"/>
              <w:jc w:val="left"/>
              <w:rPr>
                <w:rFonts w:ascii="宋体" w:hAnsi="宋体"/>
                <w:bCs/>
                <w:color w:val="auto"/>
                <w:szCs w:val="21"/>
                <w:highlight w:val="none"/>
              </w:rPr>
            </w:pPr>
            <w:r>
              <w:rPr>
                <w:rFonts w:hint="eastAsia" w:ascii="宋体" w:hAnsi="宋体"/>
                <w:color w:val="auto"/>
                <w:szCs w:val="21"/>
                <w:highlight w:val="none"/>
              </w:rPr>
              <w:t>1.技术及服务要求响应情况</w:t>
            </w:r>
          </w:p>
        </w:tc>
        <w:tc>
          <w:tcPr>
            <w:tcW w:w="2858"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响应《第二章  采购需求》所述的全部技术及服务要求的得4</w:t>
            </w:r>
            <w:r>
              <w:rPr>
                <w:rFonts w:ascii="宋体" w:hAnsi="宋体"/>
                <w:color w:val="auto"/>
                <w:szCs w:val="21"/>
                <w:highlight w:val="none"/>
              </w:rPr>
              <w:t>1</w:t>
            </w:r>
            <w:r>
              <w:rPr>
                <w:rFonts w:hint="eastAsia" w:ascii="宋体" w:hAnsi="宋体"/>
                <w:color w:val="auto"/>
                <w:szCs w:val="21"/>
                <w:highlight w:val="none"/>
              </w:rPr>
              <w:t>分，每负偏离（不满足）一项技术或服务要求的扣</w:t>
            </w:r>
            <w:r>
              <w:rPr>
                <w:rFonts w:ascii="宋体" w:hAnsi="宋体"/>
                <w:color w:val="auto"/>
                <w:szCs w:val="21"/>
                <w:highlight w:val="none"/>
              </w:rPr>
              <w:t>1.8</w:t>
            </w:r>
            <w:r>
              <w:rPr>
                <w:rFonts w:hint="eastAsia" w:ascii="宋体" w:hAnsi="宋体"/>
                <w:color w:val="auto"/>
                <w:szCs w:val="21"/>
                <w:highlight w:val="none"/>
              </w:rPr>
              <w:t>分</w:t>
            </w:r>
            <w:r>
              <w:rPr>
                <w:rFonts w:hint="eastAsia" w:ascii="宋体" w:hAnsi="宋体" w:cs="宋体"/>
                <w:color w:val="auto"/>
                <w:kern w:val="0"/>
                <w:szCs w:val="21"/>
                <w:highlight w:val="none"/>
              </w:rPr>
              <w:t>，扣分分值达到4</w:t>
            </w:r>
            <w:r>
              <w:rPr>
                <w:rFonts w:ascii="宋体" w:hAnsi="宋体" w:cs="宋体"/>
                <w:color w:val="auto"/>
                <w:kern w:val="0"/>
                <w:szCs w:val="21"/>
                <w:highlight w:val="none"/>
              </w:rPr>
              <w:t>1</w:t>
            </w:r>
            <w:r>
              <w:rPr>
                <w:rFonts w:hint="eastAsia" w:ascii="宋体" w:hAnsi="宋体" w:cs="宋体"/>
                <w:color w:val="auto"/>
                <w:kern w:val="0"/>
                <w:szCs w:val="21"/>
                <w:highlight w:val="none"/>
              </w:rPr>
              <w:t>分按照投标无效处理。</w:t>
            </w:r>
          </w:p>
          <w:p>
            <w:pPr>
              <w:rPr>
                <w:rFonts w:ascii="宋体" w:hAnsi="宋体"/>
                <w:color w:val="auto"/>
                <w:szCs w:val="21"/>
                <w:highlight w:val="none"/>
              </w:rPr>
            </w:pPr>
            <w:r>
              <w:rPr>
                <w:rFonts w:hint="eastAsia" w:ascii="宋体" w:hAnsi="宋体"/>
                <w:color w:val="auto"/>
                <w:szCs w:val="21"/>
                <w:highlight w:val="none"/>
              </w:rPr>
              <w:t>注：按照最小序号计算项。对标注“▲”条款负偏离（不满足）的投标无效。</w:t>
            </w:r>
          </w:p>
        </w:tc>
        <w:tc>
          <w:tcPr>
            <w:tcW w:w="63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auto"/>
                <w:szCs w:val="21"/>
                <w:highlight w:val="none"/>
              </w:rPr>
            </w:pPr>
            <w:r>
              <w:rPr>
                <w:rFonts w:hint="eastAsia" w:ascii="宋体" w:hAnsi="宋体"/>
                <w:color w:val="auto"/>
                <w:szCs w:val="21"/>
                <w:highlight w:val="none"/>
              </w:rPr>
              <w:t>0-</w:t>
            </w:r>
            <w:r>
              <w:rPr>
                <w:rFonts w:hint="eastAsia" w:ascii="宋体" w:hAnsi="宋体" w:cs="宋体"/>
                <w:color w:val="auto"/>
                <w:szCs w:val="21"/>
                <w:highlight w:val="none"/>
                <w:u w:val="single"/>
              </w:rPr>
              <w:t>4</w:t>
            </w:r>
            <w:r>
              <w:rPr>
                <w:rFonts w:ascii="宋体" w:hAnsi="宋体" w:cs="宋体"/>
                <w:color w:val="auto"/>
                <w:szCs w:val="21"/>
                <w:highlight w:val="none"/>
                <w:u w:val="single"/>
              </w:rPr>
              <w:t>1</w:t>
            </w:r>
            <w:r>
              <w:rPr>
                <w:rFonts w:hint="eastAsia" w:ascii="宋体"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15" w:type="pct"/>
            <w:vMerge w:val="continue"/>
            <w:tcBorders>
              <w:left w:val="single" w:color="auto" w:sz="4" w:space="0"/>
              <w:right w:val="single" w:color="auto" w:sz="4" w:space="0"/>
            </w:tcBorders>
            <w:vAlign w:val="center"/>
          </w:tcPr>
          <w:p>
            <w:pPr>
              <w:jc w:val="center"/>
              <w:rPr>
                <w:rFonts w:ascii="宋体" w:hAnsi="宋体"/>
                <w:color w:val="auto"/>
                <w:szCs w:val="21"/>
                <w:highlight w:val="none"/>
              </w:rPr>
            </w:pPr>
          </w:p>
        </w:tc>
        <w:tc>
          <w:tcPr>
            <w:tcW w:w="793" w:type="pct"/>
            <w:tcBorders>
              <w:top w:val="single" w:color="auto" w:sz="4" w:space="0"/>
              <w:left w:val="single" w:color="auto" w:sz="4" w:space="0"/>
              <w:right w:val="single" w:color="auto" w:sz="4" w:space="0"/>
            </w:tcBorders>
            <w:vAlign w:val="center"/>
          </w:tcPr>
          <w:p>
            <w:pPr>
              <w:ind w:right="-69" w:rightChars="-33"/>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.产品供货方案</w:t>
            </w:r>
          </w:p>
        </w:tc>
        <w:tc>
          <w:tcPr>
            <w:tcW w:w="2858" w:type="pct"/>
            <w:tcBorders>
              <w:top w:val="single" w:color="auto" w:sz="4" w:space="0"/>
              <w:left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根据投标人提供的</w:t>
            </w:r>
            <w:r>
              <w:rPr>
                <w:rFonts w:hint="eastAsia" w:ascii="宋体" w:hAnsi="宋体" w:cs="宋体"/>
                <w:color w:val="auto"/>
                <w:szCs w:val="21"/>
                <w:highlight w:val="none"/>
              </w:rPr>
              <w:t>供货期限是否满足招标文件要求；交货方式是否切合实际；供货保障是否合理；供货流程要点是否明确；供货实施步骤是否清晰进行评议。</w:t>
            </w:r>
          </w:p>
          <w:p>
            <w:pPr>
              <w:rPr>
                <w:rFonts w:ascii="宋体" w:hAnsi="宋体"/>
                <w:color w:val="auto"/>
                <w:szCs w:val="21"/>
                <w:highlight w:val="none"/>
              </w:rPr>
            </w:pPr>
            <w:r>
              <w:rPr>
                <w:rFonts w:ascii="宋体" w:hAnsi="宋体"/>
                <w:color w:val="auto"/>
                <w:szCs w:val="21"/>
                <w:highlight w:val="none"/>
              </w:rPr>
              <w:fldChar w:fldCharType="begin"/>
            </w:r>
            <w:r>
              <w:rPr>
                <w:rFonts w:hint="eastAsia" w:ascii="宋体" w:hAnsi="宋体"/>
                <w:color w:val="auto"/>
                <w:szCs w:val="21"/>
                <w:highlight w:val="none"/>
              </w:rPr>
              <w:instrText xml:space="preserve">= 1 \* GB3</w:instrText>
            </w:r>
            <w:r>
              <w:rPr>
                <w:rFonts w:ascii="宋体" w:hAnsi="宋体"/>
                <w:color w:val="auto"/>
                <w:szCs w:val="21"/>
                <w:highlight w:val="none"/>
              </w:rPr>
              <w:fldChar w:fldCharType="separate"/>
            </w:r>
            <w:r>
              <w:rPr>
                <w:rFonts w:hint="eastAsia" w:ascii="宋体" w:hAnsi="宋体"/>
                <w:color w:val="auto"/>
                <w:szCs w:val="21"/>
                <w:highlight w:val="none"/>
              </w:rPr>
              <w:t>①</w:t>
            </w:r>
            <w:r>
              <w:rPr>
                <w:rFonts w:ascii="宋体" w:hAnsi="宋体"/>
                <w:color w:val="auto"/>
                <w:szCs w:val="21"/>
                <w:highlight w:val="none"/>
              </w:rPr>
              <w:fldChar w:fldCharType="end"/>
            </w:r>
            <w:r>
              <w:rPr>
                <w:rFonts w:hint="eastAsia" w:ascii="宋体" w:hAnsi="宋体"/>
                <w:color w:val="auto"/>
                <w:szCs w:val="21"/>
                <w:highlight w:val="none"/>
              </w:rPr>
              <w:t>产品供货到采购人安装地点的各阶段时间节点明确，工作内容清晰明确，具有可靠的保障措施，能够确保按期供货到位的得5分；</w:t>
            </w:r>
          </w:p>
          <w:p>
            <w:pPr>
              <w:rPr>
                <w:rFonts w:ascii="宋体" w:hAnsi="宋体"/>
                <w:color w:val="auto"/>
                <w:szCs w:val="21"/>
                <w:highlight w:val="none"/>
              </w:rPr>
            </w:pPr>
            <w:r>
              <w:rPr>
                <w:rFonts w:ascii="宋体" w:hAnsi="宋体"/>
                <w:color w:val="auto"/>
                <w:szCs w:val="21"/>
                <w:highlight w:val="none"/>
              </w:rPr>
              <w:fldChar w:fldCharType="begin"/>
            </w:r>
            <w:r>
              <w:rPr>
                <w:rFonts w:hint="eastAsia" w:ascii="宋体" w:hAnsi="宋体"/>
                <w:color w:val="auto"/>
                <w:szCs w:val="21"/>
                <w:highlight w:val="none"/>
              </w:rPr>
              <w:instrText xml:space="preserve">= 2 \* GB3</w:instrText>
            </w:r>
            <w:r>
              <w:rPr>
                <w:rFonts w:ascii="宋体" w:hAnsi="宋体"/>
                <w:color w:val="auto"/>
                <w:szCs w:val="21"/>
                <w:highlight w:val="none"/>
              </w:rPr>
              <w:fldChar w:fldCharType="separate"/>
            </w:r>
            <w:r>
              <w:rPr>
                <w:rFonts w:hint="eastAsia" w:ascii="宋体" w:hAnsi="宋体"/>
                <w:color w:val="auto"/>
                <w:szCs w:val="21"/>
                <w:highlight w:val="none"/>
              </w:rPr>
              <w:t>②</w:t>
            </w:r>
            <w:r>
              <w:rPr>
                <w:rFonts w:ascii="宋体" w:hAnsi="宋体"/>
                <w:color w:val="auto"/>
                <w:szCs w:val="21"/>
                <w:highlight w:val="none"/>
              </w:rPr>
              <w:fldChar w:fldCharType="end"/>
            </w:r>
            <w:r>
              <w:rPr>
                <w:rFonts w:hint="eastAsia" w:ascii="宋体" w:hAnsi="宋体"/>
                <w:color w:val="auto"/>
                <w:szCs w:val="21"/>
                <w:highlight w:val="none"/>
              </w:rPr>
              <w:t>产品供货到采购人安装地点的各阶段时间节点基本明确，工作安排比较妥当，具有比较可靠的保障措施，基本能够保障按期供货到位的得</w:t>
            </w:r>
            <w:r>
              <w:rPr>
                <w:rFonts w:ascii="宋体" w:hAnsi="宋体"/>
                <w:color w:val="auto"/>
                <w:szCs w:val="21"/>
                <w:highlight w:val="none"/>
              </w:rPr>
              <w:t>3</w:t>
            </w:r>
            <w:r>
              <w:rPr>
                <w:rFonts w:hint="eastAsia" w:ascii="宋体" w:hAnsi="宋体"/>
                <w:color w:val="auto"/>
                <w:szCs w:val="21"/>
                <w:highlight w:val="none"/>
              </w:rPr>
              <w:t>.5分；</w:t>
            </w:r>
          </w:p>
          <w:p>
            <w:pPr>
              <w:rPr>
                <w:rFonts w:ascii="宋体" w:hAnsi="宋体"/>
                <w:color w:val="auto"/>
                <w:szCs w:val="21"/>
                <w:highlight w:val="none"/>
              </w:rPr>
            </w:pPr>
            <w:r>
              <w:rPr>
                <w:rFonts w:ascii="宋体" w:hAnsi="宋体"/>
                <w:color w:val="auto"/>
                <w:szCs w:val="21"/>
                <w:highlight w:val="none"/>
              </w:rPr>
              <w:fldChar w:fldCharType="begin"/>
            </w:r>
            <w:r>
              <w:rPr>
                <w:rFonts w:hint="eastAsia" w:ascii="宋体" w:hAnsi="宋体"/>
                <w:color w:val="auto"/>
                <w:szCs w:val="21"/>
                <w:highlight w:val="none"/>
              </w:rPr>
              <w:instrText xml:space="preserve">= 3 \* GB3</w:instrText>
            </w:r>
            <w:r>
              <w:rPr>
                <w:rFonts w:ascii="宋体" w:hAnsi="宋体"/>
                <w:color w:val="auto"/>
                <w:szCs w:val="21"/>
                <w:highlight w:val="none"/>
              </w:rPr>
              <w:fldChar w:fldCharType="separate"/>
            </w:r>
            <w:r>
              <w:rPr>
                <w:rFonts w:hint="eastAsia" w:ascii="宋体" w:hAnsi="宋体"/>
                <w:color w:val="auto"/>
                <w:szCs w:val="21"/>
                <w:highlight w:val="none"/>
              </w:rPr>
              <w:t>③</w:t>
            </w:r>
            <w:r>
              <w:rPr>
                <w:rFonts w:ascii="宋体" w:hAnsi="宋体"/>
                <w:color w:val="auto"/>
                <w:szCs w:val="21"/>
                <w:highlight w:val="none"/>
              </w:rPr>
              <w:fldChar w:fldCharType="end"/>
            </w:r>
            <w:r>
              <w:rPr>
                <w:rFonts w:hint="eastAsia" w:ascii="宋体" w:hAnsi="宋体"/>
                <w:color w:val="auto"/>
                <w:szCs w:val="21"/>
                <w:highlight w:val="none"/>
              </w:rPr>
              <w:t>产品供货到采购人安装地点的各阶段时间节点不够明确，工作安排不够妥当，保障措施不足的得</w:t>
            </w:r>
            <w:r>
              <w:rPr>
                <w:rFonts w:ascii="宋体" w:hAnsi="宋体"/>
                <w:color w:val="auto"/>
                <w:szCs w:val="21"/>
                <w:highlight w:val="none"/>
              </w:rPr>
              <w:t>2</w:t>
            </w:r>
            <w:r>
              <w:rPr>
                <w:rFonts w:hint="eastAsia" w:ascii="宋体" w:hAnsi="宋体"/>
                <w:color w:val="auto"/>
                <w:szCs w:val="21"/>
                <w:highlight w:val="none"/>
              </w:rPr>
              <w:t>分；</w:t>
            </w:r>
          </w:p>
          <w:p>
            <w:pPr>
              <w:rPr>
                <w:rFonts w:ascii="宋体" w:hAnsi="宋体"/>
                <w:color w:val="auto"/>
                <w:szCs w:val="21"/>
                <w:highlight w:val="none"/>
              </w:rPr>
            </w:pPr>
            <w:r>
              <w:rPr>
                <w:rFonts w:ascii="宋体" w:hAnsi="宋体"/>
                <w:color w:val="auto"/>
                <w:szCs w:val="21"/>
                <w:highlight w:val="none"/>
              </w:rPr>
              <w:fldChar w:fldCharType="begin"/>
            </w:r>
            <w:r>
              <w:rPr>
                <w:rFonts w:hint="eastAsia" w:ascii="宋体" w:hAnsi="宋体"/>
                <w:color w:val="auto"/>
                <w:szCs w:val="21"/>
                <w:highlight w:val="none"/>
              </w:rPr>
              <w:instrText xml:space="preserve">= 4 \* GB3</w:instrText>
            </w:r>
            <w:r>
              <w:rPr>
                <w:rFonts w:ascii="宋体" w:hAnsi="宋体"/>
                <w:color w:val="auto"/>
                <w:szCs w:val="21"/>
                <w:highlight w:val="none"/>
              </w:rPr>
              <w:fldChar w:fldCharType="separate"/>
            </w:r>
            <w:r>
              <w:rPr>
                <w:rFonts w:hint="eastAsia" w:ascii="宋体" w:hAnsi="宋体"/>
                <w:color w:val="auto"/>
                <w:szCs w:val="21"/>
                <w:highlight w:val="none"/>
              </w:rPr>
              <w:t>④</w:t>
            </w:r>
            <w:r>
              <w:rPr>
                <w:rFonts w:ascii="宋体" w:hAnsi="宋体"/>
                <w:color w:val="auto"/>
                <w:szCs w:val="21"/>
                <w:highlight w:val="none"/>
              </w:rPr>
              <w:fldChar w:fldCharType="end"/>
            </w:r>
            <w:r>
              <w:rPr>
                <w:rFonts w:hint="eastAsia" w:ascii="宋体" w:hAnsi="宋体"/>
                <w:color w:val="auto"/>
                <w:szCs w:val="21"/>
                <w:highlight w:val="none"/>
              </w:rPr>
              <w:t>产品供货到采购人安装地点的各阶段时间安排明显不妥，缺乏合理性，对项目实施有较大影响或未提供方案的不得分。</w:t>
            </w:r>
          </w:p>
        </w:tc>
        <w:tc>
          <w:tcPr>
            <w:tcW w:w="634" w:type="pct"/>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0-</w:t>
            </w:r>
            <w:r>
              <w:rPr>
                <w:rFonts w:hint="eastAsia" w:ascii="宋体" w:hAnsi="宋体" w:cs="宋体"/>
                <w:color w:val="auto"/>
                <w:szCs w:val="21"/>
                <w:highlight w:val="none"/>
                <w:u w:val="single"/>
              </w:rPr>
              <w:t xml:space="preserve"> 5 </w:t>
            </w:r>
            <w:r>
              <w:rPr>
                <w:rFonts w:hint="eastAsia" w:ascii="宋体"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715" w:type="pct"/>
            <w:vMerge w:val="continue"/>
            <w:tcBorders>
              <w:left w:val="single" w:color="auto" w:sz="4" w:space="0"/>
              <w:right w:val="single" w:color="auto" w:sz="4" w:space="0"/>
            </w:tcBorders>
            <w:vAlign w:val="center"/>
          </w:tcPr>
          <w:p>
            <w:pPr>
              <w:jc w:val="center"/>
              <w:rPr>
                <w:rFonts w:ascii="宋体" w:hAnsi="宋体"/>
                <w:color w:val="auto"/>
                <w:szCs w:val="21"/>
                <w:highlight w:val="none"/>
              </w:rPr>
            </w:pPr>
          </w:p>
        </w:tc>
        <w:tc>
          <w:tcPr>
            <w:tcW w:w="793" w:type="pct"/>
            <w:tcBorders>
              <w:top w:val="single" w:color="auto" w:sz="4" w:space="0"/>
              <w:left w:val="single" w:color="auto" w:sz="4" w:space="0"/>
              <w:right w:val="single" w:color="auto" w:sz="4" w:space="0"/>
            </w:tcBorders>
            <w:vAlign w:val="center"/>
          </w:tcPr>
          <w:p>
            <w:pPr>
              <w:ind w:right="-69" w:rightChars="-33"/>
              <w:jc w:val="left"/>
              <w:rPr>
                <w:rFonts w:ascii="宋体" w:hAnsi="宋体"/>
                <w:color w:val="auto"/>
                <w:szCs w:val="21"/>
                <w:highlight w:val="none"/>
              </w:rPr>
            </w:pPr>
            <w:r>
              <w:rPr>
                <w:rFonts w:hint="eastAsia" w:ascii="宋体" w:hAnsi="宋体" w:cs="宋体"/>
                <w:bCs/>
                <w:color w:val="auto"/>
                <w:kern w:val="0"/>
                <w:szCs w:val="21"/>
                <w:highlight w:val="none"/>
              </w:rPr>
              <w:t>3安装</w:t>
            </w:r>
            <w:r>
              <w:rPr>
                <w:rFonts w:hint="eastAsia" w:ascii="宋体" w:hAnsi="宋体"/>
                <w:color w:val="auto"/>
                <w:szCs w:val="21"/>
                <w:highlight w:val="none"/>
              </w:rPr>
              <w:t>调试方案</w:t>
            </w:r>
          </w:p>
        </w:tc>
        <w:tc>
          <w:tcPr>
            <w:tcW w:w="2858" w:type="pct"/>
            <w:tcBorders>
              <w:top w:val="single" w:color="auto" w:sz="4" w:space="0"/>
              <w:left w:val="single" w:color="auto" w:sz="4" w:space="0"/>
              <w:right w:val="single" w:color="auto" w:sz="4" w:space="0"/>
            </w:tcBorders>
            <w:vAlign w:val="center"/>
          </w:tcPr>
          <w:p>
            <w:pPr>
              <w:tabs>
                <w:tab w:val="left" w:pos="720"/>
              </w:tabs>
              <w:rPr>
                <w:rFonts w:ascii="宋体" w:hAnsi="宋体" w:cs="宋体"/>
                <w:bCs/>
                <w:color w:val="auto"/>
                <w:kern w:val="0"/>
                <w:szCs w:val="21"/>
                <w:highlight w:val="none"/>
              </w:rPr>
            </w:pPr>
            <w:r>
              <w:rPr>
                <w:rFonts w:hint="eastAsia" w:ascii="宋体" w:hAnsi="宋体"/>
                <w:color w:val="auto"/>
                <w:szCs w:val="21"/>
                <w:highlight w:val="none"/>
              </w:rPr>
              <w:t>根据投标人提供的</w:t>
            </w:r>
            <w:r>
              <w:rPr>
                <w:rFonts w:hint="eastAsia" w:ascii="宋体" w:hAnsi="宋体" w:cs="宋体"/>
                <w:bCs/>
                <w:color w:val="auto"/>
                <w:kern w:val="0"/>
                <w:szCs w:val="21"/>
                <w:highlight w:val="none"/>
              </w:rPr>
              <w:t>安装</w:t>
            </w:r>
            <w:r>
              <w:rPr>
                <w:rFonts w:hint="eastAsia" w:ascii="宋体" w:hAnsi="宋体"/>
                <w:color w:val="auto"/>
                <w:szCs w:val="21"/>
                <w:highlight w:val="none"/>
              </w:rPr>
              <w:t>调试</w:t>
            </w:r>
            <w:r>
              <w:rPr>
                <w:rFonts w:hint="eastAsia" w:ascii="宋体" w:hAnsi="宋体" w:cs="宋体"/>
                <w:bCs/>
                <w:color w:val="auto"/>
                <w:kern w:val="0"/>
                <w:szCs w:val="21"/>
                <w:highlight w:val="none"/>
              </w:rPr>
              <w:t>方案，包含安装方案；安装人员配置；调试方案；</w:t>
            </w:r>
            <w:r>
              <w:rPr>
                <w:rFonts w:hint="eastAsia" w:ascii="宋体" w:hAnsi="宋体" w:cs="宋体"/>
                <w:color w:val="auto"/>
                <w:szCs w:val="21"/>
                <w:highlight w:val="none"/>
              </w:rPr>
              <w:t>开箱</w:t>
            </w:r>
            <w:r>
              <w:rPr>
                <w:rFonts w:hint="eastAsia" w:ascii="宋体" w:hAnsi="宋体" w:cs="宋体"/>
                <w:bCs/>
                <w:color w:val="auto"/>
                <w:kern w:val="0"/>
                <w:szCs w:val="21"/>
                <w:highlight w:val="none"/>
              </w:rPr>
              <w:t>测试方式进行评议。</w:t>
            </w:r>
          </w:p>
          <w:p>
            <w:pPr>
              <w:tabs>
                <w:tab w:val="left" w:pos="720"/>
              </w:tabs>
              <w:rPr>
                <w:rFonts w:ascii="宋体" w:hAnsi="宋体"/>
                <w:color w:val="auto"/>
                <w:szCs w:val="21"/>
                <w:highlight w:val="none"/>
              </w:rPr>
            </w:pPr>
            <w:r>
              <w:rPr>
                <w:rFonts w:ascii="宋体" w:hAnsi="宋体"/>
                <w:color w:val="auto"/>
                <w:szCs w:val="21"/>
                <w:highlight w:val="none"/>
              </w:rPr>
              <w:fldChar w:fldCharType="begin"/>
            </w:r>
            <w:r>
              <w:rPr>
                <w:rFonts w:hint="eastAsia" w:ascii="宋体" w:hAnsi="宋体"/>
                <w:color w:val="auto"/>
                <w:szCs w:val="21"/>
                <w:highlight w:val="none"/>
              </w:rPr>
              <w:instrText xml:space="preserve">= 1 \* GB3</w:instrText>
            </w:r>
            <w:r>
              <w:rPr>
                <w:rFonts w:ascii="宋体" w:hAnsi="宋体"/>
                <w:color w:val="auto"/>
                <w:szCs w:val="21"/>
                <w:highlight w:val="none"/>
              </w:rPr>
              <w:fldChar w:fldCharType="separate"/>
            </w:r>
            <w:r>
              <w:rPr>
                <w:rFonts w:hint="eastAsia" w:ascii="宋体" w:hAnsi="宋体"/>
                <w:color w:val="auto"/>
                <w:szCs w:val="21"/>
                <w:highlight w:val="none"/>
              </w:rPr>
              <w:t>①</w:t>
            </w:r>
            <w:r>
              <w:rPr>
                <w:rFonts w:ascii="宋体" w:hAnsi="宋体"/>
                <w:color w:val="auto"/>
                <w:szCs w:val="21"/>
                <w:highlight w:val="none"/>
              </w:rPr>
              <w:fldChar w:fldCharType="end"/>
            </w:r>
            <w:r>
              <w:rPr>
                <w:rFonts w:hint="eastAsia" w:ascii="宋体" w:hAnsi="宋体"/>
                <w:color w:val="auto"/>
                <w:szCs w:val="21"/>
                <w:highlight w:val="none"/>
              </w:rPr>
              <w:t>安装调试方案完整清晰，内容详尽合理，表述准确，满足采购需求,</w:t>
            </w:r>
            <w:r>
              <w:rPr>
                <w:rFonts w:hint="eastAsia" w:ascii="宋体" w:hAnsi="宋体" w:cs="宋体"/>
                <w:bCs/>
                <w:color w:val="auto"/>
                <w:kern w:val="0"/>
                <w:szCs w:val="21"/>
                <w:highlight w:val="none"/>
              </w:rPr>
              <w:t>能确保设备正常可靠安装及交付验收</w:t>
            </w:r>
            <w:r>
              <w:rPr>
                <w:rFonts w:hint="eastAsia" w:ascii="宋体" w:hAnsi="宋体"/>
                <w:color w:val="auto"/>
                <w:szCs w:val="21"/>
                <w:highlight w:val="none"/>
              </w:rPr>
              <w:t>的得</w:t>
            </w:r>
            <w:r>
              <w:rPr>
                <w:rFonts w:ascii="宋体" w:hAnsi="宋体"/>
                <w:color w:val="auto"/>
                <w:szCs w:val="21"/>
                <w:highlight w:val="none"/>
              </w:rPr>
              <w:t>5</w:t>
            </w:r>
            <w:r>
              <w:rPr>
                <w:rFonts w:hint="eastAsia" w:ascii="宋体" w:hAnsi="宋体"/>
                <w:color w:val="auto"/>
                <w:szCs w:val="21"/>
                <w:highlight w:val="none"/>
              </w:rPr>
              <w:t>分；</w:t>
            </w:r>
          </w:p>
          <w:p>
            <w:pPr>
              <w:tabs>
                <w:tab w:val="left" w:pos="720"/>
              </w:tabs>
              <w:rPr>
                <w:rFonts w:ascii="宋体" w:hAnsi="宋体"/>
                <w:color w:val="auto"/>
                <w:szCs w:val="21"/>
                <w:highlight w:val="none"/>
              </w:rPr>
            </w:pPr>
            <w:r>
              <w:rPr>
                <w:rFonts w:ascii="宋体" w:hAnsi="宋体"/>
                <w:color w:val="auto"/>
                <w:szCs w:val="21"/>
                <w:highlight w:val="none"/>
              </w:rPr>
              <w:fldChar w:fldCharType="begin"/>
            </w:r>
            <w:r>
              <w:rPr>
                <w:rFonts w:hint="eastAsia" w:ascii="宋体" w:hAnsi="宋体"/>
                <w:color w:val="auto"/>
                <w:szCs w:val="21"/>
                <w:highlight w:val="none"/>
              </w:rPr>
              <w:instrText xml:space="preserve">= 2 \* GB3</w:instrText>
            </w:r>
            <w:r>
              <w:rPr>
                <w:rFonts w:ascii="宋体" w:hAnsi="宋体"/>
                <w:color w:val="auto"/>
                <w:szCs w:val="21"/>
                <w:highlight w:val="none"/>
              </w:rPr>
              <w:fldChar w:fldCharType="separate"/>
            </w:r>
            <w:r>
              <w:rPr>
                <w:rFonts w:hint="eastAsia" w:ascii="宋体" w:hAnsi="宋体"/>
                <w:color w:val="auto"/>
                <w:szCs w:val="21"/>
                <w:highlight w:val="none"/>
              </w:rPr>
              <w:t>②</w:t>
            </w:r>
            <w:r>
              <w:rPr>
                <w:rFonts w:ascii="宋体" w:hAnsi="宋体"/>
                <w:color w:val="auto"/>
                <w:szCs w:val="21"/>
                <w:highlight w:val="none"/>
              </w:rPr>
              <w:fldChar w:fldCharType="end"/>
            </w:r>
            <w:r>
              <w:rPr>
                <w:rFonts w:hint="eastAsia" w:ascii="宋体" w:hAnsi="宋体"/>
                <w:color w:val="auto"/>
                <w:szCs w:val="21"/>
                <w:highlight w:val="none"/>
              </w:rPr>
              <w:t>安装调试方案比较完善，方案合理可行，</w:t>
            </w:r>
            <w:r>
              <w:rPr>
                <w:rFonts w:hint="eastAsia" w:ascii="宋体" w:hAnsi="宋体" w:cs="宋体"/>
                <w:bCs/>
                <w:color w:val="auto"/>
                <w:kern w:val="0"/>
                <w:szCs w:val="21"/>
                <w:highlight w:val="none"/>
              </w:rPr>
              <w:t>存在一定缺陷，但</w:t>
            </w:r>
            <w:r>
              <w:rPr>
                <w:rFonts w:hint="eastAsia" w:ascii="宋体" w:hAnsi="宋体"/>
                <w:color w:val="auto"/>
                <w:szCs w:val="21"/>
                <w:highlight w:val="none"/>
              </w:rPr>
              <w:t>基本能够满足采购需求，保障设备安装及交付验收</w:t>
            </w:r>
            <w:r>
              <w:rPr>
                <w:rFonts w:hint="eastAsia" w:ascii="宋体" w:hAnsi="宋体" w:cs="宋体"/>
                <w:bCs/>
                <w:color w:val="auto"/>
                <w:kern w:val="0"/>
                <w:szCs w:val="21"/>
                <w:highlight w:val="none"/>
              </w:rPr>
              <w:t>的</w:t>
            </w:r>
            <w:r>
              <w:rPr>
                <w:rFonts w:hint="eastAsia" w:ascii="宋体" w:hAnsi="宋体"/>
                <w:color w:val="auto"/>
                <w:szCs w:val="21"/>
                <w:highlight w:val="none"/>
              </w:rPr>
              <w:t>得3</w:t>
            </w:r>
            <w:r>
              <w:rPr>
                <w:rFonts w:ascii="宋体" w:hAnsi="宋体"/>
                <w:color w:val="auto"/>
                <w:szCs w:val="21"/>
                <w:highlight w:val="none"/>
              </w:rPr>
              <w:t>.5</w:t>
            </w:r>
            <w:r>
              <w:rPr>
                <w:rFonts w:hint="eastAsia" w:ascii="宋体" w:hAnsi="宋体"/>
                <w:color w:val="auto"/>
                <w:szCs w:val="21"/>
                <w:highlight w:val="none"/>
              </w:rPr>
              <w:t>分；</w:t>
            </w:r>
          </w:p>
          <w:p>
            <w:pPr>
              <w:tabs>
                <w:tab w:val="left" w:pos="720"/>
              </w:tabs>
              <w:rPr>
                <w:rFonts w:ascii="宋体" w:hAnsi="宋体"/>
                <w:color w:val="auto"/>
                <w:szCs w:val="21"/>
                <w:highlight w:val="none"/>
              </w:rPr>
            </w:pPr>
            <w:r>
              <w:rPr>
                <w:rFonts w:ascii="宋体" w:hAnsi="宋体"/>
                <w:color w:val="auto"/>
                <w:szCs w:val="21"/>
                <w:highlight w:val="none"/>
              </w:rPr>
              <w:fldChar w:fldCharType="begin"/>
            </w:r>
            <w:r>
              <w:rPr>
                <w:rFonts w:hint="eastAsia" w:ascii="宋体" w:hAnsi="宋体"/>
                <w:color w:val="auto"/>
                <w:szCs w:val="21"/>
                <w:highlight w:val="none"/>
              </w:rPr>
              <w:instrText xml:space="preserve">= 3 \* GB3</w:instrText>
            </w:r>
            <w:r>
              <w:rPr>
                <w:rFonts w:ascii="宋体" w:hAnsi="宋体"/>
                <w:color w:val="auto"/>
                <w:szCs w:val="21"/>
                <w:highlight w:val="none"/>
              </w:rPr>
              <w:fldChar w:fldCharType="separate"/>
            </w:r>
            <w:r>
              <w:rPr>
                <w:rFonts w:hint="eastAsia" w:ascii="宋体" w:hAnsi="宋体"/>
                <w:color w:val="auto"/>
                <w:szCs w:val="21"/>
                <w:highlight w:val="none"/>
              </w:rPr>
              <w:t>③</w:t>
            </w:r>
            <w:r>
              <w:rPr>
                <w:rFonts w:ascii="宋体" w:hAnsi="宋体"/>
                <w:color w:val="auto"/>
                <w:szCs w:val="21"/>
                <w:highlight w:val="none"/>
              </w:rPr>
              <w:fldChar w:fldCharType="end"/>
            </w:r>
            <w:r>
              <w:rPr>
                <w:rFonts w:hint="eastAsia" w:ascii="宋体" w:hAnsi="宋体"/>
                <w:color w:val="auto"/>
                <w:szCs w:val="21"/>
                <w:highlight w:val="none"/>
              </w:rPr>
              <w:t>安装调试方案存在较多的欠缺，内容简略欠合理，影响设备安装及交付验收的得</w:t>
            </w:r>
            <w:r>
              <w:rPr>
                <w:rFonts w:ascii="宋体" w:hAnsi="宋体"/>
                <w:color w:val="auto"/>
                <w:szCs w:val="21"/>
                <w:highlight w:val="none"/>
              </w:rPr>
              <w:t>2</w:t>
            </w:r>
            <w:r>
              <w:rPr>
                <w:rFonts w:hint="eastAsia" w:ascii="宋体" w:hAnsi="宋体"/>
                <w:color w:val="auto"/>
                <w:szCs w:val="21"/>
                <w:highlight w:val="none"/>
              </w:rPr>
              <w:t>分；</w:t>
            </w:r>
          </w:p>
          <w:p>
            <w:pPr>
              <w:tabs>
                <w:tab w:val="left" w:pos="720"/>
              </w:tabs>
              <w:rPr>
                <w:rFonts w:ascii="宋体" w:hAnsi="宋体"/>
                <w:color w:val="auto"/>
                <w:szCs w:val="21"/>
                <w:highlight w:val="none"/>
              </w:rPr>
            </w:pPr>
            <w:r>
              <w:rPr>
                <w:rFonts w:ascii="宋体" w:hAnsi="宋体"/>
                <w:color w:val="auto"/>
                <w:szCs w:val="21"/>
                <w:highlight w:val="none"/>
              </w:rPr>
              <w:fldChar w:fldCharType="begin"/>
            </w:r>
            <w:r>
              <w:rPr>
                <w:rFonts w:hint="eastAsia" w:ascii="宋体" w:hAnsi="宋体"/>
                <w:color w:val="auto"/>
                <w:szCs w:val="21"/>
                <w:highlight w:val="none"/>
              </w:rPr>
              <w:instrText xml:space="preserve">= 4 \* GB3</w:instrText>
            </w:r>
            <w:r>
              <w:rPr>
                <w:rFonts w:ascii="宋体" w:hAnsi="宋体"/>
                <w:color w:val="auto"/>
                <w:szCs w:val="21"/>
                <w:highlight w:val="none"/>
              </w:rPr>
              <w:fldChar w:fldCharType="separate"/>
            </w:r>
            <w:r>
              <w:rPr>
                <w:rFonts w:hint="eastAsia" w:ascii="宋体" w:hAnsi="宋体"/>
                <w:color w:val="auto"/>
                <w:szCs w:val="21"/>
                <w:highlight w:val="none"/>
              </w:rPr>
              <w:t>④</w:t>
            </w:r>
            <w:r>
              <w:rPr>
                <w:rFonts w:ascii="宋体" w:hAnsi="宋体"/>
                <w:color w:val="auto"/>
                <w:szCs w:val="21"/>
                <w:highlight w:val="none"/>
              </w:rPr>
              <w:fldChar w:fldCharType="end"/>
            </w:r>
            <w:r>
              <w:rPr>
                <w:rFonts w:hint="eastAsia" w:ascii="宋体" w:hAnsi="宋体"/>
                <w:color w:val="auto"/>
                <w:szCs w:val="21"/>
                <w:highlight w:val="none"/>
              </w:rPr>
              <w:t>安装调试方案明显不妥，缺乏合理性和可行性，对项目实施有较大影响或未提供方案的不得分。</w:t>
            </w:r>
          </w:p>
        </w:tc>
        <w:tc>
          <w:tcPr>
            <w:tcW w:w="634" w:type="pct"/>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0-</w:t>
            </w:r>
            <w:r>
              <w:rPr>
                <w:rFonts w:ascii="宋体" w:hAnsi="宋体" w:cs="宋体"/>
                <w:color w:val="auto"/>
                <w:szCs w:val="21"/>
                <w:highlight w:val="none"/>
                <w:u w:val="single"/>
              </w:rPr>
              <w:t>5</w:t>
            </w:r>
            <w:r>
              <w:rPr>
                <w:rFonts w:hint="eastAsia" w:ascii="宋体"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15" w:type="pct"/>
            <w:vMerge w:val="continue"/>
            <w:tcBorders>
              <w:left w:val="single" w:color="auto" w:sz="4" w:space="0"/>
              <w:right w:val="single" w:color="auto" w:sz="4" w:space="0"/>
            </w:tcBorders>
            <w:vAlign w:val="center"/>
          </w:tcPr>
          <w:p>
            <w:pPr>
              <w:ind w:firstLine="422"/>
              <w:jc w:val="center"/>
              <w:rPr>
                <w:rFonts w:ascii="宋体" w:hAnsi="宋体"/>
                <w:b/>
                <w:bCs/>
                <w:color w:val="auto"/>
                <w:szCs w:val="21"/>
                <w:highlight w:val="none"/>
              </w:rPr>
            </w:pPr>
          </w:p>
        </w:tc>
        <w:tc>
          <w:tcPr>
            <w:tcW w:w="793" w:type="pct"/>
            <w:tcBorders>
              <w:top w:val="single" w:color="auto" w:sz="4" w:space="0"/>
              <w:left w:val="single" w:color="auto" w:sz="4" w:space="0"/>
              <w:bottom w:val="single" w:color="auto" w:sz="4" w:space="0"/>
              <w:right w:val="single" w:color="auto" w:sz="4" w:space="0"/>
            </w:tcBorders>
            <w:vAlign w:val="center"/>
          </w:tcPr>
          <w:p>
            <w:pPr>
              <w:ind w:right="-69" w:rightChars="-33"/>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.培训方案</w:t>
            </w:r>
          </w:p>
        </w:tc>
        <w:tc>
          <w:tcPr>
            <w:tcW w:w="2858" w:type="pct"/>
            <w:tcBorders>
              <w:top w:val="single" w:color="auto" w:sz="4" w:space="0"/>
              <w:left w:val="single" w:color="auto" w:sz="4" w:space="0"/>
              <w:bottom w:val="single" w:color="auto" w:sz="4" w:space="0"/>
              <w:right w:val="single" w:color="auto" w:sz="4" w:space="0"/>
            </w:tcBorders>
            <w:vAlign w:val="center"/>
          </w:tcPr>
          <w:p>
            <w:pPr>
              <w:tabs>
                <w:tab w:val="left" w:pos="720"/>
              </w:tabs>
              <w:rPr>
                <w:rFonts w:ascii="宋体" w:hAnsi="宋体" w:cs="宋体"/>
                <w:color w:val="auto"/>
                <w:szCs w:val="21"/>
                <w:highlight w:val="none"/>
              </w:rPr>
            </w:pPr>
            <w:r>
              <w:rPr>
                <w:rFonts w:hint="eastAsia" w:ascii="宋体" w:hAnsi="宋体"/>
                <w:color w:val="auto"/>
                <w:szCs w:val="21"/>
                <w:highlight w:val="none"/>
              </w:rPr>
              <w:t>根据投标人提供的培训方案</w:t>
            </w:r>
            <w:r>
              <w:rPr>
                <w:rFonts w:hint="eastAsia" w:ascii="宋体" w:hAnsi="宋体" w:cs="宋体"/>
                <w:bCs/>
                <w:color w:val="auto"/>
                <w:kern w:val="0"/>
                <w:szCs w:val="21"/>
                <w:highlight w:val="none"/>
              </w:rPr>
              <w:t>，包含</w:t>
            </w:r>
            <w:r>
              <w:rPr>
                <w:rFonts w:hint="eastAsia" w:ascii="宋体" w:hAnsi="宋体" w:cs="宋体"/>
                <w:color w:val="auto"/>
                <w:szCs w:val="21"/>
                <w:highlight w:val="none"/>
              </w:rPr>
              <w:t>培训时间安排是否合理；培训内容是否全面；培训人员专业能力是否良好；培训次数是否合理情况评议。</w:t>
            </w:r>
          </w:p>
          <w:p>
            <w:pPr>
              <w:tabs>
                <w:tab w:val="left" w:pos="720"/>
              </w:tabs>
              <w:rPr>
                <w:rFonts w:ascii="宋体" w:hAnsi="宋体" w:cs="宋体"/>
                <w:color w:val="auto"/>
                <w:szCs w:val="21"/>
                <w:highlight w:val="none"/>
              </w:rPr>
            </w:pPr>
            <w:r>
              <w:rPr>
                <w:rFonts w:ascii="宋体" w:hAnsi="宋体"/>
                <w:color w:val="auto"/>
                <w:szCs w:val="21"/>
                <w:highlight w:val="none"/>
              </w:rPr>
              <w:fldChar w:fldCharType="begin"/>
            </w:r>
            <w:r>
              <w:rPr>
                <w:rFonts w:hint="eastAsia" w:ascii="宋体" w:hAnsi="宋体"/>
                <w:color w:val="auto"/>
                <w:szCs w:val="21"/>
                <w:highlight w:val="none"/>
              </w:rPr>
              <w:instrText xml:space="preserve">= 1 \* GB3</w:instrText>
            </w:r>
            <w:r>
              <w:rPr>
                <w:rFonts w:ascii="宋体" w:hAnsi="宋体"/>
                <w:color w:val="auto"/>
                <w:szCs w:val="21"/>
                <w:highlight w:val="none"/>
              </w:rPr>
              <w:fldChar w:fldCharType="separate"/>
            </w:r>
            <w:r>
              <w:rPr>
                <w:rFonts w:hint="eastAsia" w:ascii="宋体" w:hAnsi="宋体"/>
                <w:color w:val="auto"/>
                <w:szCs w:val="21"/>
                <w:highlight w:val="none"/>
              </w:rPr>
              <w:t>①</w:t>
            </w:r>
            <w:r>
              <w:rPr>
                <w:rFonts w:ascii="宋体" w:hAnsi="宋体"/>
                <w:color w:val="auto"/>
                <w:szCs w:val="21"/>
                <w:highlight w:val="none"/>
              </w:rPr>
              <w:fldChar w:fldCharType="end"/>
            </w:r>
            <w:r>
              <w:rPr>
                <w:rFonts w:hint="eastAsia" w:ascii="宋体" w:hAnsi="宋体" w:cs="宋体"/>
                <w:color w:val="auto"/>
                <w:szCs w:val="21"/>
                <w:highlight w:val="none"/>
              </w:rPr>
              <w:t>人员培训方案与项目实际相结合，培训时间、场地安排合理，培训内容符合设备使用需求，培训效果能确保设备使用人员熟练使用设备的得5分；</w:t>
            </w:r>
          </w:p>
          <w:p>
            <w:pPr>
              <w:tabs>
                <w:tab w:val="left" w:pos="720"/>
              </w:tabs>
              <w:rPr>
                <w:rFonts w:ascii="宋体" w:hAnsi="宋体" w:cs="宋体"/>
                <w:color w:val="auto"/>
                <w:szCs w:val="21"/>
                <w:highlight w:val="none"/>
              </w:rPr>
            </w:pPr>
            <w:r>
              <w:rPr>
                <w:rFonts w:ascii="宋体" w:hAnsi="宋体"/>
                <w:color w:val="auto"/>
                <w:szCs w:val="21"/>
                <w:highlight w:val="none"/>
              </w:rPr>
              <w:fldChar w:fldCharType="begin"/>
            </w:r>
            <w:r>
              <w:rPr>
                <w:rFonts w:hint="eastAsia" w:ascii="宋体" w:hAnsi="宋体"/>
                <w:color w:val="auto"/>
                <w:szCs w:val="21"/>
                <w:highlight w:val="none"/>
              </w:rPr>
              <w:instrText xml:space="preserve">= 2 \* GB3</w:instrText>
            </w:r>
            <w:r>
              <w:rPr>
                <w:rFonts w:ascii="宋体" w:hAnsi="宋体"/>
                <w:color w:val="auto"/>
                <w:szCs w:val="21"/>
                <w:highlight w:val="none"/>
              </w:rPr>
              <w:fldChar w:fldCharType="separate"/>
            </w:r>
            <w:r>
              <w:rPr>
                <w:rFonts w:hint="eastAsia" w:ascii="宋体" w:hAnsi="宋体"/>
                <w:color w:val="auto"/>
                <w:szCs w:val="21"/>
                <w:highlight w:val="none"/>
              </w:rPr>
              <w:t>②</w:t>
            </w:r>
            <w:r>
              <w:rPr>
                <w:rFonts w:ascii="宋体" w:hAnsi="宋体"/>
                <w:color w:val="auto"/>
                <w:szCs w:val="21"/>
                <w:highlight w:val="none"/>
              </w:rPr>
              <w:fldChar w:fldCharType="end"/>
            </w:r>
            <w:r>
              <w:rPr>
                <w:rFonts w:hint="eastAsia" w:ascii="宋体" w:hAnsi="宋体" w:cs="宋体"/>
                <w:color w:val="auto"/>
                <w:szCs w:val="21"/>
                <w:highlight w:val="none"/>
              </w:rPr>
              <w:t>人员培训方案</w:t>
            </w:r>
            <w:r>
              <w:rPr>
                <w:rFonts w:hint="eastAsia" w:ascii="宋体" w:hAnsi="宋体"/>
                <w:color w:val="auto"/>
                <w:szCs w:val="21"/>
                <w:highlight w:val="none"/>
              </w:rPr>
              <w:t>比较</w:t>
            </w:r>
            <w:r>
              <w:rPr>
                <w:rFonts w:hint="eastAsia" w:ascii="宋体" w:hAnsi="宋体" w:cs="宋体"/>
                <w:color w:val="auto"/>
                <w:szCs w:val="21"/>
                <w:highlight w:val="none"/>
              </w:rPr>
              <w:t>完善</w:t>
            </w:r>
            <w:r>
              <w:rPr>
                <w:rFonts w:hint="eastAsia" w:ascii="宋体" w:hAnsi="宋体"/>
                <w:color w:val="auto"/>
                <w:szCs w:val="21"/>
                <w:highlight w:val="none"/>
              </w:rPr>
              <w:t>，各项工作安排妥当，能够保证设备使用人员正常使用设备</w:t>
            </w:r>
            <w:r>
              <w:rPr>
                <w:rFonts w:hint="eastAsia" w:ascii="宋体" w:hAnsi="宋体" w:cs="宋体"/>
                <w:color w:val="auto"/>
                <w:szCs w:val="21"/>
                <w:highlight w:val="none"/>
              </w:rPr>
              <w:t>的得3.5分；</w:t>
            </w:r>
          </w:p>
          <w:p>
            <w:pPr>
              <w:tabs>
                <w:tab w:val="left" w:pos="720"/>
              </w:tabs>
              <w:rPr>
                <w:rFonts w:ascii="宋体" w:hAnsi="宋体" w:cs="宋体"/>
                <w:color w:val="auto"/>
                <w:szCs w:val="21"/>
                <w:highlight w:val="none"/>
              </w:rPr>
            </w:pPr>
            <w:r>
              <w:rPr>
                <w:rFonts w:ascii="宋体" w:hAnsi="宋体"/>
                <w:color w:val="auto"/>
                <w:szCs w:val="21"/>
                <w:highlight w:val="none"/>
              </w:rPr>
              <w:fldChar w:fldCharType="begin"/>
            </w:r>
            <w:r>
              <w:rPr>
                <w:rFonts w:hint="eastAsia" w:ascii="宋体" w:hAnsi="宋体"/>
                <w:color w:val="auto"/>
                <w:szCs w:val="21"/>
                <w:highlight w:val="none"/>
              </w:rPr>
              <w:instrText xml:space="preserve">= 3 \* GB3</w:instrText>
            </w:r>
            <w:r>
              <w:rPr>
                <w:rFonts w:ascii="宋体" w:hAnsi="宋体"/>
                <w:color w:val="auto"/>
                <w:szCs w:val="21"/>
                <w:highlight w:val="none"/>
              </w:rPr>
              <w:fldChar w:fldCharType="separate"/>
            </w:r>
            <w:r>
              <w:rPr>
                <w:rFonts w:hint="eastAsia" w:ascii="宋体" w:hAnsi="宋体"/>
                <w:color w:val="auto"/>
                <w:szCs w:val="21"/>
                <w:highlight w:val="none"/>
              </w:rPr>
              <w:t>③</w:t>
            </w:r>
            <w:r>
              <w:rPr>
                <w:rFonts w:ascii="宋体" w:hAnsi="宋体"/>
                <w:color w:val="auto"/>
                <w:szCs w:val="21"/>
                <w:highlight w:val="none"/>
              </w:rPr>
              <w:fldChar w:fldCharType="end"/>
            </w:r>
            <w:r>
              <w:rPr>
                <w:rFonts w:hint="eastAsia" w:ascii="宋体" w:hAnsi="宋体" w:cs="宋体"/>
                <w:color w:val="auto"/>
                <w:szCs w:val="21"/>
                <w:highlight w:val="none"/>
              </w:rPr>
              <w:t>人员培训方案没有结合设备使用需求，培训方案内容简略，合理性和可行性不足，缺陷较多的得2分；</w:t>
            </w:r>
          </w:p>
          <w:p>
            <w:pPr>
              <w:tabs>
                <w:tab w:val="left" w:pos="720"/>
              </w:tabs>
              <w:rPr>
                <w:rFonts w:ascii="宋体" w:hAnsi="宋体" w:cs="宋体"/>
                <w:color w:val="auto"/>
                <w:szCs w:val="21"/>
                <w:highlight w:val="none"/>
              </w:rPr>
            </w:pPr>
            <w:r>
              <w:rPr>
                <w:rFonts w:ascii="宋体" w:hAnsi="宋体"/>
                <w:color w:val="auto"/>
                <w:szCs w:val="21"/>
                <w:highlight w:val="none"/>
              </w:rPr>
              <w:fldChar w:fldCharType="begin"/>
            </w:r>
            <w:r>
              <w:rPr>
                <w:rFonts w:hint="eastAsia" w:ascii="宋体" w:hAnsi="宋体"/>
                <w:color w:val="auto"/>
                <w:szCs w:val="21"/>
                <w:highlight w:val="none"/>
              </w:rPr>
              <w:instrText xml:space="preserve">= 4 \* GB3</w:instrText>
            </w:r>
            <w:r>
              <w:rPr>
                <w:rFonts w:ascii="宋体" w:hAnsi="宋体"/>
                <w:color w:val="auto"/>
                <w:szCs w:val="21"/>
                <w:highlight w:val="none"/>
              </w:rPr>
              <w:fldChar w:fldCharType="separate"/>
            </w:r>
            <w:r>
              <w:rPr>
                <w:rFonts w:hint="eastAsia" w:ascii="宋体" w:hAnsi="宋体"/>
                <w:color w:val="auto"/>
                <w:szCs w:val="21"/>
                <w:highlight w:val="none"/>
              </w:rPr>
              <w:t>④</w:t>
            </w:r>
            <w:r>
              <w:rPr>
                <w:rFonts w:ascii="宋体" w:hAnsi="宋体"/>
                <w:color w:val="auto"/>
                <w:szCs w:val="21"/>
                <w:highlight w:val="none"/>
              </w:rPr>
              <w:fldChar w:fldCharType="end"/>
            </w:r>
            <w:r>
              <w:rPr>
                <w:rFonts w:hint="eastAsia" w:ascii="宋体" w:hAnsi="宋体"/>
                <w:color w:val="auto"/>
                <w:szCs w:val="21"/>
                <w:highlight w:val="none"/>
              </w:rPr>
              <w:t>培训方案明显不符合项目实际情况或</w:t>
            </w:r>
            <w:r>
              <w:rPr>
                <w:rFonts w:hint="eastAsia" w:ascii="宋体" w:hAnsi="宋体" w:cs="宋体"/>
                <w:color w:val="auto"/>
                <w:szCs w:val="21"/>
                <w:highlight w:val="none"/>
              </w:rPr>
              <w:t>未提供相关内容的不得分。</w:t>
            </w:r>
          </w:p>
        </w:tc>
        <w:tc>
          <w:tcPr>
            <w:tcW w:w="63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auto"/>
                <w:szCs w:val="21"/>
                <w:highlight w:val="none"/>
              </w:rPr>
            </w:pPr>
            <w:r>
              <w:rPr>
                <w:rFonts w:hint="eastAsia" w:ascii="宋体" w:hAnsi="宋体"/>
                <w:color w:val="auto"/>
                <w:szCs w:val="21"/>
                <w:highlight w:val="none"/>
              </w:rPr>
              <w:t>0-</w:t>
            </w:r>
            <w:r>
              <w:rPr>
                <w:rFonts w:hint="eastAsia" w:ascii="宋体" w:hAnsi="宋体" w:cs="宋体"/>
                <w:color w:val="auto"/>
                <w:szCs w:val="21"/>
                <w:highlight w:val="none"/>
                <w:u w:val="single"/>
              </w:rPr>
              <w:t>5</w:t>
            </w:r>
            <w:r>
              <w:rPr>
                <w:rFonts w:hint="eastAsia" w:ascii="宋体"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15" w:type="pct"/>
            <w:vMerge w:val="continue"/>
            <w:tcBorders>
              <w:left w:val="single" w:color="auto" w:sz="4" w:space="0"/>
              <w:right w:val="single" w:color="auto" w:sz="4" w:space="0"/>
            </w:tcBorders>
            <w:vAlign w:val="center"/>
          </w:tcPr>
          <w:p>
            <w:pPr>
              <w:ind w:firstLine="422"/>
              <w:jc w:val="center"/>
              <w:rPr>
                <w:rFonts w:ascii="宋体" w:hAnsi="宋体"/>
                <w:b/>
                <w:bCs/>
                <w:color w:val="auto"/>
                <w:szCs w:val="21"/>
                <w:highlight w:val="none"/>
              </w:rPr>
            </w:pPr>
          </w:p>
        </w:tc>
        <w:tc>
          <w:tcPr>
            <w:tcW w:w="793" w:type="pct"/>
            <w:tcBorders>
              <w:top w:val="single" w:color="auto" w:sz="4" w:space="0"/>
              <w:left w:val="single" w:color="auto" w:sz="4" w:space="0"/>
              <w:bottom w:val="single" w:color="auto" w:sz="4" w:space="0"/>
              <w:right w:val="single" w:color="auto" w:sz="4" w:space="0"/>
            </w:tcBorders>
            <w:vAlign w:val="center"/>
          </w:tcPr>
          <w:p>
            <w:pPr>
              <w:ind w:right="-69" w:rightChars="-33"/>
              <w:jc w:val="left"/>
              <w:rPr>
                <w:rFonts w:ascii="宋体" w:hAnsi="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售后服务</w:t>
            </w:r>
          </w:p>
        </w:tc>
        <w:tc>
          <w:tcPr>
            <w:tcW w:w="2858" w:type="pct"/>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根据供应商提供的售后服务机构、售后服务响应时间、响应能力以及技术指导进行评审。</w:t>
            </w:r>
          </w:p>
          <w:p>
            <w:pPr>
              <w:snapToGrid w:val="0"/>
              <w:rPr>
                <w:rFonts w:ascii="宋体" w:hAnsi="宋体" w:cs="宋体"/>
                <w:color w:val="auto"/>
                <w:szCs w:val="21"/>
                <w:highlight w:val="none"/>
              </w:rPr>
            </w:pPr>
            <w:r>
              <w:rPr>
                <w:rFonts w:hint="eastAsia" w:ascii="宋体" w:hAnsi="宋体" w:cs="宋体"/>
                <w:color w:val="auto"/>
                <w:szCs w:val="21"/>
                <w:highlight w:val="none"/>
              </w:rPr>
              <w:t>①售后服务技术支持模式内容全面、保障措施有力、维保措施合理、针对性和可操作性强的得</w:t>
            </w:r>
            <w:r>
              <w:rPr>
                <w:rFonts w:ascii="宋体" w:hAnsi="宋体" w:cs="宋体"/>
                <w:color w:val="auto"/>
                <w:szCs w:val="21"/>
                <w:highlight w:val="none"/>
              </w:rPr>
              <w:t>5</w:t>
            </w:r>
            <w:r>
              <w:rPr>
                <w:rFonts w:hint="eastAsia" w:ascii="宋体" w:hAnsi="宋体" w:cs="宋体"/>
                <w:color w:val="auto"/>
                <w:szCs w:val="21"/>
                <w:highlight w:val="none"/>
              </w:rPr>
              <w:t>分；</w:t>
            </w:r>
          </w:p>
          <w:p>
            <w:pPr>
              <w:snapToGrid w:val="0"/>
              <w:rPr>
                <w:rFonts w:ascii="宋体" w:hAnsi="宋体" w:cs="宋体"/>
                <w:color w:val="auto"/>
                <w:szCs w:val="21"/>
                <w:highlight w:val="none"/>
              </w:rPr>
            </w:pPr>
            <w:r>
              <w:rPr>
                <w:rFonts w:hint="eastAsia" w:ascii="宋体" w:hAnsi="宋体" w:cs="宋体"/>
                <w:color w:val="auto"/>
                <w:szCs w:val="21"/>
                <w:highlight w:val="none"/>
              </w:rPr>
              <w:t>②售后服务技术支持模式内容较全面、保障措施可行、维保措施合理、针对性和可操作性较强的得</w:t>
            </w:r>
            <w:r>
              <w:rPr>
                <w:rFonts w:ascii="宋体" w:hAnsi="宋体" w:cs="宋体"/>
                <w:color w:val="auto"/>
                <w:szCs w:val="21"/>
                <w:highlight w:val="none"/>
              </w:rPr>
              <w:t>3.5</w:t>
            </w:r>
            <w:r>
              <w:rPr>
                <w:rFonts w:hint="eastAsia" w:ascii="宋体" w:hAnsi="宋体" w:cs="宋体"/>
                <w:color w:val="auto"/>
                <w:szCs w:val="21"/>
                <w:highlight w:val="none"/>
              </w:rPr>
              <w:t>分；</w:t>
            </w:r>
          </w:p>
          <w:p>
            <w:pPr>
              <w:snapToGrid w:val="0"/>
              <w:rPr>
                <w:rFonts w:ascii="宋体" w:hAnsi="宋体" w:cs="宋体"/>
                <w:color w:val="auto"/>
                <w:szCs w:val="21"/>
                <w:highlight w:val="none"/>
              </w:rPr>
            </w:pPr>
            <w:r>
              <w:rPr>
                <w:rFonts w:hint="eastAsia" w:ascii="宋体" w:hAnsi="宋体" w:cs="宋体"/>
                <w:color w:val="auto"/>
                <w:szCs w:val="21"/>
                <w:highlight w:val="none"/>
              </w:rPr>
              <w:t>③无法提供良好的售后技术支持保障服务的得2分；</w:t>
            </w:r>
          </w:p>
          <w:p>
            <w:pPr>
              <w:tabs>
                <w:tab w:val="left" w:pos="720"/>
              </w:tabs>
              <w:rPr>
                <w:rFonts w:ascii="宋体" w:hAnsi="宋体"/>
                <w:color w:val="auto"/>
                <w:szCs w:val="21"/>
                <w:highlight w:val="none"/>
              </w:rPr>
            </w:pPr>
            <w:r>
              <w:rPr>
                <w:rFonts w:hint="eastAsia" w:ascii="宋体" w:hAnsi="宋体" w:cs="宋体"/>
                <w:color w:val="auto"/>
                <w:szCs w:val="21"/>
                <w:highlight w:val="none"/>
                <w:lang w:eastAsia="zh-Hans"/>
              </w:rPr>
              <w:t>④</w:t>
            </w:r>
            <w:r>
              <w:rPr>
                <w:rFonts w:hint="eastAsia" w:ascii="宋体" w:hAnsi="宋体" w:cs="宋体"/>
                <w:color w:val="auto"/>
                <w:szCs w:val="21"/>
                <w:highlight w:val="none"/>
              </w:rPr>
              <w:t>未提供不得分。</w:t>
            </w:r>
          </w:p>
        </w:tc>
        <w:tc>
          <w:tcPr>
            <w:tcW w:w="63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0-</w:t>
            </w:r>
            <w:r>
              <w:rPr>
                <w:rFonts w:hint="eastAsia" w:ascii="宋体" w:hAnsi="宋体" w:cs="宋体"/>
                <w:color w:val="auto"/>
                <w:szCs w:val="21"/>
                <w:highlight w:val="none"/>
                <w:u w:val="single"/>
              </w:rPr>
              <w:t>5</w:t>
            </w:r>
            <w:r>
              <w:rPr>
                <w:rFonts w:hint="eastAsia" w:ascii="宋体"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trPr>
        <w:tc>
          <w:tcPr>
            <w:tcW w:w="715" w:type="pct"/>
            <w:vMerge w:val="continue"/>
            <w:tcBorders>
              <w:left w:val="single" w:color="auto" w:sz="4" w:space="0"/>
              <w:right w:val="single" w:color="auto" w:sz="4" w:space="0"/>
            </w:tcBorders>
            <w:vAlign w:val="center"/>
          </w:tcPr>
          <w:p>
            <w:pPr>
              <w:ind w:firstLine="422"/>
              <w:jc w:val="center"/>
              <w:rPr>
                <w:rFonts w:ascii="宋体" w:hAnsi="宋体"/>
                <w:b/>
                <w:bCs/>
                <w:color w:val="auto"/>
                <w:szCs w:val="21"/>
                <w:highlight w:val="none"/>
              </w:rPr>
            </w:pPr>
          </w:p>
        </w:tc>
        <w:tc>
          <w:tcPr>
            <w:tcW w:w="793" w:type="pct"/>
            <w:tcBorders>
              <w:top w:val="single" w:color="auto" w:sz="4" w:space="0"/>
              <w:left w:val="single" w:color="auto" w:sz="4" w:space="0"/>
              <w:right w:val="single" w:color="auto" w:sz="4" w:space="0"/>
            </w:tcBorders>
            <w:vAlign w:val="center"/>
          </w:tcPr>
          <w:p>
            <w:pPr>
              <w:tabs>
                <w:tab w:val="left" w:pos="720"/>
              </w:tabs>
              <w:rPr>
                <w:rFonts w:ascii="宋体" w:hAnsi="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w:t>
            </w:r>
            <w:r>
              <w:rPr>
                <w:rFonts w:hint="eastAsia" w:ascii="宋体" w:hAnsi="宋体" w:cs="宋体"/>
                <w:color w:val="auto"/>
                <w:szCs w:val="21"/>
                <w:highlight w:val="none"/>
              </w:rPr>
              <w:t>拟派团队人员情况</w:t>
            </w:r>
          </w:p>
        </w:tc>
        <w:tc>
          <w:tcPr>
            <w:tcW w:w="2858" w:type="pct"/>
            <w:tcBorders>
              <w:top w:val="single" w:color="auto" w:sz="4" w:space="0"/>
              <w:left w:val="single" w:color="auto" w:sz="4" w:space="0"/>
              <w:right w:val="single" w:color="auto" w:sz="4" w:space="0"/>
            </w:tcBorders>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投标人针对本项目的拟派人员（包含但不仅限于</w:t>
            </w:r>
            <w:r>
              <w:rPr>
                <w:rFonts w:hint="eastAsia" w:ascii="宋体" w:hAnsi="宋体" w:cs="宋体"/>
                <w:color w:val="auto"/>
                <w:szCs w:val="21"/>
                <w:highlight w:val="none"/>
                <w:lang w:eastAsia="zh-Hans"/>
              </w:rPr>
              <w:t>安装调试人员</w:t>
            </w:r>
            <w:r>
              <w:rPr>
                <w:rFonts w:ascii="宋体" w:hAnsi="宋体" w:cs="宋体"/>
                <w:color w:val="auto"/>
                <w:szCs w:val="21"/>
                <w:highlight w:val="none"/>
                <w:lang w:eastAsia="zh-Hans"/>
              </w:rPr>
              <w:t>、</w:t>
            </w:r>
            <w:r>
              <w:rPr>
                <w:rFonts w:hint="eastAsia" w:ascii="宋体" w:hAnsi="宋体" w:cs="宋体"/>
                <w:color w:val="auto"/>
                <w:szCs w:val="21"/>
                <w:highlight w:val="none"/>
              </w:rPr>
              <w:t>维修人员</w:t>
            </w:r>
            <w:r>
              <w:rPr>
                <w:rFonts w:hint="eastAsia" w:ascii="宋体" w:hAnsi="宋体" w:cs="宋体"/>
                <w:color w:val="auto"/>
                <w:szCs w:val="21"/>
                <w:highlight w:val="none"/>
                <w:lang w:eastAsia="zh-Hans"/>
              </w:rPr>
              <w:t>等</w:t>
            </w:r>
            <w:r>
              <w:rPr>
                <w:rFonts w:hint="eastAsia" w:ascii="宋体" w:hAnsi="宋体" w:cs="宋体"/>
                <w:color w:val="auto"/>
                <w:szCs w:val="21"/>
                <w:highlight w:val="none"/>
              </w:rPr>
              <w:t>）数量、经验和其它与项目有关的进行评议</w:t>
            </w:r>
          </w:p>
          <w:p>
            <w:pPr>
              <w:snapToGrid w:val="0"/>
              <w:rPr>
                <w:rFonts w:ascii="宋体" w:hAnsi="宋体" w:cs="宋体"/>
                <w:color w:val="auto"/>
                <w:szCs w:val="21"/>
                <w:highlight w:val="none"/>
              </w:rPr>
            </w:pPr>
            <w:r>
              <w:rPr>
                <w:rFonts w:hint="eastAsia" w:ascii="宋体" w:hAnsi="宋体" w:cs="宋体"/>
                <w:color w:val="auto"/>
                <w:szCs w:val="21"/>
                <w:highlight w:val="none"/>
              </w:rPr>
              <w:t>①人员配备合理、齐全，从事本专业经验丰富、具有相关专业从业资格（资质）证书，充分保障项目实施需要得5分；</w:t>
            </w:r>
          </w:p>
          <w:p>
            <w:pPr>
              <w:snapToGrid w:val="0"/>
              <w:rPr>
                <w:rFonts w:ascii="宋体" w:hAnsi="宋体" w:cs="宋体"/>
                <w:color w:val="auto"/>
                <w:szCs w:val="21"/>
                <w:highlight w:val="none"/>
              </w:rPr>
            </w:pPr>
            <w:r>
              <w:rPr>
                <w:rFonts w:hint="eastAsia" w:ascii="宋体" w:hAnsi="宋体" w:cs="宋体"/>
                <w:color w:val="auto"/>
                <w:szCs w:val="21"/>
                <w:highlight w:val="none"/>
              </w:rPr>
              <w:t>②人员配备较全、从业资格（资质）、经验略欠缺，但基本满足项目实施需要的得3</w:t>
            </w:r>
            <w:r>
              <w:rPr>
                <w:rFonts w:ascii="宋体" w:hAnsi="宋体" w:cs="宋体"/>
                <w:color w:val="auto"/>
                <w:szCs w:val="21"/>
                <w:highlight w:val="none"/>
              </w:rPr>
              <w:t>.5</w:t>
            </w:r>
            <w:r>
              <w:rPr>
                <w:rFonts w:hint="eastAsia" w:ascii="宋体" w:hAnsi="宋体" w:cs="宋体"/>
                <w:color w:val="auto"/>
                <w:szCs w:val="21"/>
                <w:highlight w:val="none"/>
              </w:rPr>
              <w:t>分；</w:t>
            </w:r>
          </w:p>
          <w:p>
            <w:pPr>
              <w:snapToGrid w:val="0"/>
              <w:rPr>
                <w:rFonts w:ascii="宋体" w:hAnsi="宋体" w:cs="宋体"/>
                <w:color w:val="auto"/>
                <w:szCs w:val="21"/>
                <w:highlight w:val="none"/>
              </w:rPr>
            </w:pPr>
            <w:r>
              <w:rPr>
                <w:rFonts w:hint="eastAsia" w:ascii="宋体" w:hAnsi="宋体" w:cs="宋体"/>
                <w:color w:val="auto"/>
                <w:szCs w:val="21"/>
                <w:highlight w:val="none"/>
              </w:rPr>
              <w:t>③人员配备相对不足，相关从业能力欠缺的得</w:t>
            </w:r>
            <w:r>
              <w:rPr>
                <w:rFonts w:ascii="宋体" w:hAnsi="宋体" w:cs="宋体"/>
                <w:color w:val="auto"/>
                <w:szCs w:val="21"/>
                <w:highlight w:val="none"/>
              </w:rPr>
              <w:t>2</w:t>
            </w:r>
            <w:r>
              <w:rPr>
                <w:rFonts w:hint="eastAsia" w:ascii="宋体" w:hAnsi="宋体" w:cs="宋体"/>
                <w:color w:val="auto"/>
                <w:szCs w:val="21"/>
                <w:highlight w:val="none"/>
              </w:rPr>
              <w:t>分；</w:t>
            </w:r>
          </w:p>
          <w:p>
            <w:pPr>
              <w:snapToGrid w:val="0"/>
              <w:rPr>
                <w:rFonts w:ascii="宋体" w:hAnsi="宋体" w:cs="宋体"/>
                <w:color w:val="auto"/>
                <w:szCs w:val="21"/>
                <w:highlight w:val="none"/>
              </w:rPr>
            </w:pPr>
            <w:r>
              <w:rPr>
                <w:rFonts w:hint="eastAsia" w:ascii="宋体" w:hAnsi="宋体" w:cs="宋体"/>
                <w:color w:val="auto"/>
                <w:szCs w:val="21"/>
                <w:highlight w:val="none"/>
              </w:rPr>
              <w:t>④人员配备严重影响项目实施或未提供本项内容的不得分。</w:t>
            </w:r>
          </w:p>
        </w:tc>
        <w:tc>
          <w:tcPr>
            <w:tcW w:w="634" w:type="pct"/>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0-</w:t>
            </w:r>
            <w:r>
              <w:rPr>
                <w:rFonts w:hint="eastAsia" w:ascii="宋体" w:hAnsi="宋体" w:cs="宋体"/>
                <w:color w:val="auto"/>
                <w:szCs w:val="21"/>
                <w:highlight w:val="none"/>
                <w:u w:val="single"/>
              </w:rPr>
              <w:t>5</w:t>
            </w:r>
            <w:r>
              <w:rPr>
                <w:rFonts w:hint="eastAsia" w:ascii="宋体"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715" w:type="pct"/>
            <w:vMerge w:val="continue"/>
            <w:tcBorders>
              <w:left w:val="single" w:color="auto" w:sz="4" w:space="0"/>
              <w:right w:val="single" w:color="auto" w:sz="4" w:space="0"/>
            </w:tcBorders>
            <w:vAlign w:val="center"/>
          </w:tcPr>
          <w:p>
            <w:pPr>
              <w:ind w:firstLine="422"/>
              <w:jc w:val="center"/>
              <w:rPr>
                <w:rFonts w:ascii="宋体" w:hAnsi="宋体"/>
                <w:b/>
                <w:bCs/>
                <w:color w:val="auto"/>
                <w:szCs w:val="21"/>
                <w:highlight w:val="none"/>
              </w:rPr>
            </w:pPr>
          </w:p>
        </w:tc>
        <w:tc>
          <w:tcPr>
            <w:tcW w:w="793" w:type="pct"/>
            <w:tcBorders>
              <w:top w:val="single" w:color="auto" w:sz="4" w:space="0"/>
              <w:left w:val="single" w:color="auto" w:sz="4" w:space="0"/>
              <w:right w:val="single" w:color="auto" w:sz="4" w:space="0"/>
            </w:tcBorders>
            <w:vAlign w:val="center"/>
          </w:tcPr>
          <w:p>
            <w:pPr>
              <w:rPr>
                <w:rFonts w:ascii="宋体" w:hAns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.类似项目业绩</w:t>
            </w:r>
          </w:p>
        </w:tc>
        <w:tc>
          <w:tcPr>
            <w:tcW w:w="2858" w:type="pct"/>
            <w:tcBorders>
              <w:top w:val="single" w:color="auto" w:sz="4" w:space="0"/>
              <w:left w:val="single" w:color="auto" w:sz="4" w:space="0"/>
              <w:right w:val="single" w:color="auto" w:sz="4" w:space="0"/>
            </w:tcBorders>
            <w:vAlign w:val="center"/>
          </w:tcPr>
          <w:p>
            <w:pPr>
              <w:tabs>
                <w:tab w:val="left" w:pos="720"/>
              </w:tabs>
              <w:rPr>
                <w:rFonts w:ascii="宋体" w:hAnsi="宋体" w:cs="宋体"/>
                <w:color w:val="auto"/>
                <w:szCs w:val="21"/>
                <w:highlight w:val="none"/>
              </w:rPr>
            </w:pPr>
            <w:r>
              <w:rPr>
                <w:rFonts w:hint="eastAsia" w:ascii="宋体" w:hAnsi="宋体" w:cs="宋体"/>
                <w:color w:val="auto"/>
                <w:szCs w:val="21"/>
                <w:highlight w:val="none"/>
              </w:rPr>
              <w:t>自2020年1月1日（以合同签订日期为准）起至投标截止时间止，投标人具有类似设备供货业绩的得</w:t>
            </w:r>
            <w:r>
              <w:rPr>
                <w:rFonts w:ascii="宋体" w:hAnsi="宋体" w:cs="宋体"/>
                <w:color w:val="auto"/>
                <w:szCs w:val="21"/>
                <w:highlight w:val="none"/>
              </w:rPr>
              <w:t>1</w:t>
            </w:r>
            <w:r>
              <w:rPr>
                <w:rFonts w:hint="eastAsia" w:ascii="宋体" w:hAnsi="宋体" w:cs="宋体"/>
                <w:color w:val="auto"/>
                <w:szCs w:val="21"/>
                <w:highlight w:val="none"/>
              </w:rPr>
              <w:t>分，本项最高得</w:t>
            </w:r>
            <w:r>
              <w:rPr>
                <w:rFonts w:ascii="宋体" w:hAnsi="宋体" w:cs="宋体"/>
                <w:color w:val="auto"/>
                <w:szCs w:val="21"/>
                <w:highlight w:val="none"/>
              </w:rPr>
              <w:t>3</w:t>
            </w:r>
            <w:r>
              <w:rPr>
                <w:rFonts w:hint="eastAsia" w:ascii="宋体" w:hAnsi="宋体" w:cs="宋体"/>
                <w:color w:val="auto"/>
                <w:szCs w:val="21"/>
                <w:highlight w:val="none"/>
              </w:rPr>
              <w:t>分。</w:t>
            </w:r>
          </w:p>
          <w:p>
            <w:pPr>
              <w:tabs>
                <w:tab w:val="left" w:pos="180"/>
                <w:tab w:val="left" w:pos="720"/>
              </w:tabs>
              <w:rPr>
                <w:rFonts w:ascii="宋体" w:hAnsi="宋体"/>
                <w:color w:val="auto"/>
                <w:szCs w:val="21"/>
                <w:highlight w:val="none"/>
              </w:rPr>
            </w:pPr>
            <w:r>
              <w:rPr>
                <w:rFonts w:hint="eastAsia" w:ascii="宋体" w:hAnsi="宋体"/>
                <w:color w:val="auto"/>
                <w:szCs w:val="21"/>
                <w:highlight w:val="none"/>
              </w:rPr>
              <w:t>注：每个项目业绩需在投标文件中提供合同复印件和项目业主或其委托单位出具的项目验收合格证明，不符合要求的不予计分。</w:t>
            </w:r>
          </w:p>
        </w:tc>
        <w:tc>
          <w:tcPr>
            <w:tcW w:w="634" w:type="pct"/>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0-</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3</w:t>
            </w:r>
            <w:r>
              <w:rPr>
                <w:rFonts w:hint="eastAsia" w:ascii="宋体" w:hAnsi="宋体" w:cs="宋体"/>
                <w:color w:val="auto"/>
                <w:szCs w:val="21"/>
                <w:highlight w:val="none"/>
                <w:u w:val="single"/>
              </w:rPr>
              <w:t xml:space="preserve"> </w:t>
            </w:r>
            <w:r>
              <w:rPr>
                <w:rFonts w:hint="eastAsia" w:ascii="宋体"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715" w:type="pct"/>
            <w:vMerge w:val="continue"/>
            <w:tcBorders>
              <w:left w:val="single" w:color="auto" w:sz="4" w:space="0"/>
              <w:right w:val="single" w:color="auto" w:sz="4" w:space="0"/>
            </w:tcBorders>
            <w:vAlign w:val="center"/>
          </w:tcPr>
          <w:p>
            <w:pPr>
              <w:ind w:firstLine="422"/>
              <w:jc w:val="center"/>
              <w:rPr>
                <w:rFonts w:ascii="宋体" w:hAnsi="宋体"/>
                <w:b/>
                <w:bCs/>
                <w:color w:val="auto"/>
                <w:szCs w:val="21"/>
                <w:highlight w:val="none"/>
              </w:rPr>
            </w:pPr>
          </w:p>
        </w:tc>
        <w:tc>
          <w:tcPr>
            <w:tcW w:w="793" w:type="pct"/>
            <w:tcBorders>
              <w:top w:val="single" w:color="auto" w:sz="4" w:space="0"/>
              <w:left w:val="single" w:color="auto" w:sz="4" w:space="0"/>
              <w:right w:val="single" w:color="auto" w:sz="4" w:space="0"/>
            </w:tcBorders>
            <w:vAlign w:val="center"/>
          </w:tcPr>
          <w:p>
            <w:pPr>
              <w:ind w:right="-69" w:rightChars="-33"/>
              <w:jc w:val="left"/>
              <w:rPr>
                <w:rFonts w:ascii="宋体" w:hAnsi="宋体"/>
                <w:color w:val="auto"/>
                <w:szCs w:val="21"/>
                <w:highlight w:val="none"/>
              </w:rPr>
            </w:pPr>
            <w:r>
              <w:rPr>
                <w:rFonts w:ascii="宋体" w:hAnsi="宋体" w:cs="宋体"/>
                <w:bCs/>
                <w:color w:val="auto"/>
                <w:kern w:val="0"/>
                <w:szCs w:val="21"/>
                <w:highlight w:val="none"/>
              </w:rPr>
              <w:t>8.</w:t>
            </w:r>
            <w:r>
              <w:rPr>
                <w:rFonts w:hint="eastAsia" w:ascii="宋体" w:hAnsi="宋体" w:cs="宋体"/>
                <w:bCs/>
                <w:color w:val="auto"/>
                <w:kern w:val="0"/>
                <w:szCs w:val="21"/>
                <w:highlight w:val="none"/>
              </w:rPr>
              <w:t>节能环保产品</w:t>
            </w:r>
          </w:p>
        </w:tc>
        <w:tc>
          <w:tcPr>
            <w:tcW w:w="2858" w:type="pct"/>
            <w:tcBorders>
              <w:top w:val="single" w:color="auto" w:sz="4" w:space="0"/>
              <w:left w:val="single" w:color="auto" w:sz="4" w:space="0"/>
              <w:right w:val="single" w:color="auto" w:sz="4" w:space="0"/>
            </w:tcBorders>
            <w:vAlign w:val="center"/>
          </w:tcPr>
          <w:p>
            <w:pPr>
              <w:widowControl/>
              <w:spacing w:line="3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投标产品属于《节能产品政府采购品目清单》范围的且具有国家确定的认证机构出具的、处于有效期之内的节能产品认证证书的得0.5分；</w:t>
            </w:r>
          </w:p>
          <w:p>
            <w:pPr>
              <w:widowControl/>
              <w:spacing w:line="3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投标产品属于《环境标志产品政府采购品目清单》范围的且具有国家确定的认证机构出具的、处于有效期之内的环境标志产品认证证书的得0.5分。</w:t>
            </w:r>
          </w:p>
          <w:p>
            <w:pPr>
              <w:widowControl/>
              <w:spacing w:line="300" w:lineRule="exact"/>
              <w:jc w:val="left"/>
              <w:rPr>
                <w:rFonts w:ascii="宋体" w:hAnsi="宋体"/>
                <w:color w:val="auto"/>
                <w:szCs w:val="21"/>
                <w:highlight w:val="none"/>
              </w:rPr>
            </w:pPr>
            <w:r>
              <w:rPr>
                <w:rFonts w:hint="eastAsia" w:ascii="宋体" w:hAnsi="宋体" w:cs="宋体"/>
                <w:color w:val="auto"/>
                <w:kern w:val="0"/>
                <w:szCs w:val="21"/>
                <w:highlight w:val="none"/>
              </w:rPr>
              <w:t>注：投标文件中同时提供以下资料：《市场监管总局关于发布参与实施政府采购节能产品、环境标志产品认证机构名录的公告》中的认证机构出具的、处于有效期之内的节能产品/环境标志产品认证证书复印件。</w:t>
            </w:r>
          </w:p>
        </w:tc>
        <w:tc>
          <w:tcPr>
            <w:tcW w:w="634" w:type="pct"/>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0-</w:t>
            </w:r>
            <w:r>
              <w:rPr>
                <w:rFonts w:hint="eastAsia" w:ascii="宋体" w:hAnsi="宋体" w:cs="宋体"/>
                <w:color w:val="auto"/>
                <w:szCs w:val="21"/>
                <w:highlight w:val="none"/>
                <w:u w:val="single"/>
              </w:rPr>
              <w:t xml:space="preserve"> 1 </w:t>
            </w:r>
            <w:r>
              <w:rPr>
                <w:rFonts w:hint="eastAsia" w:ascii="宋体"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5" w:type="pct"/>
            <w:tcBorders>
              <w:left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价格分</w:t>
            </w:r>
          </w:p>
          <w:p>
            <w:pPr>
              <w:jc w:val="center"/>
              <w:rPr>
                <w:rFonts w:ascii="宋体" w:hAnsi="宋体"/>
                <w:b/>
                <w:bCs/>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u w:val="single"/>
              </w:rPr>
              <w:t>30</w:t>
            </w:r>
            <w:r>
              <w:rPr>
                <w:rFonts w:hint="eastAsia" w:ascii="宋体" w:hAnsi="宋体"/>
                <w:color w:val="auto"/>
                <w:szCs w:val="21"/>
                <w:highlight w:val="none"/>
              </w:rPr>
              <w:t>分）</w:t>
            </w:r>
          </w:p>
        </w:tc>
        <w:tc>
          <w:tcPr>
            <w:tcW w:w="4285" w:type="pct"/>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价格分统一采用低价优先法，即满足招标文件要求且投标价格最低的投标报价为评标基准价，其价格分为满分。其他投标人的价格分统一按照下列公式计算：</w:t>
            </w:r>
          </w:p>
          <w:p>
            <w:pPr>
              <w:rPr>
                <w:rFonts w:ascii="宋体" w:hAnsi="宋体"/>
                <w:b/>
                <w:bCs/>
                <w:color w:val="auto"/>
                <w:szCs w:val="21"/>
                <w:highlight w:val="none"/>
              </w:rPr>
            </w:pPr>
            <w:r>
              <w:rPr>
                <w:rFonts w:hint="eastAsia" w:ascii="宋体" w:hAnsi="宋体"/>
                <w:color w:val="auto"/>
                <w:szCs w:val="21"/>
                <w:highlight w:val="none"/>
              </w:rPr>
              <w:t>投标报价得分＝（评标基准价/投标报价）×</w:t>
            </w:r>
            <w:r>
              <w:rPr>
                <w:rFonts w:hint="eastAsia" w:ascii="宋体" w:hAnsi="宋体"/>
                <w:color w:val="auto"/>
                <w:szCs w:val="21"/>
                <w:highlight w:val="none"/>
                <w:u w:val="single"/>
              </w:rPr>
              <w:t xml:space="preserve"> 30 </w:t>
            </w:r>
          </w:p>
        </w:tc>
      </w:tr>
    </w:tbl>
    <w:p>
      <w:pPr>
        <w:spacing w:before="120" w:beforeLines="50" w:line="360" w:lineRule="auto"/>
        <w:ind w:firstLine="476" w:firstLineChars="200"/>
        <w:rPr>
          <w:rFonts w:asciiTheme="minorEastAsia" w:hAnsiTheme="minorEastAsia" w:eastAsiaTheme="minorEastAsia"/>
          <w:color w:val="auto"/>
          <w:spacing w:val="14"/>
          <w:szCs w:val="21"/>
          <w:highlight w:val="none"/>
        </w:rPr>
      </w:pPr>
      <w:r>
        <w:rPr>
          <w:rFonts w:hint="eastAsia" w:asciiTheme="minorEastAsia" w:hAnsiTheme="minorEastAsia" w:eastAsiaTheme="minorEastAsia"/>
          <w:color w:val="auto"/>
          <w:spacing w:val="14"/>
          <w:szCs w:val="21"/>
          <w:highlight w:val="none"/>
        </w:rPr>
        <w:t>评委签名：                                 日  期：</w:t>
      </w:r>
    </w:p>
    <w:p>
      <w:pPr>
        <w:spacing w:before="120" w:beforeLines="50" w:line="360" w:lineRule="auto"/>
        <w:ind w:firstLine="476" w:firstLineChars="200"/>
        <w:rPr>
          <w:rFonts w:asciiTheme="minorEastAsia" w:hAnsiTheme="minorEastAsia" w:eastAsiaTheme="minorEastAsia"/>
          <w:color w:val="auto"/>
          <w:spacing w:val="14"/>
          <w:szCs w:val="21"/>
          <w:highlight w:val="none"/>
        </w:rPr>
      </w:pPr>
      <w:r>
        <w:rPr>
          <w:rFonts w:asciiTheme="minorEastAsia" w:hAnsiTheme="minorEastAsia" w:eastAsiaTheme="minorEastAsia"/>
          <w:color w:val="auto"/>
          <w:spacing w:val="14"/>
          <w:szCs w:val="21"/>
          <w:highlight w:val="none"/>
        </w:rPr>
        <w:br w:type="page"/>
      </w:r>
    </w:p>
    <w:p>
      <w:pPr>
        <w:pStyle w:val="4"/>
        <w:ind w:firstLine="482"/>
        <w:rPr>
          <w:rFonts w:asciiTheme="minorEastAsia" w:hAnsiTheme="minorEastAsia" w:eastAsiaTheme="minorEastAsia"/>
          <w:color w:val="auto"/>
          <w:highlight w:val="none"/>
        </w:rPr>
      </w:pPr>
      <w:bookmarkStart w:id="59" w:name="_Toc34844745"/>
      <w:bookmarkStart w:id="60" w:name="_Toc118452537"/>
      <w:r>
        <w:rPr>
          <w:rFonts w:hint="eastAsia" w:asciiTheme="minorEastAsia" w:hAnsiTheme="minorEastAsia" w:eastAsiaTheme="minorEastAsia"/>
          <w:color w:val="auto"/>
          <w:highlight w:val="none"/>
        </w:rPr>
        <w:t>第五章  合同文本</w:t>
      </w:r>
      <w:bookmarkEnd w:id="59"/>
      <w:bookmarkEnd w:id="60"/>
    </w:p>
    <w:p>
      <w:pPr>
        <w:pStyle w:val="25"/>
        <w:spacing w:beforeLines="0" w:afterLines="0" w:line="360" w:lineRule="auto"/>
        <w:ind w:firstLine="422" w:firstLineChars="201"/>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注：本合同文本为中标后签订合同的草案，有关条款和采购文件其他部分有冲突的，以其他部分约定为准，最终以投标响应情况签订。</w:t>
      </w:r>
    </w:p>
    <w:p>
      <w:pPr>
        <w:pStyle w:val="25"/>
        <w:spacing w:beforeLines="0" w:afterLines="0" w:line="360" w:lineRule="auto"/>
        <w:ind w:firstLine="422" w:firstLineChars="201"/>
        <w:jc w:val="left"/>
        <w:rPr>
          <w:rFonts w:cs="宋体" w:asciiTheme="minorEastAsia" w:hAnsiTheme="minorEastAsia" w:eastAsiaTheme="minorEastAsia"/>
          <w:color w:val="auto"/>
          <w:sz w:val="21"/>
          <w:szCs w:val="21"/>
          <w:highlight w:val="none"/>
        </w:rPr>
      </w:pPr>
    </w:p>
    <w:p>
      <w:pPr>
        <w:tabs>
          <w:tab w:val="left" w:pos="1260"/>
          <w:tab w:val="left" w:pos="1680"/>
          <w:tab w:val="left" w:pos="2100"/>
          <w:tab w:val="left" w:pos="2520"/>
          <w:tab w:val="left" w:pos="2940"/>
          <w:tab w:val="left" w:pos="5608"/>
        </w:tabs>
        <w:spacing w:line="300" w:lineRule="exact"/>
        <w:ind w:firstLine="480"/>
        <w:jc w:val="center"/>
        <w:rPr>
          <w:color w:val="auto"/>
          <w:sz w:val="24"/>
          <w:highlight w:val="none"/>
        </w:rPr>
      </w:pPr>
      <w:r>
        <w:rPr>
          <w:color w:val="auto"/>
          <w:sz w:val="24"/>
          <w:highlight w:val="none"/>
        </w:rPr>
        <w:t>（国内供货）</w:t>
      </w:r>
    </w:p>
    <w:p>
      <w:pPr>
        <w:tabs>
          <w:tab w:val="left" w:pos="1260"/>
          <w:tab w:val="left" w:pos="1680"/>
          <w:tab w:val="left" w:pos="2100"/>
          <w:tab w:val="left" w:pos="2520"/>
          <w:tab w:val="left" w:pos="2940"/>
          <w:tab w:val="left" w:pos="5608"/>
        </w:tabs>
        <w:spacing w:line="300" w:lineRule="exact"/>
        <w:jc w:val="center"/>
        <w:rPr>
          <w:rFonts w:ascii="黑体" w:hAnsi="黑体" w:eastAsia="黑体"/>
          <w:color w:val="auto"/>
          <w:szCs w:val="36"/>
          <w:highlight w:val="none"/>
        </w:rPr>
      </w:pPr>
    </w:p>
    <w:p>
      <w:pPr>
        <w:widowControl/>
        <w:spacing w:line="360" w:lineRule="auto"/>
        <w:ind w:firstLine="456" w:firstLineChars="163"/>
        <w:jc w:val="center"/>
        <w:rPr>
          <w:color w:val="auto"/>
          <w:sz w:val="28"/>
          <w:szCs w:val="28"/>
          <w:highlight w:val="none"/>
        </w:rPr>
      </w:pPr>
      <w:r>
        <w:rPr>
          <w:rFonts w:hint="eastAsia"/>
          <w:color w:val="auto"/>
          <w:sz w:val="28"/>
          <w:szCs w:val="28"/>
          <w:highlight w:val="none"/>
        </w:rPr>
        <w:t>成 交</w:t>
      </w:r>
      <w:r>
        <w:rPr>
          <w:color w:val="auto"/>
          <w:sz w:val="28"/>
          <w:szCs w:val="28"/>
          <w:highlight w:val="none"/>
        </w:rPr>
        <w:t xml:space="preserve"> 合 同 书</w:t>
      </w:r>
    </w:p>
    <w:p>
      <w:pPr>
        <w:widowControl/>
        <w:spacing w:line="360" w:lineRule="auto"/>
        <w:ind w:firstLine="458" w:firstLineChars="163"/>
        <w:jc w:val="center"/>
        <w:rPr>
          <w:b/>
          <w:color w:val="auto"/>
          <w:sz w:val="28"/>
          <w:szCs w:val="28"/>
          <w:highlight w:val="none"/>
        </w:rPr>
      </w:pPr>
    </w:p>
    <w:p>
      <w:pPr>
        <w:widowControl/>
        <w:spacing w:line="360" w:lineRule="auto"/>
        <w:ind w:firstLine="456" w:firstLineChars="163"/>
        <w:jc w:val="center"/>
        <w:rPr>
          <w:color w:val="auto"/>
          <w:sz w:val="28"/>
          <w:szCs w:val="28"/>
          <w:highlight w:val="none"/>
        </w:rPr>
      </w:pPr>
    </w:p>
    <w:p>
      <w:pPr>
        <w:widowControl/>
        <w:tabs>
          <w:tab w:val="left" w:pos="2977"/>
        </w:tabs>
        <w:spacing w:line="360" w:lineRule="auto"/>
        <w:ind w:firstLine="456" w:firstLineChars="163"/>
        <w:rPr>
          <w:color w:val="auto"/>
          <w:sz w:val="28"/>
          <w:szCs w:val="28"/>
          <w:highlight w:val="none"/>
          <w:u w:val="single"/>
        </w:rPr>
      </w:pPr>
      <w:r>
        <w:rPr>
          <w:color w:val="auto"/>
          <w:sz w:val="28"/>
          <w:szCs w:val="28"/>
          <w:highlight w:val="none"/>
        </w:rPr>
        <w:t>项目名称：</w:t>
      </w:r>
    </w:p>
    <w:p>
      <w:pPr>
        <w:widowControl/>
        <w:spacing w:line="360" w:lineRule="auto"/>
        <w:ind w:firstLine="456" w:firstLineChars="163"/>
        <w:rPr>
          <w:color w:val="auto"/>
          <w:sz w:val="28"/>
          <w:szCs w:val="28"/>
          <w:highlight w:val="none"/>
        </w:rPr>
      </w:pPr>
    </w:p>
    <w:p>
      <w:pPr>
        <w:widowControl/>
        <w:spacing w:line="360" w:lineRule="auto"/>
        <w:ind w:firstLine="456" w:firstLineChars="163"/>
        <w:rPr>
          <w:color w:val="auto"/>
          <w:sz w:val="28"/>
          <w:szCs w:val="28"/>
          <w:highlight w:val="none"/>
        </w:rPr>
      </w:pPr>
      <w:r>
        <w:rPr>
          <w:color w:val="auto"/>
          <w:sz w:val="28"/>
          <w:szCs w:val="28"/>
          <w:highlight w:val="none"/>
        </w:rPr>
        <w:t>货物名称：</w:t>
      </w:r>
    </w:p>
    <w:p>
      <w:pPr>
        <w:widowControl/>
        <w:spacing w:line="360" w:lineRule="auto"/>
        <w:ind w:firstLine="456" w:firstLineChars="163"/>
        <w:rPr>
          <w:color w:val="auto"/>
          <w:sz w:val="28"/>
          <w:szCs w:val="28"/>
          <w:highlight w:val="none"/>
        </w:rPr>
      </w:pPr>
    </w:p>
    <w:p>
      <w:pPr>
        <w:widowControl/>
        <w:spacing w:line="360" w:lineRule="auto"/>
        <w:ind w:firstLine="456" w:firstLineChars="163"/>
        <w:rPr>
          <w:color w:val="auto"/>
          <w:sz w:val="28"/>
          <w:szCs w:val="28"/>
          <w:highlight w:val="none"/>
          <w:u w:val="single"/>
        </w:rPr>
      </w:pPr>
      <w:r>
        <w:rPr>
          <w:rFonts w:hint="eastAsia"/>
          <w:color w:val="auto"/>
          <w:sz w:val="28"/>
          <w:szCs w:val="28"/>
          <w:highlight w:val="none"/>
        </w:rPr>
        <w:t>项目</w:t>
      </w:r>
      <w:r>
        <w:rPr>
          <w:color w:val="auto"/>
          <w:sz w:val="28"/>
          <w:szCs w:val="28"/>
          <w:highlight w:val="none"/>
        </w:rPr>
        <w:t>编号：</w:t>
      </w:r>
    </w:p>
    <w:p>
      <w:pPr>
        <w:widowControl/>
        <w:spacing w:line="360" w:lineRule="auto"/>
        <w:ind w:firstLine="456" w:firstLineChars="163"/>
        <w:jc w:val="center"/>
        <w:rPr>
          <w:color w:val="auto"/>
          <w:sz w:val="28"/>
          <w:szCs w:val="28"/>
          <w:highlight w:val="none"/>
        </w:rPr>
      </w:pPr>
    </w:p>
    <w:p>
      <w:pPr>
        <w:widowControl/>
        <w:spacing w:line="360" w:lineRule="auto"/>
        <w:ind w:firstLine="456" w:firstLineChars="163"/>
        <w:jc w:val="center"/>
        <w:rPr>
          <w:color w:val="auto"/>
          <w:sz w:val="28"/>
          <w:szCs w:val="28"/>
          <w:highlight w:val="none"/>
        </w:rPr>
      </w:pPr>
    </w:p>
    <w:p>
      <w:pPr>
        <w:widowControl/>
        <w:spacing w:line="360" w:lineRule="auto"/>
        <w:ind w:firstLine="456" w:firstLineChars="163"/>
        <w:jc w:val="center"/>
        <w:rPr>
          <w:color w:val="auto"/>
          <w:sz w:val="28"/>
          <w:szCs w:val="28"/>
          <w:highlight w:val="none"/>
        </w:rPr>
      </w:pPr>
    </w:p>
    <w:p>
      <w:pPr>
        <w:widowControl/>
        <w:spacing w:line="360" w:lineRule="auto"/>
        <w:ind w:firstLine="456" w:firstLineChars="163"/>
        <w:rPr>
          <w:color w:val="auto"/>
          <w:sz w:val="28"/>
          <w:szCs w:val="28"/>
          <w:highlight w:val="none"/>
        </w:rPr>
      </w:pPr>
      <w:r>
        <w:rPr>
          <w:rFonts w:hint="eastAsia"/>
          <w:color w:val="auto"/>
          <w:sz w:val="28"/>
          <w:szCs w:val="28"/>
          <w:highlight w:val="none"/>
        </w:rPr>
        <w:t>甲</w:t>
      </w:r>
      <w:r>
        <w:rPr>
          <w:color w:val="auto"/>
          <w:sz w:val="28"/>
          <w:szCs w:val="28"/>
          <w:highlight w:val="none"/>
        </w:rPr>
        <w:t xml:space="preserve">    方：</w:t>
      </w:r>
      <w:r>
        <w:rPr>
          <w:color w:val="auto"/>
          <w:sz w:val="28"/>
          <w:szCs w:val="28"/>
          <w:highlight w:val="none"/>
          <w:u w:val="single"/>
        </w:rPr>
        <w:t xml:space="preserve">  </w:t>
      </w:r>
      <w:r>
        <w:rPr>
          <w:rFonts w:hint="eastAsia"/>
          <w:color w:val="auto"/>
          <w:sz w:val="28"/>
          <w:szCs w:val="28"/>
          <w:highlight w:val="none"/>
          <w:u w:val="single"/>
        </w:rPr>
        <w:t xml:space="preserve">   </w:t>
      </w:r>
      <w:r>
        <w:rPr>
          <w:color w:val="auto"/>
          <w:sz w:val="28"/>
          <w:szCs w:val="28"/>
          <w:highlight w:val="none"/>
          <w:u w:val="single"/>
        </w:rPr>
        <w:t xml:space="preserve">宁波工程学院     </w:t>
      </w:r>
    </w:p>
    <w:p>
      <w:pPr>
        <w:widowControl/>
        <w:spacing w:line="360" w:lineRule="auto"/>
        <w:ind w:firstLine="456" w:firstLineChars="163"/>
        <w:jc w:val="center"/>
        <w:rPr>
          <w:color w:val="auto"/>
          <w:sz w:val="28"/>
          <w:szCs w:val="28"/>
          <w:highlight w:val="none"/>
        </w:rPr>
      </w:pPr>
    </w:p>
    <w:p>
      <w:pPr>
        <w:widowControl/>
        <w:tabs>
          <w:tab w:val="left" w:pos="2835"/>
          <w:tab w:val="left" w:pos="3402"/>
          <w:tab w:val="left" w:pos="7655"/>
        </w:tabs>
        <w:spacing w:line="360" w:lineRule="auto"/>
        <w:ind w:firstLine="456" w:firstLineChars="163"/>
        <w:rPr>
          <w:color w:val="auto"/>
          <w:sz w:val="28"/>
          <w:szCs w:val="28"/>
          <w:highlight w:val="none"/>
          <w:u w:val="single"/>
        </w:rPr>
      </w:pPr>
      <w:r>
        <w:rPr>
          <w:rFonts w:hint="eastAsia"/>
          <w:color w:val="auto"/>
          <w:sz w:val="28"/>
          <w:szCs w:val="28"/>
          <w:highlight w:val="none"/>
        </w:rPr>
        <w:t>乙</w:t>
      </w:r>
      <w:r>
        <w:rPr>
          <w:color w:val="auto"/>
          <w:sz w:val="28"/>
          <w:szCs w:val="28"/>
          <w:highlight w:val="none"/>
        </w:rPr>
        <w:t xml:space="preserve">    方：</w:t>
      </w:r>
    </w:p>
    <w:p>
      <w:pPr>
        <w:widowControl/>
        <w:spacing w:line="360" w:lineRule="auto"/>
        <w:ind w:firstLine="456" w:firstLineChars="163"/>
        <w:jc w:val="center"/>
        <w:rPr>
          <w:color w:val="auto"/>
          <w:sz w:val="28"/>
          <w:szCs w:val="28"/>
          <w:highlight w:val="none"/>
        </w:rPr>
      </w:pPr>
    </w:p>
    <w:p>
      <w:pPr>
        <w:widowControl/>
        <w:tabs>
          <w:tab w:val="left" w:pos="6379"/>
          <w:tab w:val="left" w:pos="7513"/>
          <w:tab w:val="left" w:pos="7655"/>
          <w:tab w:val="left" w:pos="7938"/>
        </w:tabs>
        <w:spacing w:line="360" w:lineRule="auto"/>
        <w:ind w:firstLine="456" w:firstLineChars="163"/>
        <w:rPr>
          <w:color w:val="auto"/>
          <w:sz w:val="28"/>
          <w:szCs w:val="28"/>
          <w:highlight w:val="none"/>
          <w:u w:val="single"/>
        </w:rPr>
      </w:pPr>
      <w:r>
        <w:rPr>
          <w:rFonts w:hint="eastAsia"/>
          <w:color w:val="auto"/>
          <w:sz w:val="28"/>
          <w:szCs w:val="28"/>
          <w:highlight w:val="none"/>
        </w:rPr>
        <w:t>签约时间</w:t>
      </w:r>
      <w:r>
        <w:rPr>
          <w:color w:val="auto"/>
          <w:sz w:val="28"/>
          <w:szCs w:val="28"/>
          <w:highlight w:val="none"/>
        </w:rPr>
        <w:t>：</w:t>
      </w:r>
    </w:p>
    <w:p>
      <w:pPr>
        <w:widowControl/>
        <w:spacing w:line="360" w:lineRule="auto"/>
        <w:ind w:firstLine="342" w:firstLineChars="163"/>
        <w:rPr>
          <w:color w:val="auto"/>
          <w:szCs w:val="21"/>
          <w:highlight w:val="none"/>
          <w:u w:val="single"/>
        </w:rPr>
      </w:pPr>
    </w:p>
    <w:p>
      <w:pPr>
        <w:widowControl/>
        <w:spacing w:after="240" w:line="360" w:lineRule="auto"/>
        <w:ind w:firstLine="458" w:firstLineChars="163"/>
        <w:jc w:val="center"/>
        <w:rPr>
          <w:color w:val="auto"/>
          <w:szCs w:val="21"/>
          <w:highlight w:val="none"/>
        </w:rPr>
      </w:pPr>
      <w:r>
        <w:rPr>
          <w:b/>
          <w:bCs/>
          <w:color w:val="auto"/>
          <w:sz w:val="28"/>
          <w:szCs w:val="28"/>
          <w:highlight w:val="none"/>
        </w:rPr>
        <w:br w:type="page"/>
      </w:r>
      <w:r>
        <w:rPr>
          <w:rFonts w:hint="eastAsia"/>
          <w:b/>
          <w:bCs/>
          <w:color w:val="auto"/>
          <w:sz w:val="28"/>
          <w:szCs w:val="28"/>
          <w:highlight w:val="none"/>
        </w:rPr>
        <w:t>成 交</w:t>
      </w:r>
      <w:r>
        <w:rPr>
          <w:b/>
          <w:bCs/>
          <w:color w:val="auto"/>
          <w:sz w:val="28"/>
          <w:szCs w:val="28"/>
          <w:highlight w:val="none"/>
        </w:rPr>
        <w:t xml:space="preserve"> 合 同 书</w:t>
      </w:r>
    </w:p>
    <w:p>
      <w:pPr>
        <w:widowControl/>
        <w:spacing w:line="360" w:lineRule="auto"/>
        <w:ind w:firstLine="342" w:firstLineChars="163"/>
        <w:rPr>
          <w:rFonts w:ascii="宋体" w:hAnsi="宋体" w:cs="宋体"/>
          <w:color w:val="auto"/>
          <w:szCs w:val="21"/>
          <w:highlight w:val="none"/>
        </w:rPr>
      </w:pPr>
      <w:r>
        <w:rPr>
          <w:color w:val="auto"/>
          <w:szCs w:val="21"/>
          <w:highlight w:val="none"/>
          <w:u w:val="single"/>
        </w:rPr>
        <w:t xml:space="preserve">  宁波工程学院   (</w:t>
      </w:r>
      <w:r>
        <w:rPr>
          <w:color w:val="auto"/>
          <w:szCs w:val="21"/>
          <w:highlight w:val="none"/>
        </w:rPr>
        <w:t>买方)（项目名称）中所需（货物名称）以</w:t>
      </w:r>
      <w:r>
        <w:rPr>
          <w:rFonts w:hint="eastAsia"/>
          <w:color w:val="auto"/>
          <w:szCs w:val="21"/>
          <w:highlight w:val="none"/>
        </w:rPr>
        <w:t>公开招标方式进行采购</w:t>
      </w:r>
      <w:r>
        <w:rPr>
          <w:color w:val="auto"/>
          <w:szCs w:val="21"/>
          <w:highlight w:val="none"/>
        </w:rPr>
        <w:t>，经评标委员会评定，（卖方）为中标</w:t>
      </w:r>
      <w:r>
        <w:rPr>
          <w:rFonts w:hint="eastAsia"/>
          <w:color w:val="auto"/>
          <w:szCs w:val="21"/>
          <w:highlight w:val="none"/>
        </w:rPr>
        <w:t>人</w:t>
      </w:r>
      <w:r>
        <w:rPr>
          <w:color w:val="auto"/>
          <w:szCs w:val="21"/>
          <w:highlight w:val="none"/>
        </w:rPr>
        <w:t>。</w:t>
      </w:r>
      <w:r>
        <w:rPr>
          <w:rFonts w:hint="eastAsia" w:ascii="宋体" w:hAnsi="宋体" w:cs="宋体"/>
          <w:color w:val="auto"/>
          <w:szCs w:val="21"/>
          <w:highlight w:val="none"/>
        </w:rPr>
        <w:t>依据《中华人民共和国民法典》的规定，买卖双方本着平等互利的原则，在友好协商的基础上，按照下述的条款和条件，签署本合同。</w:t>
      </w:r>
    </w:p>
    <w:p>
      <w:pPr>
        <w:widowControl/>
        <w:spacing w:line="360" w:lineRule="auto"/>
        <w:ind w:firstLine="424" w:firstLineChars="202"/>
        <w:rPr>
          <w:color w:val="auto"/>
          <w:szCs w:val="21"/>
          <w:highlight w:val="none"/>
        </w:rPr>
      </w:pPr>
      <w:r>
        <w:rPr>
          <w:color w:val="auto"/>
          <w:szCs w:val="21"/>
          <w:highlight w:val="none"/>
        </w:rPr>
        <w:t>合同文件</w:t>
      </w:r>
    </w:p>
    <w:p>
      <w:pPr>
        <w:widowControl/>
        <w:spacing w:line="360" w:lineRule="auto"/>
        <w:ind w:firstLine="424" w:firstLineChars="202"/>
        <w:rPr>
          <w:color w:val="auto"/>
          <w:szCs w:val="21"/>
          <w:highlight w:val="none"/>
        </w:rPr>
      </w:pPr>
      <w:r>
        <w:rPr>
          <w:color w:val="auto"/>
          <w:szCs w:val="21"/>
          <w:highlight w:val="none"/>
        </w:rPr>
        <w:t>1．下列文件构成本合同的组成部分</w:t>
      </w:r>
    </w:p>
    <w:p>
      <w:pPr>
        <w:widowControl/>
        <w:spacing w:line="360" w:lineRule="auto"/>
        <w:ind w:firstLine="424" w:firstLineChars="202"/>
        <w:rPr>
          <w:color w:val="auto"/>
          <w:szCs w:val="21"/>
          <w:highlight w:val="none"/>
        </w:rPr>
      </w:pPr>
      <w:r>
        <w:rPr>
          <w:rFonts w:hint="eastAsia"/>
          <w:color w:val="auto"/>
          <w:szCs w:val="21"/>
          <w:highlight w:val="none"/>
        </w:rPr>
        <w:t>（1）</w:t>
      </w:r>
      <w:r>
        <w:rPr>
          <w:color w:val="auto"/>
          <w:szCs w:val="21"/>
          <w:highlight w:val="none"/>
        </w:rPr>
        <w:t>招标文件</w:t>
      </w:r>
      <w:r>
        <w:rPr>
          <w:rFonts w:hint="eastAsia"/>
          <w:color w:val="auto"/>
          <w:szCs w:val="21"/>
          <w:highlight w:val="none"/>
        </w:rPr>
        <w:t>；</w:t>
      </w:r>
    </w:p>
    <w:p>
      <w:pPr>
        <w:widowControl/>
        <w:spacing w:line="360" w:lineRule="auto"/>
        <w:ind w:firstLine="424" w:firstLineChars="202"/>
        <w:rPr>
          <w:color w:val="auto"/>
          <w:szCs w:val="21"/>
          <w:highlight w:val="none"/>
        </w:rPr>
      </w:pPr>
      <w:r>
        <w:rPr>
          <w:rFonts w:hint="eastAsia"/>
          <w:color w:val="auto"/>
          <w:szCs w:val="21"/>
          <w:highlight w:val="none"/>
        </w:rPr>
        <w:t>（2）</w:t>
      </w:r>
      <w:r>
        <w:rPr>
          <w:color w:val="auto"/>
          <w:szCs w:val="21"/>
          <w:highlight w:val="none"/>
        </w:rPr>
        <w:t>卖方投标文件</w:t>
      </w:r>
      <w:r>
        <w:rPr>
          <w:rFonts w:hint="eastAsia"/>
          <w:color w:val="auto"/>
          <w:szCs w:val="21"/>
          <w:highlight w:val="none"/>
        </w:rPr>
        <w:t>；</w:t>
      </w:r>
    </w:p>
    <w:p>
      <w:pPr>
        <w:widowControl/>
        <w:spacing w:line="360" w:lineRule="auto"/>
        <w:ind w:firstLine="424" w:firstLineChars="202"/>
        <w:rPr>
          <w:color w:val="auto"/>
          <w:szCs w:val="21"/>
          <w:highlight w:val="none"/>
        </w:rPr>
      </w:pPr>
      <w:r>
        <w:rPr>
          <w:rFonts w:hint="eastAsia"/>
          <w:color w:val="auto"/>
          <w:szCs w:val="21"/>
          <w:highlight w:val="none"/>
        </w:rPr>
        <w:t>（3）</w:t>
      </w:r>
      <w:r>
        <w:rPr>
          <w:color w:val="auto"/>
          <w:szCs w:val="21"/>
          <w:highlight w:val="none"/>
        </w:rPr>
        <w:t>中标通知书</w:t>
      </w:r>
      <w:r>
        <w:rPr>
          <w:rFonts w:hint="eastAsia"/>
          <w:color w:val="auto"/>
          <w:szCs w:val="21"/>
          <w:highlight w:val="none"/>
        </w:rPr>
        <w:t>；</w:t>
      </w:r>
    </w:p>
    <w:p>
      <w:pPr>
        <w:widowControl/>
        <w:spacing w:line="360" w:lineRule="auto"/>
        <w:ind w:firstLine="424" w:firstLineChars="202"/>
        <w:rPr>
          <w:color w:val="auto"/>
          <w:szCs w:val="21"/>
          <w:highlight w:val="none"/>
        </w:rPr>
      </w:pPr>
      <w:r>
        <w:rPr>
          <w:rFonts w:hint="eastAsia"/>
          <w:color w:val="auto"/>
          <w:szCs w:val="21"/>
          <w:highlight w:val="none"/>
        </w:rPr>
        <w:t>（4）</w:t>
      </w:r>
      <w:r>
        <w:rPr>
          <w:color w:val="auto"/>
          <w:szCs w:val="21"/>
          <w:highlight w:val="none"/>
        </w:rPr>
        <w:t>卖方承诺书</w:t>
      </w:r>
      <w:r>
        <w:rPr>
          <w:rFonts w:hint="eastAsia"/>
          <w:color w:val="auto"/>
          <w:szCs w:val="21"/>
          <w:highlight w:val="none"/>
        </w:rPr>
        <w:t>。</w:t>
      </w:r>
    </w:p>
    <w:p>
      <w:pPr>
        <w:widowControl/>
        <w:spacing w:line="360" w:lineRule="auto"/>
        <w:ind w:firstLine="424" w:firstLineChars="202"/>
        <w:rPr>
          <w:color w:val="auto"/>
          <w:szCs w:val="21"/>
          <w:highlight w:val="none"/>
        </w:rPr>
      </w:pPr>
      <w:r>
        <w:rPr>
          <w:color w:val="auto"/>
          <w:szCs w:val="21"/>
          <w:highlight w:val="none"/>
        </w:rPr>
        <w:t>2．合同范围和条件</w:t>
      </w:r>
    </w:p>
    <w:p>
      <w:pPr>
        <w:widowControl/>
        <w:spacing w:line="360" w:lineRule="auto"/>
        <w:ind w:firstLine="424" w:firstLineChars="202"/>
        <w:rPr>
          <w:color w:val="auto"/>
          <w:szCs w:val="21"/>
          <w:highlight w:val="none"/>
        </w:rPr>
      </w:pPr>
      <w:r>
        <w:rPr>
          <w:color w:val="auto"/>
          <w:szCs w:val="21"/>
          <w:highlight w:val="none"/>
        </w:rPr>
        <w:t>本合同的范围和条件应与上述规定的合同文件内容一致。</w:t>
      </w:r>
    </w:p>
    <w:p>
      <w:pPr>
        <w:widowControl/>
        <w:spacing w:line="360" w:lineRule="auto"/>
        <w:ind w:firstLine="424" w:firstLineChars="202"/>
        <w:rPr>
          <w:color w:val="auto"/>
          <w:szCs w:val="21"/>
          <w:highlight w:val="none"/>
        </w:rPr>
      </w:pPr>
      <w:r>
        <w:rPr>
          <w:color w:val="auto"/>
          <w:szCs w:val="21"/>
          <w:highlight w:val="none"/>
        </w:rPr>
        <w:t>3．货物名称、规格型号、数量及金额</w:t>
      </w:r>
    </w:p>
    <w:p>
      <w:pPr>
        <w:widowControl/>
        <w:spacing w:line="360" w:lineRule="auto"/>
        <w:ind w:firstLine="424" w:firstLineChars="202"/>
        <w:rPr>
          <w:color w:val="auto"/>
          <w:szCs w:val="21"/>
          <w:highlight w:val="none"/>
        </w:rPr>
      </w:pPr>
      <w:r>
        <w:rPr>
          <w:color w:val="auto"/>
          <w:szCs w:val="21"/>
          <w:highlight w:val="none"/>
        </w:rPr>
        <w:t>本合同要求提供的货物名称、规格型号、数量及金额详见附件。</w:t>
      </w:r>
    </w:p>
    <w:tbl>
      <w:tblPr>
        <w:tblStyle w:val="44"/>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842"/>
        <w:gridCol w:w="1702"/>
        <w:gridCol w:w="1039"/>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35" w:type="dxa"/>
            <w:noWrap/>
            <w:vAlign w:val="center"/>
          </w:tcPr>
          <w:p>
            <w:pPr>
              <w:widowControl/>
              <w:ind w:firstLine="33" w:firstLineChars="16"/>
              <w:jc w:val="center"/>
              <w:rPr>
                <w:color w:val="auto"/>
                <w:szCs w:val="21"/>
                <w:highlight w:val="none"/>
              </w:rPr>
            </w:pPr>
            <w:r>
              <w:rPr>
                <w:color w:val="auto"/>
                <w:szCs w:val="21"/>
                <w:highlight w:val="none"/>
              </w:rPr>
              <w:t>货物名称</w:t>
            </w:r>
          </w:p>
        </w:tc>
        <w:tc>
          <w:tcPr>
            <w:tcW w:w="1842" w:type="dxa"/>
            <w:noWrap/>
            <w:vAlign w:val="center"/>
          </w:tcPr>
          <w:p>
            <w:pPr>
              <w:widowControl/>
              <w:ind w:firstLine="33" w:firstLineChars="16"/>
              <w:jc w:val="center"/>
              <w:rPr>
                <w:color w:val="auto"/>
                <w:szCs w:val="21"/>
                <w:highlight w:val="none"/>
              </w:rPr>
            </w:pPr>
            <w:r>
              <w:rPr>
                <w:color w:val="auto"/>
                <w:szCs w:val="21"/>
                <w:highlight w:val="none"/>
              </w:rPr>
              <w:t>规格型号</w:t>
            </w:r>
          </w:p>
        </w:tc>
        <w:tc>
          <w:tcPr>
            <w:tcW w:w="1702" w:type="dxa"/>
            <w:noWrap/>
            <w:vAlign w:val="center"/>
          </w:tcPr>
          <w:p>
            <w:pPr>
              <w:widowControl/>
              <w:ind w:firstLine="33" w:firstLineChars="16"/>
              <w:jc w:val="center"/>
              <w:rPr>
                <w:color w:val="auto"/>
                <w:szCs w:val="21"/>
                <w:highlight w:val="none"/>
              </w:rPr>
            </w:pPr>
            <w:r>
              <w:rPr>
                <w:color w:val="auto"/>
                <w:szCs w:val="21"/>
                <w:highlight w:val="none"/>
              </w:rPr>
              <w:t>产地品牌</w:t>
            </w:r>
          </w:p>
        </w:tc>
        <w:tc>
          <w:tcPr>
            <w:tcW w:w="1039" w:type="dxa"/>
            <w:noWrap/>
            <w:vAlign w:val="center"/>
          </w:tcPr>
          <w:p>
            <w:pPr>
              <w:widowControl/>
              <w:ind w:firstLine="33" w:firstLineChars="16"/>
              <w:jc w:val="center"/>
              <w:rPr>
                <w:color w:val="auto"/>
                <w:szCs w:val="21"/>
                <w:highlight w:val="none"/>
              </w:rPr>
            </w:pPr>
            <w:r>
              <w:rPr>
                <w:color w:val="auto"/>
                <w:szCs w:val="21"/>
                <w:highlight w:val="none"/>
              </w:rPr>
              <w:t>数量</w:t>
            </w:r>
          </w:p>
        </w:tc>
        <w:tc>
          <w:tcPr>
            <w:tcW w:w="1080" w:type="dxa"/>
            <w:noWrap/>
            <w:vAlign w:val="center"/>
          </w:tcPr>
          <w:p>
            <w:pPr>
              <w:widowControl/>
              <w:ind w:firstLine="33" w:firstLineChars="16"/>
              <w:jc w:val="center"/>
              <w:rPr>
                <w:color w:val="auto"/>
                <w:szCs w:val="21"/>
                <w:highlight w:val="none"/>
              </w:rPr>
            </w:pPr>
            <w:r>
              <w:rPr>
                <w:color w:val="auto"/>
                <w:szCs w:val="21"/>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835" w:type="dxa"/>
            <w:noWrap/>
            <w:vAlign w:val="center"/>
          </w:tcPr>
          <w:p>
            <w:pPr>
              <w:widowControl/>
              <w:ind w:firstLine="33" w:firstLineChars="16"/>
              <w:jc w:val="center"/>
              <w:rPr>
                <w:color w:val="auto"/>
                <w:szCs w:val="21"/>
                <w:highlight w:val="none"/>
              </w:rPr>
            </w:pPr>
          </w:p>
        </w:tc>
        <w:tc>
          <w:tcPr>
            <w:tcW w:w="1842" w:type="dxa"/>
            <w:noWrap/>
            <w:vAlign w:val="center"/>
          </w:tcPr>
          <w:p>
            <w:pPr>
              <w:widowControl/>
              <w:ind w:firstLine="33" w:firstLineChars="16"/>
              <w:jc w:val="center"/>
              <w:rPr>
                <w:color w:val="auto"/>
                <w:szCs w:val="21"/>
                <w:highlight w:val="none"/>
              </w:rPr>
            </w:pPr>
          </w:p>
        </w:tc>
        <w:tc>
          <w:tcPr>
            <w:tcW w:w="1702" w:type="dxa"/>
            <w:noWrap/>
            <w:vAlign w:val="center"/>
          </w:tcPr>
          <w:p>
            <w:pPr>
              <w:widowControl/>
              <w:ind w:firstLine="33" w:firstLineChars="16"/>
              <w:jc w:val="center"/>
              <w:rPr>
                <w:color w:val="auto"/>
                <w:szCs w:val="21"/>
                <w:highlight w:val="none"/>
              </w:rPr>
            </w:pPr>
          </w:p>
        </w:tc>
        <w:tc>
          <w:tcPr>
            <w:tcW w:w="1039" w:type="dxa"/>
            <w:noWrap/>
            <w:vAlign w:val="center"/>
          </w:tcPr>
          <w:p>
            <w:pPr>
              <w:widowControl/>
              <w:ind w:firstLine="33" w:firstLineChars="16"/>
              <w:jc w:val="center"/>
              <w:rPr>
                <w:color w:val="auto"/>
                <w:szCs w:val="21"/>
                <w:highlight w:val="none"/>
              </w:rPr>
            </w:pPr>
          </w:p>
        </w:tc>
        <w:tc>
          <w:tcPr>
            <w:tcW w:w="1080" w:type="dxa"/>
            <w:noWrap/>
            <w:vAlign w:val="center"/>
          </w:tcPr>
          <w:p>
            <w:pPr>
              <w:widowControl/>
              <w:ind w:firstLine="33" w:firstLineChars="16"/>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498" w:type="dxa"/>
            <w:gridSpan w:val="5"/>
            <w:noWrap/>
            <w:vAlign w:val="center"/>
          </w:tcPr>
          <w:p>
            <w:pPr>
              <w:widowControl/>
              <w:ind w:firstLine="342" w:firstLineChars="163"/>
              <w:rPr>
                <w:color w:val="auto"/>
                <w:szCs w:val="21"/>
                <w:highlight w:val="none"/>
              </w:rPr>
            </w:pPr>
            <w:r>
              <w:rPr>
                <w:color w:val="auto"/>
                <w:szCs w:val="21"/>
                <w:highlight w:val="none"/>
              </w:rPr>
              <w:t>合计：</w:t>
            </w:r>
          </w:p>
        </w:tc>
      </w:tr>
    </w:tbl>
    <w:p>
      <w:pPr>
        <w:widowControl/>
        <w:spacing w:line="360" w:lineRule="auto"/>
        <w:ind w:firstLine="424" w:firstLineChars="202"/>
        <w:rPr>
          <w:color w:val="auto"/>
          <w:szCs w:val="21"/>
          <w:highlight w:val="none"/>
        </w:rPr>
      </w:pPr>
      <w:r>
        <w:rPr>
          <w:color w:val="auto"/>
          <w:szCs w:val="21"/>
          <w:highlight w:val="none"/>
        </w:rPr>
        <w:t>以上货物必须是全新的，尚未使用过的原装合格正品。</w:t>
      </w:r>
    </w:p>
    <w:p>
      <w:pPr>
        <w:widowControl/>
        <w:spacing w:line="360" w:lineRule="auto"/>
        <w:ind w:firstLine="424" w:firstLineChars="202"/>
        <w:rPr>
          <w:color w:val="auto"/>
          <w:szCs w:val="21"/>
          <w:highlight w:val="none"/>
        </w:rPr>
      </w:pPr>
      <w:r>
        <w:rPr>
          <w:color w:val="auto"/>
          <w:szCs w:val="21"/>
          <w:highlight w:val="none"/>
        </w:rPr>
        <w:t>4．合同总价</w:t>
      </w:r>
    </w:p>
    <w:p>
      <w:pPr>
        <w:widowControl/>
        <w:spacing w:line="360" w:lineRule="auto"/>
        <w:ind w:firstLine="424" w:firstLineChars="202"/>
        <w:rPr>
          <w:color w:val="auto"/>
          <w:szCs w:val="21"/>
          <w:highlight w:val="none"/>
        </w:rPr>
      </w:pPr>
      <w:r>
        <w:rPr>
          <w:color w:val="auto"/>
          <w:szCs w:val="21"/>
          <w:highlight w:val="none"/>
        </w:rPr>
        <w:t>本合同总价为人民币元（大写）</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，分项金额、配置及技术参数详见附件。</w:t>
      </w:r>
    </w:p>
    <w:p>
      <w:pPr>
        <w:widowControl/>
        <w:spacing w:line="360" w:lineRule="auto"/>
        <w:ind w:firstLine="424" w:firstLineChars="202"/>
        <w:rPr>
          <w:color w:val="auto"/>
          <w:szCs w:val="21"/>
          <w:highlight w:val="none"/>
        </w:rPr>
      </w:pPr>
      <w:r>
        <w:rPr>
          <w:rFonts w:hint="eastAsia"/>
          <w:color w:val="auto"/>
          <w:szCs w:val="21"/>
          <w:highlight w:val="none"/>
        </w:rPr>
        <w:t>5</w:t>
      </w:r>
      <w:r>
        <w:rPr>
          <w:color w:val="auto"/>
          <w:szCs w:val="21"/>
          <w:highlight w:val="none"/>
        </w:rPr>
        <w:t>．付款方式</w:t>
      </w:r>
      <w:r>
        <w:rPr>
          <w:rFonts w:hint="eastAsia"/>
          <w:color w:val="auto"/>
          <w:szCs w:val="21"/>
          <w:highlight w:val="none"/>
        </w:rPr>
        <w:t>：</w:t>
      </w:r>
    </w:p>
    <w:p>
      <w:pPr>
        <w:widowControl/>
        <w:spacing w:line="360" w:lineRule="auto"/>
        <w:ind w:firstLine="424" w:firstLineChars="202"/>
        <w:rPr>
          <w:color w:val="auto"/>
          <w:szCs w:val="21"/>
          <w:highlight w:val="none"/>
        </w:rPr>
      </w:pPr>
      <w:r>
        <w:rPr>
          <w:color w:val="auto"/>
          <w:szCs w:val="21"/>
          <w:highlight w:val="none"/>
        </w:rPr>
        <w:t>6．交货时间及交货地点</w:t>
      </w:r>
    </w:p>
    <w:p>
      <w:pPr>
        <w:widowControl/>
        <w:spacing w:line="360" w:lineRule="auto"/>
        <w:ind w:firstLine="424" w:firstLineChars="202"/>
        <w:rPr>
          <w:rFonts w:ascii="宋体" w:hAnsi="宋体" w:cs="宋体"/>
          <w:color w:val="auto"/>
          <w:szCs w:val="21"/>
          <w:highlight w:val="none"/>
        </w:rPr>
      </w:pPr>
      <w:r>
        <w:rPr>
          <w:color w:val="auto"/>
          <w:szCs w:val="21"/>
          <w:highlight w:val="none"/>
        </w:rPr>
        <w:t>本合同货物的交货时间：</w:t>
      </w:r>
    </w:p>
    <w:p>
      <w:pPr>
        <w:widowControl/>
        <w:spacing w:line="360" w:lineRule="auto"/>
        <w:ind w:firstLine="424" w:firstLineChars="202"/>
        <w:rPr>
          <w:color w:val="auto"/>
          <w:szCs w:val="21"/>
          <w:highlight w:val="none"/>
        </w:rPr>
      </w:pPr>
      <w:r>
        <w:rPr>
          <w:color w:val="auto"/>
          <w:szCs w:val="21"/>
          <w:highlight w:val="none"/>
        </w:rPr>
        <w:t>本合同货物的交货地点：</w:t>
      </w:r>
    </w:p>
    <w:p>
      <w:pPr>
        <w:widowControl/>
        <w:spacing w:line="360" w:lineRule="auto"/>
        <w:ind w:firstLine="424" w:firstLineChars="202"/>
        <w:rPr>
          <w:color w:val="auto"/>
          <w:szCs w:val="21"/>
          <w:highlight w:val="none"/>
        </w:rPr>
      </w:pPr>
      <w:r>
        <w:rPr>
          <w:color w:val="auto"/>
          <w:szCs w:val="21"/>
          <w:highlight w:val="none"/>
        </w:rPr>
        <w:t>卖方负责办理运输和保险，有关运输和保险的一切费用由卖方承担。</w:t>
      </w:r>
    </w:p>
    <w:p>
      <w:pPr>
        <w:widowControl/>
        <w:spacing w:line="360" w:lineRule="auto"/>
        <w:ind w:firstLine="424" w:firstLineChars="202"/>
        <w:rPr>
          <w:color w:val="auto"/>
          <w:szCs w:val="21"/>
          <w:highlight w:val="none"/>
        </w:rPr>
      </w:pPr>
      <w:r>
        <w:rPr>
          <w:color w:val="auto"/>
          <w:szCs w:val="21"/>
          <w:highlight w:val="none"/>
        </w:rPr>
        <w:t>7．质量要求、技术标准、卖方对质量的条件和期限</w:t>
      </w:r>
    </w:p>
    <w:p>
      <w:pPr>
        <w:widowControl/>
        <w:spacing w:line="360" w:lineRule="auto"/>
        <w:ind w:firstLine="424" w:firstLineChars="202"/>
        <w:rPr>
          <w:color w:val="auto"/>
          <w:szCs w:val="21"/>
          <w:highlight w:val="none"/>
        </w:rPr>
      </w:pPr>
      <w:r>
        <w:rPr>
          <w:color w:val="auto"/>
          <w:szCs w:val="21"/>
          <w:highlight w:val="none"/>
        </w:rPr>
        <w:t>质保期（自验收合格之日算起）为</w:t>
      </w:r>
      <w:r>
        <w:rPr>
          <w:color w:val="auto"/>
          <w:szCs w:val="21"/>
          <w:highlight w:val="none"/>
          <w:u w:val="single"/>
        </w:rPr>
        <w:t xml:space="preserve">   年</w:t>
      </w:r>
      <w:r>
        <w:rPr>
          <w:color w:val="auto"/>
          <w:szCs w:val="21"/>
          <w:highlight w:val="none"/>
        </w:rPr>
        <w:t>。质保期内卖方对所售全部设备的所有部件提供全免费上门保修服务（非质量问题，费用由买方承担），软件终身免费升级。质保期后终身维修服务，按成本价更换零配件；免费维修与更换缺陷部件的时间为卖方收到买方通知后</w:t>
      </w:r>
      <w:r>
        <w:rPr>
          <w:color w:val="auto"/>
          <w:szCs w:val="21"/>
          <w:highlight w:val="none"/>
          <w:u w:val="single"/>
        </w:rPr>
        <w:t xml:space="preserve">  </w:t>
      </w:r>
      <w:r>
        <w:rPr>
          <w:color w:val="auto"/>
          <w:szCs w:val="21"/>
          <w:highlight w:val="none"/>
        </w:rPr>
        <w:t>小时内响应</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个小时内到达，</w:t>
      </w:r>
      <w:r>
        <w:rPr>
          <w:color w:val="auto"/>
          <w:szCs w:val="21"/>
          <w:highlight w:val="none"/>
          <w:u w:val="single"/>
        </w:rPr>
        <w:t xml:space="preserve">  </w:t>
      </w:r>
      <w:r>
        <w:rPr>
          <w:rFonts w:hint="eastAsia"/>
          <w:color w:val="auto"/>
          <w:szCs w:val="21"/>
          <w:highlight w:val="none"/>
        </w:rPr>
        <w:t>个小时内不能修复的，则无偿更换有质量问题的原材料</w:t>
      </w:r>
      <w:r>
        <w:rPr>
          <w:color w:val="auto"/>
          <w:szCs w:val="21"/>
          <w:highlight w:val="none"/>
        </w:rPr>
        <w:t>。技术标准和服务要求详见招标文件、投标文件、承诺书。</w:t>
      </w:r>
    </w:p>
    <w:p>
      <w:pPr>
        <w:widowControl/>
        <w:spacing w:line="360" w:lineRule="auto"/>
        <w:ind w:firstLine="424" w:firstLineChars="202"/>
        <w:rPr>
          <w:color w:val="auto"/>
          <w:szCs w:val="21"/>
          <w:highlight w:val="none"/>
        </w:rPr>
      </w:pPr>
      <w:r>
        <w:rPr>
          <w:rFonts w:hint="eastAsia"/>
          <w:color w:val="auto"/>
          <w:szCs w:val="21"/>
          <w:highlight w:val="none"/>
        </w:rPr>
        <w:t>维护期限：</w:t>
      </w:r>
      <w:r>
        <w:rPr>
          <w:rFonts w:hint="eastAsia"/>
          <w:color w:val="auto"/>
          <w:szCs w:val="21"/>
          <w:highlight w:val="none"/>
          <w:u w:val="single"/>
        </w:rPr>
        <w:t xml:space="preserve">    </w:t>
      </w:r>
      <w:r>
        <w:rPr>
          <w:rFonts w:hint="eastAsia"/>
          <w:color w:val="auto"/>
          <w:szCs w:val="21"/>
          <w:highlight w:val="none"/>
        </w:rPr>
        <w:t>年，每年提供</w:t>
      </w:r>
      <w:r>
        <w:rPr>
          <w:rFonts w:hint="eastAsia"/>
          <w:color w:val="auto"/>
          <w:szCs w:val="21"/>
          <w:highlight w:val="none"/>
          <w:u w:val="single"/>
        </w:rPr>
        <w:t xml:space="preserve">    </w:t>
      </w:r>
      <w:r>
        <w:rPr>
          <w:rFonts w:hint="eastAsia"/>
          <w:color w:val="auto"/>
          <w:szCs w:val="21"/>
          <w:highlight w:val="none"/>
        </w:rPr>
        <w:t>次维护服务。</w:t>
      </w:r>
    </w:p>
    <w:p>
      <w:pPr>
        <w:widowControl/>
        <w:spacing w:line="360" w:lineRule="auto"/>
        <w:ind w:firstLine="424" w:firstLineChars="202"/>
        <w:rPr>
          <w:color w:val="auto"/>
          <w:szCs w:val="21"/>
          <w:highlight w:val="none"/>
        </w:rPr>
      </w:pPr>
      <w:r>
        <w:rPr>
          <w:color w:val="auto"/>
          <w:szCs w:val="21"/>
          <w:highlight w:val="none"/>
        </w:rPr>
        <w:t>8．验收标准、方法及提出异议时间</w:t>
      </w:r>
    </w:p>
    <w:p>
      <w:pPr>
        <w:widowControl/>
        <w:spacing w:line="360" w:lineRule="auto"/>
        <w:ind w:firstLine="424" w:firstLineChars="202"/>
        <w:rPr>
          <w:color w:val="auto"/>
          <w:szCs w:val="21"/>
          <w:highlight w:val="none"/>
        </w:rPr>
      </w:pPr>
      <w:r>
        <w:rPr>
          <w:color w:val="auto"/>
          <w:szCs w:val="21"/>
          <w:highlight w:val="none"/>
        </w:rPr>
        <w:t>（1）产品检验：货到买方所在地后当场开箱检验，买卖双方按设备清单进行交接产品检验。若有产品及部件、数量或规格等与合同不符，或有损坏、缺陷、短缺等情况，由卖方负责调换、补齐。各类产品及配件说明书等资料完整。买方要求卖方以纸质及电子文档形式提供实验指导书。</w:t>
      </w:r>
    </w:p>
    <w:p>
      <w:pPr>
        <w:widowControl/>
        <w:spacing w:line="360" w:lineRule="auto"/>
        <w:ind w:firstLine="424" w:firstLineChars="202"/>
        <w:rPr>
          <w:color w:val="auto"/>
          <w:szCs w:val="21"/>
          <w:highlight w:val="none"/>
        </w:rPr>
      </w:pPr>
      <w:r>
        <w:rPr>
          <w:color w:val="auto"/>
          <w:szCs w:val="21"/>
          <w:highlight w:val="none"/>
        </w:rPr>
        <w:t>（2）验收时，买卖双方相关技术人员共同参与。所有人员以公正务实的态度进行检查及验收；验收合格后买卖双方签署验收报告。</w:t>
      </w:r>
    </w:p>
    <w:p>
      <w:pPr>
        <w:widowControl/>
        <w:spacing w:line="360" w:lineRule="auto"/>
        <w:ind w:firstLine="424" w:firstLineChars="202"/>
        <w:rPr>
          <w:color w:val="auto"/>
          <w:szCs w:val="21"/>
          <w:highlight w:val="none"/>
        </w:rPr>
      </w:pPr>
      <w:r>
        <w:rPr>
          <w:color w:val="auto"/>
          <w:szCs w:val="21"/>
          <w:highlight w:val="none"/>
        </w:rPr>
        <w:t>9．技术培训</w:t>
      </w:r>
    </w:p>
    <w:p>
      <w:pPr>
        <w:widowControl/>
        <w:spacing w:line="360" w:lineRule="auto"/>
        <w:ind w:firstLine="424" w:firstLineChars="202"/>
        <w:rPr>
          <w:color w:val="auto"/>
          <w:szCs w:val="21"/>
          <w:highlight w:val="none"/>
        </w:rPr>
      </w:pPr>
      <w:r>
        <w:rPr>
          <w:color w:val="auto"/>
          <w:szCs w:val="21"/>
          <w:highlight w:val="none"/>
        </w:rPr>
        <w:t>卖方负责设备安装调试并现场培训设备的操作、使用和日常保养维护知识，不再另行收费。（培训的人数不限，培训时间由</w:t>
      </w:r>
      <w:r>
        <w:rPr>
          <w:rFonts w:hint="eastAsia"/>
          <w:color w:val="auto"/>
          <w:szCs w:val="21"/>
          <w:highlight w:val="none"/>
        </w:rPr>
        <w:t>买方</w:t>
      </w:r>
      <w:r>
        <w:rPr>
          <w:color w:val="auto"/>
          <w:szCs w:val="21"/>
          <w:highlight w:val="none"/>
        </w:rPr>
        <w:t>确定，培训的目标：使用老师能正常使用为止）</w:t>
      </w:r>
    </w:p>
    <w:p>
      <w:pPr>
        <w:widowControl/>
        <w:spacing w:line="360" w:lineRule="auto"/>
        <w:ind w:firstLine="424" w:firstLineChars="202"/>
        <w:rPr>
          <w:color w:val="auto"/>
          <w:szCs w:val="21"/>
          <w:highlight w:val="none"/>
        </w:rPr>
      </w:pPr>
      <w:r>
        <w:rPr>
          <w:color w:val="auto"/>
          <w:szCs w:val="21"/>
          <w:highlight w:val="none"/>
        </w:rPr>
        <w:t>10．违约责任</w:t>
      </w:r>
    </w:p>
    <w:p>
      <w:pPr>
        <w:widowControl/>
        <w:spacing w:line="360" w:lineRule="auto"/>
        <w:ind w:firstLine="424" w:firstLineChars="202"/>
        <w:rPr>
          <w:color w:val="auto"/>
          <w:szCs w:val="21"/>
          <w:highlight w:val="none"/>
        </w:rPr>
      </w:pPr>
      <w:r>
        <w:rPr>
          <w:color w:val="auto"/>
          <w:szCs w:val="21"/>
          <w:highlight w:val="none"/>
        </w:rPr>
        <w:t>（1）卖方逾期</w:t>
      </w:r>
      <w:r>
        <w:rPr>
          <w:rFonts w:hint="eastAsia"/>
          <w:color w:val="auto"/>
          <w:szCs w:val="21"/>
          <w:highlight w:val="none"/>
        </w:rPr>
        <w:t>交</w:t>
      </w:r>
      <w:r>
        <w:rPr>
          <w:color w:val="auto"/>
          <w:szCs w:val="21"/>
          <w:highlight w:val="none"/>
        </w:rPr>
        <w:t>货的，每逾期一日，应当向买方支付合同总金额的千分之三的违约金。</w:t>
      </w:r>
    </w:p>
    <w:p>
      <w:pPr>
        <w:widowControl/>
        <w:spacing w:line="360" w:lineRule="auto"/>
        <w:ind w:firstLine="424" w:firstLineChars="202"/>
        <w:rPr>
          <w:color w:val="auto"/>
          <w:szCs w:val="21"/>
          <w:highlight w:val="none"/>
        </w:rPr>
      </w:pPr>
      <w:r>
        <w:rPr>
          <w:color w:val="auto"/>
          <w:szCs w:val="21"/>
          <w:highlight w:val="none"/>
        </w:rPr>
        <w:t>（2）卖方提供的产品不符合质量要求的，买方有权选择要求修理、更换、重做、退货、减少价款。因修理、更换、重做导致逾期验收通过的，按逾期</w:t>
      </w:r>
      <w:r>
        <w:rPr>
          <w:rFonts w:hint="eastAsia"/>
          <w:color w:val="auto"/>
          <w:szCs w:val="21"/>
          <w:highlight w:val="none"/>
        </w:rPr>
        <w:t>交</w:t>
      </w:r>
      <w:r>
        <w:rPr>
          <w:color w:val="auto"/>
          <w:szCs w:val="21"/>
          <w:highlight w:val="none"/>
        </w:rPr>
        <w:t>货处理。买方选择退货的，</w:t>
      </w:r>
      <w:r>
        <w:rPr>
          <w:rFonts w:hint="eastAsia"/>
          <w:color w:val="auto"/>
          <w:szCs w:val="21"/>
          <w:highlight w:val="none"/>
        </w:rPr>
        <w:t>卖方</w:t>
      </w:r>
      <w:r>
        <w:rPr>
          <w:color w:val="auto"/>
          <w:szCs w:val="21"/>
          <w:highlight w:val="none"/>
        </w:rPr>
        <w:t>还应当向买方支付合同总金额的20%的违约金。</w:t>
      </w:r>
    </w:p>
    <w:p>
      <w:pPr>
        <w:widowControl/>
        <w:spacing w:line="360" w:lineRule="auto"/>
        <w:ind w:firstLine="424" w:firstLineChars="202"/>
        <w:rPr>
          <w:color w:val="auto"/>
          <w:szCs w:val="21"/>
          <w:highlight w:val="none"/>
        </w:rPr>
      </w:pPr>
      <w:r>
        <w:rPr>
          <w:color w:val="auto"/>
          <w:szCs w:val="21"/>
          <w:highlight w:val="none"/>
        </w:rPr>
        <w:t>（3）卖方未能在约定时间内响应报修通知并修复的，每发生一起，应当向买方支付违约金2000元。</w:t>
      </w:r>
    </w:p>
    <w:p>
      <w:pPr>
        <w:widowControl/>
        <w:spacing w:line="360" w:lineRule="auto"/>
        <w:ind w:firstLine="424" w:firstLineChars="202"/>
        <w:rPr>
          <w:color w:val="auto"/>
          <w:szCs w:val="21"/>
          <w:highlight w:val="none"/>
        </w:rPr>
      </w:pPr>
      <w:r>
        <w:rPr>
          <w:color w:val="auto"/>
          <w:szCs w:val="21"/>
          <w:highlight w:val="none"/>
        </w:rPr>
        <w:t>（4）任何一方擅自解除本合同的，应当向对方支付合同总金额的30%的违约金。</w:t>
      </w:r>
    </w:p>
    <w:p>
      <w:pPr>
        <w:widowControl/>
        <w:spacing w:line="360" w:lineRule="auto"/>
        <w:ind w:firstLine="424" w:firstLineChars="202"/>
        <w:rPr>
          <w:color w:val="auto"/>
          <w:szCs w:val="21"/>
          <w:highlight w:val="none"/>
        </w:rPr>
      </w:pPr>
      <w:r>
        <w:rPr>
          <w:color w:val="auto"/>
          <w:szCs w:val="21"/>
          <w:highlight w:val="none"/>
        </w:rPr>
        <w:t>11．合同的生效</w:t>
      </w:r>
    </w:p>
    <w:p>
      <w:pPr>
        <w:widowControl/>
        <w:spacing w:line="360" w:lineRule="auto"/>
        <w:ind w:firstLine="424" w:firstLineChars="202"/>
        <w:rPr>
          <w:color w:val="auto"/>
          <w:szCs w:val="21"/>
          <w:highlight w:val="none"/>
        </w:rPr>
      </w:pPr>
      <w:r>
        <w:rPr>
          <w:color w:val="auto"/>
          <w:szCs w:val="21"/>
          <w:highlight w:val="none"/>
        </w:rPr>
        <w:t>本合同自双方签字并盖章之日起生效。</w:t>
      </w:r>
    </w:p>
    <w:p>
      <w:pPr>
        <w:widowControl/>
        <w:spacing w:line="360" w:lineRule="auto"/>
        <w:ind w:firstLine="424" w:firstLineChars="202"/>
        <w:rPr>
          <w:color w:val="auto"/>
          <w:szCs w:val="21"/>
          <w:highlight w:val="none"/>
        </w:rPr>
      </w:pPr>
      <w:r>
        <w:rPr>
          <w:color w:val="auto"/>
          <w:szCs w:val="21"/>
          <w:highlight w:val="none"/>
        </w:rPr>
        <w:t>12．解决争议的方法</w:t>
      </w:r>
    </w:p>
    <w:p>
      <w:pPr>
        <w:widowControl/>
        <w:spacing w:line="360" w:lineRule="auto"/>
        <w:ind w:firstLine="424" w:firstLineChars="202"/>
        <w:rPr>
          <w:color w:val="auto"/>
          <w:szCs w:val="21"/>
          <w:highlight w:val="none"/>
        </w:rPr>
      </w:pPr>
      <w:r>
        <w:rPr>
          <w:color w:val="auto"/>
          <w:szCs w:val="21"/>
          <w:highlight w:val="none"/>
        </w:rPr>
        <w:t>因执行本合同发生的纠纷，由买方住所地法院管辖。</w:t>
      </w:r>
    </w:p>
    <w:p>
      <w:pPr>
        <w:widowControl/>
        <w:spacing w:line="360" w:lineRule="auto"/>
        <w:ind w:firstLine="424" w:firstLineChars="202"/>
        <w:rPr>
          <w:color w:val="auto"/>
          <w:szCs w:val="21"/>
          <w:highlight w:val="none"/>
        </w:rPr>
      </w:pPr>
      <w:r>
        <w:rPr>
          <w:color w:val="auto"/>
          <w:szCs w:val="21"/>
          <w:highlight w:val="none"/>
        </w:rPr>
        <w:t>发生纠纷后，当事人一方实现债权的费用，包括但不限于律师代理费、诉讼费、保全费、鉴定费等，由违约方承担。</w:t>
      </w:r>
    </w:p>
    <w:p>
      <w:pPr>
        <w:widowControl/>
        <w:spacing w:line="360" w:lineRule="auto"/>
        <w:ind w:firstLine="424" w:firstLineChars="202"/>
        <w:rPr>
          <w:color w:val="auto"/>
          <w:szCs w:val="21"/>
          <w:highlight w:val="none"/>
        </w:rPr>
      </w:pPr>
      <w:r>
        <w:rPr>
          <w:color w:val="auto"/>
          <w:szCs w:val="21"/>
          <w:highlight w:val="none"/>
        </w:rPr>
        <w:t>13．本合同一式四份，买方执三份，卖方执一份，具有同等法律效力。</w:t>
      </w:r>
    </w:p>
    <w:p>
      <w:pPr>
        <w:widowControl/>
        <w:spacing w:line="360" w:lineRule="auto"/>
        <w:ind w:firstLine="424" w:firstLineChars="202"/>
        <w:rPr>
          <w:color w:val="auto"/>
          <w:szCs w:val="21"/>
          <w:highlight w:val="none"/>
        </w:rPr>
      </w:pPr>
      <w:r>
        <w:rPr>
          <w:rFonts w:hint="eastAsia"/>
          <w:color w:val="auto"/>
          <w:szCs w:val="21"/>
          <w:highlight w:val="none"/>
        </w:rPr>
        <w:t>甲 方</w:t>
      </w:r>
      <w:r>
        <w:rPr>
          <w:color w:val="auto"/>
          <w:szCs w:val="21"/>
          <w:highlight w:val="none"/>
        </w:rPr>
        <w:t xml:space="preserve">：宁波工程学院                       </w:t>
      </w:r>
      <w:r>
        <w:rPr>
          <w:rFonts w:hint="eastAsia"/>
          <w:color w:val="auto"/>
          <w:szCs w:val="21"/>
          <w:highlight w:val="none"/>
        </w:rPr>
        <w:t>乙 方</w:t>
      </w:r>
      <w:r>
        <w:rPr>
          <w:color w:val="auto"/>
          <w:szCs w:val="21"/>
          <w:highlight w:val="none"/>
        </w:rPr>
        <w:t>：</w:t>
      </w:r>
    </w:p>
    <w:p>
      <w:pPr>
        <w:widowControl/>
        <w:spacing w:line="360" w:lineRule="auto"/>
        <w:ind w:firstLine="424" w:firstLineChars="202"/>
        <w:rPr>
          <w:color w:val="auto"/>
          <w:szCs w:val="21"/>
          <w:highlight w:val="none"/>
        </w:rPr>
      </w:pPr>
      <w:r>
        <w:rPr>
          <w:color w:val="auto"/>
          <w:szCs w:val="21"/>
          <w:highlight w:val="none"/>
        </w:rPr>
        <w:t>名 称：（印章）                            名 称：（印章）</w:t>
      </w:r>
    </w:p>
    <w:p>
      <w:pPr>
        <w:widowControl/>
        <w:spacing w:line="360" w:lineRule="auto"/>
        <w:ind w:firstLine="424" w:firstLineChars="202"/>
        <w:rPr>
          <w:color w:val="auto"/>
          <w:szCs w:val="21"/>
          <w:highlight w:val="none"/>
        </w:rPr>
      </w:pPr>
      <w:r>
        <w:rPr>
          <w:color w:val="auto"/>
          <w:szCs w:val="21"/>
          <w:highlight w:val="none"/>
        </w:rPr>
        <w:t>法定代表人</w:t>
      </w:r>
      <w:r>
        <w:rPr>
          <w:rFonts w:hint="eastAsia"/>
          <w:color w:val="auto"/>
          <w:szCs w:val="21"/>
          <w:highlight w:val="none"/>
        </w:rPr>
        <w:t>/</w:t>
      </w:r>
      <w:r>
        <w:rPr>
          <w:color w:val="auto"/>
          <w:szCs w:val="21"/>
          <w:highlight w:val="none"/>
        </w:rPr>
        <w:t>授权人（签字）：                法定代表人</w:t>
      </w:r>
      <w:r>
        <w:rPr>
          <w:rFonts w:hint="eastAsia"/>
          <w:color w:val="auto"/>
          <w:szCs w:val="21"/>
          <w:highlight w:val="none"/>
        </w:rPr>
        <w:t>/</w:t>
      </w:r>
      <w:r>
        <w:rPr>
          <w:color w:val="auto"/>
          <w:szCs w:val="21"/>
          <w:highlight w:val="none"/>
        </w:rPr>
        <w:t xml:space="preserve">授权人（签字）： </w:t>
      </w:r>
    </w:p>
    <w:p>
      <w:pPr>
        <w:widowControl/>
        <w:spacing w:line="360" w:lineRule="auto"/>
        <w:ind w:firstLine="424" w:firstLineChars="202"/>
        <w:rPr>
          <w:color w:val="auto"/>
          <w:szCs w:val="21"/>
          <w:highlight w:val="none"/>
        </w:rPr>
      </w:pPr>
      <w:r>
        <w:rPr>
          <w:color w:val="auto"/>
          <w:szCs w:val="21"/>
          <w:highlight w:val="none"/>
        </w:rPr>
        <w:t>地址：宁波市风华路201号                  地址：</w:t>
      </w:r>
    </w:p>
    <w:p>
      <w:pPr>
        <w:widowControl/>
        <w:spacing w:line="360" w:lineRule="auto"/>
        <w:ind w:firstLine="424" w:firstLineChars="202"/>
        <w:rPr>
          <w:color w:val="auto"/>
          <w:szCs w:val="21"/>
          <w:highlight w:val="none"/>
        </w:rPr>
      </w:pPr>
      <w:r>
        <w:rPr>
          <w:rFonts w:hint="eastAsia"/>
          <w:color w:val="auto"/>
          <w:szCs w:val="21"/>
          <w:highlight w:val="none"/>
        </w:rPr>
        <w:t>统一社会信用代码：</w:t>
      </w:r>
      <w:r>
        <w:rPr>
          <w:color w:val="auto"/>
          <w:szCs w:val="21"/>
          <w:highlight w:val="none"/>
        </w:rPr>
        <w:t xml:space="preserve">12330200419525025W     </w:t>
      </w:r>
      <w:r>
        <w:rPr>
          <w:rFonts w:hint="eastAsia"/>
          <w:color w:val="auto"/>
          <w:szCs w:val="21"/>
          <w:highlight w:val="none"/>
        </w:rPr>
        <w:t>统一社会信用代码：</w:t>
      </w:r>
    </w:p>
    <w:p>
      <w:pPr>
        <w:widowControl/>
        <w:spacing w:line="360" w:lineRule="auto"/>
        <w:ind w:firstLine="424" w:firstLineChars="202"/>
        <w:rPr>
          <w:color w:val="auto"/>
          <w:szCs w:val="21"/>
          <w:highlight w:val="none"/>
        </w:rPr>
      </w:pPr>
      <w:r>
        <w:rPr>
          <w:color w:val="auto"/>
          <w:szCs w:val="21"/>
          <w:highlight w:val="none"/>
        </w:rPr>
        <w:t>开户银行：</w:t>
      </w:r>
      <w:r>
        <w:rPr>
          <w:rFonts w:hint="eastAsia"/>
          <w:color w:val="auto"/>
          <w:szCs w:val="21"/>
          <w:highlight w:val="none"/>
        </w:rPr>
        <w:t xml:space="preserve">宁波市农行翠柏支行 </w:t>
      </w:r>
      <w:r>
        <w:rPr>
          <w:color w:val="auto"/>
          <w:szCs w:val="21"/>
          <w:highlight w:val="none"/>
        </w:rPr>
        <w:t xml:space="preserve">             开户银行： </w:t>
      </w:r>
    </w:p>
    <w:p>
      <w:pPr>
        <w:widowControl/>
        <w:spacing w:line="360" w:lineRule="auto"/>
        <w:ind w:firstLine="424" w:firstLineChars="202"/>
        <w:rPr>
          <w:color w:val="auto"/>
          <w:szCs w:val="21"/>
          <w:highlight w:val="none"/>
        </w:rPr>
      </w:pPr>
      <w:r>
        <w:rPr>
          <w:color w:val="auto"/>
          <w:szCs w:val="21"/>
          <w:highlight w:val="none"/>
        </w:rPr>
        <w:t>帐    号：39054001040000062               帐    号：</w:t>
      </w:r>
    </w:p>
    <w:p>
      <w:pPr>
        <w:widowControl/>
        <w:spacing w:line="360" w:lineRule="auto"/>
        <w:ind w:firstLine="424" w:firstLineChars="202"/>
        <w:rPr>
          <w:color w:val="auto"/>
          <w:szCs w:val="21"/>
          <w:highlight w:val="none"/>
        </w:rPr>
      </w:pPr>
      <w:r>
        <w:rPr>
          <w:color w:val="auto"/>
          <w:szCs w:val="21"/>
          <w:highlight w:val="none"/>
        </w:rPr>
        <w:t>联系人：                                  联系人：</w:t>
      </w:r>
    </w:p>
    <w:p>
      <w:pPr>
        <w:widowControl/>
        <w:spacing w:line="360" w:lineRule="auto"/>
        <w:ind w:firstLine="424" w:firstLineChars="202"/>
        <w:rPr>
          <w:color w:val="auto"/>
          <w:szCs w:val="21"/>
          <w:highlight w:val="none"/>
        </w:rPr>
      </w:pPr>
      <w:r>
        <w:rPr>
          <w:color w:val="auto"/>
          <w:szCs w:val="21"/>
          <w:highlight w:val="none"/>
        </w:rPr>
        <w:t>联系电话：                                联系电话：</w:t>
      </w:r>
    </w:p>
    <w:p>
      <w:pPr>
        <w:pStyle w:val="2"/>
        <w:rPr>
          <w:rFonts w:ascii="黑体" w:hAnsi="黑体" w:eastAsia="黑体"/>
          <w:color w:val="auto"/>
          <w:szCs w:val="36"/>
          <w:highlight w:val="none"/>
        </w:rPr>
      </w:pPr>
      <w:r>
        <w:rPr>
          <w:rFonts w:ascii="黑体" w:hAnsi="黑体" w:eastAsia="黑体"/>
          <w:color w:val="auto"/>
          <w:szCs w:val="36"/>
          <w:highlight w:val="none"/>
        </w:rPr>
        <w:br w:type="page"/>
      </w:r>
    </w:p>
    <w:p>
      <w:pPr>
        <w:pStyle w:val="23"/>
        <w:ind w:left="1260"/>
        <w:rPr>
          <w:color w:val="auto"/>
          <w:highlight w:val="none"/>
        </w:rPr>
      </w:pPr>
    </w:p>
    <w:p>
      <w:pPr>
        <w:tabs>
          <w:tab w:val="left" w:pos="1260"/>
          <w:tab w:val="left" w:pos="1680"/>
          <w:tab w:val="left" w:pos="2100"/>
          <w:tab w:val="left" w:pos="2520"/>
          <w:tab w:val="left" w:pos="2940"/>
          <w:tab w:val="left" w:pos="5608"/>
        </w:tabs>
        <w:spacing w:line="300" w:lineRule="exact"/>
        <w:ind w:firstLine="3990" w:firstLineChars="1900"/>
        <w:rPr>
          <w:rFonts w:ascii="黑体" w:hAnsi="黑体" w:eastAsia="黑体"/>
          <w:color w:val="auto"/>
          <w:szCs w:val="36"/>
          <w:highlight w:val="none"/>
        </w:rPr>
      </w:pPr>
      <w:r>
        <w:rPr>
          <w:rFonts w:hint="eastAsia" w:ascii="黑体" w:hAnsi="黑体" w:eastAsia="黑体"/>
          <w:color w:val="auto"/>
          <w:szCs w:val="36"/>
          <w:highlight w:val="none"/>
        </w:rPr>
        <w:t>（进口免税）</w:t>
      </w:r>
    </w:p>
    <w:p>
      <w:pPr>
        <w:pStyle w:val="23"/>
        <w:ind w:left="1260"/>
        <w:rPr>
          <w:color w:val="auto"/>
          <w:highlight w:val="none"/>
        </w:rPr>
      </w:pPr>
    </w:p>
    <w:p>
      <w:pPr>
        <w:tabs>
          <w:tab w:val="left" w:pos="1260"/>
          <w:tab w:val="left" w:pos="1680"/>
          <w:tab w:val="left" w:pos="2100"/>
          <w:tab w:val="left" w:pos="2520"/>
          <w:tab w:val="left" w:pos="2940"/>
          <w:tab w:val="left" w:pos="5608"/>
        </w:tabs>
        <w:spacing w:line="300" w:lineRule="exact"/>
        <w:ind w:firstLine="482"/>
        <w:jc w:val="center"/>
        <w:rPr>
          <w:b/>
          <w:color w:val="auto"/>
          <w:sz w:val="24"/>
          <w:highlight w:val="none"/>
        </w:rPr>
      </w:pPr>
      <w:r>
        <w:rPr>
          <w:b/>
          <w:color w:val="auto"/>
          <w:sz w:val="24"/>
          <w:highlight w:val="none"/>
        </w:rPr>
        <w:t>合  同</w:t>
      </w:r>
    </w:p>
    <w:p>
      <w:pPr>
        <w:spacing w:line="300" w:lineRule="exact"/>
        <w:ind w:firstLine="482"/>
        <w:jc w:val="center"/>
        <w:rPr>
          <w:b/>
          <w:color w:val="auto"/>
          <w:sz w:val="24"/>
          <w:highlight w:val="none"/>
        </w:rPr>
      </w:pPr>
      <w:r>
        <w:rPr>
          <w:b/>
          <w:color w:val="auto"/>
          <w:sz w:val="24"/>
          <w:highlight w:val="none"/>
        </w:rPr>
        <w:t>CONTRACT</w:t>
      </w:r>
    </w:p>
    <w:p>
      <w:pPr>
        <w:spacing w:line="300" w:lineRule="exact"/>
        <w:ind w:firstLine="480"/>
        <w:jc w:val="center"/>
        <w:rPr>
          <w:color w:val="auto"/>
          <w:sz w:val="24"/>
          <w:highlight w:val="none"/>
        </w:rPr>
      </w:pPr>
      <w:r>
        <w:rPr>
          <w:color w:val="auto"/>
          <w:sz w:val="24"/>
          <w:highlight w:val="none"/>
        </w:rPr>
        <w:t>正  本</w:t>
      </w:r>
    </w:p>
    <w:p>
      <w:pPr>
        <w:spacing w:line="300" w:lineRule="exact"/>
        <w:jc w:val="center"/>
        <w:rPr>
          <w:color w:val="auto"/>
          <w:szCs w:val="21"/>
          <w:highlight w:val="none"/>
        </w:rPr>
      </w:pPr>
      <w:r>
        <w:rPr>
          <w:color w:val="auto"/>
          <w:szCs w:val="21"/>
          <w:highlight w:val="none"/>
        </w:rPr>
        <w:t>ORIGINAL</w:t>
      </w:r>
    </w:p>
    <w:p>
      <w:pPr>
        <w:tabs>
          <w:tab w:val="left" w:pos="7380"/>
        </w:tabs>
        <w:spacing w:line="300" w:lineRule="exact"/>
        <w:ind w:left="-720" w:right="-871" w:firstLine="630" w:firstLineChars="300"/>
        <w:rPr>
          <w:color w:val="auto"/>
          <w:szCs w:val="21"/>
          <w:highlight w:val="none"/>
        </w:rPr>
      </w:pPr>
      <w:r>
        <w:rPr>
          <w:color w:val="auto"/>
          <w:szCs w:val="21"/>
          <w:highlight w:val="none"/>
        </w:rPr>
        <w:t>合同编号：</w:t>
      </w:r>
    </w:p>
    <w:p>
      <w:pPr>
        <w:tabs>
          <w:tab w:val="left" w:pos="7380"/>
        </w:tabs>
        <w:spacing w:line="300" w:lineRule="exact"/>
        <w:ind w:left="-720" w:right="-871" w:firstLine="630" w:firstLineChars="300"/>
        <w:rPr>
          <w:color w:val="auto"/>
          <w:szCs w:val="21"/>
          <w:highlight w:val="none"/>
        </w:rPr>
      </w:pPr>
      <w:r>
        <w:rPr>
          <w:color w:val="auto"/>
          <w:szCs w:val="21"/>
          <w:highlight w:val="none"/>
        </w:rPr>
        <w:t xml:space="preserve">CONTRACT NO: </w:t>
      </w:r>
    </w:p>
    <w:p>
      <w:pPr>
        <w:tabs>
          <w:tab w:val="left" w:pos="7380"/>
        </w:tabs>
        <w:spacing w:line="300" w:lineRule="exact"/>
        <w:ind w:left="-720" w:right="-871" w:firstLine="630" w:firstLineChars="300"/>
        <w:rPr>
          <w:color w:val="auto"/>
          <w:szCs w:val="21"/>
          <w:highlight w:val="none"/>
        </w:rPr>
      </w:pPr>
      <w:r>
        <w:rPr>
          <w:color w:val="auto"/>
          <w:szCs w:val="21"/>
          <w:highlight w:val="none"/>
        </w:rPr>
        <w:t>招标编号：</w:t>
      </w:r>
      <w:r>
        <w:rPr>
          <w:rFonts w:hint="eastAsia"/>
          <w:color w:val="auto"/>
          <w:szCs w:val="21"/>
          <w:highlight w:val="none"/>
        </w:rPr>
        <w:tab/>
      </w:r>
    </w:p>
    <w:p>
      <w:pPr>
        <w:tabs>
          <w:tab w:val="left" w:pos="7380"/>
        </w:tabs>
        <w:spacing w:line="300" w:lineRule="exact"/>
        <w:ind w:left="-720" w:right="-871" w:firstLine="630" w:firstLineChars="300"/>
        <w:rPr>
          <w:color w:val="auto"/>
          <w:szCs w:val="21"/>
          <w:highlight w:val="none"/>
        </w:rPr>
      </w:pPr>
      <w:r>
        <w:rPr>
          <w:color w:val="auto"/>
          <w:szCs w:val="21"/>
          <w:highlight w:val="none"/>
        </w:rPr>
        <w:t>日期和地点：年</w:t>
      </w:r>
      <w:r>
        <w:rPr>
          <w:rFonts w:hint="eastAsia"/>
          <w:color w:val="auto"/>
          <w:szCs w:val="21"/>
          <w:highlight w:val="none"/>
        </w:rPr>
        <w:t xml:space="preserve">  </w:t>
      </w:r>
      <w:r>
        <w:rPr>
          <w:color w:val="auto"/>
          <w:szCs w:val="21"/>
          <w:highlight w:val="none"/>
        </w:rPr>
        <w:t>月</w:t>
      </w:r>
      <w:r>
        <w:rPr>
          <w:rFonts w:hint="eastAsia"/>
          <w:color w:val="auto"/>
          <w:szCs w:val="21"/>
          <w:highlight w:val="none"/>
        </w:rPr>
        <w:t xml:space="preserve">   </w:t>
      </w:r>
      <w:r>
        <w:rPr>
          <w:color w:val="auto"/>
          <w:szCs w:val="21"/>
          <w:highlight w:val="none"/>
        </w:rPr>
        <w:t>日 中国宁波</w:t>
      </w:r>
    </w:p>
    <w:p>
      <w:pPr>
        <w:tabs>
          <w:tab w:val="left" w:pos="7380"/>
        </w:tabs>
        <w:spacing w:line="300" w:lineRule="exact"/>
        <w:ind w:left="-720" w:right="-871" w:firstLine="630" w:firstLineChars="300"/>
        <w:rPr>
          <w:color w:val="auto"/>
          <w:szCs w:val="21"/>
          <w:highlight w:val="none"/>
        </w:rPr>
      </w:pPr>
      <w:r>
        <w:rPr>
          <w:color w:val="auto"/>
          <w:szCs w:val="21"/>
          <w:highlight w:val="none"/>
        </w:rPr>
        <w:t xml:space="preserve">Date and place:  </w:t>
      </w:r>
      <w:r>
        <w:rPr>
          <w:rFonts w:hint="eastAsia"/>
          <w:color w:val="auto"/>
          <w:szCs w:val="21"/>
          <w:highlight w:val="none"/>
        </w:rPr>
        <w:t xml:space="preserve"> </w:t>
      </w:r>
      <w:r>
        <w:rPr>
          <w:color w:val="auto"/>
          <w:szCs w:val="21"/>
          <w:highlight w:val="none"/>
        </w:rPr>
        <w:t>.Ningbo China</w:t>
      </w:r>
      <w:r>
        <w:rPr>
          <w:color w:val="auto"/>
          <w:szCs w:val="21"/>
          <w:highlight w:val="none"/>
        </w:rPr>
        <w:tab/>
      </w:r>
    </w:p>
    <w:p>
      <w:pPr>
        <w:spacing w:line="300" w:lineRule="exact"/>
        <w:rPr>
          <w:color w:val="auto"/>
          <w:szCs w:val="21"/>
          <w:highlight w:val="none"/>
        </w:rPr>
      </w:pPr>
      <w:r>
        <w:rPr>
          <w:color w:val="auto"/>
          <w:szCs w:val="21"/>
          <w:highlight w:val="none"/>
        </w:rPr>
        <w:tab/>
      </w:r>
      <w:r>
        <w:rPr>
          <w:color w:val="auto"/>
          <w:szCs w:val="21"/>
          <w:highlight w:val="none"/>
        </w:rPr>
        <w:tab/>
      </w:r>
      <w:r>
        <w:rPr>
          <w:color w:val="auto"/>
          <w:szCs w:val="21"/>
          <w:highlight w:val="none"/>
        </w:rPr>
        <w:tab/>
      </w:r>
      <w:r>
        <w:rPr>
          <w:color w:val="auto"/>
          <w:szCs w:val="21"/>
          <w:highlight w:val="none"/>
        </w:rPr>
        <w:tab/>
      </w:r>
      <w:r>
        <w:rPr>
          <w:color w:val="auto"/>
          <w:szCs w:val="21"/>
          <w:highlight w:val="none"/>
        </w:rPr>
        <w:tab/>
      </w:r>
      <w:r>
        <w:rPr>
          <w:color w:val="auto"/>
          <w:szCs w:val="21"/>
          <w:highlight w:val="none"/>
        </w:rPr>
        <w:tab/>
      </w:r>
      <w:r>
        <w:rPr>
          <w:color w:val="auto"/>
          <w:szCs w:val="21"/>
          <w:highlight w:val="none"/>
        </w:rPr>
        <w:tab/>
      </w:r>
    </w:p>
    <w:p>
      <w:pPr>
        <w:spacing w:line="300" w:lineRule="exact"/>
        <w:rPr>
          <w:color w:val="auto"/>
          <w:szCs w:val="21"/>
          <w:highlight w:val="none"/>
        </w:rPr>
      </w:pPr>
      <w:r>
        <w:rPr>
          <w:color w:val="auto"/>
          <w:szCs w:val="21"/>
          <w:highlight w:val="none"/>
        </w:rPr>
        <w:t>买方：宁波金茂进出口有限公司</w:t>
      </w:r>
      <w:r>
        <w:rPr>
          <w:color w:val="auto"/>
          <w:szCs w:val="21"/>
          <w:highlight w:val="none"/>
        </w:rPr>
        <w:tab/>
      </w:r>
      <w:r>
        <w:rPr>
          <w:color w:val="auto"/>
          <w:szCs w:val="21"/>
          <w:highlight w:val="none"/>
        </w:rPr>
        <w:tab/>
      </w:r>
    </w:p>
    <w:p>
      <w:pPr>
        <w:spacing w:line="300" w:lineRule="exact"/>
        <w:rPr>
          <w:color w:val="auto"/>
          <w:szCs w:val="21"/>
          <w:highlight w:val="none"/>
        </w:rPr>
      </w:pPr>
      <w:r>
        <w:rPr>
          <w:color w:val="auto"/>
          <w:szCs w:val="21"/>
          <w:highlight w:val="none"/>
        </w:rPr>
        <w:t>Buyer</w:t>
      </w:r>
      <w:r>
        <w:rPr>
          <w:rFonts w:hint="eastAsia"/>
          <w:color w:val="auto"/>
          <w:szCs w:val="21"/>
          <w:highlight w:val="none"/>
        </w:rPr>
        <w:t xml:space="preserve">: </w:t>
      </w:r>
      <w:r>
        <w:rPr>
          <w:color w:val="auto"/>
          <w:szCs w:val="21"/>
          <w:highlight w:val="none"/>
        </w:rPr>
        <w:t>NINGBO JIN MAO IMPORT&amp;EXPORT CO., LTD.</w:t>
      </w:r>
      <w:r>
        <w:rPr>
          <w:color w:val="auto"/>
          <w:szCs w:val="21"/>
          <w:highlight w:val="none"/>
        </w:rPr>
        <w:tab/>
      </w:r>
    </w:p>
    <w:p>
      <w:pPr>
        <w:widowControl/>
        <w:shd w:val="clear" w:color="auto" w:fill="FFFFFF"/>
        <w:spacing w:line="315" w:lineRule="atLeast"/>
        <w:rPr>
          <w:color w:val="auto"/>
          <w:szCs w:val="21"/>
          <w:highlight w:val="none"/>
        </w:rPr>
      </w:pPr>
      <w:r>
        <w:rPr>
          <w:color w:val="auto"/>
          <w:szCs w:val="21"/>
          <w:highlight w:val="none"/>
        </w:rPr>
        <w:t>Address:</w:t>
      </w:r>
      <w:r>
        <w:rPr>
          <w:rFonts w:hint="eastAsia"/>
          <w:color w:val="auto"/>
          <w:szCs w:val="21"/>
          <w:highlight w:val="none"/>
        </w:rPr>
        <w:t xml:space="preserve"> </w:t>
      </w:r>
      <w:r>
        <w:rPr>
          <w:color w:val="auto"/>
          <w:szCs w:val="21"/>
          <w:highlight w:val="none"/>
        </w:rPr>
        <w:t>宁波市海曙区丽园北路1349号壹都文化广场47号15</w:t>
      </w:r>
      <w:r>
        <w:rPr>
          <w:rFonts w:hint="eastAsia"/>
          <w:color w:val="auto"/>
          <w:szCs w:val="21"/>
          <w:highlight w:val="none"/>
        </w:rPr>
        <w:t>09</w:t>
      </w:r>
      <w:r>
        <w:rPr>
          <w:color w:val="auto"/>
          <w:szCs w:val="21"/>
          <w:highlight w:val="none"/>
        </w:rPr>
        <w:t>室</w:t>
      </w:r>
    </w:p>
    <w:p>
      <w:pPr>
        <w:widowControl/>
        <w:shd w:val="clear" w:color="auto" w:fill="FFFFFF"/>
        <w:spacing w:line="315" w:lineRule="atLeast"/>
        <w:rPr>
          <w:color w:val="auto"/>
          <w:szCs w:val="21"/>
          <w:highlight w:val="none"/>
        </w:rPr>
      </w:pPr>
      <w:r>
        <w:rPr>
          <w:color w:val="auto"/>
          <w:szCs w:val="21"/>
          <w:highlight w:val="none"/>
        </w:rPr>
        <w:t>ROOM</w:t>
      </w:r>
      <w:r>
        <w:rPr>
          <w:rFonts w:hint="eastAsia"/>
          <w:color w:val="auto"/>
          <w:szCs w:val="21"/>
          <w:highlight w:val="none"/>
        </w:rPr>
        <w:t xml:space="preserve"> </w:t>
      </w:r>
      <w:r>
        <w:rPr>
          <w:color w:val="auto"/>
          <w:szCs w:val="21"/>
          <w:highlight w:val="none"/>
        </w:rPr>
        <w:t>15</w:t>
      </w:r>
      <w:r>
        <w:rPr>
          <w:rFonts w:hint="eastAsia"/>
          <w:color w:val="auto"/>
          <w:szCs w:val="21"/>
          <w:highlight w:val="none"/>
        </w:rPr>
        <w:t xml:space="preserve">09, </w:t>
      </w:r>
      <w:r>
        <w:rPr>
          <w:color w:val="auto"/>
          <w:szCs w:val="21"/>
          <w:highlight w:val="none"/>
        </w:rPr>
        <w:t>BUILDING 47</w:t>
      </w:r>
      <w:r>
        <w:rPr>
          <w:rFonts w:hint="eastAsia"/>
          <w:color w:val="auto"/>
          <w:szCs w:val="21"/>
          <w:highlight w:val="none"/>
        </w:rPr>
        <w:t xml:space="preserve">, </w:t>
      </w:r>
      <w:r>
        <w:rPr>
          <w:color w:val="auto"/>
          <w:szCs w:val="21"/>
          <w:highlight w:val="none"/>
        </w:rPr>
        <w:t>YIDU CULTURAL SQUARE</w:t>
      </w:r>
      <w:r>
        <w:rPr>
          <w:rFonts w:hint="eastAsia"/>
          <w:color w:val="auto"/>
          <w:szCs w:val="21"/>
          <w:highlight w:val="none"/>
        </w:rPr>
        <w:t xml:space="preserve">, </w:t>
      </w:r>
      <w:r>
        <w:rPr>
          <w:color w:val="auto"/>
          <w:szCs w:val="21"/>
          <w:highlight w:val="none"/>
        </w:rPr>
        <w:t>NO.1349 LIYUAN NORTH ROAD</w:t>
      </w:r>
      <w:r>
        <w:rPr>
          <w:rFonts w:hint="eastAsia"/>
          <w:color w:val="auto"/>
          <w:szCs w:val="21"/>
          <w:highlight w:val="none"/>
        </w:rPr>
        <w:t xml:space="preserve">, </w:t>
      </w:r>
      <w:r>
        <w:rPr>
          <w:color w:val="auto"/>
          <w:szCs w:val="21"/>
          <w:highlight w:val="none"/>
        </w:rPr>
        <w:t>HAISHU DISTRICT</w:t>
      </w:r>
      <w:r>
        <w:rPr>
          <w:rFonts w:hint="eastAsia"/>
          <w:color w:val="auto"/>
          <w:szCs w:val="21"/>
          <w:highlight w:val="none"/>
        </w:rPr>
        <w:t xml:space="preserve">, </w:t>
      </w:r>
      <w:r>
        <w:rPr>
          <w:color w:val="auto"/>
          <w:szCs w:val="21"/>
          <w:highlight w:val="none"/>
        </w:rPr>
        <w:t>NINGBO 315010, CHINA</w:t>
      </w:r>
    </w:p>
    <w:p>
      <w:pPr>
        <w:spacing w:line="300" w:lineRule="exact"/>
        <w:rPr>
          <w:color w:val="auto"/>
          <w:szCs w:val="21"/>
          <w:highlight w:val="none"/>
        </w:rPr>
      </w:pPr>
      <w:r>
        <w:rPr>
          <w:color w:val="auto"/>
          <w:szCs w:val="21"/>
          <w:highlight w:val="none"/>
        </w:rPr>
        <w:t>Tel:</w:t>
      </w:r>
      <w:r>
        <w:rPr>
          <w:rFonts w:hint="eastAsia"/>
          <w:color w:val="auto"/>
          <w:szCs w:val="21"/>
          <w:highlight w:val="none"/>
        </w:rPr>
        <w:t xml:space="preserve"> </w:t>
      </w:r>
      <w:r>
        <w:rPr>
          <w:color w:val="auto"/>
          <w:szCs w:val="21"/>
          <w:highlight w:val="none"/>
        </w:rPr>
        <w:t>(86 574)87308185   Fax:</w:t>
      </w:r>
      <w:r>
        <w:rPr>
          <w:rFonts w:hint="eastAsia"/>
          <w:color w:val="auto"/>
          <w:szCs w:val="21"/>
          <w:highlight w:val="none"/>
        </w:rPr>
        <w:t xml:space="preserve"> </w:t>
      </w:r>
      <w:r>
        <w:rPr>
          <w:color w:val="auto"/>
          <w:szCs w:val="21"/>
          <w:highlight w:val="none"/>
        </w:rPr>
        <w:t>(86 574)87307729</w:t>
      </w:r>
      <w:r>
        <w:rPr>
          <w:rFonts w:hint="eastAsia"/>
          <w:color w:val="auto"/>
          <w:szCs w:val="21"/>
          <w:highlight w:val="none"/>
        </w:rPr>
        <w:t xml:space="preserve">  Email:jm1500@163.com</w:t>
      </w:r>
    </w:p>
    <w:p>
      <w:pPr>
        <w:spacing w:line="300" w:lineRule="exact"/>
        <w:rPr>
          <w:color w:val="auto"/>
          <w:szCs w:val="21"/>
          <w:highlight w:val="none"/>
        </w:rPr>
      </w:pPr>
    </w:p>
    <w:p>
      <w:pPr>
        <w:rPr>
          <w:rFonts w:ascii="Arial" w:hAnsi="Arial" w:cs="Arial"/>
          <w:bCs/>
          <w:color w:val="auto"/>
          <w:kern w:val="22"/>
          <w:szCs w:val="21"/>
          <w:highlight w:val="none"/>
        </w:rPr>
      </w:pPr>
      <w:r>
        <w:rPr>
          <w:rFonts w:hint="eastAsia" w:ascii="Arial" w:hAnsi="Arial" w:cs="Arial"/>
          <w:bCs/>
          <w:color w:val="auto"/>
          <w:kern w:val="22"/>
          <w:szCs w:val="21"/>
          <w:highlight w:val="none"/>
        </w:rPr>
        <w:t>卖方：</w:t>
      </w:r>
    </w:p>
    <w:p>
      <w:pPr>
        <w:spacing w:line="300" w:lineRule="exact"/>
        <w:rPr>
          <w:rFonts w:ascii="Arial" w:hAnsi="Arial" w:cs="Arial"/>
          <w:bCs/>
          <w:color w:val="auto"/>
          <w:kern w:val="22"/>
          <w:szCs w:val="21"/>
          <w:highlight w:val="none"/>
        </w:rPr>
      </w:pPr>
      <w:r>
        <w:rPr>
          <w:rFonts w:hint="eastAsia" w:ascii="Arial" w:hAnsi="Arial" w:cs="Arial"/>
          <w:bCs/>
          <w:color w:val="auto"/>
          <w:kern w:val="22"/>
          <w:szCs w:val="21"/>
          <w:highlight w:val="none"/>
        </w:rPr>
        <w:t>Seller：</w:t>
      </w:r>
    </w:p>
    <w:p>
      <w:pPr>
        <w:spacing w:line="300" w:lineRule="exact"/>
        <w:rPr>
          <w:rFonts w:ascii="Arial" w:hAnsi="Arial" w:cs="Arial"/>
          <w:bCs/>
          <w:color w:val="auto"/>
          <w:kern w:val="22"/>
          <w:szCs w:val="21"/>
          <w:highlight w:val="none"/>
        </w:rPr>
      </w:pPr>
      <w:r>
        <w:rPr>
          <w:rFonts w:hint="eastAsia" w:ascii="Arial" w:hAnsi="Arial" w:cs="Arial"/>
          <w:bCs/>
          <w:color w:val="auto"/>
          <w:kern w:val="22"/>
          <w:szCs w:val="21"/>
          <w:highlight w:val="none"/>
        </w:rPr>
        <w:t xml:space="preserve">ADRESS: </w:t>
      </w:r>
    </w:p>
    <w:p>
      <w:pPr>
        <w:spacing w:line="300" w:lineRule="exact"/>
        <w:rPr>
          <w:rFonts w:ascii="Arial" w:hAnsi="Arial" w:cs="Arial"/>
          <w:bCs/>
          <w:color w:val="auto"/>
          <w:kern w:val="22"/>
          <w:szCs w:val="21"/>
          <w:highlight w:val="none"/>
        </w:rPr>
      </w:pPr>
      <w:r>
        <w:rPr>
          <w:rFonts w:hint="eastAsia" w:ascii="Arial" w:hAnsi="Arial" w:cs="Arial"/>
          <w:bCs/>
          <w:color w:val="auto"/>
          <w:kern w:val="22"/>
          <w:szCs w:val="21"/>
          <w:highlight w:val="none"/>
        </w:rPr>
        <w:t xml:space="preserve">TEL:    FAX: </w:t>
      </w:r>
    </w:p>
    <w:p>
      <w:pPr>
        <w:spacing w:line="300" w:lineRule="exact"/>
        <w:rPr>
          <w:rFonts w:ascii="Arial" w:hAnsi="Arial" w:cs="Arial"/>
          <w:bCs/>
          <w:color w:val="auto"/>
          <w:kern w:val="22"/>
          <w:szCs w:val="21"/>
          <w:highlight w:val="none"/>
        </w:rPr>
      </w:pPr>
      <w:r>
        <w:rPr>
          <w:rFonts w:hint="eastAsia" w:ascii="Arial" w:hAnsi="Arial" w:cs="Arial"/>
          <w:bCs/>
          <w:color w:val="auto"/>
          <w:kern w:val="22"/>
          <w:szCs w:val="21"/>
          <w:highlight w:val="none"/>
        </w:rPr>
        <w:t xml:space="preserve">Bank information: </w:t>
      </w:r>
    </w:p>
    <w:p>
      <w:pPr>
        <w:spacing w:line="300" w:lineRule="exact"/>
        <w:rPr>
          <w:rFonts w:ascii="Arial" w:hAnsi="Arial" w:cs="Arial"/>
          <w:bCs/>
          <w:color w:val="auto"/>
          <w:kern w:val="22"/>
          <w:szCs w:val="21"/>
          <w:highlight w:val="none"/>
        </w:rPr>
      </w:pPr>
      <w:r>
        <w:rPr>
          <w:rFonts w:hint="eastAsia" w:ascii="Arial" w:hAnsi="Arial" w:cs="Arial"/>
          <w:bCs/>
          <w:color w:val="auto"/>
          <w:kern w:val="22"/>
          <w:szCs w:val="21"/>
          <w:highlight w:val="none"/>
        </w:rPr>
        <w:t xml:space="preserve">Bank name: </w:t>
      </w:r>
    </w:p>
    <w:p>
      <w:pPr>
        <w:spacing w:line="300" w:lineRule="exact"/>
        <w:rPr>
          <w:rFonts w:ascii="Arial" w:hAnsi="Arial" w:cs="Arial"/>
          <w:bCs/>
          <w:color w:val="auto"/>
          <w:kern w:val="22"/>
          <w:szCs w:val="21"/>
          <w:highlight w:val="none"/>
        </w:rPr>
      </w:pPr>
      <w:r>
        <w:rPr>
          <w:rFonts w:hint="eastAsia" w:ascii="Arial" w:hAnsi="Arial" w:cs="Arial"/>
          <w:bCs/>
          <w:color w:val="auto"/>
          <w:kern w:val="22"/>
          <w:szCs w:val="21"/>
          <w:highlight w:val="none"/>
        </w:rPr>
        <w:t xml:space="preserve">Bank address: </w:t>
      </w:r>
    </w:p>
    <w:p>
      <w:pPr>
        <w:spacing w:line="300" w:lineRule="exact"/>
        <w:rPr>
          <w:rFonts w:ascii="Arial" w:hAnsi="Arial" w:cs="Arial"/>
          <w:bCs/>
          <w:color w:val="auto"/>
          <w:kern w:val="22"/>
          <w:szCs w:val="21"/>
          <w:highlight w:val="none"/>
        </w:rPr>
      </w:pPr>
      <w:r>
        <w:rPr>
          <w:rFonts w:hint="eastAsia" w:ascii="Arial" w:hAnsi="Arial" w:cs="Arial"/>
          <w:bCs/>
          <w:color w:val="auto"/>
          <w:kern w:val="22"/>
          <w:szCs w:val="21"/>
          <w:highlight w:val="none"/>
        </w:rPr>
        <w:t>SWIFT:</w:t>
      </w:r>
    </w:p>
    <w:p>
      <w:pPr>
        <w:spacing w:line="300" w:lineRule="exact"/>
        <w:rPr>
          <w:rFonts w:ascii="Arial" w:hAnsi="Arial" w:cs="Arial"/>
          <w:bCs/>
          <w:color w:val="auto"/>
          <w:kern w:val="22"/>
          <w:szCs w:val="21"/>
          <w:highlight w:val="none"/>
        </w:rPr>
      </w:pPr>
      <w:r>
        <w:rPr>
          <w:rFonts w:hint="eastAsia" w:ascii="Arial" w:hAnsi="Arial" w:cs="Arial"/>
          <w:bCs/>
          <w:color w:val="auto"/>
          <w:kern w:val="22"/>
          <w:szCs w:val="21"/>
          <w:highlight w:val="none"/>
        </w:rPr>
        <w:t xml:space="preserve">Account: </w:t>
      </w:r>
    </w:p>
    <w:p>
      <w:pPr>
        <w:spacing w:line="300" w:lineRule="exact"/>
        <w:rPr>
          <w:rFonts w:ascii="Arial" w:hAnsi="Arial" w:cs="Arial"/>
          <w:bCs/>
          <w:color w:val="auto"/>
          <w:kern w:val="22"/>
          <w:szCs w:val="21"/>
          <w:highlight w:val="none"/>
        </w:rPr>
      </w:pPr>
    </w:p>
    <w:p>
      <w:pPr>
        <w:spacing w:line="300" w:lineRule="exact"/>
        <w:rPr>
          <w:rFonts w:ascii="Arial" w:hAnsi="Arial" w:cs="Arial"/>
          <w:bCs/>
          <w:color w:val="auto"/>
          <w:kern w:val="22"/>
          <w:szCs w:val="21"/>
          <w:highlight w:val="none"/>
        </w:rPr>
      </w:pPr>
      <w:r>
        <w:rPr>
          <w:rFonts w:hint="eastAsia" w:ascii="Arial" w:hAnsi="Arial" w:cs="Arial"/>
          <w:bCs/>
          <w:color w:val="auto"/>
          <w:kern w:val="22"/>
          <w:szCs w:val="21"/>
          <w:highlight w:val="none"/>
        </w:rPr>
        <w:t>中标商：</w:t>
      </w:r>
    </w:p>
    <w:p>
      <w:pPr>
        <w:spacing w:line="300" w:lineRule="exact"/>
        <w:rPr>
          <w:rFonts w:ascii="Arial" w:hAnsi="Arial" w:cs="Arial"/>
          <w:bCs/>
          <w:color w:val="auto"/>
          <w:kern w:val="22"/>
          <w:szCs w:val="21"/>
          <w:highlight w:val="none"/>
        </w:rPr>
      </w:pPr>
      <w:r>
        <w:rPr>
          <w:rFonts w:hint="eastAsia" w:ascii="Arial" w:hAnsi="Arial" w:cs="Arial"/>
          <w:bCs/>
          <w:color w:val="auto"/>
          <w:kern w:val="22"/>
          <w:szCs w:val="21"/>
          <w:highlight w:val="none"/>
        </w:rPr>
        <w:t>地址：</w:t>
      </w:r>
    </w:p>
    <w:p>
      <w:pPr>
        <w:spacing w:line="300" w:lineRule="exact"/>
        <w:rPr>
          <w:rFonts w:ascii="Arial" w:hAnsi="Arial" w:cs="Arial"/>
          <w:bCs/>
          <w:color w:val="auto"/>
          <w:kern w:val="22"/>
          <w:szCs w:val="21"/>
          <w:highlight w:val="none"/>
        </w:rPr>
      </w:pPr>
      <w:r>
        <w:rPr>
          <w:rFonts w:hint="eastAsia" w:ascii="Arial" w:hAnsi="Arial" w:cs="Arial"/>
          <w:bCs/>
          <w:color w:val="auto"/>
          <w:kern w:val="22"/>
          <w:szCs w:val="21"/>
          <w:highlight w:val="none"/>
        </w:rPr>
        <w:t>联系人/电话：</w:t>
      </w:r>
    </w:p>
    <w:p>
      <w:pPr>
        <w:tabs>
          <w:tab w:val="left" w:pos="6480"/>
          <w:tab w:val="right" w:pos="8640"/>
        </w:tabs>
        <w:spacing w:after="120"/>
        <w:rPr>
          <w:rFonts w:ascii="Arial" w:hAnsi="Arial" w:cs="Arial"/>
          <w:bCs/>
          <w:color w:val="auto"/>
          <w:kern w:val="22"/>
          <w:szCs w:val="21"/>
          <w:highlight w:val="none"/>
        </w:rPr>
      </w:pPr>
    </w:p>
    <w:p>
      <w:pPr>
        <w:spacing w:line="300" w:lineRule="exact"/>
        <w:rPr>
          <w:color w:val="auto"/>
          <w:szCs w:val="21"/>
          <w:highlight w:val="none"/>
        </w:rPr>
      </w:pPr>
      <w:r>
        <w:rPr>
          <w:rFonts w:hint="eastAsia"/>
          <w:color w:val="auto"/>
          <w:szCs w:val="21"/>
          <w:highlight w:val="none"/>
        </w:rPr>
        <w:t>最终</w:t>
      </w:r>
      <w:r>
        <w:rPr>
          <w:color w:val="auto"/>
          <w:szCs w:val="21"/>
          <w:highlight w:val="none"/>
        </w:rPr>
        <w:t>用户：宁波工程学院</w:t>
      </w:r>
    </w:p>
    <w:p>
      <w:pPr>
        <w:spacing w:line="300" w:lineRule="exact"/>
        <w:rPr>
          <w:color w:val="auto"/>
          <w:szCs w:val="21"/>
          <w:highlight w:val="none"/>
        </w:rPr>
      </w:pPr>
      <w:r>
        <w:rPr>
          <w:color w:val="auto"/>
          <w:szCs w:val="21"/>
          <w:highlight w:val="none"/>
        </w:rPr>
        <w:t>The end user: Ningbo University of Technology</w:t>
      </w:r>
    </w:p>
    <w:p>
      <w:pPr>
        <w:spacing w:line="300" w:lineRule="exact"/>
        <w:rPr>
          <w:color w:val="auto"/>
          <w:szCs w:val="21"/>
          <w:highlight w:val="none"/>
        </w:rPr>
      </w:pPr>
      <w:r>
        <w:rPr>
          <w:color w:val="auto"/>
          <w:szCs w:val="21"/>
          <w:highlight w:val="none"/>
        </w:rPr>
        <w:t>地址：宁波市风华路201号</w:t>
      </w:r>
    </w:p>
    <w:p>
      <w:pPr>
        <w:spacing w:line="300" w:lineRule="exact"/>
        <w:rPr>
          <w:color w:val="auto"/>
          <w:szCs w:val="21"/>
          <w:highlight w:val="none"/>
        </w:rPr>
      </w:pPr>
      <w:r>
        <w:rPr>
          <w:color w:val="auto"/>
          <w:szCs w:val="21"/>
          <w:highlight w:val="none"/>
        </w:rPr>
        <w:t xml:space="preserve">Address: NO.201 Feng Hua Road, NingBo China </w:t>
      </w:r>
    </w:p>
    <w:p>
      <w:pPr>
        <w:spacing w:line="300" w:lineRule="exact"/>
        <w:rPr>
          <w:b/>
          <w:bCs/>
          <w:color w:val="auto"/>
          <w:highlight w:val="none"/>
        </w:rPr>
      </w:pPr>
      <w:r>
        <w:rPr>
          <w:color w:val="auto"/>
          <w:szCs w:val="21"/>
          <w:highlight w:val="none"/>
        </w:rPr>
        <w:t>负责老师：</w:t>
      </w:r>
      <w:r>
        <w:rPr>
          <w:rFonts w:hint="eastAsia" w:ascii="仿宋" w:hAnsi="仿宋" w:cs="宋体"/>
          <w:bCs/>
          <w:color w:val="auto"/>
          <w:kern w:val="0"/>
          <w:szCs w:val="21"/>
          <w:highlight w:val="none"/>
        </w:rPr>
        <w:t>***老师 联系电话：</w:t>
      </w:r>
      <w:r>
        <w:rPr>
          <w:rFonts w:hint="eastAsia"/>
          <w:b/>
          <w:bCs/>
          <w:color w:val="auto"/>
          <w:highlight w:val="none"/>
        </w:rPr>
        <w:t xml:space="preserve"> </w:t>
      </w:r>
    </w:p>
    <w:p>
      <w:pPr>
        <w:spacing w:line="300" w:lineRule="exact"/>
        <w:rPr>
          <w:color w:val="auto"/>
          <w:szCs w:val="21"/>
          <w:highlight w:val="none"/>
        </w:rPr>
      </w:pPr>
    </w:p>
    <w:p>
      <w:pPr>
        <w:spacing w:line="300" w:lineRule="exact"/>
        <w:rPr>
          <w:rFonts w:ascii="Arial" w:hAnsi="Arial"/>
          <w:color w:val="auto"/>
          <w:highlight w:val="none"/>
        </w:rPr>
      </w:pPr>
      <w:r>
        <w:rPr>
          <w:rFonts w:hint="eastAsia"/>
          <w:color w:val="auto"/>
          <w:szCs w:val="21"/>
          <w:highlight w:val="none"/>
        </w:rPr>
        <w:t>1</w:t>
      </w:r>
      <w:r>
        <w:rPr>
          <w:rFonts w:hint="eastAsia"/>
          <w:b/>
          <w:bCs/>
          <w:color w:val="auto"/>
          <w:szCs w:val="21"/>
          <w:highlight w:val="none"/>
        </w:rPr>
        <w:t>、</w:t>
      </w:r>
      <w:r>
        <w:rPr>
          <w:rFonts w:hint="eastAsia" w:ascii="Arial" w:hAnsi="Arial"/>
          <w:color w:val="auto"/>
          <w:highlight w:val="none"/>
        </w:rPr>
        <w:t>本合同由买方、卖方、中标商和最终用户共同缔结，根据本合同规定的条款，买方和最终用户同意购买，卖方同意出售下述商品：</w:t>
      </w:r>
    </w:p>
    <w:p>
      <w:pPr>
        <w:rPr>
          <w:rFonts w:ascii="Arial" w:hAnsi="Arial"/>
          <w:color w:val="auto"/>
          <w:highlight w:val="none"/>
        </w:rPr>
      </w:pPr>
      <w:r>
        <w:rPr>
          <w:rFonts w:ascii="Arial" w:hAnsi="Arial"/>
          <w:color w:val="auto"/>
          <w:highlight w:val="none"/>
        </w:rPr>
        <w:t>This contract is made by and between the Buyer</w:t>
      </w:r>
      <w:r>
        <w:rPr>
          <w:rFonts w:hint="eastAsia" w:ascii="Arial" w:hAnsi="Arial"/>
          <w:color w:val="auto"/>
          <w:highlight w:val="none"/>
        </w:rPr>
        <w:t>s/End-user,</w:t>
      </w:r>
      <w:r>
        <w:rPr>
          <w:rFonts w:ascii="Arial" w:hAnsi="Arial"/>
          <w:color w:val="auto"/>
          <w:highlight w:val="none"/>
        </w:rPr>
        <w:t xml:space="preserve"> </w:t>
      </w:r>
      <w:r>
        <w:rPr>
          <w:rFonts w:hint="eastAsia" w:ascii="Arial" w:hAnsi="Arial"/>
          <w:color w:val="auto"/>
          <w:highlight w:val="none"/>
        </w:rPr>
        <w:t>the g</w:t>
      </w:r>
      <w:r>
        <w:rPr>
          <w:rFonts w:ascii="Arial" w:hAnsi="Arial"/>
          <w:color w:val="auto"/>
          <w:highlight w:val="none"/>
        </w:rPr>
        <w:t xml:space="preserve">ot bid company and Sellers, Whereby the Buyers </w:t>
      </w:r>
      <w:r>
        <w:rPr>
          <w:rFonts w:hint="eastAsia" w:ascii="Arial" w:hAnsi="Arial"/>
          <w:color w:val="auto"/>
          <w:highlight w:val="none"/>
        </w:rPr>
        <w:t>/End-user</w:t>
      </w:r>
      <w:r>
        <w:rPr>
          <w:rFonts w:ascii="Arial" w:hAnsi="Arial"/>
          <w:color w:val="auto"/>
          <w:highlight w:val="none"/>
        </w:rPr>
        <w:t xml:space="preserve"> agrees to buy and the Sellers agree to sell the under-mentioned commodity according to the terms and conditions stipulated below:</w:t>
      </w:r>
    </w:p>
    <w:p>
      <w:pPr>
        <w:spacing w:line="300" w:lineRule="exact"/>
        <w:rPr>
          <w:color w:val="auto"/>
          <w:szCs w:val="21"/>
          <w:highlight w:val="none"/>
        </w:rPr>
      </w:pPr>
    </w:p>
    <w:tbl>
      <w:tblPr>
        <w:tblStyle w:val="44"/>
        <w:tblpPr w:leftFromText="180" w:rightFromText="180" w:vertAnchor="text" w:tblpX="108" w:tblpY="1"/>
        <w:tblOverlap w:val="never"/>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59"/>
        <w:gridCol w:w="1701"/>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3794" w:type="dxa"/>
            <w:vAlign w:val="center"/>
          </w:tcPr>
          <w:p>
            <w:pPr>
              <w:spacing w:line="300" w:lineRule="exact"/>
              <w:rPr>
                <w:color w:val="auto"/>
                <w:szCs w:val="21"/>
                <w:highlight w:val="none"/>
              </w:rPr>
            </w:pPr>
            <w:r>
              <w:rPr>
                <w:color w:val="auto"/>
                <w:szCs w:val="21"/>
                <w:highlight w:val="none"/>
              </w:rPr>
              <w:t xml:space="preserve">(1) </w:t>
            </w:r>
            <w:r>
              <w:rPr>
                <w:color w:val="auto"/>
                <w:szCs w:val="21"/>
                <w:highlight w:val="none"/>
              </w:rPr>
              <w:tab/>
            </w:r>
            <w:r>
              <w:rPr>
                <w:color w:val="auto"/>
                <w:szCs w:val="21"/>
                <w:highlight w:val="none"/>
              </w:rPr>
              <w:t>货名及规格</w:t>
            </w:r>
          </w:p>
          <w:p>
            <w:pPr>
              <w:spacing w:line="300" w:lineRule="exact"/>
              <w:rPr>
                <w:color w:val="auto"/>
                <w:szCs w:val="21"/>
                <w:highlight w:val="none"/>
              </w:rPr>
            </w:pPr>
            <w:r>
              <w:rPr>
                <w:color w:val="auto"/>
                <w:szCs w:val="21"/>
                <w:highlight w:val="none"/>
              </w:rPr>
              <w:t>Commodity &amp; Specifications</w:t>
            </w:r>
          </w:p>
        </w:tc>
        <w:tc>
          <w:tcPr>
            <w:tcW w:w="1559" w:type="dxa"/>
            <w:vAlign w:val="center"/>
          </w:tcPr>
          <w:p>
            <w:pPr>
              <w:spacing w:line="300" w:lineRule="exact"/>
              <w:ind w:left="210" w:firstLine="420"/>
              <w:jc w:val="center"/>
              <w:rPr>
                <w:color w:val="auto"/>
                <w:szCs w:val="21"/>
                <w:highlight w:val="none"/>
              </w:rPr>
            </w:pPr>
            <w:r>
              <w:rPr>
                <w:color w:val="auto"/>
                <w:szCs w:val="21"/>
                <w:highlight w:val="none"/>
              </w:rPr>
              <w:t>(2) 数量    Quantity</w:t>
            </w:r>
          </w:p>
        </w:tc>
        <w:tc>
          <w:tcPr>
            <w:tcW w:w="1701" w:type="dxa"/>
            <w:vAlign w:val="center"/>
          </w:tcPr>
          <w:p>
            <w:pPr>
              <w:spacing w:line="300" w:lineRule="exact"/>
              <w:jc w:val="center"/>
              <w:rPr>
                <w:color w:val="auto"/>
                <w:szCs w:val="21"/>
                <w:highlight w:val="none"/>
              </w:rPr>
            </w:pPr>
            <w:r>
              <w:rPr>
                <w:color w:val="auto"/>
                <w:szCs w:val="21"/>
                <w:highlight w:val="none"/>
              </w:rPr>
              <w:t>(3) 单价</w:t>
            </w:r>
          </w:p>
          <w:p>
            <w:pPr>
              <w:spacing w:line="300" w:lineRule="exact"/>
              <w:jc w:val="center"/>
              <w:rPr>
                <w:color w:val="auto"/>
                <w:szCs w:val="21"/>
                <w:highlight w:val="none"/>
              </w:rPr>
            </w:pPr>
            <w:r>
              <w:rPr>
                <w:color w:val="auto"/>
                <w:szCs w:val="21"/>
                <w:highlight w:val="none"/>
              </w:rPr>
              <w:t>Unit Price</w:t>
            </w:r>
          </w:p>
        </w:tc>
        <w:tc>
          <w:tcPr>
            <w:tcW w:w="1843" w:type="dxa"/>
            <w:vAlign w:val="center"/>
          </w:tcPr>
          <w:p>
            <w:pPr>
              <w:spacing w:line="300" w:lineRule="exact"/>
              <w:jc w:val="center"/>
              <w:rPr>
                <w:color w:val="auto"/>
                <w:szCs w:val="21"/>
                <w:highlight w:val="none"/>
              </w:rPr>
            </w:pPr>
            <w:r>
              <w:rPr>
                <w:color w:val="auto"/>
                <w:szCs w:val="21"/>
                <w:highlight w:val="none"/>
              </w:rPr>
              <w:t>(4)</w:t>
            </w:r>
            <w:r>
              <w:rPr>
                <w:color w:val="auto"/>
                <w:szCs w:val="21"/>
                <w:highlight w:val="none"/>
              </w:rPr>
              <w:tab/>
            </w:r>
            <w:r>
              <w:rPr>
                <w:color w:val="auto"/>
                <w:szCs w:val="21"/>
                <w:highlight w:val="none"/>
              </w:rPr>
              <w:t>总价</w:t>
            </w:r>
          </w:p>
          <w:p>
            <w:pPr>
              <w:spacing w:line="300" w:lineRule="exact"/>
              <w:jc w:val="center"/>
              <w:rPr>
                <w:color w:val="auto"/>
                <w:szCs w:val="21"/>
                <w:highlight w:val="none"/>
              </w:rPr>
            </w:pPr>
            <w:r>
              <w:rPr>
                <w:color w:val="auto"/>
                <w:szCs w:val="21"/>
                <w:highlight w:val="none"/>
              </w:rPr>
              <w:t>Total Amount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794" w:type="dxa"/>
            <w:vAlign w:val="center"/>
          </w:tcPr>
          <w:p>
            <w:pPr>
              <w:spacing w:line="320" w:lineRule="exact"/>
              <w:rPr>
                <w:bCs/>
                <w:color w:val="auto"/>
                <w:szCs w:val="20"/>
                <w:highlight w:val="none"/>
              </w:rPr>
            </w:pPr>
            <w:r>
              <w:rPr>
                <w:rFonts w:hint="eastAsia"/>
                <w:bCs/>
                <w:color w:val="auto"/>
                <w:szCs w:val="20"/>
                <w:highlight w:val="none"/>
              </w:rPr>
              <w:t>中文品名：</w:t>
            </w:r>
          </w:p>
          <w:p>
            <w:pPr>
              <w:spacing w:line="320" w:lineRule="exact"/>
              <w:rPr>
                <w:bCs/>
                <w:color w:val="auto"/>
                <w:szCs w:val="20"/>
                <w:highlight w:val="none"/>
              </w:rPr>
            </w:pPr>
            <w:r>
              <w:rPr>
                <w:rFonts w:hint="eastAsia"/>
                <w:bCs/>
                <w:color w:val="auto"/>
                <w:szCs w:val="20"/>
                <w:highlight w:val="none"/>
              </w:rPr>
              <w:t>英文品名：</w:t>
            </w:r>
          </w:p>
          <w:p>
            <w:pPr>
              <w:spacing w:line="320" w:lineRule="exact"/>
              <w:rPr>
                <w:bCs/>
                <w:color w:val="auto"/>
                <w:szCs w:val="20"/>
                <w:highlight w:val="none"/>
              </w:rPr>
            </w:pPr>
            <w:r>
              <w:rPr>
                <w:bCs/>
                <w:color w:val="auto"/>
                <w:szCs w:val="20"/>
                <w:highlight w:val="none"/>
              </w:rPr>
              <w:t>型号：</w:t>
            </w:r>
          </w:p>
          <w:p>
            <w:pPr>
              <w:spacing w:line="300" w:lineRule="exact"/>
              <w:rPr>
                <w:b/>
                <w:color w:val="auto"/>
                <w:szCs w:val="20"/>
                <w:highlight w:val="none"/>
              </w:rPr>
            </w:pPr>
            <w:r>
              <w:rPr>
                <w:rFonts w:hint="eastAsia"/>
                <w:bCs/>
                <w:color w:val="auto"/>
                <w:szCs w:val="20"/>
                <w:highlight w:val="none"/>
              </w:rPr>
              <w:t>品牌：</w:t>
            </w:r>
          </w:p>
        </w:tc>
        <w:tc>
          <w:tcPr>
            <w:tcW w:w="1559" w:type="dxa"/>
            <w:vAlign w:val="center"/>
          </w:tcPr>
          <w:p>
            <w:pPr>
              <w:spacing w:line="300" w:lineRule="exact"/>
              <w:jc w:val="center"/>
              <w:rPr>
                <w:color w:val="auto"/>
                <w:szCs w:val="21"/>
                <w:highlight w:val="none"/>
              </w:rPr>
            </w:pPr>
            <w:r>
              <w:rPr>
                <w:rFonts w:hint="eastAsia"/>
                <w:color w:val="auto"/>
                <w:szCs w:val="21"/>
                <w:highlight w:val="none"/>
              </w:rPr>
              <w:t>SET</w:t>
            </w:r>
          </w:p>
        </w:tc>
        <w:tc>
          <w:tcPr>
            <w:tcW w:w="1701" w:type="dxa"/>
            <w:vAlign w:val="center"/>
          </w:tcPr>
          <w:p>
            <w:pPr>
              <w:spacing w:line="300" w:lineRule="exact"/>
              <w:rPr>
                <w:color w:val="auto"/>
                <w:szCs w:val="21"/>
                <w:highlight w:val="none"/>
              </w:rPr>
            </w:pPr>
          </w:p>
        </w:tc>
        <w:tc>
          <w:tcPr>
            <w:tcW w:w="1843" w:type="dxa"/>
            <w:vAlign w:val="center"/>
          </w:tcPr>
          <w:p>
            <w:pPr>
              <w:spacing w:line="30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794" w:type="dxa"/>
            <w:vAlign w:val="center"/>
          </w:tcPr>
          <w:p>
            <w:pPr>
              <w:spacing w:line="300" w:lineRule="exact"/>
              <w:rPr>
                <w:color w:val="auto"/>
                <w:szCs w:val="21"/>
                <w:highlight w:val="none"/>
              </w:rPr>
            </w:pPr>
            <w:r>
              <w:rPr>
                <w:color w:val="auto"/>
                <w:szCs w:val="21"/>
                <w:highlight w:val="none"/>
              </w:rPr>
              <w:t>合同总价：</w:t>
            </w:r>
            <w:r>
              <w:rPr>
                <w:rFonts w:hint="eastAsia"/>
                <w:color w:val="auto"/>
                <w:szCs w:val="21"/>
                <w:highlight w:val="none"/>
              </w:rPr>
              <w:t>XXX</w:t>
            </w:r>
            <w:r>
              <w:rPr>
                <w:color w:val="auto"/>
                <w:szCs w:val="21"/>
                <w:highlight w:val="none"/>
              </w:rPr>
              <w:t>（</w:t>
            </w:r>
            <w:r>
              <w:rPr>
                <w:rFonts w:hint="eastAsia"/>
                <w:color w:val="auto"/>
                <w:szCs w:val="21"/>
                <w:highlight w:val="none"/>
              </w:rPr>
              <w:t>XXX</w:t>
            </w:r>
            <w:r>
              <w:rPr>
                <w:color w:val="auto"/>
                <w:szCs w:val="21"/>
                <w:highlight w:val="none"/>
              </w:rPr>
              <w:t>整）</w:t>
            </w:r>
          </w:p>
        </w:tc>
        <w:tc>
          <w:tcPr>
            <w:tcW w:w="5103" w:type="dxa"/>
            <w:gridSpan w:val="3"/>
            <w:vAlign w:val="center"/>
          </w:tcPr>
          <w:p>
            <w:pPr>
              <w:keepNext/>
              <w:spacing w:line="300" w:lineRule="exact"/>
              <w:ind w:firstLine="422"/>
              <w:jc w:val="center"/>
              <w:outlineLvl w:val="0"/>
              <w:rPr>
                <w:b/>
                <w:bCs/>
                <w:color w:val="auto"/>
                <w:szCs w:val="21"/>
                <w:highlight w:val="none"/>
              </w:rPr>
            </w:pPr>
            <w:r>
              <w:rPr>
                <w:b/>
                <w:bCs/>
                <w:color w:val="auto"/>
                <w:szCs w:val="21"/>
                <w:highlight w:val="none"/>
              </w:rPr>
              <w:t xml:space="preserve">SAY TOTAL </w:t>
            </w:r>
          </w:p>
        </w:tc>
      </w:tr>
    </w:tbl>
    <w:p>
      <w:pPr>
        <w:spacing w:line="300" w:lineRule="exact"/>
        <w:rPr>
          <w:color w:val="auto"/>
          <w:szCs w:val="21"/>
          <w:highlight w:val="none"/>
          <w:lang w:eastAsia="zh-TW"/>
        </w:rPr>
      </w:pPr>
    </w:p>
    <w:p>
      <w:pPr>
        <w:spacing w:line="300" w:lineRule="exact"/>
        <w:rPr>
          <w:rFonts w:hAnsi="Arial" w:cs="Arial"/>
          <w:color w:val="auto"/>
          <w:sz w:val="24"/>
          <w:szCs w:val="18"/>
          <w:highlight w:val="none"/>
        </w:rPr>
      </w:pPr>
      <w:r>
        <w:rPr>
          <w:rFonts w:hint="eastAsia"/>
          <w:color w:val="auto"/>
          <w:szCs w:val="21"/>
          <w:highlight w:val="none"/>
        </w:rPr>
        <w:t>2、</w:t>
      </w:r>
      <w:r>
        <w:rPr>
          <w:color w:val="auto"/>
          <w:szCs w:val="21"/>
          <w:highlight w:val="none"/>
          <w:lang w:eastAsia="zh-TW"/>
        </w:rPr>
        <w:t>生产地和制造厂商：</w:t>
      </w:r>
    </w:p>
    <w:p>
      <w:pPr>
        <w:spacing w:line="300" w:lineRule="exact"/>
        <w:rPr>
          <w:color w:val="auto"/>
          <w:szCs w:val="21"/>
          <w:highlight w:val="none"/>
        </w:rPr>
      </w:pPr>
      <w:r>
        <w:rPr>
          <w:color w:val="auto"/>
          <w:szCs w:val="21"/>
          <w:highlight w:val="none"/>
        </w:rPr>
        <w:t xml:space="preserve">COUNTRY OF ORIGIN &amp; MANUFACTURERS: </w:t>
      </w:r>
    </w:p>
    <w:p>
      <w:pPr>
        <w:pStyle w:val="23"/>
        <w:ind w:left="1260"/>
        <w:rPr>
          <w:color w:val="auto"/>
          <w:highlight w:val="none"/>
        </w:rPr>
      </w:pPr>
    </w:p>
    <w:p>
      <w:pPr>
        <w:spacing w:line="300" w:lineRule="exact"/>
        <w:rPr>
          <w:color w:val="auto"/>
          <w:szCs w:val="21"/>
          <w:highlight w:val="none"/>
        </w:rPr>
      </w:pPr>
      <w:r>
        <w:rPr>
          <w:rFonts w:hint="eastAsia"/>
          <w:color w:val="auto"/>
          <w:szCs w:val="21"/>
          <w:highlight w:val="none"/>
        </w:rPr>
        <w:t>3、</w:t>
      </w:r>
      <w:r>
        <w:rPr>
          <w:color w:val="auto"/>
          <w:szCs w:val="21"/>
          <w:highlight w:val="none"/>
        </w:rPr>
        <w:t>交货期限：</w:t>
      </w:r>
      <w:r>
        <w:rPr>
          <w:rFonts w:hint="eastAsia"/>
          <w:color w:val="auto"/>
          <w:szCs w:val="21"/>
          <w:highlight w:val="none"/>
        </w:rPr>
        <w:t>合同签订后XX个月内空运并交付至最终用户。</w:t>
      </w:r>
    </w:p>
    <w:p>
      <w:pPr>
        <w:spacing w:line="300" w:lineRule="exact"/>
        <w:rPr>
          <w:color w:val="auto"/>
          <w:szCs w:val="21"/>
          <w:highlight w:val="none"/>
        </w:rPr>
      </w:pPr>
      <w:r>
        <w:rPr>
          <w:rFonts w:hint="eastAsia"/>
          <w:color w:val="auto"/>
          <w:szCs w:val="21"/>
          <w:highlight w:val="none"/>
        </w:rPr>
        <w:t>Delivery Date: within XX months after receiving contract./By air.</w:t>
      </w:r>
    </w:p>
    <w:p>
      <w:pPr>
        <w:pStyle w:val="23"/>
        <w:ind w:left="1260"/>
        <w:rPr>
          <w:color w:val="auto"/>
          <w:highlight w:val="none"/>
        </w:rPr>
      </w:pPr>
    </w:p>
    <w:p>
      <w:pPr>
        <w:spacing w:line="300" w:lineRule="exact"/>
        <w:rPr>
          <w:color w:val="auto"/>
          <w:szCs w:val="21"/>
          <w:highlight w:val="none"/>
        </w:rPr>
      </w:pPr>
      <w:r>
        <w:rPr>
          <w:rFonts w:hint="eastAsia"/>
          <w:color w:val="auto"/>
          <w:szCs w:val="21"/>
          <w:highlight w:val="none"/>
        </w:rPr>
        <w:t>4、</w:t>
      </w:r>
      <w:r>
        <w:rPr>
          <w:color w:val="auto"/>
          <w:szCs w:val="21"/>
          <w:highlight w:val="none"/>
        </w:rPr>
        <w:t>交货方式：</w:t>
      </w:r>
      <w:r>
        <w:rPr>
          <w:rFonts w:hint="eastAsia"/>
          <w:color w:val="auto"/>
          <w:szCs w:val="21"/>
          <w:highlight w:val="none"/>
        </w:rPr>
        <w:t>DAP 宁波工程学院</w:t>
      </w:r>
    </w:p>
    <w:p>
      <w:pPr>
        <w:spacing w:line="300" w:lineRule="exact"/>
        <w:rPr>
          <w:color w:val="auto"/>
          <w:szCs w:val="21"/>
          <w:highlight w:val="none"/>
        </w:rPr>
      </w:pPr>
      <w:r>
        <w:rPr>
          <w:color w:val="auto"/>
          <w:szCs w:val="21"/>
          <w:highlight w:val="none"/>
        </w:rPr>
        <w:t xml:space="preserve">Delivery Term: </w:t>
      </w:r>
      <w:r>
        <w:rPr>
          <w:rFonts w:hint="eastAsia"/>
          <w:color w:val="auto"/>
          <w:szCs w:val="21"/>
          <w:highlight w:val="none"/>
        </w:rPr>
        <w:t xml:space="preserve">DAP </w:t>
      </w:r>
      <w:r>
        <w:rPr>
          <w:color w:val="auto"/>
          <w:szCs w:val="21"/>
          <w:highlight w:val="none"/>
        </w:rPr>
        <w:t>Ningbo University of Technology</w:t>
      </w:r>
    </w:p>
    <w:p>
      <w:pPr>
        <w:spacing w:line="300" w:lineRule="exact"/>
        <w:rPr>
          <w:color w:val="auto"/>
          <w:szCs w:val="21"/>
          <w:highlight w:val="none"/>
        </w:rPr>
      </w:pPr>
    </w:p>
    <w:p>
      <w:pPr>
        <w:numPr>
          <w:ilvl w:val="0"/>
          <w:numId w:val="2"/>
        </w:numPr>
        <w:spacing w:line="300" w:lineRule="exact"/>
        <w:rPr>
          <w:color w:val="auto"/>
          <w:szCs w:val="21"/>
          <w:highlight w:val="none"/>
        </w:rPr>
      </w:pPr>
      <w:r>
        <w:rPr>
          <w:rFonts w:hint="eastAsia"/>
          <w:color w:val="auto"/>
          <w:szCs w:val="21"/>
          <w:highlight w:val="none"/>
        </w:rPr>
        <w:t>交货地点：宁波市前湾新区滨海二路769号宁波工程学院新能源学院</w:t>
      </w:r>
    </w:p>
    <w:p>
      <w:pPr>
        <w:spacing w:line="300" w:lineRule="exact"/>
        <w:rPr>
          <w:color w:val="auto"/>
          <w:szCs w:val="21"/>
          <w:highlight w:val="none"/>
        </w:rPr>
      </w:pPr>
      <w:r>
        <w:rPr>
          <w:rFonts w:hint="eastAsia"/>
          <w:color w:val="auto"/>
          <w:szCs w:val="21"/>
          <w:highlight w:val="none"/>
        </w:rPr>
        <w:t>Delivery location: No. 769 Binhai Second Road, Qianwan New Area, Ningbo University of Engineering, New Energy College</w:t>
      </w:r>
    </w:p>
    <w:p>
      <w:pPr>
        <w:pStyle w:val="23"/>
        <w:ind w:left="1260"/>
        <w:rPr>
          <w:color w:val="auto"/>
          <w:highlight w:val="none"/>
        </w:rPr>
      </w:pPr>
    </w:p>
    <w:p>
      <w:pPr>
        <w:spacing w:line="220" w:lineRule="atLeast"/>
        <w:rPr>
          <w:color w:val="auto"/>
          <w:szCs w:val="21"/>
          <w:highlight w:val="none"/>
        </w:rPr>
      </w:pPr>
      <w:r>
        <w:rPr>
          <w:rFonts w:hint="eastAsia"/>
          <w:color w:val="auto"/>
          <w:szCs w:val="21"/>
          <w:highlight w:val="none"/>
        </w:rPr>
        <w:t>6、</w:t>
      </w:r>
      <w:r>
        <w:rPr>
          <w:color w:val="auto"/>
          <w:szCs w:val="21"/>
          <w:highlight w:val="none"/>
        </w:rPr>
        <w:t>装运口岸：</w:t>
      </w:r>
    </w:p>
    <w:p>
      <w:pPr>
        <w:spacing w:line="300" w:lineRule="exact"/>
        <w:ind w:right="-871"/>
        <w:rPr>
          <w:color w:val="auto"/>
          <w:szCs w:val="20"/>
          <w:highlight w:val="none"/>
        </w:rPr>
      </w:pPr>
      <w:r>
        <w:rPr>
          <w:color w:val="auto"/>
          <w:szCs w:val="20"/>
          <w:highlight w:val="none"/>
        </w:rPr>
        <w:t>PORT OF SHIPMENT</w:t>
      </w:r>
      <w:r>
        <w:rPr>
          <w:rFonts w:hint="eastAsia"/>
          <w:color w:val="auto"/>
          <w:szCs w:val="20"/>
          <w:highlight w:val="none"/>
        </w:rPr>
        <w:t>:</w:t>
      </w:r>
      <w:r>
        <w:rPr>
          <w:color w:val="auto"/>
          <w:szCs w:val="20"/>
          <w:highlight w:val="none"/>
        </w:rPr>
        <w:t xml:space="preserve"> </w:t>
      </w:r>
    </w:p>
    <w:p>
      <w:pPr>
        <w:spacing w:line="300" w:lineRule="exact"/>
        <w:ind w:right="-871"/>
        <w:rPr>
          <w:color w:val="auto"/>
          <w:szCs w:val="20"/>
          <w:highlight w:val="none"/>
        </w:rPr>
      </w:pPr>
    </w:p>
    <w:p>
      <w:pPr>
        <w:spacing w:line="300" w:lineRule="exact"/>
        <w:rPr>
          <w:color w:val="auto"/>
          <w:szCs w:val="21"/>
          <w:highlight w:val="none"/>
        </w:rPr>
      </w:pPr>
      <w:r>
        <w:rPr>
          <w:rFonts w:hint="eastAsia"/>
          <w:color w:val="auto"/>
          <w:szCs w:val="21"/>
          <w:highlight w:val="none"/>
        </w:rPr>
        <w:t>7、</w:t>
      </w:r>
      <w:r>
        <w:rPr>
          <w:color w:val="auto"/>
          <w:szCs w:val="21"/>
          <w:highlight w:val="none"/>
        </w:rPr>
        <w:t>到货口岸：</w:t>
      </w:r>
    </w:p>
    <w:p>
      <w:pPr>
        <w:spacing w:line="300" w:lineRule="exact"/>
        <w:rPr>
          <w:color w:val="auto"/>
          <w:szCs w:val="21"/>
          <w:highlight w:val="none"/>
        </w:rPr>
      </w:pPr>
      <w:r>
        <w:rPr>
          <w:color w:val="auto"/>
          <w:szCs w:val="21"/>
          <w:highlight w:val="none"/>
        </w:rPr>
        <w:t xml:space="preserve">PORT OF DESTINATION: </w:t>
      </w:r>
    </w:p>
    <w:p>
      <w:pPr>
        <w:spacing w:line="300" w:lineRule="exact"/>
        <w:rPr>
          <w:color w:val="auto"/>
          <w:szCs w:val="21"/>
          <w:highlight w:val="none"/>
        </w:rPr>
      </w:pPr>
    </w:p>
    <w:p>
      <w:pPr>
        <w:spacing w:line="300" w:lineRule="exact"/>
        <w:ind w:left="15" w:hanging="14" w:hangingChars="7"/>
        <w:rPr>
          <w:color w:val="auto"/>
          <w:szCs w:val="21"/>
          <w:highlight w:val="none"/>
        </w:rPr>
      </w:pPr>
      <w:r>
        <w:rPr>
          <w:rFonts w:hint="eastAsia"/>
          <w:color w:val="auto"/>
          <w:szCs w:val="21"/>
          <w:highlight w:val="none"/>
        </w:rPr>
        <w:t>8、</w:t>
      </w:r>
      <w:r>
        <w:rPr>
          <w:color w:val="auto"/>
          <w:szCs w:val="21"/>
          <w:highlight w:val="none"/>
        </w:rPr>
        <w:t>保险：由卖方投保（到宁波工程学院-</w:t>
      </w:r>
      <w:r>
        <w:rPr>
          <w:rFonts w:hint="eastAsia"/>
          <w:color w:val="auto"/>
          <w:szCs w:val="21"/>
          <w:highlight w:val="none"/>
        </w:rPr>
        <w:t>前湾新区滨海二路769 号</w:t>
      </w:r>
      <w:r>
        <w:rPr>
          <w:color w:val="auto"/>
          <w:szCs w:val="21"/>
          <w:highlight w:val="none"/>
        </w:rPr>
        <w:t>），买方负责联系报关，卖方负责由</w:t>
      </w:r>
      <w:r>
        <w:rPr>
          <w:rFonts w:hint="eastAsia"/>
          <w:color w:val="auto"/>
          <w:szCs w:val="21"/>
          <w:highlight w:val="none"/>
        </w:rPr>
        <w:t>XXX</w:t>
      </w:r>
      <w:r>
        <w:rPr>
          <w:color w:val="auto"/>
          <w:szCs w:val="21"/>
          <w:highlight w:val="none"/>
        </w:rPr>
        <w:t>到学校的运输、保险、卸货事宜。</w:t>
      </w:r>
    </w:p>
    <w:p>
      <w:pPr>
        <w:autoSpaceDE w:val="0"/>
        <w:autoSpaceDN w:val="0"/>
        <w:adjustRightInd w:val="0"/>
        <w:spacing w:line="300" w:lineRule="exact"/>
        <w:rPr>
          <w:color w:val="auto"/>
          <w:szCs w:val="21"/>
          <w:highlight w:val="none"/>
        </w:rPr>
      </w:pPr>
      <w:r>
        <w:rPr>
          <w:color w:val="auto"/>
          <w:szCs w:val="21"/>
          <w:highlight w:val="none"/>
        </w:rPr>
        <w:t>INSURANCE</w:t>
      </w:r>
      <w:r>
        <w:rPr>
          <w:rFonts w:hint="eastAsia"/>
          <w:color w:val="auto"/>
          <w:szCs w:val="21"/>
          <w:highlight w:val="none"/>
        </w:rPr>
        <w:t xml:space="preserve">: </w:t>
      </w:r>
      <w:r>
        <w:rPr>
          <w:color w:val="auto"/>
          <w:szCs w:val="21"/>
          <w:highlight w:val="none"/>
        </w:rPr>
        <w:t>To be covered by the seller (Warehouse to Ningbo University of Technology，</w:t>
      </w:r>
      <w:r>
        <w:rPr>
          <w:rFonts w:hint="eastAsia"/>
          <w:color w:val="auto"/>
          <w:szCs w:val="21"/>
          <w:highlight w:val="none"/>
        </w:rPr>
        <w:t>No. 769, Binhai Second Road Hangzhou Bay New Area ,Ningbo</w:t>
      </w:r>
      <w:r>
        <w:rPr>
          <w:color w:val="auto"/>
          <w:szCs w:val="21"/>
          <w:highlight w:val="none"/>
        </w:rPr>
        <w:t xml:space="preserve">). The Buyer will handle the customs clearance and the seller will handle local delivery from the </w:t>
      </w:r>
      <w:r>
        <w:rPr>
          <w:rFonts w:hint="eastAsia"/>
          <w:color w:val="auto"/>
          <w:szCs w:val="21"/>
          <w:highlight w:val="none"/>
        </w:rPr>
        <w:t>XXX</w:t>
      </w:r>
      <w:r>
        <w:rPr>
          <w:rFonts w:hint="eastAsia"/>
          <w:bCs/>
          <w:color w:val="auto"/>
          <w:szCs w:val="21"/>
          <w:highlight w:val="none"/>
        </w:rPr>
        <w:t xml:space="preserve"> </w:t>
      </w:r>
      <w:r>
        <w:rPr>
          <w:color w:val="auto"/>
          <w:szCs w:val="21"/>
          <w:highlight w:val="none"/>
        </w:rPr>
        <w:t>to the University and the unloading.</w:t>
      </w:r>
    </w:p>
    <w:p>
      <w:pPr>
        <w:autoSpaceDE w:val="0"/>
        <w:autoSpaceDN w:val="0"/>
        <w:adjustRightInd w:val="0"/>
        <w:spacing w:line="300" w:lineRule="exact"/>
        <w:ind w:left="630" w:hanging="630" w:hangingChars="300"/>
        <w:rPr>
          <w:color w:val="auto"/>
          <w:szCs w:val="21"/>
          <w:highlight w:val="none"/>
        </w:rPr>
      </w:pPr>
    </w:p>
    <w:p>
      <w:pPr>
        <w:spacing w:line="300" w:lineRule="exact"/>
        <w:rPr>
          <w:color w:val="auto"/>
          <w:szCs w:val="21"/>
          <w:highlight w:val="none"/>
        </w:rPr>
      </w:pPr>
      <w:r>
        <w:rPr>
          <w:rFonts w:hint="eastAsia"/>
          <w:color w:val="auto"/>
          <w:szCs w:val="21"/>
          <w:highlight w:val="none"/>
        </w:rPr>
        <w:t>9、</w:t>
      </w:r>
      <w:r>
        <w:rPr>
          <w:color w:val="auto"/>
          <w:szCs w:val="21"/>
          <w:highlight w:val="none"/>
        </w:rPr>
        <w:t>包装：须用坚固的纸箱或木箱包装，适合长途运输，防潮、防湿、防潮、耐粗暴搬运。由于包装不良所发生的损失，由于采用不充分或不妥善的防护措施而造成的损失，卖方应负担由此而产生的一切费用和/或损失。如果因包装箱的质量问题或单证不全原因引起的滞港，卖方应负担所有的费用和损失。若包装有倾斜或防震动标识，需到货前通知买方，如因通知不到导致的任何问题，与买方无关。</w:t>
      </w:r>
    </w:p>
    <w:p>
      <w:pPr>
        <w:spacing w:line="300" w:lineRule="exact"/>
        <w:rPr>
          <w:color w:val="auto"/>
          <w:szCs w:val="21"/>
          <w:highlight w:val="none"/>
        </w:rPr>
      </w:pPr>
      <w:r>
        <w:rPr>
          <w:color w:val="auto"/>
          <w:szCs w:val="21"/>
          <w:highlight w:val="none"/>
        </w:rPr>
        <w:t>PACKING</w:t>
      </w:r>
      <w:r>
        <w:rPr>
          <w:rFonts w:hint="eastAsia"/>
          <w:color w:val="auto"/>
          <w:szCs w:val="21"/>
          <w:highlight w:val="none"/>
        </w:rPr>
        <w:t xml:space="preserve">: </w:t>
      </w:r>
      <w:r>
        <w:rPr>
          <w:color w:val="auto"/>
          <w:szCs w:val="21"/>
          <w:highlight w:val="none"/>
        </w:rPr>
        <w:t>To be packed in strong carton(s) or wooden carton(s) suitable for long distance transportation and well protected against dampness, moisture, shock, rust and rough handling. The Sellers shall be liable for any damage to the goods on account of improper packing and for any rust damage attributable to inadequate or improper protective measures taken by the Sellers and in such case or cases any and all losses and/or expenses incurred in consequence thereof shall be borne by the Sellers. Any losses and expenses of port resort that e caused by packing problem or document is not complete should be borne by the sellers. If package has to indicate “no tilt” and “no crash” marks. The seller need to notify the buyer before the arrival of the goods, or the buyer won't bear any responsibilities if there is any problem caused for this reason.</w:t>
      </w:r>
      <w:r>
        <w:rPr>
          <w:color w:val="auto"/>
          <w:szCs w:val="21"/>
          <w:highlight w:val="none"/>
        </w:rPr>
        <w:cr/>
      </w:r>
    </w:p>
    <w:p>
      <w:pPr>
        <w:spacing w:line="300" w:lineRule="exact"/>
        <w:rPr>
          <w:color w:val="auto"/>
          <w:szCs w:val="21"/>
          <w:highlight w:val="none"/>
        </w:rPr>
      </w:pPr>
      <w:bookmarkStart w:id="61" w:name="_Hlk161127441"/>
      <w:r>
        <w:rPr>
          <w:rFonts w:hint="eastAsia"/>
          <w:color w:val="auto"/>
          <w:szCs w:val="21"/>
          <w:highlight w:val="none"/>
        </w:rPr>
        <w:t>10、</w:t>
      </w:r>
      <w:bookmarkEnd w:id="61"/>
      <w:r>
        <w:rPr>
          <w:color w:val="auto"/>
          <w:szCs w:val="21"/>
          <w:highlight w:val="none"/>
        </w:rPr>
        <w:t>唛头：卖方应在每件包装上，用不褪色油墨清楚地标刷件号、尺码、毛重、净重、“此端向上”“小心轻放”“切勿受潮”等字样，并刷下列唛头：</w:t>
      </w:r>
    </w:p>
    <w:p>
      <w:pPr>
        <w:spacing w:line="300" w:lineRule="exact"/>
        <w:rPr>
          <w:color w:val="auto"/>
          <w:szCs w:val="21"/>
          <w:highlight w:val="none"/>
        </w:rPr>
      </w:pPr>
      <w:r>
        <w:rPr>
          <w:color w:val="auto"/>
          <w:szCs w:val="21"/>
          <w:highlight w:val="none"/>
        </w:rPr>
        <w:t>SHIPPING MARK: On the surface of each package, the package number, measurements, gross weight, net weight, the lifting positions, such cautions as “DO NOT STACK UP SIDE DOWN”, “HANDLE WITH CARE”, “KEEP AWAY FROM MOISTURE” and the following shipping mark shall be stencilled legibly in fadeless paint:</w:t>
      </w:r>
    </w:p>
    <w:p>
      <w:pPr>
        <w:spacing w:line="300" w:lineRule="exact"/>
        <w:ind w:left="3249" w:hanging="3248" w:hangingChars="1547"/>
        <w:rPr>
          <w:b/>
          <w:bCs/>
          <w:color w:val="auto"/>
          <w:szCs w:val="21"/>
          <w:highlight w:val="none"/>
        </w:rPr>
      </w:pPr>
      <w:r>
        <w:rPr>
          <w:color w:val="auto"/>
          <w:szCs w:val="21"/>
          <w:highlight w:val="none"/>
        </w:rPr>
        <w:t xml:space="preserve">                         </w:t>
      </w:r>
      <w:r>
        <w:rPr>
          <w:b/>
          <w:color w:val="auto"/>
          <w:szCs w:val="21"/>
          <w:highlight w:val="none"/>
        </w:rPr>
        <w:tab/>
      </w:r>
      <w:r>
        <w:rPr>
          <w:b/>
          <w:color w:val="auto"/>
          <w:szCs w:val="21"/>
          <w:highlight w:val="none"/>
        </w:rPr>
        <w:t xml:space="preserve">    </w:t>
      </w:r>
      <w:r>
        <w:rPr>
          <w:rFonts w:hint="eastAsia"/>
          <w:b/>
          <w:color w:val="auto"/>
          <w:szCs w:val="21"/>
          <w:highlight w:val="none"/>
        </w:rPr>
        <w:t>XXX</w:t>
      </w:r>
    </w:p>
    <w:p>
      <w:pPr>
        <w:spacing w:line="300" w:lineRule="exact"/>
        <w:ind w:left="3249" w:hanging="3248" w:hangingChars="1547"/>
        <w:rPr>
          <w:color w:val="auto"/>
          <w:szCs w:val="21"/>
          <w:highlight w:val="none"/>
          <w:u w:val="single"/>
        </w:rPr>
      </w:pPr>
      <w:r>
        <w:rPr>
          <w:color w:val="auto"/>
          <w:szCs w:val="21"/>
          <w:highlight w:val="none"/>
        </w:rPr>
        <w:t xml:space="preserve">                              ------------------------------ </w:t>
      </w:r>
    </w:p>
    <w:p>
      <w:pPr>
        <w:spacing w:line="300" w:lineRule="exact"/>
        <w:ind w:left="720" w:firstLine="420"/>
        <w:rPr>
          <w:b/>
          <w:color w:val="auto"/>
          <w:szCs w:val="21"/>
          <w:highlight w:val="none"/>
        </w:rPr>
      </w:pPr>
      <w:r>
        <w:rPr>
          <w:color w:val="auto"/>
          <w:szCs w:val="21"/>
          <w:highlight w:val="none"/>
        </w:rPr>
        <w:t xml:space="preserve">                     </w:t>
      </w:r>
      <w:r>
        <w:rPr>
          <w:b/>
          <w:color w:val="auto"/>
          <w:szCs w:val="21"/>
          <w:highlight w:val="none"/>
        </w:rPr>
        <w:t>NINGBO CHINA</w:t>
      </w:r>
    </w:p>
    <w:p>
      <w:pPr>
        <w:spacing w:line="300" w:lineRule="exact"/>
        <w:rPr>
          <w:rFonts w:ascii="Arial" w:hAnsi="Arial"/>
          <w:color w:val="auto"/>
          <w:szCs w:val="21"/>
          <w:highlight w:val="none"/>
        </w:rPr>
      </w:pPr>
    </w:p>
    <w:p>
      <w:pPr>
        <w:spacing w:line="300" w:lineRule="exact"/>
        <w:rPr>
          <w:color w:val="auto"/>
          <w:szCs w:val="21"/>
          <w:highlight w:val="none"/>
        </w:rPr>
      </w:pPr>
      <w:r>
        <w:rPr>
          <w:rFonts w:hint="eastAsia"/>
          <w:color w:val="auto"/>
          <w:szCs w:val="21"/>
          <w:highlight w:val="none"/>
        </w:rPr>
        <w:t>1</w:t>
      </w:r>
      <w:r>
        <w:rPr>
          <w:color w:val="auto"/>
          <w:szCs w:val="21"/>
          <w:highlight w:val="none"/>
        </w:rPr>
        <w:t>1</w:t>
      </w:r>
      <w:r>
        <w:rPr>
          <w:rFonts w:hint="eastAsia"/>
          <w:color w:val="auto"/>
          <w:szCs w:val="21"/>
          <w:highlight w:val="none"/>
        </w:rPr>
        <w:t>、</w:t>
      </w:r>
      <w:r>
        <w:rPr>
          <w:color w:val="auto"/>
          <w:szCs w:val="21"/>
          <w:highlight w:val="none"/>
        </w:rPr>
        <w:t>付款条件TERMS OF PAYMENT：</w:t>
      </w:r>
    </w:p>
    <w:p>
      <w:pPr>
        <w:spacing w:line="300" w:lineRule="exact"/>
        <w:rPr>
          <w:rFonts w:ascii="Arial" w:hAnsi="Arial"/>
          <w:color w:val="auto"/>
          <w:szCs w:val="21"/>
          <w:highlight w:val="none"/>
        </w:rPr>
      </w:pPr>
      <w:r>
        <w:rPr>
          <w:rFonts w:hint="eastAsia" w:ascii="Arial" w:hAnsi="Arial"/>
          <w:color w:val="auto"/>
          <w:szCs w:val="21"/>
          <w:highlight w:val="none"/>
        </w:rPr>
        <w:t>买方开具</w:t>
      </w:r>
      <w:r>
        <w:rPr>
          <w:rFonts w:ascii="Arial" w:hAnsi="Arial"/>
          <w:color w:val="auto"/>
          <w:szCs w:val="21"/>
          <w:highlight w:val="none"/>
        </w:rPr>
        <w:t>100%不可撤消即期信用证。其中</w:t>
      </w:r>
      <w:r>
        <w:rPr>
          <w:rFonts w:hint="eastAsia" w:ascii="Arial" w:hAnsi="Arial"/>
          <w:color w:val="auto"/>
          <w:szCs w:val="21"/>
          <w:highlight w:val="none"/>
        </w:rPr>
        <w:t>8</w:t>
      </w:r>
      <w:r>
        <w:rPr>
          <w:rFonts w:ascii="Arial" w:hAnsi="Arial"/>
          <w:color w:val="auto"/>
          <w:szCs w:val="21"/>
          <w:highlight w:val="none"/>
        </w:rPr>
        <w:t>0%</w:t>
      </w:r>
      <w:r>
        <w:rPr>
          <w:rFonts w:hint="eastAsia" w:ascii="Arial" w:hAnsi="Arial"/>
          <w:color w:val="auto"/>
          <w:szCs w:val="21"/>
          <w:highlight w:val="none"/>
        </w:rPr>
        <w:t>(USD</w:t>
      </w:r>
      <w:r>
        <w:rPr>
          <w:rFonts w:ascii="Arial" w:hAnsi="Arial"/>
          <w:color w:val="auto"/>
          <w:szCs w:val="21"/>
          <w:highlight w:val="none"/>
        </w:rPr>
        <w:t xml:space="preserve">     </w:t>
      </w:r>
      <w:r>
        <w:rPr>
          <w:rFonts w:hint="eastAsia" w:ascii="Arial" w:hAnsi="Arial"/>
          <w:color w:val="auto"/>
          <w:szCs w:val="21"/>
          <w:highlight w:val="none"/>
        </w:rPr>
        <w:t>)</w:t>
      </w:r>
      <w:r>
        <w:rPr>
          <w:rFonts w:ascii="Arial" w:hAnsi="Arial"/>
          <w:color w:val="auto"/>
          <w:szCs w:val="21"/>
          <w:highlight w:val="none"/>
        </w:rPr>
        <w:t>凭货运单据收取，</w:t>
      </w:r>
      <w:r>
        <w:rPr>
          <w:rFonts w:hint="eastAsia" w:ascii="Arial" w:hAnsi="Arial"/>
          <w:color w:val="auto"/>
          <w:szCs w:val="21"/>
          <w:highlight w:val="none"/>
        </w:rPr>
        <w:t>2</w:t>
      </w:r>
      <w:r>
        <w:rPr>
          <w:rFonts w:ascii="Arial" w:hAnsi="Arial"/>
          <w:color w:val="auto"/>
          <w:szCs w:val="21"/>
          <w:highlight w:val="none"/>
        </w:rPr>
        <w:t>0%</w:t>
      </w:r>
      <w:r>
        <w:rPr>
          <w:rFonts w:hint="eastAsia" w:ascii="Arial" w:hAnsi="Arial"/>
          <w:color w:val="auto"/>
          <w:szCs w:val="21"/>
          <w:highlight w:val="none"/>
        </w:rPr>
        <w:t>(USD</w:t>
      </w:r>
      <w:r>
        <w:rPr>
          <w:rFonts w:ascii="Arial" w:hAnsi="Arial"/>
          <w:color w:val="auto"/>
          <w:szCs w:val="21"/>
          <w:highlight w:val="none"/>
        </w:rPr>
        <w:t xml:space="preserve">      </w:t>
      </w:r>
      <w:r>
        <w:rPr>
          <w:rFonts w:hint="eastAsia" w:ascii="Arial" w:hAnsi="Arial"/>
          <w:color w:val="auto"/>
          <w:szCs w:val="21"/>
          <w:highlight w:val="none"/>
        </w:rPr>
        <w:t>)</w:t>
      </w:r>
      <w:r>
        <w:rPr>
          <w:rFonts w:ascii="Arial" w:hAnsi="Arial"/>
          <w:color w:val="auto"/>
          <w:szCs w:val="21"/>
          <w:highlight w:val="none"/>
        </w:rPr>
        <w:t>凭</w:t>
      </w:r>
      <w:r>
        <w:rPr>
          <w:rFonts w:hint="eastAsia" w:ascii="Arial" w:hAnsi="Arial"/>
          <w:color w:val="auto"/>
          <w:szCs w:val="21"/>
          <w:highlight w:val="none"/>
        </w:rPr>
        <w:t>宁波工程学院</w:t>
      </w:r>
      <w:r>
        <w:rPr>
          <w:rFonts w:ascii="Arial" w:hAnsi="Arial"/>
          <w:color w:val="auto"/>
          <w:szCs w:val="21"/>
          <w:highlight w:val="none"/>
        </w:rPr>
        <w:t>盖章的货物验收合格报告收取</w:t>
      </w:r>
      <w:r>
        <w:rPr>
          <w:rFonts w:hint="eastAsia" w:ascii="Arial" w:hAnsi="Arial"/>
          <w:color w:val="auto"/>
          <w:szCs w:val="21"/>
          <w:highlight w:val="none"/>
        </w:rPr>
        <w:t>。</w:t>
      </w:r>
    </w:p>
    <w:p>
      <w:pPr>
        <w:spacing w:line="300" w:lineRule="exact"/>
        <w:rPr>
          <w:color w:val="auto"/>
          <w:szCs w:val="21"/>
          <w:highlight w:val="none"/>
        </w:rPr>
      </w:pPr>
      <w:r>
        <w:rPr>
          <w:rFonts w:ascii="Arial" w:hAnsi="Arial"/>
          <w:color w:val="auto"/>
          <w:szCs w:val="21"/>
          <w:highlight w:val="none"/>
        </w:rPr>
        <w:t>The Buyers</w:t>
      </w:r>
      <w:r>
        <w:rPr>
          <w:rFonts w:hint="eastAsia" w:ascii="Arial" w:hAnsi="Arial"/>
          <w:color w:val="auto"/>
          <w:szCs w:val="21"/>
          <w:highlight w:val="none"/>
        </w:rPr>
        <w:t xml:space="preserve"> shall</w:t>
      </w:r>
      <w:r>
        <w:rPr>
          <w:rFonts w:ascii="Arial" w:hAnsi="Arial"/>
          <w:color w:val="auto"/>
          <w:szCs w:val="21"/>
          <w:highlight w:val="none"/>
        </w:rPr>
        <w:t xml:space="preserve"> open an irrevocable letter of credit in favor of the Sellers, for the total value of shipment.</w:t>
      </w:r>
      <w:r>
        <w:rPr>
          <w:rFonts w:hint="eastAsia" w:ascii="Arial" w:hAnsi="Arial"/>
          <w:color w:val="auto"/>
          <w:szCs w:val="21"/>
          <w:highlight w:val="none"/>
        </w:rPr>
        <w:t xml:space="preserve"> Eighty percent (80%- USD) of t</w:t>
      </w:r>
      <w:r>
        <w:rPr>
          <w:rFonts w:ascii="Arial" w:hAnsi="Arial"/>
          <w:color w:val="auto"/>
          <w:szCs w:val="21"/>
          <w:highlight w:val="none"/>
        </w:rPr>
        <w:t xml:space="preserve">he Credit shall be available against Sellers' </w:t>
      </w:r>
      <w:r>
        <w:rPr>
          <w:rFonts w:hint="eastAsia" w:ascii="Arial" w:hAnsi="Arial"/>
          <w:color w:val="auto"/>
          <w:szCs w:val="21"/>
          <w:highlight w:val="none"/>
        </w:rPr>
        <w:t>original shipping documents</w:t>
      </w:r>
      <w:r>
        <w:rPr>
          <w:rFonts w:ascii="Arial" w:hAnsi="Arial"/>
          <w:color w:val="auto"/>
          <w:szCs w:val="21"/>
          <w:highlight w:val="none"/>
        </w:rPr>
        <w:t xml:space="preserve"> drawn at sight on the opening bank for</w:t>
      </w:r>
      <w:r>
        <w:rPr>
          <w:rFonts w:hint="eastAsia" w:ascii="Arial" w:hAnsi="Arial"/>
          <w:color w:val="auto"/>
          <w:szCs w:val="21"/>
          <w:highlight w:val="none"/>
        </w:rPr>
        <w:t xml:space="preserve"> Eighty percent (80%)</w:t>
      </w:r>
      <w:r>
        <w:rPr>
          <w:rFonts w:ascii="Arial" w:hAnsi="Arial"/>
          <w:color w:val="auto"/>
          <w:szCs w:val="21"/>
          <w:highlight w:val="none"/>
        </w:rPr>
        <w:t xml:space="preserve"> invoice value accompanied by the shipping documents specified in Clause </w:t>
      </w:r>
      <w:r>
        <w:rPr>
          <w:rFonts w:hint="eastAsia" w:ascii="Arial" w:hAnsi="Arial"/>
          <w:color w:val="auto"/>
          <w:szCs w:val="21"/>
          <w:highlight w:val="none"/>
        </w:rPr>
        <w:t>11</w:t>
      </w:r>
      <w:r>
        <w:rPr>
          <w:rFonts w:ascii="Arial" w:hAnsi="Arial"/>
          <w:color w:val="auto"/>
          <w:szCs w:val="21"/>
          <w:highlight w:val="none"/>
        </w:rPr>
        <w:t xml:space="preserve"> hereof. </w:t>
      </w:r>
      <w:r>
        <w:rPr>
          <w:rFonts w:hint="eastAsia" w:ascii="Arial" w:hAnsi="Arial"/>
          <w:color w:val="auto"/>
          <w:szCs w:val="21"/>
          <w:highlight w:val="none"/>
        </w:rPr>
        <w:t xml:space="preserve">The </w:t>
      </w:r>
      <w:r>
        <w:rPr>
          <w:rFonts w:ascii="Arial" w:hAnsi="Arial"/>
          <w:color w:val="auto"/>
          <w:szCs w:val="21"/>
          <w:highlight w:val="none"/>
        </w:rPr>
        <w:t>remaining</w:t>
      </w:r>
      <w:r>
        <w:rPr>
          <w:rFonts w:hint="eastAsia" w:ascii="Arial" w:hAnsi="Arial"/>
          <w:color w:val="auto"/>
          <w:szCs w:val="21"/>
          <w:highlight w:val="none"/>
        </w:rPr>
        <w:t xml:space="preserve"> Twenty percent (20%- USD) shall be available against Final Acceptance Certificate signed</w:t>
      </w:r>
      <w:r>
        <w:rPr>
          <w:rFonts w:ascii="Arial" w:hAnsi="Arial"/>
          <w:color w:val="auto"/>
          <w:szCs w:val="21"/>
          <w:highlight w:val="none"/>
        </w:rPr>
        <w:t xml:space="preserve"> and stamped</w:t>
      </w:r>
      <w:r>
        <w:rPr>
          <w:rFonts w:hint="eastAsia" w:ascii="Arial" w:hAnsi="Arial"/>
          <w:color w:val="auto"/>
          <w:szCs w:val="21"/>
          <w:highlight w:val="none"/>
        </w:rPr>
        <w:t xml:space="preserve"> by the End-user</w:t>
      </w:r>
      <w:r>
        <w:rPr>
          <w:rFonts w:ascii="Arial" w:hAnsi="Arial"/>
          <w:color w:val="auto"/>
          <w:szCs w:val="21"/>
          <w:highlight w:val="none"/>
        </w:rPr>
        <w:t xml:space="preserve"> </w:t>
      </w:r>
      <w:r>
        <w:rPr>
          <w:rFonts w:hint="eastAsia" w:ascii="Arial" w:hAnsi="Arial"/>
          <w:color w:val="auto"/>
          <w:szCs w:val="21"/>
          <w:highlight w:val="none"/>
        </w:rPr>
        <w:t xml:space="preserve">Ningbo University of Technology </w:t>
      </w:r>
      <w:r>
        <w:rPr>
          <w:rFonts w:ascii="Arial" w:hAnsi="Arial"/>
          <w:color w:val="auto"/>
          <w:szCs w:val="21"/>
          <w:highlight w:val="none"/>
        </w:rPr>
        <w:t>that the goods are in conformity with the stipulation of the contract</w:t>
      </w:r>
      <w:r>
        <w:rPr>
          <w:rFonts w:hint="eastAsia" w:ascii="Arial" w:hAnsi="Arial"/>
          <w:color w:val="auto"/>
          <w:szCs w:val="21"/>
          <w:highlight w:val="none"/>
        </w:rPr>
        <w:t>.）</w:t>
      </w:r>
    </w:p>
    <w:p>
      <w:pPr>
        <w:spacing w:line="300" w:lineRule="exact"/>
        <w:rPr>
          <w:color w:val="auto"/>
          <w:szCs w:val="21"/>
          <w:highlight w:val="none"/>
        </w:rPr>
      </w:pPr>
    </w:p>
    <w:p>
      <w:pPr>
        <w:spacing w:line="300" w:lineRule="exact"/>
        <w:rPr>
          <w:color w:val="auto"/>
          <w:szCs w:val="21"/>
          <w:highlight w:val="none"/>
        </w:rPr>
      </w:pPr>
      <w:r>
        <w:rPr>
          <w:rFonts w:hint="eastAsia"/>
          <w:color w:val="auto"/>
          <w:szCs w:val="21"/>
          <w:highlight w:val="none"/>
        </w:rPr>
        <w:t>12、</w:t>
      </w:r>
      <w:r>
        <w:rPr>
          <w:color w:val="auto"/>
          <w:szCs w:val="21"/>
          <w:highlight w:val="none"/>
        </w:rPr>
        <w:t xml:space="preserve">付款单据Payments Documents: </w:t>
      </w:r>
    </w:p>
    <w:p>
      <w:pPr>
        <w:spacing w:line="300" w:lineRule="exact"/>
        <w:rPr>
          <w:color w:val="auto"/>
          <w:szCs w:val="21"/>
          <w:highlight w:val="none"/>
        </w:rPr>
      </w:pPr>
      <w:r>
        <w:rPr>
          <w:color w:val="auto"/>
          <w:szCs w:val="21"/>
          <w:highlight w:val="none"/>
        </w:rPr>
        <w:t>在</w:t>
      </w:r>
      <w:r>
        <w:rPr>
          <w:rFonts w:hint="eastAsia"/>
          <w:color w:val="auto"/>
          <w:szCs w:val="21"/>
          <w:highlight w:val="none"/>
        </w:rPr>
        <w:t>LC</w:t>
      </w:r>
      <w:r>
        <w:rPr>
          <w:color w:val="auto"/>
          <w:szCs w:val="21"/>
          <w:highlight w:val="none"/>
        </w:rPr>
        <w:t>付款方式下，卖方应在发货后向</w:t>
      </w:r>
      <w:r>
        <w:rPr>
          <w:rFonts w:hint="eastAsia"/>
          <w:color w:val="auto"/>
          <w:szCs w:val="21"/>
          <w:highlight w:val="none"/>
        </w:rPr>
        <w:t>买方银行</w:t>
      </w:r>
      <w:r>
        <w:rPr>
          <w:color w:val="auto"/>
          <w:szCs w:val="21"/>
          <w:highlight w:val="none"/>
        </w:rPr>
        <w:t>递交以下付款单据。</w:t>
      </w:r>
    </w:p>
    <w:p>
      <w:pPr>
        <w:spacing w:line="300" w:lineRule="exact"/>
        <w:rPr>
          <w:color w:val="auto"/>
          <w:szCs w:val="21"/>
          <w:highlight w:val="none"/>
        </w:rPr>
      </w:pPr>
      <w:r>
        <w:rPr>
          <w:color w:val="auto"/>
          <w:szCs w:val="21"/>
          <w:highlight w:val="none"/>
        </w:rPr>
        <w:t>The SELLER shall submit the following documents to the paying bank for payment purpose after the SELLER has effected the shipment:</w:t>
      </w:r>
    </w:p>
    <w:p>
      <w:pPr>
        <w:spacing w:line="300" w:lineRule="exact"/>
        <w:rPr>
          <w:color w:val="auto"/>
          <w:szCs w:val="21"/>
          <w:highlight w:val="none"/>
        </w:rPr>
      </w:pPr>
      <w:r>
        <w:rPr>
          <w:rFonts w:hint="eastAsia"/>
          <w:color w:val="auto"/>
          <w:szCs w:val="21"/>
          <w:highlight w:val="none"/>
        </w:rPr>
        <w:t>12.1、空运提单 但不接受货代出的代理提单。主运单上的收货人必须是买方。</w:t>
      </w:r>
    </w:p>
    <w:p>
      <w:pPr>
        <w:spacing w:line="300" w:lineRule="exact"/>
        <w:rPr>
          <w:color w:val="auto"/>
          <w:szCs w:val="21"/>
          <w:highlight w:val="none"/>
        </w:rPr>
      </w:pPr>
      <w:r>
        <w:rPr>
          <w:rFonts w:hint="eastAsia"/>
          <w:color w:val="auto"/>
          <w:szCs w:val="21"/>
          <w:highlight w:val="none"/>
        </w:rPr>
        <w:t>Airway bill in one copy but not House B/L. The consignee on the original bill of lading must be same as the buyer</w:t>
      </w:r>
    </w:p>
    <w:p>
      <w:pPr>
        <w:spacing w:line="300" w:lineRule="exact"/>
        <w:rPr>
          <w:color w:val="auto"/>
          <w:szCs w:val="21"/>
          <w:highlight w:val="none"/>
        </w:rPr>
      </w:pPr>
      <w:r>
        <w:rPr>
          <w:color w:val="auto"/>
          <w:szCs w:val="21"/>
          <w:highlight w:val="none"/>
        </w:rPr>
        <w:t>1</w:t>
      </w:r>
      <w:r>
        <w:rPr>
          <w:rFonts w:hint="eastAsia"/>
          <w:color w:val="auto"/>
          <w:szCs w:val="21"/>
          <w:highlight w:val="none"/>
        </w:rPr>
        <w:t>2</w:t>
      </w:r>
      <w:r>
        <w:rPr>
          <w:color w:val="auto"/>
          <w:szCs w:val="21"/>
          <w:highlight w:val="none"/>
        </w:rPr>
        <w:t>.2、叁份正本署名商业发票。发票应注明合同号码、代理商、买方的信息</w:t>
      </w:r>
    </w:p>
    <w:p>
      <w:pPr>
        <w:spacing w:line="300" w:lineRule="exact"/>
        <w:rPr>
          <w:color w:val="auto"/>
          <w:szCs w:val="21"/>
          <w:highlight w:val="none"/>
        </w:rPr>
      </w:pPr>
      <w:r>
        <w:rPr>
          <w:color w:val="auto"/>
          <w:szCs w:val="21"/>
          <w:highlight w:val="none"/>
        </w:rPr>
        <w:t xml:space="preserve">Signed Commercial Invoices three originals (Contract No、agent and buyer should be indicated in the invoice)     </w:t>
      </w:r>
    </w:p>
    <w:p>
      <w:pPr>
        <w:spacing w:line="300" w:lineRule="exact"/>
        <w:rPr>
          <w:color w:val="auto"/>
          <w:szCs w:val="21"/>
          <w:highlight w:val="none"/>
        </w:rPr>
      </w:pPr>
      <w:r>
        <w:rPr>
          <w:color w:val="auto"/>
          <w:szCs w:val="21"/>
          <w:highlight w:val="none"/>
        </w:rPr>
        <w:t>1</w:t>
      </w:r>
      <w:r>
        <w:rPr>
          <w:rFonts w:hint="eastAsia"/>
          <w:color w:val="auto"/>
          <w:szCs w:val="21"/>
          <w:highlight w:val="none"/>
        </w:rPr>
        <w:t>2</w:t>
      </w:r>
      <w:r>
        <w:rPr>
          <w:color w:val="auto"/>
          <w:szCs w:val="21"/>
          <w:highlight w:val="none"/>
        </w:rPr>
        <w:t>.3、叁份正本装箱单。装箱单应注明合同号码和唛头。</w:t>
      </w:r>
    </w:p>
    <w:p>
      <w:pPr>
        <w:spacing w:line="300" w:lineRule="exact"/>
        <w:jc w:val="left"/>
        <w:rPr>
          <w:color w:val="auto"/>
          <w:szCs w:val="21"/>
          <w:highlight w:val="none"/>
        </w:rPr>
      </w:pPr>
      <w:r>
        <w:rPr>
          <w:color w:val="auto"/>
          <w:szCs w:val="21"/>
          <w:highlight w:val="none"/>
        </w:rPr>
        <w:t>Packing list in three originals (Contract No. and shipping mark should be indicated in the packing list).</w:t>
      </w:r>
      <w:r>
        <w:rPr>
          <w:color w:val="auto"/>
          <w:szCs w:val="21"/>
          <w:highlight w:val="none"/>
        </w:rPr>
        <w:tab/>
      </w:r>
      <w:r>
        <w:rPr>
          <w:color w:val="auto"/>
          <w:szCs w:val="21"/>
          <w:highlight w:val="none"/>
        </w:rPr>
        <w:t xml:space="preserve">       </w:t>
      </w:r>
    </w:p>
    <w:p>
      <w:pPr>
        <w:spacing w:line="300" w:lineRule="exact"/>
        <w:rPr>
          <w:color w:val="auto"/>
          <w:szCs w:val="21"/>
          <w:highlight w:val="none"/>
        </w:rPr>
      </w:pPr>
      <w:r>
        <w:rPr>
          <w:color w:val="auto"/>
          <w:szCs w:val="21"/>
          <w:highlight w:val="none"/>
        </w:rPr>
        <w:t>1</w:t>
      </w:r>
      <w:r>
        <w:rPr>
          <w:rFonts w:hint="eastAsia"/>
          <w:color w:val="auto"/>
          <w:szCs w:val="21"/>
          <w:highlight w:val="none"/>
        </w:rPr>
        <w:t>2</w:t>
      </w:r>
      <w:r>
        <w:rPr>
          <w:color w:val="auto"/>
          <w:szCs w:val="21"/>
          <w:highlight w:val="none"/>
        </w:rPr>
        <w:t>.4、投保金额为合同总额110％，投保一切险</w:t>
      </w:r>
      <w:r>
        <w:rPr>
          <w:rFonts w:hint="eastAsia"/>
          <w:color w:val="auto"/>
          <w:szCs w:val="21"/>
          <w:highlight w:val="none"/>
        </w:rPr>
        <w:t>和战争险</w:t>
      </w:r>
      <w:r>
        <w:rPr>
          <w:color w:val="auto"/>
          <w:szCs w:val="21"/>
          <w:highlight w:val="none"/>
        </w:rPr>
        <w:t>的保险单或保险认证。</w:t>
      </w:r>
    </w:p>
    <w:p>
      <w:pPr>
        <w:rPr>
          <w:color w:val="auto"/>
          <w:highlight w:val="none"/>
        </w:rPr>
      </w:pPr>
      <w:r>
        <w:rPr>
          <w:color w:val="auto"/>
          <w:highlight w:val="none"/>
        </w:rPr>
        <w:t>Insurance Policy/Certificate covering 110% of Total Price of Contract (invoice value) covering all risks and war risk.</w:t>
      </w:r>
    </w:p>
    <w:p>
      <w:pPr>
        <w:spacing w:line="300" w:lineRule="exact"/>
        <w:rPr>
          <w:color w:val="auto"/>
          <w:szCs w:val="21"/>
          <w:highlight w:val="none"/>
        </w:rPr>
      </w:pPr>
      <w:r>
        <w:rPr>
          <w:color w:val="auto"/>
          <w:szCs w:val="21"/>
          <w:highlight w:val="none"/>
        </w:rPr>
        <w:t>1</w:t>
      </w:r>
      <w:r>
        <w:rPr>
          <w:rFonts w:hint="eastAsia"/>
          <w:color w:val="auto"/>
          <w:szCs w:val="21"/>
          <w:highlight w:val="none"/>
        </w:rPr>
        <w:t>2</w:t>
      </w:r>
      <w:r>
        <w:rPr>
          <w:color w:val="auto"/>
          <w:szCs w:val="21"/>
          <w:highlight w:val="none"/>
        </w:rPr>
        <w:t>.5、</w:t>
      </w:r>
      <w:r>
        <w:rPr>
          <w:rFonts w:hint="eastAsia"/>
          <w:color w:val="auto"/>
          <w:szCs w:val="21"/>
          <w:highlight w:val="none"/>
        </w:rPr>
        <w:t>卖方签发的质量</w:t>
      </w:r>
      <w:r>
        <w:rPr>
          <w:color w:val="auto"/>
          <w:szCs w:val="21"/>
          <w:highlight w:val="none"/>
        </w:rPr>
        <w:t>和数量/重量证明书及检验报告各一份。</w:t>
      </w:r>
    </w:p>
    <w:p>
      <w:pPr>
        <w:spacing w:line="300" w:lineRule="exact"/>
        <w:rPr>
          <w:color w:val="auto"/>
          <w:szCs w:val="21"/>
          <w:highlight w:val="none"/>
        </w:rPr>
      </w:pPr>
      <w:r>
        <w:rPr>
          <w:color w:val="auto"/>
          <w:szCs w:val="21"/>
          <w:highlight w:val="none"/>
        </w:rPr>
        <w:t xml:space="preserve">Certificate of Quality and Quantity/Weight and Testing Report, each in duplicate, issued by the </w:t>
      </w:r>
      <w:r>
        <w:rPr>
          <w:rFonts w:hint="eastAsia"/>
          <w:color w:val="auto"/>
          <w:szCs w:val="21"/>
          <w:highlight w:val="none"/>
        </w:rPr>
        <w:t>seller</w:t>
      </w:r>
    </w:p>
    <w:p>
      <w:pPr>
        <w:autoSpaceDE w:val="0"/>
        <w:autoSpaceDN w:val="0"/>
        <w:adjustRightInd w:val="0"/>
        <w:spacing w:line="300" w:lineRule="exact"/>
        <w:rPr>
          <w:color w:val="auto"/>
          <w:szCs w:val="21"/>
          <w:highlight w:val="none"/>
        </w:rPr>
      </w:pPr>
      <w:r>
        <w:rPr>
          <w:color w:val="auto"/>
          <w:szCs w:val="21"/>
          <w:highlight w:val="none"/>
        </w:rPr>
        <w:t>1</w:t>
      </w:r>
      <w:r>
        <w:rPr>
          <w:rFonts w:hint="eastAsia"/>
          <w:color w:val="auto"/>
          <w:szCs w:val="21"/>
          <w:highlight w:val="none"/>
        </w:rPr>
        <w:t>2</w:t>
      </w:r>
      <w:r>
        <w:rPr>
          <w:color w:val="auto"/>
          <w:szCs w:val="21"/>
          <w:highlight w:val="none"/>
        </w:rPr>
        <w:t>.6、由制造商（卖方）提供一份非木质包装声明；如果货物包装有木托、木垫等木质包装材料，必须加施热处理或熏蒸的IPPC标识，并提供一份书面说明并提供木质包装声明。如因卖方提供的包装信息错误而导致买方清关报关有误而产生的滞仓，滞港或罚款等费用由卖方承担。</w:t>
      </w:r>
    </w:p>
    <w:p>
      <w:pPr>
        <w:spacing w:line="300" w:lineRule="exact"/>
        <w:rPr>
          <w:color w:val="auto"/>
          <w:szCs w:val="21"/>
          <w:highlight w:val="none"/>
        </w:rPr>
      </w:pPr>
      <w:r>
        <w:rPr>
          <w:color w:val="auto"/>
          <w:szCs w:val="21"/>
          <w:highlight w:val="none"/>
        </w:rPr>
        <w:t>Declaration of non-wooden packing material issued by manufacturer (or the seller</w:t>
      </w:r>
      <w:r>
        <w:rPr>
          <w:rFonts w:hint="eastAsia"/>
          <w:color w:val="auto"/>
          <w:szCs w:val="21"/>
          <w:highlight w:val="none"/>
        </w:rPr>
        <w:t>)</w:t>
      </w:r>
      <w:r>
        <w:rPr>
          <w:color w:val="auto"/>
          <w:szCs w:val="21"/>
          <w:highlight w:val="none"/>
        </w:rPr>
        <w:t>in 1 copy, If the goods is loaded by wooden pallets or other solid wooden packing material like wooden cushion etc. Heat treatment or declaration of fumigation indicating its IPPC identification code should be printed out of package.，Also one written note should be presented. The seller should pay for warehouse detention or fine caused by the wrong information from the seller of the packing when in clear customs.</w:t>
      </w:r>
    </w:p>
    <w:p>
      <w:pPr>
        <w:spacing w:line="300" w:lineRule="exact"/>
        <w:rPr>
          <w:color w:val="auto"/>
          <w:szCs w:val="21"/>
          <w:highlight w:val="none"/>
        </w:rPr>
      </w:pPr>
      <w:r>
        <w:rPr>
          <w:color w:val="auto"/>
          <w:szCs w:val="21"/>
          <w:highlight w:val="none"/>
        </w:rPr>
        <w:t>1</w:t>
      </w:r>
      <w:r>
        <w:rPr>
          <w:rFonts w:hint="eastAsia"/>
          <w:color w:val="auto"/>
          <w:szCs w:val="21"/>
          <w:highlight w:val="none"/>
        </w:rPr>
        <w:t>2</w:t>
      </w:r>
      <w:r>
        <w:rPr>
          <w:color w:val="auto"/>
          <w:szCs w:val="21"/>
          <w:highlight w:val="none"/>
        </w:rPr>
        <w:t>.7、正本非木质包装证明或包装箱熏蒸证明或包装箱热处理证明一份及正本发票一份和正本装箱单一份随同设备一起装运。</w:t>
      </w:r>
    </w:p>
    <w:p>
      <w:pPr>
        <w:spacing w:line="300" w:lineRule="exact"/>
        <w:rPr>
          <w:color w:val="auto"/>
          <w:szCs w:val="21"/>
          <w:highlight w:val="none"/>
        </w:rPr>
      </w:pPr>
      <w:r>
        <w:rPr>
          <w:color w:val="auto"/>
          <w:szCs w:val="21"/>
          <w:highlight w:val="none"/>
        </w:rPr>
        <w:t>Beneficiary's certificates certify that 1 original of invoice and packing list, and 1 original certificate of non-wooden packing material or 1 original fumigation certificate or 1 original certificate of heat treatment both issued by official authority are accompanied with the shipment.</w:t>
      </w:r>
    </w:p>
    <w:p>
      <w:pPr>
        <w:spacing w:line="300" w:lineRule="exact"/>
        <w:rPr>
          <w:color w:val="auto"/>
          <w:szCs w:val="21"/>
          <w:highlight w:val="none"/>
        </w:rPr>
      </w:pPr>
    </w:p>
    <w:p>
      <w:pPr>
        <w:spacing w:line="300" w:lineRule="exact"/>
        <w:rPr>
          <w:color w:val="auto"/>
          <w:szCs w:val="21"/>
          <w:highlight w:val="none"/>
        </w:rPr>
      </w:pPr>
      <w:r>
        <w:rPr>
          <w:rFonts w:hint="eastAsia"/>
          <w:color w:val="auto"/>
          <w:szCs w:val="21"/>
          <w:highlight w:val="none"/>
        </w:rPr>
        <w:t>13、</w:t>
      </w:r>
      <w:r>
        <w:rPr>
          <w:color w:val="auto"/>
          <w:szCs w:val="21"/>
          <w:highlight w:val="none"/>
        </w:rPr>
        <w:t>技术资料：TECHNICAL DOCUMENTS</w:t>
      </w:r>
      <w:r>
        <w:rPr>
          <w:rFonts w:hint="eastAsia"/>
          <w:color w:val="auto"/>
          <w:szCs w:val="21"/>
          <w:highlight w:val="none"/>
        </w:rPr>
        <w:t>:</w:t>
      </w:r>
    </w:p>
    <w:p>
      <w:pPr>
        <w:spacing w:line="300" w:lineRule="exact"/>
        <w:rPr>
          <w:color w:val="auto"/>
          <w:szCs w:val="21"/>
          <w:highlight w:val="none"/>
        </w:rPr>
      </w:pPr>
      <w:r>
        <w:rPr>
          <w:color w:val="auto"/>
          <w:szCs w:val="21"/>
          <w:highlight w:val="none"/>
        </w:rPr>
        <w:t>卖方应将全套技术文件随货物运输给买方。</w:t>
      </w:r>
    </w:p>
    <w:p>
      <w:pPr>
        <w:spacing w:line="300" w:lineRule="exact"/>
        <w:rPr>
          <w:color w:val="auto"/>
          <w:szCs w:val="21"/>
          <w:highlight w:val="none"/>
        </w:rPr>
      </w:pPr>
      <w:r>
        <w:rPr>
          <w:color w:val="auto"/>
          <w:szCs w:val="21"/>
          <w:highlight w:val="none"/>
        </w:rPr>
        <w:t>The Seller sends the full set of technical documentation to Buyer with delivery.</w:t>
      </w:r>
    </w:p>
    <w:p>
      <w:pPr>
        <w:spacing w:line="300" w:lineRule="exact"/>
        <w:rPr>
          <w:color w:val="auto"/>
          <w:szCs w:val="21"/>
          <w:highlight w:val="none"/>
        </w:rPr>
      </w:pPr>
      <w:r>
        <w:rPr>
          <w:color w:val="auto"/>
          <w:szCs w:val="21"/>
          <w:highlight w:val="none"/>
        </w:rPr>
        <w:t>卖方应将上述货物的实验室安装要求在货物发运前提供给买方。</w:t>
      </w:r>
    </w:p>
    <w:p>
      <w:pPr>
        <w:spacing w:line="300" w:lineRule="exact"/>
        <w:ind w:left="2" w:leftChars="1"/>
        <w:rPr>
          <w:color w:val="auto"/>
          <w:szCs w:val="21"/>
          <w:highlight w:val="none"/>
        </w:rPr>
      </w:pPr>
      <w:r>
        <w:rPr>
          <w:color w:val="auto"/>
          <w:szCs w:val="21"/>
          <w:highlight w:val="none"/>
        </w:rPr>
        <w:t>The Seller will send the Pre-installation requirements on the Laboratory at the Buyer’s working site to the Buyer before effecting the delivery of the commodity.</w:t>
      </w:r>
    </w:p>
    <w:p>
      <w:pPr>
        <w:spacing w:line="300" w:lineRule="exact"/>
        <w:ind w:left="2" w:leftChars="1"/>
        <w:rPr>
          <w:color w:val="auto"/>
          <w:szCs w:val="21"/>
          <w:highlight w:val="none"/>
        </w:rPr>
      </w:pPr>
    </w:p>
    <w:p>
      <w:pPr>
        <w:spacing w:line="300" w:lineRule="exact"/>
        <w:rPr>
          <w:color w:val="auto"/>
          <w:szCs w:val="21"/>
          <w:highlight w:val="none"/>
        </w:rPr>
      </w:pPr>
      <w:r>
        <w:rPr>
          <w:rFonts w:hint="eastAsia"/>
          <w:color w:val="auto"/>
          <w:szCs w:val="21"/>
          <w:highlight w:val="none"/>
        </w:rPr>
        <w:t>14、装运通知：SHIPPING ADVICE:</w:t>
      </w:r>
    </w:p>
    <w:p>
      <w:pPr>
        <w:spacing w:line="300" w:lineRule="exact"/>
        <w:rPr>
          <w:color w:val="auto"/>
          <w:szCs w:val="21"/>
          <w:highlight w:val="none"/>
        </w:rPr>
      </w:pPr>
      <w:r>
        <w:rPr>
          <w:rFonts w:hint="eastAsia"/>
          <w:color w:val="auto"/>
          <w:szCs w:val="21"/>
          <w:highlight w:val="none"/>
        </w:rPr>
        <w:t>货物全部装船后，卖方应24小时内以邮件形式将空运提单、装箱单、航班号、装运日期、商品的数量、重量和价值、非木包装证明、本质材料热处理或熏蒸IPPC标识说明告知买方。</w:t>
      </w:r>
    </w:p>
    <w:p>
      <w:pPr>
        <w:spacing w:line="300" w:lineRule="exact"/>
        <w:rPr>
          <w:color w:val="auto"/>
          <w:szCs w:val="21"/>
          <w:highlight w:val="none"/>
        </w:rPr>
      </w:pPr>
      <w:r>
        <w:rPr>
          <w:rFonts w:hint="eastAsia"/>
          <w:color w:val="auto"/>
          <w:szCs w:val="21"/>
          <w:highlight w:val="none"/>
        </w:rPr>
        <w:t xml:space="preserve">Immediately the goods are completely loaded, the Seller shall mail to notify the Buyer of the bill, packing list, flight no., shipment date, quantity, weight and value of shipment，Certificate of non-wooden packing material, wooden packing material certificate of heat treatment or fumigation certificate indicating its IPPC logo by Fax within 24 hours. </w:t>
      </w:r>
      <w:r>
        <w:rPr>
          <w:color w:val="auto"/>
          <w:szCs w:val="21"/>
          <w:highlight w:val="none"/>
        </w:rPr>
        <w:t xml:space="preserve"> </w:t>
      </w:r>
    </w:p>
    <w:p>
      <w:pPr>
        <w:spacing w:line="300" w:lineRule="exact"/>
        <w:rPr>
          <w:color w:val="auto"/>
          <w:szCs w:val="21"/>
          <w:highlight w:val="none"/>
        </w:rPr>
      </w:pPr>
    </w:p>
    <w:p>
      <w:pPr>
        <w:autoSpaceDE w:val="0"/>
        <w:autoSpaceDN w:val="0"/>
        <w:adjustRightInd w:val="0"/>
        <w:spacing w:line="300" w:lineRule="exact"/>
        <w:rPr>
          <w:color w:val="auto"/>
          <w:szCs w:val="21"/>
          <w:highlight w:val="none"/>
        </w:rPr>
      </w:pPr>
      <w:r>
        <w:rPr>
          <w:rFonts w:hint="eastAsia"/>
          <w:color w:val="auto"/>
          <w:szCs w:val="21"/>
          <w:highlight w:val="none"/>
        </w:rPr>
        <w:t>15、</w:t>
      </w:r>
      <w:r>
        <w:rPr>
          <w:color w:val="auto"/>
          <w:szCs w:val="21"/>
          <w:highlight w:val="none"/>
        </w:rPr>
        <w:t>安装通知：INSTALLATION ADVICE</w:t>
      </w:r>
    </w:p>
    <w:p>
      <w:pPr>
        <w:autoSpaceDE w:val="0"/>
        <w:autoSpaceDN w:val="0"/>
        <w:adjustRightInd w:val="0"/>
        <w:spacing w:line="300" w:lineRule="exact"/>
        <w:rPr>
          <w:color w:val="auto"/>
          <w:szCs w:val="21"/>
          <w:highlight w:val="none"/>
        </w:rPr>
      </w:pPr>
      <w:r>
        <w:rPr>
          <w:color w:val="auto"/>
          <w:szCs w:val="21"/>
          <w:highlight w:val="none"/>
        </w:rPr>
        <w:t>货物安全送至用户所在地后，卖方务必要在得到买方确认可以开箱安装验收的信息后再派代表前来安装调试</w:t>
      </w:r>
      <w:r>
        <w:rPr>
          <w:rFonts w:hint="eastAsia"/>
          <w:color w:val="auto"/>
          <w:szCs w:val="21"/>
          <w:highlight w:val="none"/>
        </w:rPr>
        <w:t>，</w:t>
      </w:r>
      <w:r>
        <w:rPr>
          <w:color w:val="auto"/>
          <w:szCs w:val="21"/>
          <w:highlight w:val="none"/>
        </w:rPr>
        <w:t>因未确认时间而擅自前来安装而产生的不便由卖方承担。</w:t>
      </w:r>
    </w:p>
    <w:p>
      <w:pPr>
        <w:spacing w:line="300" w:lineRule="exact"/>
        <w:rPr>
          <w:color w:val="auto"/>
          <w:szCs w:val="21"/>
          <w:highlight w:val="none"/>
        </w:rPr>
      </w:pPr>
      <w:r>
        <w:rPr>
          <w:color w:val="auto"/>
          <w:szCs w:val="21"/>
          <w:highlight w:val="none"/>
        </w:rPr>
        <w:t>After send the goods to the end user safely, the seller should dispatch representative before confirmed information by the buyer if it could be open package then installation，the inconvenient bringed by unconfirmed information will be borne by seller</w:t>
      </w:r>
    </w:p>
    <w:p>
      <w:pPr>
        <w:spacing w:line="300" w:lineRule="exact"/>
        <w:rPr>
          <w:color w:val="auto"/>
          <w:szCs w:val="21"/>
          <w:highlight w:val="none"/>
        </w:rPr>
      </w:pPr>
    </w:p>
    <w:p>
      <w:pPr>
        <w:autoSpaceDE w:val="0"/>
        <w:autoSpaceDN w:val="0"/>
        <w:adjustRightInd w:val="0"/>
        <w:spacing w:line="300" w:lineRule="exact"/>
        <w:rPr>
          <w:color w:val="auto"/>
          <w:szCs w:val="21"/>
          <w:highlight w:val="none"/>
        </w:rPr>
      </w:pPr>
      <w:r>
        <w:rPr>
          <w:rFonts w:hint="eastAsia"/>
          <w:color w:val="auto"/>
          <w:szCs w:val="21"/>
          <w:highlight w:val="none"/>
        </w:rPr>
        <w:t>16、质量保证：GUARANTEE OF QUALITY：</w:t>
      </w:r>
    </w:p>
    <w:p>
      <w:pPr>
        <w:autoSpaceDE w:val="0"/>
        <w:autoSpaceDN w:val="0"/>
        <w:adjustRightInd w:val="0"/>
        <w:spacing w:line="300" w:lineRule="exact"/>
        <w:rPr>
          <w:color w:val="auto"/>
          <w:szCs w:val="21"/>
          <w:highlight w:val="none"/>
        </w:rPr>
      </w:pPr>
      <w:r>
        <w:rPr>
          <w:rFonts w:hint="eastAsia"/>
          <w:color w:val="auto"/>
          <w:szCs w:val="21"/>
          <w:highlight w:val="none"/>
        </w:rPr>
        <w:t>卖方保证订货系用最上等的材料和头等工艺制成，全新，未曾用过，并完全符合本合同规定的质量、规格和性能。卖方并保证本合同订货在正确安装、正常使用的情况下，自货物验收合格后XX年内负有免费维修的义务。售后服务做到</w:t>
      </w:r>
      <w:r>
        <w:rPr>
          <w:rFonts w:hint="eastAsia"/>
          <w:b/>
          <w:bCs/>
          <w:color w:val="auto"/>
          <w:szCs w:val="21"/>
          <w:highlight w:val="none"/>
        </w:rPr>
        <w:t>XX</w:t>
      </w:r>
      <w:r>
        <w:rPr>
          <w:rFonts w:hint="eastAsia"/>
          <w:color w:val="auto"/>
          <w:szCs w:val="21"/>
          <w:highlight w:val="none"/>
        </w:rPr>
        <w:t>小时内响应，</w:t>
      </w:r>
      <w:r>
        <w:rPr>
          <w:rFonts w:hint="eastAsia"/>
          <w:b/>
          <w:bCs/>
          <w:color w:val="auto"/>
          <w:szCs w:val="21"/>
          <w:highlight w:val="none"/>
        </w:rPr>
        <w:t>XX</w:t>
      </w:r>
      <w:r>
        <w:rPr>
          <w:rFonts w:hint="eastAsia"/>
          <w:color w:val="auto"/>
          <w:szCs w:val="21"/>
          <w:highlight w:val="none"/>
        </w:rPr>
        <w:t>小时内维修人员到场。保修期期间维护，差旅、人工等一切费用由中标商承担。</w:t>
      </w:r>
    </w:p>
    <w:p>
      <w:pPr>
        <w:autoSpaceDE w:val="0"/>
        <w:autoSpaceDN w:val="0"/>
        <w:adjustRightInd w:val="0"/>
        <w:spacing w:line="300" w:lineRule="exact"/>
        <w:rPr>
          <w:color w:val="auto"/>
          <w:szCs w:val="21"/>
          <w:highlight w:val="none"/>
        </w:rPr>
      </w:pPr>
      <w:r>
        <w:rPr>
          <w:rFonts w:hint="eastAsia"/>
          <w:color w:val="auto"/>
          <w:szCs w:val="21"/>
          <w:highlight w:val="none"/>
        </w:rPr>
        <w:t xml:space="preserve">The Seller shall guarantee that the goods are made of best materials, with first class workmanship, brand new, unused and correspond in all respects with the quality, specifications and performance as stipulated in this Contract. The Seller shall also guarantee that the goods when correctly mounted and properly operated and will take the duty of maintain for free and offer the parts for free for a period of XX years from the date on which Installation Certificate signed and stamped by the End-user. And customer support service is required to response within XX hours,Maintenance personnel shall be present within XX hours.All costs of maintenance, travel, labor, etc. during the warranty period shall be borne by the bid winner. </w:t>
      </w:r>
    </w:p>
    <w:p>
      <w:pPr>
        <w:tabs>
          <w:tab w:val="left" w:pos="6480"/>
          <w:tab w:val="right" w:pos="8640"/>
        </w:tabs>
        <w:spacing w:after="120"/>
        <w:rPr>
          <w:color w:val="auto"/>
          <w:highlight w:val="none"/>
        </w:rPr>
      </w:pPr>
    </w:p>
    <w:p>
      <w:pPr>
        <w:spacing w:line="300" w:lineRule="exact"/>
        <w:rPr>
          <w:color w:val="auto"/>
          <w:szCs w:val="21"/>
          <w:highlight w:val="none"/>
        </w:rPr>
      </w:pPr>
      <w:r>
        <w:rPr>
          <w:rFonts w:hint="eastAsia"/>
          <w:color w:val="auto"/>
          <w:szCs w:val="21"/>
          <w:highlight w:val="none"/>
        </w:rPr>
        <w:t>17、检验和索赔：INSPECTION AND CLAIMS:</w:t>
      </w:r>
    </w:p>
    <w:p>
      <w:pPr>
        <w:spacing w:line="300" w:lineRule="exact"/>
        <w:rPr>
          <w:color w:val="auto"/>
          <w:szCs w:val="21"/>
          <w:highlight w:val="none"/>
        </w:rPr>
      </w:pPr>
      <w:r>
        <w:rPr>
          <w:rFonts w:hint="eastAsia"/>
          <w:color w:val="auto"/>
          <w:szCs w:val="21"/>
          <w:highlight w:val="none"/>
        </w:rPr>
        <w:t>17.1、发货前，制造厂应对货物的质量、规格、性能和数量/重量作精密全面的检验，出具检验证明书，并说明检验的技术数据和结论。货物到达到货口岸后，买方应就货物的质量、规格、数量和重量进行初步的检验。如发现到货的规格或数量和重量与合同不符，除应由保险公司或航空公司负责外，买方于货物在到货卸货后120天内有权拒收货物或向卖方索赔。</w:t>
      </w:r>
    </w:p>
    <w:p>
      <w:pPr>
        <w:spacing w:line="300" w:lineRule="exact"/>
        <w:rPr>
          <w:color w:val="auto"/>
          <w:szCs w:val="21"/>
          <w:highlight w:val="none"/>
        </w:rPr>
      </w:pPr>
      <w:r>
        <w:rPr>
          <w:rFonts w:hint="eastAsia"/>
          <w:color w:val="auto"/>
          <w:szCs w:val="21"/>
          <w:highlight w:val="none"/>
        </w:rPr>
        <w:t>The manufacturers shall, before delivery make a precise and comprehensive inspection of the goods in regard to the quality、specifications、performance and quantity/weight and issue inspection certificates certifying the technical data and conclusion of the inspection. After arrival of the goods at the port of destination, the Buyer shall for a preliminary inspection of the goods in respect of their quality, specifications and quantity/ weight. If any discrepancies are found regarding the specifications or the quantity/weight or both, except those for which the insurance company or the airline company is responsible, the Buyer shall, within 120 days after discharge of the goods at the port of destination, have the right either to reject the goods or to claim against the Seller.</w:t>
      </w:r>
    </w:p>
    <w:p>
      <w:pPr>
        <w:spacing w:line="300" w:lineRule="exact"/>
        <w:rPr>
          <w:color w:val="auto"/>
          <w:szCs w:val="21"/>
          <w:highlight w:val="none"/>
        </w:rPr>
      </w:pPr>
      <w:r>
        <w:rPr>
          <w:rFonts w:hint="eastAsia"/>
          <w:color w:val="auto"/>
          <w:szCs w:val="21"/>
          <w:highlight w:val="none"/>
        </w:rPr>
        <w:t>17.2、本合同第16条规定的保证期内，如发现货物的质量及/或规格与本合同规定不符或发现货物无论任何原因引起的缺陷或使用不良的原料，买方有权根据本合同向卖方索赔。</w:t>
      </w:r>
    </w:p>
    <w:p>
      <w:pPr>
        <w:spacing w:line="300" w:lineRule="exact"/>
        <w:rPr>
          <w:color w:val="auto"/>
          <w:szCs w:val="21"/>
          <w:highlight w:val="none"/>
        </w:rPr>
      </w:pPr>
      <w:r>
        <w:rPr>
          <w:rFonts w:hint="eastAsia"/>
          <w:color w:val="auto"/>
          <w:szCs w:val="21"/>
          <w:highlight w:val="none"/>
        </w:rPr>
        <w:t>Within the guarantee period stipulated in Clause 15 hereof should the quality and / or the specifications of the goods be found not in conformity with the contracted stipulations, or should the goods prove defective for any reasons, including latent defect or the use of unsuitable materials, the  buyer shall make a claim against the seller in accordance with this contract.</w:t>
      </w:r>
    </w:p>
    <w:p>
      <w:pPr>
        <w:spacing w:line="300" w:lineRule="exact"/>
        <w:rPr>
          <w:color w:val="auto"/>
          <w:szCs w:val="21"/>
          <w:highlight w:val="none"/>
        </w:rPr>
      </w:pPr>
      <w:r>
        <w:rPr>
          <w:rFonts w:hint="eastAsia"/>
          <w:color w:val="auto"/>
          <w:szCs w:val="21"/>
          <w:highlight w:val="none"/>
        </w:rPr>
        <w:t>Within the guarantee period stipulated in Clause 16 hereof should the quality and / or the specifications of the goods be found not in conformity with the contracted stipulations, or should the goods prove defective for any reasons, including latent defect or the use of unsuitable materials, the Buyer shall arrange for an inspection to be carried out by the Bureau and have the right to claim against the Seller on the strength of the inspection certificate issued by the Bureau.</w:t>
      </w:r>
    </w:p>
    <w:p>
      <w:pPr>
        <w:spacing w:line="300" w:lineRule="exact"/>
        <w:rPr>
          <w:color w:val="auto"/>
          <w:szCs w:val="21"/>
          <w:highlight w:val="none"/>
        </w:rPr>
      </w:pPr>
      <w:r>
        <w:rPr>
          <w:rFonts w:hint="eastAsia"/>
          <w:color w:val="auto"/>
          <w:szCs w:val="21"/>
          <w:highlight w:val="none"/>
        </w:rPr>
        <w:t>17.3、卖方收到买方的索赔通知后，如果三十天内不答复，应视为卖方同意买方提出的一切索赔。</w:t>
      </w:r>
    </w:p>
    <w:p>
      <w:pPr>
        <w:spacing w:line="300" w:lineRule="exact"/>
        <w:rPr>
          <w:color w:val="auto"/>
          <w:szCs w:val="21"/>
          <w:highlight w:val="none"/>
        </w:rPr>
      </w:pPr>
      <w:r>
        <w:rPr>
          <w:rFonts w:hint="eastAsia"/>
          <w:color w:val="auto"/>
          <w:szCs w:val="21"/>
          <w:highlight w:val="none"/>
        </w:rPr>
        <w:t>Any and all claims shall be regarded as accepted if the Seller fails to reply within 30 days after receipt of the Buyer’s claim.</w:t>
      </w:r>
    </w:p>
    <w:p>
      <w:pPr>
        <w:spacing w:line="300" w:lineRule="exact"/>
        <w:rPr>
          <w:color w:val="auto"/>
          <w:szCs w:val="21"/>
          <w:highlight w:val="none"/>
        </w:rPr>
      </w:pPr>
    </w:p>
    <w:p>
      <w:pPr>
        <w:spacing w:line="300" w:lineRule="exact"/>
        <w:rPr>
          <w:color w:val="auto"/>
          <w:szCs w:val="21"/>
          <w:highlight w:val="none"/>
        </w:rPr>
      </w:pPr>
      <w:r>
        <w:rPr>
          <w:rFonts w:hint="eastAsia"/>
          <w:color w:val="auto"/>
          <w:szCs w:val="21"/>
          <w:highlight w:val="none"/>
        </w:rPr>
        <w:t>18、索赔解决办法：SETTELMENT OF CLAIMS:</w:t>
      </w:r>
    </w:p>
    <w:p>
      <w:pPr>
        <w:spacing w:line="300" w:lineRule="exact"/>
        <w:rPr>
          <w:color w:val="auto"/>
          <w:szCs w:val="21"/>
          <w:highlight w:val="none"/>
        </w:rPr>
      </w:pPr>
      <w:r>
        <w:rPr>
          <w:rFonts w:hint="eastAsia"/>
          <w:color w:val="auto"/>
          <w:szCs w:val="21"/>
          <w:highlight w:val="none"/>
        </w:rPr>
        <w:t>如货物不符合本合同规定应由卖方负责。同时，买方按照本合同第</w:t>
      </w:r>
      <w:r>
        <w:rPr>
          <w:rFonts w:hint="eastAsia"/>
          <w:b/>
          <w:bCs/>
          <w:color w:val="auto"/>
          <w:szCs w:val="21"/>
          <w:highlight w:val="none"/>
        </w:rPr>
        <w:t>16</w:t>
      </w:r>
      <w:r>
        <w:rPr>
          <w:rFonts w:hint="eastAsia"/>
          <w:color w:val="auto"/>
          <w:szCs w:val="21"/>
          <w:highlight w:val="none"/>
        </w:rPr>
        <w:t>条和第</w:t>
      </w:r>
      <w:r>
        <w:rPr>
          <w:rFonts w:hint="eastAsia"/>
          <w:b/>
          <w:bCs/>
          <w:color w:val="auto"/>
          <w:szCs w:val="21"/>
          <w:highlight w:val="none"/>
        </w:rPr>
        <w:t>17</w:t>
      </w:r>
      <w:r>
        <w:rPr>
          <w:rFonts w:hint="eastAsia"/>
          <w:color w:val="auto"/>
          <w:szCs w:val="21"/>
          <w:highlight w:val="none"/>
        </w:rPr>
        <w:t>条的规定在索赔期限或质量保证期限内提出索赔，卖方在取得买方同意后，应按下列方式理赔：</w:t>
      </w:r>
    </w:p>
    <w:p>
      <w:pPr>
        <w:spacing w:line="300" w:lineRule="exact"/>
        <w:rPr>
          <w:color w:val="auto"/>
          <w:szCs w:val="21"/>
          <w:highlight w:val="none"/>
        </w:rPr>
      </w:pPr>
      <w:r>
        <w:rPr>
          <w:rFonts w:hint="eastAsia"/>
          <w:color w:val="auto"/>
          <w:szCs w:val="21"/>
          <w:highlight w:val="none"/>
        </w:rPr>
        <w:t>In case the Seller are liable for the discrepancies and a claim is made by the Buyer within the period of claim or quality guarantee period as stipulated in Clause 16 and 17 of this Contract, the Seller shall settle the claim upon the agreement of the Buyer in the following ways:</w:t>
      </w:r>
    </w:p>
    <w:p>
      <w:pPr>
        <w:spacing w:line="300" w:lineRule="exact"/>
        <w:rPr>
          <w:color w:val="auto"/>
          <w:szCs w:val="21"/>
          <w:highlight w:val="none"/>
        </w:rPr>
      </w:pPr>
      <w:r>
        <w:rPr>
          <w:rFonts w:hint="eastAsia"/>
          <w:color w:val="auto"/>
          <w:szCs w:val="21"/>
          <w:highlight w:val="none"/>
        </w:rPr>
        <w:t>18.1、同意买方退货，并将退货金额以成交币种偿还买方，并负担因退货而发生的一切直接损失和费用，包括利息、银行费用、运费、保险费、商检费、仓租费、码头装卸费以及为保管退货而发生的一切其他必要费用。</w:t>
      </w:r>
    </w:p>
    <w:p>
      <w:pPr>
        <w:spacing w:line="300" w:lineRule="exact"/>
        <w:rPr>
          <w:color w:val="auto"/>
          <w:szCs w:val="21"/>
          <w:highlight w:val="none"/>
        </w:rPr>
      </w:pPr>
      <w:r>
        <w:rPr>
          <w:rFonts w:hint="eastAsia"/>
          <w:color w:val="auto"/>
          <w:szCs w:val="21"/>
          <w:highlight w:val="none"/>
        </w:rPr>
        <w:t>Agree to the rejection of the goods and refund to the Buyer the value of the goods so rejected in the same currency as contracted herein, and to bear all direct losses and expenses in connection therewith including interest accrued, banking charges, freight, insurance premium, inspection charges, storage, stevedore charges and all other necessary expenses required for the custody and protection of the rejected goods.</w:t>
      </w:r>
    </w:p>
    <w:p>
      <w:pPr>
        <w:spacing w:line="300" w:lineRule="exact"/>
        <w:rPr>
          <w:color w:val="auto"/>
          <w:szCs w:val="21"/>
          <w:highlight w:val="none"/>
        </w:rPr>
      </w:pPr>
      <w:r>
        <w:rPr>
          <w:rFonts w:hint="eastAsia"/>
          <w:color w:val="auto"/>
          <w:szCs w:val="21"/>
          <w:highlight w:val="none"/>
        </w:rPr>
        <w:t>18.2、按照货物的疵劣程度，损坏的范围和买方所遭受的损失，将货物贬值。</w:t>
      </w:r>
    </w:p>
    <w:p>
      <w:pPr>
        <w:spacing w:line="300" w:lineRule="exact"/>
        <w:rPr>
          <w:color w:val="auto"/>
          <w:szCs w:val="21"/>
          <w:highlight w:val="none"/>
        </w:rPr>
      </w:pPr>
      <w:r>
        <w:rPr>
          <w:rFonts w:hint="eastAsia"/>
          <w:color w:val="auto"/>
          <w:szCs w:val="21"/>
          <w:highlight w:val="none"/>
        </w:rPr>
        <w:t>Devaluate the goods according to the degree of inferiority, extent of damage and amount of losses suffered by the Buyer.</w:t>
      </w:r>
    </w:p>
    <w:p>
      <w:pPr>
        <w:spacing w:line="300" w:lineRule="exact"/>
        <w:rPr>
          <w:color w:val="auto"/>
          <w:szCs w:val="21"/>
          <w:highlight w:val="none"/>
        </w:rPr>
      </w:pPr>
      <w:r>
        <w:rPr>
          <w:rFonts w:hint="eastAsia"/>
          <w:color w:val="auto"/>
          <w:szCs w:val="21"/>
          <w:highlight w:val="none"/>
        </w:rPr>
        <w:t>18.3、调换有瑕疵的货物。换货必须全新并符合本合同规定的规格、质量和性能。卖方并负担因此产生的一切费用和买方遭受的一切直接损失。对换货的质量，卖方仍应按本合同第</w:t>
      </w:r>
      <w:r>
        <w:rPr>
          <w:rFonts w:hint="eastAsia"/>
          <w:b/>
          <w:bCs/>
          <w:color w:val="auto"/>
          <w:szCs w:val="21"/>
          <w:highlight w:val="none"/>
        </w:rPr>
        <w:t>16</w:t>
      </w:r>
      <w:r>
        <w:rPr>
          <w:rFonts w:hint="eastAsia"/>
          <w:color w:val="auto"/>
          <w:szCs w:val="21"/>
          <w:highlight w:val="none"/>
        </w:rPr>
        <w:t>条的决定，质保期保证自更换后XX年内。</w:t>
      </w:r>
    </w:p>
    <w:p>
      <w:pPr>
        <w:spacing w:line="300" w:lineRule="exact"/>
        <w:rPr>
          <w:color w:val="auto"/>
          <w:szCs w:val="21"/>
          <w:highlight w:val="none"/>
        </w:rPr>
      </w:pPr>
      <w:r>
        <w:rPr>
          <w:rFonts w:hint="eastAsia"/>
          <w:color w:val="auto"/>
          <w:szCs w:val="21"/>
          <w:highlight w:val="none"/>
        </w:rPr>
        <w:t>Replace the defective goods with new ones which conform to the specifications, quality and performance as stipulated in this Contract, and bear all expenses incurred to and direct losses sustained by the Buyer. The Seller shall, at the same time, guarantee the quality of the replacement goods for a further period of XX years after the date of replacement as specified in Clause 16 of this Contract.</w:t>
      </w:r>
    </w:p>
    <w:p>
      <w:pPr>
        <w:spacing w:line="300" w:lineRule="exact"/>
        <w:rPr>
          <w:color w:val="auto"/>
          <w:szCs w:val="21"/>
          <w:highlight w:val="none"/>
        </w:rPr>
      </w:pPr>
    </w:p>
    <w:p>
      <w:pPr>
        <w:spacing w:line="300" w:lineRule="exact"/>
        <w:rPr>
          <w:color w:val="auto"/>
          <w:szCs w:val="21"/>
          <w:highlight w:val="none"/>
        </w:rPr>
      </w:pPr>
      <w:r>
        <w:rPr>
          <w:rFonts w:hint="eastAsia"/>
          <w:color w:val="auto"/>
          <w:szCs w:val="21"/>
          <w:highlight w:val="none"/>
        </w:rPr>
        <w:t>19、人力不可抗拒事故：FORCE MAJEURE:</w:t>
      </w:r>
    </w:p>
    <w:p>
      <w:pPr>
        <w:spacing w:line="300" w:lineRule="exact"/>
        <w:rPr>
          <w:color w:val="auto"/>
          <w:szCs w:val="21"/>
          <w:highlight w:val="none"/>
        </w:rPr>
      </w:pPr>
      <w:r>
        <w:rPr>
          <w:rFonts w:hint="eastAsia"/>
          <w:color w:val="auto"/>
          <w:szCs w:val="21"/>
          <w:highlight w:val="none"/>
        </w:rPr>
        <w:tab/>
      </w:r>
      <w:r>
        <w:rPr>
          <w:rFonts w:hint="eastAsia"/>
          <w:color w:val="auto"/>
          <w:szCs w:val="21"/>
          <w:highlight w:val="none"/>
        </w:rPr>
        <w:t>由于人力不可抗拒事故，而卖方交货迟延或不能交货时，责任不在卖方。但卖方应立即将事故通知买方，并于事故发生后十四天内将事故发生地政府主管机关出给的事故证明书用空邮寄交买方为证，并取得买方认可。在上述情况下，卖方仍负有采取一切必要措施从速交货的责任。如果事故持续超过十星期，买方有权撤销本合同。</w:t>
      </w:r>
    </w:p>
    <w:p>
      <w:pPr>
        <w:spacing w:line="300" w:lineRule="exact"/>
        <w:rPr>
          <w:color w:val="auto"/>
          <w:szCs w:val="21"/>
          <w:highlight w:val="none"/>
        </w:rPr>
      </w:pPr>
      <w:r>
        <w:rPr>
          <w:rFonts w:hint="eastAsia"/>
          <w:color w:val="auto"/>
          <w:szCs w:val="21"/>
          <w:highlight w:val="none"/>
        </w:rPr>
        <w:t>The Seller shall not be held responsible for any delay in delivery or nondelivery of the goods due to Force Majeure. However, the Seller shall advise the Buyer immediately of such occurrence and within fourteen days thereafter shall send by airmail to the Buyer for their acceptance a certificate issued by the competent government authorities of the place where the accident occurs as evidence thereof. Under such circumstances the Seller, however, are still under the obligation to take all necessary measures to hasten the delivery of the goods. In case the accident lasts for more than ten weeks, the Buyer shall have the right to cancel this Contract.</w:t>
      </w:r>
    </w:p>
    <w:p>
      <w:pPr>
        <w:spacing w:line="300" w:lineRule="exact"/>
        <w:rPr>
          <w:color w:val="auto"/>
          <w:szCs w:val="21"/>
          <w:highlight w:val="none"/>
        </w:rPr>
      </w:pPr>
    </w:p>
    <w:p>
      <w:pPr>
        <w:spacing w:line="300" w:lineRule="exact"/>
        <w:rPr>
          <w:color w:val="auto"/>
          <w:szCs w:val="21"/>
          <w:highlight w:val="none"/>
        </w:rPr>
      </w:pPr>
      <w:r>
        <w:rPr>
          <w:rFonts w:hint="eastAsia"/>
          <w:color w:val="auto"/>
          <w:szCs w:val="21"/>
          <w:highlight w:val="none"/>
        </w:rPr>
        <w:t>20、迟交和罚款：LATE DELIVERY AND PENALTY:</w:t>
      </w:r>
    </w:p>
    <w:p>
      <w:pPr>
        <w:spacing w:line="300" w:lineRule="exact"/>
        <w:rPr>
          <w:color w:val="auto"/>
          <w:szCs w:val="21"/>
          <w:highlight w:val="none"/>
        </w:rPr>
      </w:pPr>
      <w:r>
        <w:rPr>
          <w:rFonts w:hint="eastAsia"/>
          <w:color w:val="auto"/>
          <w:szCs w:val="21"/>
          <w:highlight w:val="none"/>
        </w:rPr>
        <w:tab/>
      </w:r>
      <w:r>
        <w:rPr>
          <w:rFonts w:hint="eastAsia"/>
          <w:color w:val="auto"/>
          <w:szCs w:val="21"/>
          <w:highlight w:val="none"/>
        </w:rPr>
        <w:t>如延迟交货除人力不可抗拒事故外，卖方应付给买方每一星期按迟交货物总值的0.5％的迟交罚款，不足一星期的迟交日数作为一星期计算，此项罚款总额不超过全部货物总值的5％，在议付货款时由银行代为扣除，或由买方在付款时 进行扣除。如延迟交货超过原定期限十星期时，买方有权终止本合同。但卖方仍然应向买方缴付以上规定之罚款，不得推诿或迟延。</w:t>
      </w:r>
    </w:p>
    <w:p>
      <w:pPr>
        <w:spacing w:line="300" w:lineRule="exact"/>
        <w:rPr>
          <w:color w:val="auto"/>
          <w:szCs w:val="21"/>
          <w:highlight w:val="none"/>
        </w:rPr>
      </w:pPr>
      <w:r>
        <w:rPr>
          <w:rFonts w:hint="eastAsia"/>
          <w:color w:val="auto"/>
          <w:szCs w:val="21"/>
          <w:highlight w:val="none"/>
        </w:rPr>
        <w:tab/>
      </w:r>
      <w:r>
        <w:rPr>
          <w:rFonts w:hint="eastAsia"/>
          <w:color w:val="auto"/>
          <w:szCs w:val="21"/>
          <w:highlight w:val="none"/>
        </w:rPr>
        <w:t>In case of delayed delivery, except for force majeure cases, the Seller shall pay to the Buyer for every week of delay a penalty amounting to 0.5% of the total value of the goods whose delivery has been delayed. Any fractional part of a week is to be considered a full week. The total amount of penalty shall not, however, exceed 5% of the total value of the goods involved in late delivery and is to be deducted from the amount due to the Seller by the paying bank at the time of negotiation, or by the Buyer direct at the time of payment. In case the period of delay exceeds 10 weeks after the stipulated delivery date the Buyers have the right to terminate this Contract but the Sellers shall not thereby be exempted from the payment of penalty.</w:t>
      </w:r>
    </w:p>
    <w:p>
      <w:pPr>
        <w:spacing w:line="300" w:lineRule="exact"/>
        <w:rPr>
          <w:color w:val="auto"/>
          <w:szCs w:val="21"/>
          <w:highlight w:val="none"/>
        </w:rPr>
      </w:pPr>
    </w:p>
    <w:p>
      <w:pPr>
        <w:spacing w:line="300" w:lineRule="exact"/>
        <w:rPr>
          <w:color w:val="auto"/>
          <w:szCs w:val="21"/>
          <w:highlight w:val="none"/>
        </w:rPr>
      </w:pPr>
      <w:r>
        <w:rPr>
          <w:rFonts w:hint="eastAsia"/>
          <w:color w:val="auto"/>
          <w:szCs w:val="21"/>
          <w:highlight w:val="none"/>
        </w:rPr>
        <w:t>21、仲裁：ARBITRATION:</w:t>
      </w:r>
    </w:p>
    <w:p>
      <w:pPr>
        <w:spacing w:line="300" w:lineRule="exact"/>
        <w:rPr>
          <w:color w:val="auto"/>
          <w:szCs w:val="21"/>
          <w:highlight w:val="none"/>
        </w:rPr>
      </w:pPr>
      <w:r>
        <w:rPr>
          <w:rFonts w:hint="eastAsia"/>
          <w:color w:val="auto"/>
          <w:szCs w:val="21"/>
          <w:highlight w:val="none"/>
        </w:rPr>
        <w:tab/>
      </w:r>
      <w:r>
        <w:rPr>
          <w:rFonts w:hint="eastAsia"/>
          <w:color w:val="auto"/>
          <w:szCs w:val="21"/>
          <w:highlight w:val="none"/>
        </w:rPr>
        <w:t>凡是有关本合同或执行本合同而发生的一切争议，应通过友好协商解决。如不能解决，则应申请中国国际贸易促进委员会对外贸易仲裁委员会按照中国国际贸易促进委员会对外贸易仲裁委员会规定的仲裁程序暂行规定在上海进行仲裁。该仲裁委员会做出的裁决是最终的，买卖双方均受其约束，任何一方不得向其他机关申请变更。仲裁费用由败诉一方负担。</w:t>
      </w:r>
    </w:p>
    <w:p>
      <w:pPr>
        <w:spacing w:line="300" w:lineRule="exact"/>
        <w:rPr>
          <w:color w:val="auto"/>
          <w:szCs w:val="21"/>
          <w:highlight w:val="none"/>
        </w:rPr>
      </w:pPr>
      <w:r>
        <w:rPr>
          <w:rFonts w:hint="eastAsia"/>
          <w:color w:val="auto"/>
          <w:szCs w:val="21"/>
          <w:highlight w:val="none"/>
        </w:rPr>
        <w:tab/>
      </w:r>
      <w:r>
        <w:rPr>
          <w:rFonts w:hint="eastAsia"/>
          <w:color w:val="auto"/>
          <w:szCs w:val="21"/>
          <w:highlight w:val="none"/>
        </w:rPr>
        <w:t>All disputes in connection with this Contract or the execution thereof shall be settled through friendly negotiations. In case no settlement can be reached through negotiations, the case should then be submitted for arbitration to the Foreign Trade Arbitration Commission of the China Council for the Promotion of International Trade, Shanghai, in accordance with the “Provisional Rules of Procedure of the Foreign Trade Arbitration commission of the China Council for the Promotion of International Trade”. The arbitration shall take place in Shanghai and the decision rendered by the said commission shall be final and binding upon both parties; neither party shall seek recourse to a law court or other authorities for revising the decision. The arbitration shall be borne by the losing part.</w:t>
      </w:r>
    </w:p>
    <w:p>
      <w:pPr>
        <w:spacing w:line="300" w:lineRule="exact"/>
        <w:rPr>
          <w:color w:val="auto"/>
          <w:szCs w:val="21"/>
          <w:highlight w:val="none"/>
        </w:rPr>
      </w:pPr>
    </w:p>
    <w:p>
      <w:pPr>
        <w:pStyle w:val="405"/>
        <w:numPr>
          <w:ilvl w:val="0"/>
          <w:numId w:val="3"/>
        </w:numPr>
        <w:spacing w:line="300" w:lineRule="exact"/>
        <w:ind w:firstLineChars="0"/>
        <w:rPr>
          <w:rFonts w:ascii="Times New Roman" w:hAnsi="Times New Roman"/>
          <w:color w:val="auto"/>
          <w:kern w:val="2"/>
          <w:sz w:val="21"/>
          <w:szCs w:val="21"/>
          <w:highlight w:val="none"/>
        </w:rPr>
      </w:pPr>
      <w:r>
        <w:rPr>
          <w:rFonts w:hint="eastAsia" w:ascii="Times New Roman" w:hAnsi="Times New Roman"/>
          <w:color w:val="auto"/>
          <w:kern w:val="2"/>
          <w:sz w:val="21"/>
          <w:szCs w:val="21"/>
          <w:highlight w:val="none"/>
        </w:rPr>
        <w:t>适用法律：APPLICABLE LAW:</w:t>
      </w:r>
    </w:p>
    <w:p>
      <w:pPr>
        <w:spacing w:line="300" w:lineRule="exact"/>
        <w:rPr>
          <w:color w:val="auto"/>
          <w:szCs w:val="21"/>
          <w:highlight w:val="none"/>
        </w:rPr>
      </w:pPr>
      <w:r>
        <w:rPr>
          <w:color w:val="auto"/>
          <w:szCs w:val="21"/>
          <w:highlight w:val="none"/>
        </w:rPr>
        <w:t>本合同</w:t>
      </w:r>
      <w:r>
        <w:rPr>
          <w:rFonts w:hint="eastAsia"/>
          <w:b/>
          <w:bCs/>
          <w:color w:val="auto"/>
          <w:szCs w:val="21"/>
          <w:highlight w:val="none"/>
        </w:rPr>
        <w:t>受中华人民共和国法律</w:t>
      </w:r>
      <w:r>
        <w:rPr>
          <w:b/>
          <w:bCs/>
          <w:color w:val="auto"/>
          <w:szCs w:val="21"/>
          <w:highlight w:val="none"/>
        </w:rPr>
        <w:t>的</w:t>
      </w:r>
      <w:r>
        <w:rPr>
          <w:rFonts w:hint="eastAsia"/>
          <w:b/>
          <w:bCs/>
          <w:color w:val="auto"/>
          <w:szCs w:val="21"/>
          <w:highlight w:val="none"/>
        </w:rPr>
        <w:t>管辖和保护，其</w:t>
      </w:r>
      <w:r>
        <w:rPr>
          <w:color w:val="auto"/>
          <w:szCs w:val="21"/>
          <w:highlight w:val="none"/>
        </w:rPr>
        <w:t>解释</w:t>
      </w:r>
      <w:r>
        <w:rPr>
          <w:rFonts w:hint="eastAsia"/>
          <w:b/>
          <w:bCs/>
          <w:color w:val="auto"/>
          <w:szCs w:val="21"/>
          <w:highlight w:val="none"/>
        </w:rPr>
        <w:t>也</w:t>
      </w:r>
      <w:r>
        <w:rPr>
          <w:color w:val="auto"/>
          <w:szCs w:val="21"/>
          <w:highlight w:val="none"/>
        </w:rPr>
        <w:t>应受中华人民共和国法律的制约。</w:t>
      </w:r>
    </w:p>
    <w:p>
      <w:pPr>
        <w:spacing w:line="300" w:lineRule="exact"/>
        <w:rPr>
          <w:color w:val="auto"/>
          <w:szCs w:val="21"/>
          <w:highlight w:val="none"/>
        </w:rPr>
      </w:pPr>
      <w:r>
        <w:rPr>
          <w:rFonts w:hint="eastAsia"/>
          <w:color w:val="auto"/>
          <w:szCs w:val="21"/>
          <w:highlight w:val="none"/>
        </w:rPr>
        <w:t xml:space="preserve">This </w:t>
      </w:r>
      <w:r>
        <w:rPr>
          <w:color w:val="auto"/>
          <w:szCs w:val="21"/>
          <w:highlight w:val="none"/>
        </w:rPr>
        <w:t>C</w:t>
      </w:r>
      <w:r>
        <w:rPr>
          <w:rFonts w:hint="eastAsia"/>
          <w:color w:val="auto"/>
          <w:szCs w:val="21"/>
          <w:highlight w:val="none"/>
        </w:rPr>
        <w:t>ontract shall be governed and protected by the laws of the People's Republic of China, and its interpretation shall also be subject to the laws of the People's Republic of China.</w:t>
      </w:r>
    </w:p>
    <w:p>
      <w:pPr>
        <w:spacing w:line="300" w:lineRule="exact"/>
        <w:rPr>
          <w:color w:val="auto"/>
          <w:szCs w:val="21"/>
          <w:highlight w:val="none"/>
        </w:rPr>
      </w:pPr>
    </w:p>
    <w:p>
      <w:pPr>
        <w:spacing w:line="300" w:lineRule="exact"/>
        <w:rPr>
          <w:color w:val="auto"/>
          <w:szCs w:val="21"/>
          <w:highlight w:val="none"/>
        </w:rPr>
      </w:pPr>
      <w:r>
        <w:rPr>
          <w:rFonts w:hint="eastAsia"/>
          <w:color w:val="auto"/>
          <w:szCs w:val="21"/>
          <w:highlight w:val="none"/>
        </w:rPr>
        <w:t>23、</w:t>
      </w:r>
      <w:r>
        <w:rPr>
          <w:color w:val="auto"/>
          <w:szCs w:val="21"/>
          <w:highlight w:val="none"/>
        </w:rPr>
        <w:t>合同语言: Language of contract:</w:t>
      </w:r>
    </w:p>
    <w:p>
      <w:pPr>
        <w:spacing w:line="300" w:lineRule="exact"/>
        <w:rPr>
          <w:color w:val="auto"/>
          <w:szCs w:val="21"/>
          <w:highlight w:val="none"/>
        </w:rPr>
      </w:pPr>
      <w:r>
        <w:rPr>
          <w:color w:val="auto"/>
          <w:szCs w:val="21"/>
          <w:highlight w:val="none"/>
        </w:rPr>
        <w:t>本合同以中-英文对照，解释以中文为准。</w:t>
      </w:r>
    </w:p>
    <w:p>
      <w:pPr>
        <w:spacing w:line="300" w:lineRule="exact"/>
        <w:rPr>
          <w:color w:val="auto"/>
          <w:szCs w:val="21"/>
          <w:highlight w:val="none"/>
        </w:rPr>
      </w:pPr>
      <w:r>
        <w:rPr>
          <w:color w:val="auto"/>
          <w:szCs w:val="21"/>
          <w:highlight w:val="none"/>
        </w:rPr>
        <w:t>The Contract is made in Chinese-English version, and shall be interpreted in Chinese.</w:t>
      </w:r>
    </w:p>
    <w:p>
      <w:pPr>
        <w:spacing w:line="300" w:lineRule="exact"/>
        <w:rPr>
          <w:color w:val="auto"/>
          <w:szCs w:val="21"/>
          <w:highlight w:val="none"/>
        </w:rPr>
      </w:pPr>
    </w:p>
    <w:p>
      <w:pPr>
        <w:spacing w:line="300" w:lineRule="exact"/>
        <w:rPr>
          <w:color w:val="auto"/>
          <w:szCs w:val="21"/>
          <w:highlight w:val="none"/>
        </w:rPr>
      </w:pPr>
      <w:r>
        <w:rPr>
          <w:rFonts w:hint="eastAsia"/>
          <w:color w:val="auto"/>
          <w:szCs w:val="21"/>
          <w:highlight w:val="none"/>
        </w:rPr>
        <w:t>24、</w:t>
      </w:r>
      <w:r>
        <w:rPr>
          <w:color w:val="auto"/>
          <w:szCs w:val="21"/>
          <w:highlight w:val="none"/>
        </w:rPr>
        <w:t>附注：REMARKS</w:t>
      </w:r>
      <w:r>
        <w:rPr>
          <w:rFonts w:hint="eastAsia"/>
          <w:color w:val="auto"/>
          <w:szCs w:val="21"/>
          <w:highlight w:val="none"/>
        </w:rPr>
        <w:t>:</w:t>
      </w:r>
    </w:p>
    <w:p>
      <w:pPr>
        <w:spacing w:line="300" w:lineRule="exact"/>
        <w:rPr>
          <w:color w:val="auto"/>
          <w:szCs w:val="21"/>
          <w:highlight w:val="none"/>
        </w:rPr>
      </w:pPr>
      <w:r>
        <w:rPr>
          <w:color w:val="auto"/>
          <w:szCs w:val="21"/>
          <w:highlight w:val="none"/>
        </w:rPr>
        <w:t>本合同一式</w:t>
      </w:r>
      <w:r>
        <w:rPr>
          <w:rFonts w:hint="eastAsia"/>
          <w:color w:val="auto"/>
          <w:szCs w:val="21"/>
          <w:highlight w:val="none"/>
        </w:rPr>
        <w:t>陆</w:t>
      </w:r>
      <w:r>
        <w:rPr>
          <w:color w:val="auto"/>
          <w:szCs w:val="21"/>
          <w:highlight w:val="none"/>
        </w:rPr>
        <w:t>份，买卖双方</w:t>
      </w:r>
      <w:r>
        <w:rPr>
          <w:rFonts w:hint="eastAsia"/>
          <w:color w:val="auto"/>
          <w:szCs w:val="21"/>
          <w:highlight w:val="none"/>
        </w:rPr>
        <w:t>中标商</w:t>
      </w:r>
      <w:r>
        <w:rPr>
          <w:color w:val="auto"/>
          <w:szCs w:val="21"/>
          <w:highlight w:val="none"/>
        </w:rPr>
        <w:t>各执一份, 最终用户执三份为凭证。</w:t>
      </w:r>
    </w:p>
    <w:p>
      <w:pPr>
        <w:spacing w:line="300" w:lineRule="exact"/>
        <w:rPr>
          <w:color w:val="auto"/>
          <w:szCs w:val="21"/>
          <w:highlight w:val="none"/>
        </w:rPr>
      </w:pPr>
      <w:r>
        <w:rPr>
          <w:color w:val="auto"/>
          <w:szCs w:val="21"/>
          <w:highlight w:val="none"/>
        </w:rPr>
        <w:t xml:space="preserve">This Contract is made out in six original copies, one copy to be held by each party and the end-user to be held by </w:t>
      </w:r>
      <w:r>
        <w:rPr>
          <w:rFonts w:hint="eastAsia"/>
          <w:color w:val="auto"/>
          <w:szCs w:val="21"/>
          <w:highlight w:val="none"/>
        </w:rPr>
        <w:t>three</w:t>
      </w:r>
      <w:r>
        <w:rPr>
          <w:color w:val="auto"/>
          <w:szCs w:val="21"/>
          <w:highlight w:val="none"/>
        </w:rPr>
        <w:t xml:space="preserve"> copies in witness thereof.</w:t>
      </w:r>
    </w:p>
    <w:p>
      <w:pPr>
        <w:spacing w:line="300" w:lineRule="exact"/>
        <w:rPr>
          <w:color w:val="auto"/>
          <w:szCs w:val="21"/>
          <w:highlight w:val="none"/>
        </w:rPr>
      </w:pPr>
    </w:p>
    <w:p>
      <w:pPr>
        <w:spacing w:line="300" w:lineRule="exact"/>
        <w:rPr>
          <w:color w:val="auto"/>
          <w:szCs w:val="21"/>
          <w:highlight w:val="none"/>
        </w:rPr>
      </w:pPr>
      <w:r>
        <w:rPr>
          <w:rFonts w:hint="eastAsia"/>
          <w:color w:val="auto"/>
          <w:szCs w:val="21"/>
          <w:highlight w:val="none"/>
        </w:rPr>
        <w:t>25、</w:t>
      </w:r>
      <w:r>
        <w:rPr>
          <w:color w:val="auto"/>
          <w:szCs w:val="21"/>
          <w:highlight w:val="none"/>
        </w:rPr>
        <w:t xml:space="preserve">特殊条款：SPECIAL PROVISIONS:     </w:t>
      </w:r>
    </w:p>
    <w:p>
      <w:pPr>
        <w:autoSpaceDE w:val="0"/>
        <w:autoSpaceDN w:val="0"/>
        <w:adjustRightInd w:val="0"/>
        <w:spacing w:line="300" w:lineRule="exact"/>
        <w:rPr>
          <w:color w:val="auto"/>
          <w:kern w:val="0"/>
          <w:szCs w:val="21"/>
          <w:highlight w:val="none"/>
        </w:rPr>
      </w:pPr>
      <w:r>
        <w:rPr>
          <w:color w:val="auto"/>
          <w:szCs w:val="21"/>
          <w:highlight w:val="none"/>
        </w:rPr>
        <w:t>2</w:t>
      </w:r>
      <w:r>
        <w:rPr>
          <w:rFonts w:hint="eastAsia"/>
          <w:color w:val="auto"/>
          <w:szCs w:val="21"/>
          <w:highlight w:val="none"/>
        </w:rPr>
        <w:t>5</w:t>
      </w:r>
      <w:r>
        <w:rPr>
          <w:color w:val="auto"/>
          <w:szCs w:val="21"/>
          <w:highlight w:val="none"/>
        </w:rPr>
        <w:t>.1.投标书（采购编号：</w:t>
      </w:r>
      <w:r>
        <w:rPr>
          <w:rFonts w:hint="eastAsia"/>
          <w:color w:val="auto"/>
          <w:szCs w:val="21"/>
          <w:highlight w:val="none"/>
        </w:rPr>
        <w:t>XXX</w:t>
      </w:r>
      <w:r>
        <w:rPr>
          <w:color w:val="auto"/>
          <w:szCs w:val="21"/>
          <w:highlight w:val="none"/>
        </w:rPr>
        <w:t>）及招标现场书面承诺均作为合同附件内容，与本合同具同等法律效应。</w:t>
      </w:r>
    </w:p>
    <w:p>
      <w:pPr>
        <w:autoSpaceDE w:val="0"/>
        <w:autoSpaceDN w:val="0"/>
        <w:adjustRightInd w:val="0"/>
        <w:spacing w:line="300" w:lineRule="exact"/>
        <w:rPr>
          <w:color w:val="auto"/>
          <w:szCs w:val="21"/>
          <w:highlight w:val="none"/>
        </w:rPr>
      </w:pPr>
      <w:r>
        <w:rPr>
          <w:color w:val="auto"/>
          <w:szCs w:val="21"/>
          <w:highlight w:val="none"/>
        </w:rPr>
        <w:t>The bidding documents (purchasing NO:</w:t>
      </w:r>
      <w:r>
        <w:rPr>
          <w:rFonts w:hint="eastAsia"/>
          <w:color w:val="auto"/>
          <w:szCs w:val="21"/>
          <w:highlight w:val="none"/>
        </w:rPr>
        <w:t>XXX</w:t>
      </w:r>
      <w:r>
        <w:rPr>
          <w:color w:val="auto"/>
          <w:szCs w:val="21"/>
          <w:highlight w:val="none"/>
        </w:rPr>
        <w:t>) and written promises made at the site of the tender company are all regarded as the attachments to the contract.</w:t>
      </w:r>
    </w:p>
    <w:p>
      <w:pPr>
        <w:spacing w:line="300" w:lineRule="exact"/>
        <w:rPr>
          <w:color w:val="auto"/>
          <w:szCs w:val="21"/>
          <w:highlight w:val="none"/>
        </w:rPr>
      </w:pPr>
      <w:r>
        <w:rPr>
          <w:color w:val="auto"/>
          <w:szCs w:val="21"/>
          <w:highlight w:val="none"/>
        </w:rPr>
        <w:t>2</w:t>
      </w:r>
      <w:r>
        <w:rPr>
          <w:rFonts w:hint="eastAsia"/>
          <w:color w:val="auto"/>
          <w:szCs w:val="21"/>
          <w:highlight w:val="none"/>
        </w:rPr>
        <w:t>5</w:t>
      </w:r>
      <w:r>
        <w:rPr>
          <w:color w:val="auto"/>
          <w:szCs w:val="21"/>
          <w:highlight w:val="none"/>
        </w:rPr>
        <w:t>.2.所有的卖方和最终用户的来往电子邮件和传真都将被认为是合同不可分割的部分。</w:t>
      </w:r>
    </w:p>
    <w:p>
      <w:pPr>
        <w:spacing w:line="300" w:lineRule="exact"/>
        <w:rPr>
          <w:color w:val="auto"/>
          <w:szCs w:val="21"/>
          <w:highlight w:val="none"/>
        </w:rPr>
      </w:pPr>
      <w:r>
        <w:rPr>
          <w:color w:val="auto"/>
          <w:szCs w:val="21"/>
          <w:highlight w:val="none"/>
        </w:rPr>
        <w:t xml:space="preserve">Any E-mail and fax by the Sellers and the End Users shall be considered as an integral part of this Contract. </w:t>
      </w:r>
    </w:p>
    <w:p>
      <w:pPr>
        <w:spacing w:line="300" w:lineRule="exact"/>
        <w:rPr>
          <w:color w:val="auto"/>
          <w:szCs w:val="21"/>
          <w:highlight w:val="none"/>
        </w:rPr>
      </w:pPr>
      <w:r>
        <w:rPr>
          <w:color w:val="auto"/>
          <w:szCs w:val="21"/>
          <w:highlight w:val="none"/>
        </w:rPr>
        <w:t>2</w:t>
      </w:r>
      <w:r>
        <w:rPr>
          <w:rFonts w:hint="eastAsia"/>
          <w:color w:val="auto"/>
          <w:szCs w:val="21"/>
          <w:highlight w:val="none"/>
        </w:rPr>
        <w:t>5</w:t>
      </w:r>
      <w:r>
        <w:rPr>
          <w:color w:val="auto"/>
          <w:szCs w:val="21"/>
          <w:highlight w:val="none"/>
        </w:rPr>
        <w:t>.3.卖方应提供产品的税则号（HS编码）及相关免税资料，以便买方办理减免税及各项进关事宜。</w:t>
      </w:r>
    </w:p>
    <w:p>
      <w:pPr>
        <w:spacing w:line="300" w:lineRule="exact"/>
        <w:rPr>
          <w:color w:val="auto"/>
          <w:szCs w:val="21"/>
          <w:highlight w:val="none"/>
        </w:rPr>
      </w:pPr>
      <w:r>
        <w:rPr>
          <w:color w:val="auto"/>
          <w:szCs w:val="21"/>
          <w:highlight w:val="none"/>
        </w:rPr>
        <w:t>Commodity H.S Code and related free-duty documents should be provided by the seller so that buyer could arrange the import free-duty procedure.</w:t>
      </w:r>
    </w:p>
    <w:p>
      <w:pPr>
        <w:spacing w:line="300" w:lineRule="exact"/>
        <w:rPr>
          <w:color w:val="auto"/>
          <w:szCs w:val="21"/>
          <w:highlight w:val="none"/>
        </w:rPr>
      </w:pPr>
      <w:r>
        <w:rPr>
          <w:rFonts w:hint="eastAsia"/>
          <w:color w:val="auto"/>
          <w:szCs w:val="21"/>
          <w:highlight w:val="none"/>
        </w:rPr>
        <w:t>25.4.</w:t>
      </w:r>
      <w:r>
        <w:rPr>
          <w:color w:val="auto"/>
          <w:szCs w:val="21"/>
          <w:highlight w:val="none"/>
        </w:rPr>
        <w:t>若因本项目设备海关不予办理免税，最终用户有权决定是否继续执行本合同。如最终用户决定继续执行本合同，则由最终用户承担设备进口所产生的所有海关税款，如最终用户决定不继续执行本合同，则合同执行自行终止，中标</w:t>
      </w:r>
      <w:r>
        <w:rPr>
          <w:rFonts w:hint="eastAsia"/>
          <w:color w:val="auto"/>
          <w:szCs w:val="21"/>
          <w:highlight w:val="none"/>
        </w:rPr>
        <w:t>商</w:t>
      </w:r>
      <w:r>
        <w:rPr>
          <w:color w:val="auto"/>
          <w:szCs w:val="21"/>
          <w:highlight w:val="none"/>
        </w:rPr>
        <w:t>、买方、卖方、最终用户四方均不视作违约。</w:t>
      </w:r>
    </w:p>
    <w:p>
      <w:pPr>
        <w:spacing w:line="300" w:lineRule="exact"/>
        <w:rPr>
          <w:color w:val="auto"/>
          <w:szCs w:val="21"/>
          <w:highlight w:val="none"/>
        </w:rPr>
      </w:pPr>
      <w:r>
        <w:rPr>
          <w:color w:val="auto"/>
          <w:szCs w:val="21"/>
          <w:highlight w:val="none"/>
        </w:rPr>
        <w:t>If the duty free procedure under this project cannot be approved by the customs office, The End-user have right to decision whether to continue execution of the contract. If The End-user decides to continue the execution of the contract, the end-user will pay customs duties, if the end-user decides not to continue the execution of the contract; this contract will be terminated automatically. The winner of the bid, Buyer, Seller, final end-user will not be charged for any law responsibilities.</w:t>
      </w:r>
    </w:p>
    <w:p>
      <w:pPr>
        <w:spacing w:line="300" w:lineRule="exact"/>
        <w:rPr>
          <w:color w:val="auto"/>
          <w:szCs w:val="21"/>
          <w:highlight w:val="none"/>
        </w:rPr>
      </w:pPr>
      <w:r>
        <w:rPr>
          <w:rFonts w:hint="eastAsia"/>
          <w:color w:val="auto"/>
          <w:szCs w:val="21"/>
          <w:highlight w:val="none"/>
        </w:rPr>
        <w:t>25.5.中标商及卖方若私自将本合同项下以外的其它货物随货一起进关的，一律按国家规定罚没，由此产生的一切经济及法律后果均由中标商及卖方承担。</w:t>
      </w:r>
    </w:p>
    <w:p>
      <w:pPr>
        <w:spacing w:line="300" w:lineRule="exact"/>
        <w:rPr>
          <w:color w:val="auto"/>
          <w:szCs w:val="21"/>
          <w:highlight w:val="none"/>
        </w:rPr>
      </w:pPr>
      <w:r>
        <w:rPr>
          <w:color w:val="auto"/>
          <w:szCs w:val="21"/>
          <w:highlight w:val="none"/>
        </w:rPr>
        <w:t>Got bid company and the seller if privately import the other goods under this contract to the domestic , shall be confiscated, all the economic and legal consequences arising therefrom shall be borne by the Got bid company and the seller.</w:t>
      </w:r>
    </w:p>
    <w:p>
      <w:pPr>
        <w:spacing w:line="300" w:lineRule="exact"/>
        <w:rPr>
          <w:color w:val="auto"/>
          <w:szCs w:val="21"/>
          <w:highlight w:val="none"/>
        </w:rPr>
      </w:pPr>
    </w:p>
    <w:p>
      <w:pPr>
        <w:spacing w:line="300" w:lineRule="exact"/>
        <w:rPr>
          <w:color w:val="auto"/>
          <w:szCs w:val="21"/>
          <w:highlight w:val="none"/>
        </w:rPr>
      </w:pPr>
      <w:r>
        <w:rPr>
          <w:color w:val="auto"/>
          <w:szCs w:val="21"/>
          <w:highlight w:val="none"/>
        </w:rPr>
        <w:t>买方：</w:t>
      </w:r>
    </w:p>
    <w:p>
      <w:pPr>
        <w:spacing w:line="300" w:lineRule="exact"/>
        <w:rPr>
          <w:color w:val="auto"/>
          <w:szCs w:val="21"/>
          <w:highlight w:val="none"/>
        </w:rPr>
      </w:pPr>
      <w:r>
        <w:rPr>
          <w:color w:val="auto"/>
          <w:szCs w:val="21"/>
          <w:highlight w:val="none"/>
        </w:rPr>
        <w:t xml:space="preserve">The Buyer: </w:t>
      </w:r>
    </w:p>
    <w:p>
      <w:pPr>
        <w:spacing w:line="300" w:lineRule="exact"/>
        <w:rPr>
          <w:color w:val="auto"/>
          <w:szCs w:val="21"/>
          <w:highlight w:val="none"/>
        </w:rPr>
      </w:pPr>
    </w:p>
    <w:p>
      <w:pPr>
        <w:spacing w:line="300" w:lineRule="exact"/>
        <w:rPr>
          <w:color w:val="auto"/>
          <w:szCs w:val="21"/>
          <w:highlight w:val="none"/>
        </w:rPr>
      </w:pPr>
    </w:p>
    <w:p>
      <w:pPr>
        <w:spacing w:line="300" w:lineRule="exact"/>
        <w:rPr>
          <w:color w:val="auto"/>
          <w:szCs w:val="21"/>
          <w:highlight w:val="none"/>
        </w:rPr>
      </w:pPr>
      <w:r>
        <w:rPr>
          <w:rFonts w:hint="eastAsia"/>
          <w:color w:val="auto"/>
          <w:szCs w:val="21"/>
          <w:highlight w:val="none"/>
        </w:rPr>
        <w:t>卖方：</w:t>
      </w:r>
    </w:p>
    <w:p>
      <w:pPr>
        <w:spacing w:line="300" w:lineRule="exact"/>
        <w:rPr>
          <w:color w:val="auto"/>
          <w:szCs w:val="21"/>
          <w:highlight w:val="none"/>
        </w:rPr>
      </w:pPr>
      <w:r>
        <w:rPr>
          <w:color w:val="auto"/>
          <w:szCs w:val="21"/>
          <w:highlight w:val="none"/>
        </w:rPr>
        <w:t xml:space="preserve">The </w:t>
      </w:r>
      <w:r>
        <w:rPr>
          <w:rFonts w:hint="eastAsia"/>
          <w:color w:val="auto"/>
          <w:szCs w:val="21"/>
          <w:highlight w:val="none"/>
        </w:rPr>
        <w:t>Seller：</w:t>
      </w:r>
    </w:p>
    <w:p>
      <w:pPr>
        <w:spacing w:line="300" w:lineRule="exact"/>
        <w:rPr>
          <w:color w:val="auto"/>
          <w:szCs w:val="21"/>
          <w:highlight w:val="none"/>
        </w:rPr>
      </w:pPr>
      <w:r>
        <w:rPr>
          <w:rFonts w:hint="eastAsia"/>
          <w:color w:val="auto"/>
          <w:szCs w:val="21"/>
          <w:highlight w:val="none"/>
        </w:rPr>
        <w:tab/>
      </w:r>
    </w:p>
    <w:p>
      <w:pPr>
        <w:spacing w:line="300" w:lineRule="exact"/>
        <w:rPr>
          <w:color w:val="auto"/>
          <w:szCs w:val="21"/>
          <w:highlight w:val="none"/>
        </w:rPr>
      </w:pPr>
    </w:p>
    <w:p>
      <w:pPr>
        <w:spacing w:line="300" w:lineRule="exact"/>
        <w:rPr>
          <w:color w:val="auto"/>
          <w:szCs w:val="21"/>
          <w:highlight w:val="none"/>
        </w:rPr>
      </w:pPr>
    </w:p>
    <w:p>
      <w:pPr>
        <w:tabs>
          <w:tab w:val="left" w:pos="6480"/>
          <w:tab w:val="right" w:pos="8640"/>
        </w:tabs>
        <w:spacing w:after="120"/>
        <w:rPr>
          <w:color w:val="auto"/>
          <w:szCs w:val="21"/>
          <w:highlight w:val="none"/>
        </w:rPr>
      </w:pPr>
      <w:r>
        <w:rPr>
          <w:rFonts w:hint="eastAsia"/>
          <w:color w:val="auto"/>
          <w:szCs w:val="21"/>
          <w:highlight w:val="none"/>
        </w:rPr>
        <w:t>中标商：</w:t>
      </w:r>
    </w:p>
    <w:p>
      <w:pPr>
        <w:tabs>
          <w:tab w:val="left" w:pos="6480"/>
          <w:tab w:val="right" w:pos="8640"/>
        </w:tabs>
        <w:spacing w:after="120"/>
        <w:rPr>
          <w:color w:val="auto"/>
          <w:highlight w:val="none"/>
        </w:rPr>
      </w:pPr>
    </w:p>
    <w:p>
      <w:pPr>
        <w:tabs>
          <w:tab w:val="left" w:pos="6480"/>
          <w:tab w:val="right" w:pos="8640"/>
        </w:tabs>
        <w:spacing w:after="120"/>
        <w:rPr>
          <w:color w:val="auto"/>
          <w:highlight w:val="none"/>
        </w:rPr>
      </w:pPr>
    </w:p>
    <w:p>
      <w:pPr>
        <w:spacing w:line="300" w:lineRule="exact"/>
        <w:rPr>
          <w:color w:val="auto"/>
          <w:szCs w:val="21"/>
          <w:highlight w:val="none"/>
        </w:rPr>
      </w:pPr>
      <w:r>
        <w:rPr>
          <w:color w:val="auto"/>
          <w:szCs w:val="21"/>
          <w:highlight w:val="none"/>
        </w:rPr>
        <w:t xml:space="preserve">最终用户：宁波工程学院 </w:t>
      </w:r>
    </w:p>
    <w:p>
      <w:pPr>
        <w:spacing w:line="300" w:lineRule="exact"/>
        <w:rPr>
          <w:color w:val="auto"/>
          <w:szCs w:val="21"/>
          <w:highlight w:val="none"/>
        </w:rPr>
      </w:pPr>
      <w:r>
        <w:rPr>
          <w:color w:val="auto"/>
          <w:szCs w:val="21"/>
          <w:highlight w:val="none"/>
        </w:rPr>
        <w:t xml:space="preserve">The End-user: Ningbo University of Technology </w:t>
      </w:r>
    </w:p>
    <w:p>
      <w:pPr>
        <w:spacing w:line="300" w:lineRule="exact"/>
        <w:rPr>
          <w:color w:val="auto"/>
          <w:szCs w:val="21"/>
          <w:highlight w:val="none"/>
        </w:rPr>
      </w:pPr>
    </w:p>
    <w:p>
      <w:pPr>
        <w:spacing w:line="300" w:lineRule="exact"/>
        <w:jc w:val="center"/>
        <w:rPr>
          <w:color w:val="auto"/>
          <w:highlight w:val="none"/>
        </w:rPr>
      </w:pPr>
      <w:r>
        <w:rPr>
          <w:rFonts w:hint="eastAsia"/>
          <w:color w:val="auto"/>
          <w:szCs w:val="21"/>
          <w:highlight w:val="none"/>
        </w:rPr>
        <w:t xml:space="preserve">                                                                  XX</w:t>
      </w:r>
      <w:r>
        <w:rPr>
          <w:color w:val="auto"/>
          <w:szCs w:val="21"/>
          <w:highlight w:val="none"/>
        </w:rPr>
        <w:t>年</w:t>
      </w:r>
      <w:r>
        <w:rPr>
          <w:rFonts w:hint="eastAsia"/>
          <w:color w:val="auto"/>
          <w:szCs w:val="21"/>
          <w:highlight w:val="none"/>
        </w:rPr>
        <w:t>X</w:t>
      </w:r>
      <w:r>
        <w:rPr>
          <w:color w:val="auto"/>
          <w:szCs w:val="21"/>
          <w:highlight w:val="none"/>
        </w:rPr>
        <w:t>月</w:t>
      </w:r>
      <w:r>
        <w:rPr>
          <w:rFonts w:hint="eastAsia"/>
          <w:color w:val="auto"/>
          <w:szCs w:val="21"/>
          <w:highlight w:val="none"/>
        </w:rPr>
        <w:t>X</w:t>
      </w:r>
      <w:r>
        <w:rPr>
          <w:color w:val="auto"/>
          <w:szCs w:val="21"/>
          <w:highlight w:val="none"/>
        </w:rPr>
        <w:t>日</w:t>
      </w:r>
    </w:p>
    <w:p>
      <w:pPr>
        <w:snapToGrid w:val="0"/>
        <w:spacing w:line="360" w:lineRule="auto"/>
        <w:ind w:firstLine="480" w:firstLineChars="200"/>
        <w:rPr>
          <w:rFonts w:ascii="宋体" w:hAnsi="宋体"/>
          <w:snapToGrid w:val="0"/>
          <w:color w:val="auto"/>
          <w:sz w:val="24"/>
          <w:highlight w:val="none"/>
        </w:rPr>
      </w:pPr>
    </w:p>
    <w:p>
      <w:pPr>
        <w:pStyle w:val="361"/>
        <w:spacing w:after="120" w:line="360" w:lineRule="auto"/>
        <w:ind w:left="0" w:leftChars="0" w:firstLine="447" w:firstLineChars="213"/>
        <w:rPr>
          <w:rFonts w:cs="宋体" w:asciiTheme="minorEastAsia" w:hAnsiTheme="minorEastAsia" w:eastAsiaTheme="minorEastAsia"/>
          <w:color w:val="auto"/>
          <w:kern w:val="0"/>
          <w:highlight w:val="none"/>
        </w:rPr>
      </w:pPr>
      <w:r>
        <w:rPr>
          <w:rFonts w:cs="宋体" w:asciiTheme="minorEastAsia" w:hAnsiTheme="minorEastAsia" w:eastAsiaTheme="minorEastAsia"/>
          <w:color w:val="auto"/>
          <w:highlight w:val="none"/>
        </w:rPr>
        <w:br w:type="page"/>
      </w:r>
    </w:p>
    <w:p>
      <w:pPr>
        <w:pStyle w:val="4"/>
        <w:ind w:firstLine="482"/>
        <w:rPr>
          <w:rFonts w:asciiTheme="minorEastAsia" w:hAnsiTheme="minorEastAsia" w:eastAsiaTheme="minorEastAsia"/>
          <w:color w:val="auto"/>
          <w:highlight w:val="none"/>
        </w:rPr>
      </w:pPr>
      <w:bookmarkStart w:id="62" w:name="_Toc34844746"/>
      <w:bookmarkStart w:id="63" w:name="_Toc118452538"/>
      <w:r>
        <w:rPr>
          <w:rFonts w:hint="eastAsia" w:asciiTheme="minorEastAsia" w:hAnsiTheme="minorEastAsia" w:eastAsiaTheme="minorEastAsia"/>
          <w:color w:val="auto"/>
          <w:highlight w:val="none"/>
        </w:rPr>
        <w:t>第六章  投标文件格式</w:t>
      </w:r>
      <w:bookmarkEnd w:id="62"/>
      <w:bookmarkEnd w:id="63"/>
    </w:p>
    <w:p>
      <w:pPr>
        <w:snapToGrid w:val="0"/>
        <w:spacing w:line="360" w:lineRule="auto"/>
        <w:ind w:left="-23" w:leftChars="-11" w:right="-214" w:rightChars="-102" w:firstLine="21" w:firstLineChars="10"/>
        <w:jc w:val="left"/>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1.资格要求响应文件的有关格式</w:t>
      </w:r>
    </w:p>
    <w:p>
      <w:pPr>
        <w:pStyle w:val="20"/>
        <w:spacing w:line="360" w:lineRule="auto"/>
        <w:ind w:left="460" w:leftChars="0" w:firstLine="422"/>
        <w:jc w:val="center"/>
        <w:rPr>
          <w:rFonts w:cs="宋体" w:asciiTheme="minorEastAsia" w:hAnsiTheme="minorEastAsia" w:eastAsiaTheme="minorEastAsia"/>
          <w:b/>
          <w:color w:val="auto"/>
          <w:kern w:val="1"/>
          <w:szCs w:val="21"/>
          <w:highlight w:val="none"/>
        </w:rPr>
      </w:pPr>
      <w:r>
        <w:rPr>
          <w:rFonts w:cs="宋体" w:asciiTheme="minorEastAsia" w:hAnsiTheme="minorEastAsia" w:eastAsiaTheme="minorEastAsia"/>
          <w:b/>
          <w:color w:val="auto"/>
          <w:sz w:val="21"/>
          <w:szCs w:val="21"/>
          <w:highlight w:val="none"/>
        </w:rPr>
        <w:t>投标人资格声明函</w:t>
      </w:r>
    </w:p>
    <w:p>
      <w:pPr>
        <w:spacing w:line="360" w:lineRule="auto"/>
        <w:rPr>
          <w:rFonts w:cs="宋体" w:asciiTheme="minorEastAsia" w:hAnsiTheme="minorEastAsia" w:eastAsiaTheme="minorEastAsia"/>
          <w:b/>
          <w:color w:val="auto"/>
          <w:kern w:val="1"/>
          <w:szCs w:val="21"/>
          <w:highlight w:val="none"/>
        </w:rPr>
      </w:pPr>
      <w:r>
        <w:rPr>
          <w:rFonts w:hint="eastAsia" w:asciiTheme="minorEastAsia" w:hAnsiTheme="minorEastAsia" w:eastAsiaTheme="minorEastAsia"/>
          <w:bCs/>
          <w:color w:val="auto"/>
          <w:szCs w:val="21"/>
          <w:highlight w:val="none"/>
        </w:rPr>
        <w:t>致：</w:t>
      </w:r>
      <w:r>
        <w:rPr>
          <w:rFonts w:asciiTheme="minorEastAsia" w:hAnsiTheme="minorEastAsia" w:eastAsiaTheme="minorEastAsia"/>
          <w:color w:val="auto"/>
          <w:szCs w:val="21"/>
          <w:highlight w:val="none"/>
          <w:u w:val="single"/>
        </w:rPr>
        <w:t>宁波工程学院</w:t>
      </w:r>
      <w:r>
        <w:rPr>
          <w:rFonts w:hint="eastAsia" w:asciiTheme="minorEastAsia" w:hAnsiTheme="minorEastAsia" w:eastAsiaTheme="minorEastAsia"/>
          <w:color w:val="auto"/>
          <w:szCs w:val="21"/>
          <w:highlight w:val="none"/>
          <w:u w:val="single"/>
        </w:rPr>
        <w:t>、宁波名诚招标代理有限公司</w:t>
      </w:r>
    </w:p>
    <w:p>
      <w:pPr>
        <w:spacing w:line="360" w:lineRule="auto"/>
        <w:ind w:firstLine="420"/>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我方参与本项目政府采购活动，郑重承诺：</w:t>
      </w:r>
    </w:p>
    <w:p>
      <w:pPr>
        <w:spacing w:line="360" w:lineRule="auto"/>
        <w:ind w:firstLine="420"/>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一、具备《中华人民共和国政府采购法》第二十二条第一款规定的条件：</w:t>
      </w:r>
    </w:p>
    <w:p>
      <w:pPr>
        <w:spacing w:line="360" w:lineRule="auto"/>
        <w:ind w:firstLine="420"/>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1.具有独立承担民事责任的能力；</w:t>
      </w:r>
    </w:p>
    <w:p>
      <w:pPr>
        <w:spacing w:line="360" w:lineRule="auto"/>
        <w:ind w:firstLine="420"/>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2.具有良好的商业信誉和健全的财务会计制度；</w:t>
      </w:r>
    </w:p>
    <w:p>
      <w:pPr>
        <w:spacing w:line="360" w:lineRule="auto"/>
        <w:ind w:firstLine="420"/>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3.具有履行本项目合同所必需的设备和专业技术能力；</w:t>
      </w:r>
    </w:p>
    <w:p>
      <w:pPr>
        <w:spacing w:line="360" w:lineRule="auto"/>
        <w:ind w:firstLine="420"/>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4.有依法缴纳税收和社会保障资金的良好记录；</w:t>
      </w:r>
    </w:p>
    <w:p>
      <w:pPr>
        <w:spacing w:line="360" w:lineRule="auto"/>
        <w:ind w:firstLine="420"/>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5.在参加本次政府采购活动前三年内，在经营活动中没有重大违法记录（没有因违法经营受到刑事处罚或者责令停产停业、吊销许可证或者执照、较大数额罚款等行政处罚）；</w:t>
      </w:r>
    </w:p>
    <w:p>
      <w:pPr>
        <w:spacing w:line="360" w:lineRule="auto"/>
        <w:ind w:firstLine="420"/>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6.具有</w:t>
      </w:r>
      <w:r>
        <w:rPr>
          <w:rFonts w:cs="Arial" w:asciiTheme="minorEastAsia" w:hAnsiTheme="minorEastAsia" w:eastAsiaTheme="minorEastAsia"/>
          <w:color w:val="auto"/>
          <w:szCs w:val="21"/>
          <w:highlight w:val="none"/>
        </w:rPr>
        <w:t>法律、行政法规规定的其他条件</w:t>
      </w:r>
      <w:r>
        <w:rPr>
          <w:rFonts w:hint="eastAsia" w:cs="Arial" w:asciiTheme="minorEastAsia" w:hAnsiTheme="minorEastAsia" w:eastAsiaTheme="minorEastAsia"/>
          <w:color w:val="auto"/>
          <w:szCs w:val="21"/>
          <w:highlight w:val="none"/>
        </w:rPr>
        <w:t>。</w:t>
      </w:r>
    </w:p>
    <w:p>
      <w:pPr>
        <w:spacing w:line="360" w:lineRule="auto"/>
        <w:ind w:firstLine="420"/>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二、未被“信用中国”（www.creditchina.gov.cn)、中国政府采购网（www.ccgp.gov.cn）列入失信被执行人、重大税收违法失信主体、政府采购严重违法失信行为记录名单。</w:t>
      </w:r>
    </w:p>
    <w:p>
      <w:pPr>
        <w:spacing w:line="360" w:lineRule="auto"/>
        <w:ind w:firstLine="420" w:firstLineChars="200"/>
        <w:rPr>
          <w:rFonts w:cs="宋体" w:asciiTheme="minorEastAsia" w:hAnsiTheme="minorEastAsia" w:eastAsiaTheme="minorEastAsia"/>
          <w:color w:val="auto"/>
          <w:szCs w:val="21"/>
          <w:highlight w:val="none"/>
        </w:rPr>
      </w:pPr>
    </w:p>
    <w:p>
      <w:pPr>
        <w:spacing w:line="360" w:lineRule="auto"/>
        <w:ind w:firstLine="420" w:firstLineChars="200"/>
        <w:rPr>
          <w:rFonts w:cs="宋体" w:asciiTheme="minorEastAsia" w:hAnsiTheme="minorEastAsia" w:eastAsiaTheme="minorEastAsia"/>
          <w:color w:val="auto"/>
          <w:szCs w:val="21"/>
          <w:highlight w:val="none"/>
        </w:rPr>
      </w:pPr>
    </w:p>
    <w:p>
      <w:pPr>
        <w:snapToGrid w:val="0"/>
        <w:spacing w:line="360" w:lineRule="auto"/>
        <w:ind w:firstLine="3685" w:firstLineChars="175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w:t>
      </w:r>
      <w:r>
        <w:rPr>
          <w:rFonts w:asciiTheme="minorEastAsia" w:hAnsiTheme="minorEastAsia" w:eastAsiaTheme="minorEastAsia"/>
          <w:color w:val="auto"/>
          <w:szCs w:val="21"/>
          <w:highlight w:val="none"/>
          <w:u w:val="single"/>
        </w:rPr>
        <w:t>___</w:t>
      </w:r>
      <w:r>
        <w:rPr>
          <w:rFonts w:hint="eastAsia" w:asciiTheme="minorEastAsia" w:hAnsiTheme="minorEastAsia" w:eastAsiaTheme="minorEastAsia"/>
          <w:color w:val="auto"/>
          <w:szCs w:val="21"/>
          <w:highlight w:val="none"/>
          <w:u w:val="single"/>
        </w:rPr>
        <w:t xml:space="preserve">    （填写全称并加盖公章)</w:t>
      </w:r>
      <w:r>
        <w:rPr>
          <w:rFonts w:asciiTheme="minorEastAsia" w:hAnsiTheme="minorEastAsia" w:eastAsiaTheme="minorEastAsia"/>
          <w:color w:val="auto"/>
          <w:szCs w:val="21"/>
          <w:highlight w:val="none"/>
          <w:u w:val="single"/>
        </w:rPr>
        <w:t>___________</w:t>
      </w:r>
    </w:p>
    <w:p>
      <w:pPr>
        <w:snapToGrid w:val="0"/>
        <w:spacing w:line="360" w:lineRule="auto"/>
        <w:ind w:firstLine="3685" w:firstLineChars="175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日  期：</w:t>
      </w:r>
    </w:p>
    <w:p>
      <w:pPr>
        <w:snapToGrid w:val="0"/>
        <w:spacing w:line="360" w:lineRule="auto"/>
        <w:ind w:firstLine="3685" w:firstLineChars="1755"/>
        <w:rPr>
          <w:rFonts w:asciiTheme="minorEastAsia" w:hAnsiTheme="minorEastAsia" w:eastAsiaTheme="minorEastAsia"/>
          <w:color w:val="auto"/>
          <w:szCs w:val="21"/>
          <w:highlight w:val="none"/>
        </w:rPr>
      </w:pPr>
    </w:p>
    <w:p>
      <w:pPr>
        <w:widowControl/>
        <w:jc w:val="left"/>
        <w:rPr>
          <w:rFonts w:asciiTheme="minorEastAsia" w:hAnsiTheme="minorEastAsia" w:eastAsiaTheme="minorEastAsia"/>
          <w:color w:val="auto"/>
          <w:szCs w:val="21"/>
          <w:highlight w:val="none"/>
        </w:rPr>
      </w:pPr>
    </w:p>
    <w:p>
      <w:pPr>
        <w:widowControl/>
        <w:jc w:val="left"/>
        <w:rPr>
          <w:rFonts w:asciiTheme="minorEastAsia" w:hAnsiTheme="minorEastAsia" w:eastAsiaTheme="minorEastAsia"/>
          <w:color w:val="auto"/>
          <w:szCs w:val="21"/>
          <w:highlight w:val="none"/>
        </w:rPr>
      </w:pPr>
    </w:p>
    <w:p>
      <w:pPr>
        <w:pStyle w:val="2"/>
        <w:ind w:firstLine="560"/>
        <w:rPr>
          <w:color w:val="auto"/>
          <w:highlight w:val="none"/>
        </w:rPr>
      </w:pPr>
    </w:p>
    <w:p>
      <w:pPr>
        <w:pStyle w:val="3"/>
        <w:ind w:firstLine="280"/>
        <w:rPr>
          <w:color w:val="auto"/>
          <w:highlight w:val="none"/>
        </w:rPr>
      </w:pPr>
    </w:p>
    <w:p>
      <w:pPr>
        <w:rPr>
          <w:color w:val="auto"/>
          <w:highlight w:val="none"/>
        </w:rPr>
      </w:pPr>
    </w:p>
    <w:p>
      <w:pPr>
        <w:pStyle w:val="2"/>
        <w:ind w:firstLine="560"/>
        <w:rPr>
          <w:color w:val="auto"/>
          <w:highlight w:val="none"/>
        </w:rPr>
      </w:pPr>
    </w:p>
    <w:p>
      <w:pPr>
        <w:widowControl/>
        <w:jc w:val="left"/>
        <w:rPr>
          <w:rFonts w:asciiTheme="minorEastAsia" w:hAnsiTheme="minorEastAsia" w:eastAsiaTheme="minorEastAsia"/>
          <w:color w:val="auto"/>
          <w:szCs w:val="21"/>
          <w:highlight w:val="none"/>
        </w:rPr>
      </w:pPr>
    </w:p>
    <w:p>
      <w:pPr>
        <w:widowControl/>
        <w:jc w:val="left"/>
        <w:rPr>
          <w:rFonts w:asciiTheme="minorEastAsia" w:hAnsiTheme="minorEastAsia" w:eastAsiaTheme="minorEastAsia"/>
          <w:color w:val="auto"/>
          <w:szCs w:val="21"/>
          <w:highlight w:val="none"/>
        </w:rPr>
      </w:pPr>
    </w:p>
    <w:p>
      <w:pPr>
        <w:widowControl/>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br w:type="page"/>
      </w:r>
    </w:p>
    <w:p>
      <w:pPr>
        <w:snapToGrid w:val="0"/>
        <w:spacing w:line="360" w:lineRule="auto"/>
        <w:ind w:left="-23" w:leftChars="-11" w:right="-214" w:rightChars="-102" w:firstLine="21" w:firstLineChars="10"/>
        <w:jc w:val="left"/>
        <w:rPr>
          <w:rFonts w:cs="宋体" w:asciiTheme="minorEastAsia" w:hAnsiTheme="minorEastAsia" w:eastAsiaTheme="minorEastAsia"/>
          <w:b/>
          <w:color w:val="auto"/>
          <w:szCs w:val="21"/>
          <w:highlight w:val="none"/>
        </w:rPr>
      </w:pPr>
      <w:r>
        <w:rPr>
          <w:rFonts w:hint="eastAsia" w:asciiTheme="minorEastAsia" w:hAnsiTheme="minorEastAsia" w:eastAsiaTheme="minorEastAsia"/>
          <w:b/>
          <w:color w:val="auto"/>
          <w:highlight w:val="none"/>
        </w:rPr>
        <w:t>2.商务技术文件的有关格式</w:t>
      </w:r>
    </w:p>
    <w:p>
      <w:pPr>
        <w:pStyle w:val="20"/>
        <w:spacing w:line="360" w:lineRule="auto"/>
        <w:ind w:left="460" w:leftChars="0" w:firstLine="422"/>
        <w:jc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（1）投标函</w:t>
      </w:r>
    </w:p>
    <w:p>
      <w:pPr>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致：</w:t>
      </w:r>
      <w:r>
        <w:rPr>
          <w:rFonts w:asciiTheme="minorEastAsia" w:hAnsiTheme="minorEastAsia" w:eastAsiaTheme="minorEastAsia"/>
          <w:color w:val="auto"/>
          <w:szCs w:val="21"/>
          <w:highlight w:val="none"/>
          <w:u w:val="single"/>
        </w:rPr>
        <w:t>宁波工程学院</w:t>
      </w:r>
      <w:r>
        <w:rPr>
          <w:rFonts w:hint="eastAsia" w:asciiTheme="minorEastAsia" w:hAnsiTheme="minorEastAsia" w:eastAsiaTheme="minorEastAsia"/>
          <w:color w:val="auto"/>
          <w:szCs w:val="21"/>
          <w:highlight w:val="none"/>
          <w:u w:val="single"/>
        </w:rPr>
        <w:t>、宁波名诚招标代理有限公司</w:t>
      </w:r>
    </w:p>
    <w:p>
      <w:pPr>
        <w:spacing w:line="360" w:lineRule="auto"/>
        <w:ind w:firstLine="42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我方参加你方组织的</w:t>
      </w:r>
      <w:r>
        <w:rPr>
          <w:rFonts w:hint="eastAsia" w:asciiTheme="minorEastAsia" w:hAnsiTheme="minorEastAsia" w:eastAsiaTheme="minorEastAsia"/>
          <w:color w:val="auto"/>
          <w:szCs w:val="21"/>
          <w:highlight w:val="none"/>
          <w:u w:val="single"/>
        </w:rPr>
        <w:t>宁波工程学院新能源产业技术创新实践基地进口设备采购项目</w:t>
      </w:r>
      <w:r>
        <w:rPr>
          <w:rFonts w:hint="eastAsia" w:asciiTheme="minorEastAsia" w:hAnsiTheme="minorEastAsia" w:eastAsiaTheme="minorEastAsia"/>
          <w:color w:val="auto"/>
          <w:szCs w:val="21"/>
          <w:highlight w:val="none"/>
        </w:rPr>
        <w:t>（项目编号：</w:t>
      </w:r>
      <w:r>
        <w:rPr>
          <w:rFonts w:hint="eastAsia" w:asciiTheme="minorEastAsia" w:hAnsiTheme="minorEastAsia" w:eastAsiaTheme="minorEastAsia"/>
          <w:color w:val="auto"/>
          <w:szCs w:val="21"/>
          <w:highlight w:val="none"/>
          <w:u w:val="single"/>
        </w:rPr>
        <w:t>NBMC-20242029G</w:t>
      </w:r>
      <w:r>
        <w:rPr>
          <w:rFonts w:hint="eastAsia" w:asciiTheme="minorEastAsia" w:hAnsiTheme="minorEastAsia" w:eastAsiaTheme="minorEastAsia"/>
          <w:color w:val="auto"/>
          <w:szCs w:val="21"/>
          <w:highlight w:val="none"/>
        </w:rPr>
        <w:t>）招标的有关活动，并对此项目进行投标。为此：</w:t>
      </w:r>
    </w:p>
    <w:p>
      <w:pPr>
        <w:spacing w:line="360" w:lineRule="auto"/>
        <w:ind w:firstLine="42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1.按招标文件规定提供的货物（包括安装调试等伴随的服务）的投标报价见《开标一览表》。</w:t>
      </w:r>
    </w:p>
    <w:p>
      <w:pPr>
        <w:spacing w:line="360" w:lineRule="auto"/>
        <w:ind w:firstLine="42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2.我方将根据招标文件的规定，在合同约定的期限内完成合同规定的全部义务。</w:t>
      </w:r>
    </w:p>
    <w:p>
      <w:pPr>
        <w:spacing w:line="360" w:lineRule="auto"/>
        <w:ind w:firstLine="42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我方已详细审核全部招标文件，包括招标文件的澄清或修改（如有），参考资料及有关附件，我方正式认可并遵守本项目招标文件，并对招标文件各项条款、规定及要求均无异议。我方知道必须放弃提出含糊不清或误解问题的权利。</w:t>
      </w:r>
    </w:p>
    <w:p>
      <w:pPr>
        <w:spacing w:line="360" w:lineRule="auto"/>
        <w:ind w:firstLine="42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4.我方的投标文件在招标文件规定的投标有效期之前均对我方具有约束力。</w:t>
      </w:r>
    </w:p>
    <w:p>
      <w:pPr>
        <w:spacing w:line="360" w:lineRule="auto"/>
        <w:ind w:firstLine="42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5.我方声明投标文件所提供的一切资料均真实无误、及时、有效，企业（单位）运营正常。由于我方提供资料不实而造成的责任和后果由我方独自承担。我方同意按照贵方提出的要求，提供与投标有关的任何证据、数据或资料。</w:t>
      </w:r>
    </w:p>
    <w:p>
      <w:pPr>
        <w:spacing w:line="360" w:lineRule="auto"/>
        <w:ind w:firstLine="42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6.我方完全理解最低报价并不是中标的唯一标准。</w:t>
      </w:r>
    </w:p>
    <w:p>
      <w:pPr>
        <w:spacing w:line="360" w:lineRule="auto"/>
        <w:ind w:firstLine="420"/>
        <w:rPr>
          <w:rFonts w:asciiTheme="minorEastAsia" w:hAnsiTheme="minorEastAsia" w:eastAsiaTheme="minorEastAsia"/>
          <w:color w:val="auto"/>
          <w:szCs w:val="21"/>
          <w:highlight w:val="none"/>
        </w:rPr>
      </w:pPr>
      <w:r>
        <w:rPr>
          <w:rFonts w:hint="eastAsia" w:asciiTheme="minorEastAsia" w:hAnsiTheme="minorEastAsia" w:eastAsiaTheme="minorEastAsia"/>
          <w:color w:val="auto"/>
          <w:highlight w:val="none"/>
        </w:rPr>
        <w:t>7</w:t>
      </w:r>
      <w:r>
        <w:rPr>
          <w:rFonts w:asciiTheme="minorEastAsia" w:hAnsiTheme="minorEastAsia" w:eastAsiaTheme="minorEastAsia"/>
          <w:color w:val="auto"/>
          <w:highlight w:val="none"/>
        </w:rPr>
        <w:t>.如我方获得中标</w:t>
      </w:r>
      <w:r>
        <w:rPr>
          <w:rFonts w:asciiTheme="minorEastAsia" w:hAnsiTheme="minorEastAsia" w:eastAsiaTheme="minorEastAsia"/>
          <w:color w:val="auto"/>
          <w:szCs w:val="21"/>
          <w:highlight w:val="none"/>
        </w:rPr>
        <w:t>，承诺按照招标文件规定的金额、时间和方式支付</w:t>
      </w:r>
      <w:r>
        <w:rPr>
          <w:rFonts w:hint="eastAsia" w:asciiTheme="minorEastAsia" w:hAnsiTheme="minorEastAsia" w:eastAsiaTheme="minorEastAsia"/>
          <w:color w:val="auto"/>
          <w:szCs w:val="21"/>
          <w:highlight w:val="none"/>
        </w:rPr>
        <w:t>采购</w:t>
      </w:r>
      <w:r>
        <w:rPr>
          <w:rFonts w:asciiTheme="minorEastAsia" w:hAnsiTheme="minorEastAsia" w:eastAsiaTheme="minorEastAsia"/>
          <w:color w:val="auto"/>
          <w:szCs w:val="21"/>
          <w:highlight w:val="none"/>
        </w:rPr>
        <w:t>代理服务费。因我方违约致使</w:t>
      </w:r>
      <w:r>
        <w:rPr>
          <w:rFonts w:hint="eastAsia" w:asciiTheme="minorEastAsia" w:hAnsiTheme="minorEastAsia" w:eastAsiaTheme="minorEastAsia"/>
          <w:color w:val="auto"/>
          <w:szCs w:val="21"/>
          <w:highlight w:val="none"/>
        </w:rPr>
        <w:t>采购</w:t>
      </w:r>
      <w:r>
        <w:rPr>
          <w:rFonts w:asciiTheme="minorEastAsia" w:hAnsiTheme="minorEastAsia" w:eastAsiaTheme="minorEastAsia"/>
          <w:color w:val="auto"/>
          <w:szCs w:val="21"/>
          <w:highlight w:val="none"/>
        </w:rPr>
        <w:t>代理机构采取诉讼或仲裁等方式实现债权，为此支付的</w:t>
      </w:r>
      <w:r>
        <w:rPr>
          <w:rFonts w:hint="eastAsia" w:asciiTheme="minorEastAsia" w:hAnsiTheme="minorEastAsia" w:eastAsiaTheme="minorEastAsia"/>
          <w:color w:val="auto"/>
          <w:szCs w:val="21"/>
          <w:highlight w:val="none"/>
        </w:rPr>
        <w:t>律师费、诉讼费、</w:t>
      </w:r>
      <w:r>
        <w:rPr>
          <w:rFonts w:asciiTheme="minorEastAsia" w:hAnsiTheme="minorEastAsia" w:eastAsiaTheme="minorEastAsia"/>
          <w:color w:val="auto"/>
          <w:szCs w:val="21"/>
          <w:highlight w:val="none"/>
        </w:rPr>
        <w:t>执行费</w:t>
      </w:r>
      <w:r>
        <w:rPr>
          <w:rFonts w:hint="eastAsia" w:asciiTheme="minorEastAsia" w:hAnsiTheme="minorEastAsia" w:eastAsiaTheme="minorEastAsia"/>
          <w:color w:val="auto"/>
          <w:szCs w:val="21"/>
          <w:highlight w:val="none"/>
        </w:rPr>
        <w:t>、公证费、认证费、鉴定费、保全费、担保费、差旅费等为</w:t>
      </w:r>
      <w:r>
        <w:rPr>
          <w:rFonts w:asciiTheme="minorEastAsia" w:hAnsiTheme="minorEastAsia" w:eastAsiaTheme="minorEastAsia"/>
          <w:color w:val="auto"/>
          <w:szCs w:val="21"/>
          <w:highlight w:val="none"/>
        </w:rPr>
        <w:t>实现债权的一切费用由我方承担。</w:t>
      </w:r>
    </w:p>
    <w:p>
      <w:pPr>
        <w:snapToGrid w:val="0"/>
        <w:spacing w:line="360" w:lineRule="auto"/>
        <w:ind w:left="-23" w:leftChars="-11" w:right="-214" w:rightChars="-102" w:firstLine="447" w:firstLineChars="213"/>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8.所有有关本次投标的函电请寄：</w:t>
      </w:r>
    </w:p>
    <w:p>
      <w:pPr>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电话：</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szCs w:val="21"/>
          <w:highlight w:val="none"/>
        </w:rPr>
        <w:t xml:space="preserve">   电子邮箱： </w:t>
      </w:r>
      <w:r>
        <w:rPr>
          <w:rFonts w:hint="eastAsia" w:asciiTheme="minorEastAsia" w:hAnsiTheme="minorEastAsia" w:eastAsiaTheme="minorEastAsia"/>
          <w:color w:val="auto"/>
          <w:highlight w:val="none"/>
          <w:u w:val="single"/>
        </w:rPr>
        <w:t xml:space="preserve">           </w:t>
      </w:r>
    </w:p>
    <w:p>
      <w:pPr>
        <w:snapToGrid w:val="0"/>
        <w:spacing w:line="360" w:lineRule="auto"/>
        <w:rPr>
          <w:rFonts w:asciiTheme="minorEastAsia" w:hAnsiTheme="minorEastAsia" w:eastAsiaTheme="minorEastAsia"/>
          <w:color w:val="auto"/>
          <w:highlight w:val="none"/>
          <w:u w:val="single"/>
        </w:rPr>
      </w:pPr>
      <w:r>
        <w:rPr>
          <w:rFonts w:hint="eastAsia" w:asciiTheme="minorEastAsia" w:hAnsiTheme="minorEastAsia" w:eastAsiaTheme="minorEastAsia"/>
          <w:color w:val="auto"/>
          <w:szCs w:val="21"/>
          <w:highlight w:val="none"/>
        </w:rPr>
        <w:t>地址：</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szCs w:val="21"/>
          <w:highlight w:val="none"/>
        </w:rPr>
        <w:t xml:space="preserve">   邮编：</w:t>
      </w:r>
      <w:r>
        <w:rPr>
          <w:rFonts w:hint="eastAsia" w:asciiTheme="minorEastAsia" w:hAnsiTheme="minorEastAsia" w:eastAsiaTheme="minorEastAsia"/>
          <w:color w:val="auto"/>
          <w:highlight w:val="none"/>
          <w:u w:val="single"/>
        </w:rPr>
        <w:t xml:space="preserve">           </w:t>
      </w:r>
    </w:p>
    <w:p>
      <w:pPr>
        <w:snapToGrid w:val="0"/>
        <w:spacing w:line="360" w:lineRule="auto"/>
        <w:ind w:right="-214" w:rightChars="-102"/>
        <w:jc w:val="left"/>
        <w:rPr>
          <w:rFonts w:asciiTheme="minorEastAsia" w:hAnsiTheme="minorEastAsia" w:eastAsiaTheme="minorEastAsia"/>
          <w:color w:val="auto"/>
          <w:szCs w:val="21"/>
          <w:highlight w:val="none"/>
        </w:rPr>
      </w:pPr>
    </w:p>
    <w:p>
      <w:pPr>
        <w:snapToGrid w:val="0"/>
        <w:spacing w:line="360" w:lineRule="auto"/>
        <w:rPr>
          <w:rFonts w:asciiTheme="minorEastAsia" w:hAnsiTheme="minorEastAsia" w:eastAsiaTheme="minorEastAsia"/>
          <w:color w:val="auto"/>
          <w:szCs w:val="21"/>
          <w:highlight w:val="none"/>
        </w:rPr>
      </w:pPr>
    </w:p>
    <w:p>
      <w:pPr>
        <w:snapToGrid w:val="0"/>
        <w:spacing w:line="360" w:lineRule="auto"/>
        <w:ind w:firstLine="4252" w:firstLineChars="202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w:t>
      </w:r>
      <w:r>
        <w:rPr>
          <w:rFonts w:asciiTheme="minorEastAsia" w:hAnsiTheme="minorEastAsia" w:eastAsiaTheme="minorEastAsia"/>
          <w:color w:val="auto"/>
          <w:szCs w:val="21"/>
          <w:highlight w:val="none"/>
          <w:u w:val="single"/>
        </w:rPr>
        <w:t>___</w:t>
      </w:r>
      <w:r>
        <w:rPr>
          <w:rFonts w:hint="eastAsia" w:asciiTheme="minorEastAsia" w:hAnsiTheme="minorEastAsia" w:eastAsiaTheme="minorEastAsia"/>
          <w:color w:val="auto"/>
          <w:szCs w:val="21"/>
          <w:highlight w:val="none"/>
          <w:u w:val="single"/>
        </w:rPr>
        <w:t xml:space="preserve">    （填写全称并加盖公章)</w:t>
      </w:r>
      <w:r>
        <w:rPr>
          <w:rFonts w:asciiTheme="minorEastAsia" w:hAnsiTheme="minorEastAsia" w:eastAsiaTheme="minorEastAsia"/>
          <w:color w:val="auto"/>
          <w:szCs w:val="21"/>
          <w:highlight w:val="none"/>
          <w:u w:val="single"/>
        </w:rPr>
        <w:t>________</w:t>
      </w:r>
    </w:p>
    <w:p>
      <w:pPr>
        <w:snapToGrid w:val="0"/>
        <w:spacing w:line="360" w:lineRule="auto"/>
        <w:ind w:firstLine="4252" w:firstLineChars="202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日  期：</w:t>
      </w:r>
    </w:p>
    <w:p>
      <w:pPr>
        <w:pStyle w:val="2"/>
        <w:ind w:firstLine="560"/>
        <w:rPr>
          <w:color w:val="auto"/>
          <w:highlight w:val="none"/>
        </w:rPr>
      </w:pPr>
    </w:p>
    <w:p>
      <w:pPr>
        <w:pStyle w:val="3"/>
        <w:ind w:firstLine="280"/>
        <w:rPr>
          <w:color w:val="auto"/>
          <w:highlight w:val="none"/>
        </w:rPr>
      </w:pPr>
    </w:p>
    <w:p>
      <w:pPr>
        <w:pStyle w:val="20"/>
        <w:spacing w:line="360" w:lineRule="auto"/>
        <w:ind w:left="438" w:leftChars="0" w:firstLine="402"/>
        <w:jc w:val="center"/>
        <w:rPr>
          <w:rFonts w:cs="宋体" w:asciiTheme="minorEastAsia" w:hAnsiTheme="minorEastAsia" w:eastAsiaTheme="minorEastAsia"/>
          <w:b/>
          <w:color w:val="auto"/>
          <w:sz w:val="21"/>
          <w:szCs w:val="21"/>
          <w:highlight w:val="none"/>
        </w:rPr>
      </w:pPr>
      <w:r>
        <w:rPr>
          <w:rFonts w:asciiTheme="minorEastAsia" w:hAnsiTheme="minorEastAsia" w:eastAsiaTheme="minorEastAsia"/>
          <w:b/>
          <w:color w:val="auto"/>
          <w:szCs w:val="21"/>
          <w:highlight w:val="none"/>
        </w:rPr>
        <w:br w:type="page"/>
      </w:r>
      <w:r>
        <w:rPr>
          <w:rFonts w:hint="eastAsia" w:asciiTheme="minorEastAsia" w:hAnsiTheme="minorEastAsia" w:eastAsiaTheme="minorEastAsia"/>
          <w:b/>
          <w:color w:val="auto"/>
          <w:sz w:val="21"/>
          <w:szCs w:val="21"/>
          <w:highlight w:val="none"/>
        </w:rPr>
        <w:t>（2）</w:t>
      </w:r>
      <w:r>
        <w:rPr>
          <w:rFonts w:cs="宋体" w:asciiTheme="minorEastAsia" w:hAnsiTheme="minorEastAsia" w:eastAsiaTheme="minorEastAsia"/>
          <w:b/>
          <w:color w:val="auto"/>
          <w:sz w:val="21"/>
          <w:szCs w:val="21"/>
          <w:highlight w:val="none"/>
        </w:rPr>
        <w:t>授权委托书</w:t>
      </w:r>
    </w:p>
    <w:p>
      <w:pPr>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致：</w:t>
      </w:r>
      <w:r>
        <w:rPr>
          <w:rFonts w:asciiTheme="minorEastAsia" w:hAnsiTheme="minorEastAsia" w:eastAsiaTheme="minorEastAsia"/>
          <w:color w:val="auto"/>
          <w:szCs w:val="21"/>
          <w:highlight w:val="none"/>
          <w:u w:val="single"/>
        </w:rPr>
        <w:t>宁波工程学院</w:t>
      </w:r>
      <w:r>
        <w:rPr>
          <w:rFonts w:hint="eastAsia" w:asciiTheme="minorEastAsia" w:hAnsiTheme="minorEastAsia" w:eastAsiaTheme="minorEastAsia"/>
          <w:color w:val="auto"/>
          <w:szCs w:val="21"/>
          <w:highlight w:val="none"/>
          <w:u w:val="single"/>
        </w:rPr>
        <w:t>、宁波名诚招标代理有限公司</w:t>
      </w:r>
    </w:p>
    <w:p>
      <w:pPr>
        <w:snapToGrid w:val="0"/>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我</w:t>
      </w:r>
      <w:r>
        <w:rPr>
          <w:rFonts w:hint="eastAsia" w:ascii="宋体" w:hAnsi="宋体"/>
          <w:color w:val="auto"/>
          <w:szCs w:val="21"/>
          <w:highlight w:val="none"/>
          <w:u w:val="single"/>
        </w:rPr>
        <w:t xml:space="preserve">    （姓名）     </w:t>
      </w:r>
      <w:r>
        <w:rPr>
          <w:rFonts w:hint="eastAsia" w:ascii="宋体" w:hAnsi="宋体"/>
          <w:color w:val="auto"/>
          <w:szCs w:val="21"/>
          <w:highlight w:val="none"/>
        </w:rPr>
        <w:t>系</w:t>
      </w:r>
      <w:r>
        <w:rPr>
          <w:rFonts w:hint="eastAsia" w:ascii="宋体" w:hAnsi="宋体"/>
          <w:color w:val="auto"/>
          <w:szCs w:val="21"/>
          <w:highlight w:val="none"/>
          <w:u w:val="single"/>
        </w:rPr>
        <w:t xml:space="preserve">    （投标人名称）   </w:t>
      </w:r>
      <w:r>
        <w:rPr>
          <w:rFonts w:hint="eastAsia" w:ascii="宋体" w:hAnsi="宋体"/>
          <w:color w:val="auto"/>
          <w:szCs w:val="21"/>
          <w:highlight w:val="none"/>
        </w:rPr>
        <w:t>的法定代表人，现授权委托</w:t>
      </w:r>
      <w:r>
        <w:rPr>
          <w:rFonts w:hint="eastAsia" w:ascii="宋体" w:hAnsi="宋体"/>
          <w:color w:val="auto"/>
          <w:szCs w:val="21"/>
          <w:highlight w:val="none"/>
          <w:u w:val="single"/>
        </w:rPr>
        <w:t xml:space="preserve">  （姓名）   </w:t>
      </w:r>
      <w:r>
        <w:rPr>
          <w:rFonts w:hint="eastAsia" w:ascii="宋体" w:hAnsi="宋体"/>
          <w:color w:val="auto"/>
          <w:szCs w:val="21"/>
          <w:highlight w:val="none"/>
        </w:rPr>
        <w:t>、身份证号：</w:t>
      </w:r>
      <w:r>
        <w:rPr>
          <w:rFonts w:hint="eastAsia" w:ascii="宋体" w:hAnsi="宋体"/>
          <w:color w:val="auto"/>
          <w:szCs w:val="21"/>
          <w:highlight w:val="none"/>
          <w:u w:val="single"/>
        </w:rPr>
        <w:t xml:space="preserve">                  </w:t>
      </w:r>
      <w:r>
        <w:rPr>
          <w:rFonts w:hint="eastAsia" w:ascii="宋体" w:hAnsi="宋体"/>
          <w:color w:val="auto"/>
          <w:szCs w:val="21"/>
          <w:highlight w:val="none"/>
        </w:rPr>
        <w:t>以我方的名义参加</w:t>
      </w:r>
      <w:r>
        <w:rPr>
          <w:rFonts w:hint="eastAsia" w:ascii="宋体" w:hAnsi="宋体"/>
          <w:color w:val="auto"/>
          <w:szCs w:val="21"/>
          <w:highlight w:val="none"/>
          <w:u w:val="single"/>
        </w:rPr>
        <w:t xml:space="preserve">         （项目名称）       </w:t>
      </w:r>
      <w:r>
        <w:rPr>
          <w:rFonts w:hint="eastAsia" w:ascii="宋体" w:hAnsi="宋体" w:cs="仿宋_GB2312"/>
          <w:color w:val="auto"/>
          <w:kern w:val="0"/>
          <w:highlight w:val="none"/>
          <w:lang w:val="zh-CN"/>
        </w:rPr>
        <w:t>政府采购投标响应的一切事项，其法律后果由我方承担。</w:t>
      </w:r>
    </w:p>
    <w:p>
      <w:pPr>
        <w:snapToGrid w:val="0"/>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本授权书自出具之日起生效，在撤销授权的书面通知以前，本授权委托书一直有效。授权代表在授权委托书有效期内签署的所有文件不因授权的撤销而失效。</w:t>
      </w:r>
    </w:p>
    <w:p>
      <w:pPr>
        <w:snapToGrid w:val="0"/>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授权代表无转委托权，特此授权。</w:t>
      </w:r>
    </w:p>
    <w:p>
      <w:pPr>
        <w:snapToGrid w:val="0"/>
        <w:spacing w:line="360" w:lineRule="auto"/>
        <w:rPr>
          <w:rFonts w:asciiTheme="minorEastAsia" w:hAnsiTheme="minorEastAsia" w:eastAsiaTheme="minorEastAsia"/>
          <w:color w:val="auto"/>
          <w:szCs w:val="21"/>
          <w:highlight w:val="none"/>
        </w:rPr>
      </w:pPr>
    </w:p>
    <w:p>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（填写全称并加盖公章）     </w:t>
      </w:r>
    </w:p>
    <w:p>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授权委托日期：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rPr>
          <w:rFonts w:asciiTheme="minorEastAsia" w:hAnsiTheme="minorEastAsia" w:eastAsiaTheme="minorEastAsia"/>
          <w:color w:val="auto"/>
          <w:szCs w:val="21"/>
          <w:highlight w:val="none"/>
        </w:rPr>
      </w:pPr>
    </w:p>
    <w:p>
      <w:pPr>
        <w:pStyle w:val="2"/>
        <w:ind w:firstLine="560"/>
        <w:rPr>
          <w:color w:val="auto"/>
          <w:highlight w:val="none"/>
        </w:rPr>
      </w:pPr>
    </w:p>
    <w:p>
      <w:pPr>
        <w:snapToGrid w:val="0"/>
        <w:spacing w:line="360" w:lineRule="auto"/>
        <w:ind w:firstLine="420"/>
        <w:rPr>
          <w:rFonts w:cs="仿宋_GB2312" w:asciiTheme="minorEastAsia" w:hAnsiTheme="minorEastAsia" w:eastAsiaTheme="minorEastAsia"/>
          <w:color w:val="auto"/>
          <w:kern w:val="0"/>
          <w:szCs w:val="21"/>
          <w:highlight w:val="none"/>
        </w:rPr>
      </w:pPr>
    </w:p>
    <w:p>
      <w:pPr>
        <w:spacing w:line="360" w:lineRule="auto"/>
        <w:rPr>
          <w:rFonts w:asciiTheme="minorEastAsia" w:hAnsiTheme="minorEastAsia" w:eastAsiaTheme="minorEastAsia"/>
          <w:color w:val="auto"/>
          <w:szCs w:val="21"/>
          <w:highlight w:val="none"/>
        </w:rPr>
      </w:pPr>
    </w:p>
    <w:p>
      <w:pPr>
        <w:spacing w:line="360" w:lineRule="auto"/>
        <w:ind w:firstLine="422"/>
        <w:rPr>
          <w:rFonts w:asciiTheme="minorEastAsia" w:hAnsiTheme="minorEastAsia" w:eastAsiaTheme="minorEastAsia"/>
          <w:b/>
          <w:color w:val="auto"/>
          <w:szCs w:val="21"/>
          <w:highlight w:val="none"/>
        </w:rPr>
      </w:pPr>
    </w:p>
    <w:p>
      <w:pPr>
        <w:spacing w:line="360" w:lineRule="auto"/>
        <w:ind w:firstLine="422"/>
        <w:rPr>
          <w:rFonts w:asciiTheme="minorEastAsia" w:hAnsiTheme="minorEastAsia" w:eastAsiaTheme="minorEastAsia"/>
          <w:b/>
          <w:color w:val="auto"/>
          <w:szCs w:val="21"/>
          <w:highlight w:val="none"/>
        </w:rPr>
      </w:pPr>
    </w:p>
    <w:p>
      <w:pPr>
        <w:spacing w:line="360" w:lineRule="auto"/>
        <w:ind w:firstLine="422"/>
        <w:rPr>
          <w:rFonts w:asciiTheme="minorEastAsia" w:hAnsiTheme="minorEastAsia" w:eastAsiaTheme="minorEastAsia"/>
          <w:b/>
          <w:color w:val="auto"/>
          <w:szCs w:val="21"/>
          <w:highlight w:val="none"/>
        </w:rPr>
      </w:pPr>
    </w:p>
    <w:p>
      <w:pPr>
        <w:spacing w:line="360" w:lineRule="auto"/>
        <w:ind w:firstLine="422"/>
        <w:rPr>
          <w:rFonts w:asciiTheme="minorEastAsia" w:hAnsiTheme="minorEastAsia" w:eastAsiaTheme="minorEastAsia"/>
          <w:b/>
          <w:color w:val="auto"/>
          <w:szCs w:val="21"/>
          <w:highlight w:val="none"/>
        </w:rPr>
      </w:pPr>
    </w:p>
    <w:p>
      <w:pPr>
        <w:spacing w:line="360" w:lineRule="auto"/>
        <w:ind w:firstLine="422"/>
        <w:rPr>
          <w:rFonts w:asciiTheme="minorEastAsia" w:hAnsiTheme="minorEastAsia" w:eastAsiaTheme="minorEastAsia"/>
          <w:b/>
          <w:color w:val="auto"/>
          <w:szCs w:val="21"/>
          <w:highlight w:val="none"/>
        </w:rPr>
      </w:pPr>
    </w:p>
    <w:p>
      <w:pPr>
        <w:spacing w:line="360" w:lineRule="auto"/>
        <w:ind w:firstLine="422"/>
        <w:rPr>
          <w:rFonts w:asciiTheme="minorEastAsia" w:hAnsiTheme="minorEastAsia" w:eastAsiaTheme="minorEastAsia"/>
          <w:b/>
          <w:color w:val="auto"/>
          <w:szCs w:val="21"/>
          <w:highlight w:val="none"/>
        </w:rPr>
      </w:pPr>
    </w:p>
    <w:p>
      <w:pPr>
        <w:spacing w:line="360" w:lineRule="auto"/>
        <w:ind w:firstLine="422"/>
        <w:rPr>
          <w:rFonts w:asciiTheme="minorEastAsia" w:hAnsiTheme="minorEastAsia" w:eastAsiaTheme="minorEastAsia"/>
          <w:b/>
          <w:color w:val="auto"/>
          <w:szCs w:val="21"/>
          <w:highlight w:val="none"/>
        </w:rPr>
      </w:pPr>
    </w:p>
    <w:p>
      <w:pPr>
        <w:spacing w:line="360" w:lineRule="auto"/>
        <w:ind w:firstLine="422"/>
        <w:rPr>
          <w:rFonts w:asciiTheme="minorEastAsia" w:hAnsiTheme="minorEastAsia" w:eastAsiaTheme="minorEastAsia"/>
          <w:b/>
          <w:color w:val="auto"/>
          <w:szCs w:val="21"/>
          <w:highlight w:val="none"/>
        </w:rPr>
      </w:pPr>
    </w:p>
    <w:p>
      <w:pPr>
        <w:spacing w:line="360" w:lineRule="auto"/>
        <w:ind w:firstLine="422"/>
        <w:rPr>
          <w:rFonts w:asciiTheme="minorEastAsia" w:hAnsiTheme="minorEastAsia" w:eastAsiaTheme="minorEastAsia"/>
          <w:b/>
          <w:color w:val="auto"/>
          <w:szCs w:val="21"/>
          <w:highlight w:val="none"/>
        </w:rPr>
      </w:pPr>
    </w:p>
    <w:p>
      <w:pPr>
        <w:spacing w:line="360" w:lineRule="auto"/>
        <w:ind w:firstLine="422"/>
        <w:rPr>
          <w:rFonts w:asciiTheme="minorEastAsia" w:hAnsiTheme="minorEastAsia" w:eastAsiaTheme="minorEastAsia"/>
          <w:b/>
          <w:color w:val="auto"/>
          <w:szCs w:val="21"/>
          <w:highlight w:val="none"/>
        </w:rPr>
      </w:pPr>
    </w:p>
    <w:p>
      <w:pPr>
        <w:spacing w:line="360" w:lineRule="auto"/>
        <w:ind w:firstLine="422"/>
        <w:rPr>
          <w:rFonts w:asciiTheme="minorEastAsia" w:hAnsiTheme="minorEastAsia" w:eastAsiaTheme="minorEastAsia"/>
          <w:b/>
          <w:color w:val="auto"/>
          <w:szCs w:val="21"/>
          <w:highlight w:val="none"/>
        </w:rPr>
      </w:pPr>
    </w:p>
    <w:p>
      <w:pPr>
        <w:spacing w:line="360" w:lineRule="auto"/>
        <w:ind w:firstLine="422"/>
        <w:rPr>
          <w:rFonts w:asciiTheme="minorEastAsia" w:hAnsiTheme="minorEastAsia" w:eastAsiaTheme="minorEastAsia"/>
          <w:b/>
          <w:color w:val="auto"/>
          <w:szCs w:val="21"/>
          <w:highlight w:val="none"/>
        </w:rPr>
      </w:pPr>
    </w:p>
    <w:p>
      <w:pPr>
        <w:spacing w:line="360" w:lineRule="auto"/>
        <w:ind w:firstLine="422"/>
        <w:rPr>
          <w:rFonts w:asciiTheme="minorEastAsia" w:hAnsiTheme="minorEastAsia" w:eastAsiaTheme="minorEastAsia"/>
          <w:b/>
          <w:color w:val="auto"/>
          <w:szCs w:val="21"/>
          <w:highlight w:val="none"/>
        </w:rPr>
      </w:pPr>
    </w:p>
    <w:p>
      <w:pPr>
        <w:spacing w:line="360" w:lineRule="auto"/>
        <w:ind w:firstLine="422"/>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注：本项目只允许有唯一的投标人授权代表，附法定代表人和授权代表身份证正反面复印件。</w:t>
      </w:r>
    </w:p>
    <w:p>
      <w:pPr>
        <w:snapToGrid w:val="0"/>
        <w:spacing w:line="360" w:lineRule="auto"/>
        <w:jc w:val="left"/>
        <w:rPr>
          <w:rFonts w:asciiTheme="minorEastAsia" w:hAnsiTheme="minorEastAsia" w:eastAsiaTheme="minorEastAsia"/>
          <w:color w:val="auto"/>
          <w:szCs w:val="21"/>
          <w:highlight w:val="none"/>
        </w:rPr>
      </w:pPr>
    </w:p>
    <w:p>
      <w:pPr>
        <w:pStyle w:val="20"/>
        <w:spacing w:line="360" w:lineRule="auto"/>
        <w:ind w:left="436" w:leftChars="0" w:firstLine="400"/>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br w:type="page"/>
      </w:r>
      <w:r>
        <w:rPr>
          <w:rFonts w:hint="eastAsia" w:asciiTheme="minorEastAsia" w:hAnsiTheme="minorEastAsia" w:eastAsiaTheme="minorEastAsia"/>
          <w:b/>
          <w:color w:val="auto"/>
          <w:sz w:val="21"/>
          <w:szCs w:val="21"/>
          <w:highlight w:val="none"/>
        </w:rPr>
        <w:t>（3）</w:t>
      </w:r>
      <w:r>
        <w:rPr>
          <w:rFonts w:hint="eastAsia" w:cs="宋体" w:asciiTheme="minorEastAsia" w:hAnsiTheme="minorEastAsia" w:eastAsiaTheme="minorEastAsia"/>
          <w:b/>
          <w:color w:val="auto"/>
          <w:sz w:val="21"/>
          <w:szCs w:val="21"/>
          <w:highlight w:val="none"/>
        </w:rPr>
        <w:t>评委打分</w:t>
      </w:r>
      <w:r>
        <w:rPr>
          <w:rFonts w:hint="eastAsia" w:asciiTheme="minorEastAsia" w:hAnsiTheme="minorEastAsia" w:eastAsiaTheme="minorEastAsia"/>
          <w:b/>
          <w:color w:val="auto"/>
          <w:sz w:val="21"/>
          <w:szCs w:val="21"/>
          <w:highlight w:val="none"/>
        </w:rPr>
        <w:t>索引表</w:t>
      </w:r>
    </w:p>
    <w:tbl>
      <w:tblPr>
        <w:tblStyle w:val="44"/>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3345"/>
        <w:gridCol w:w="1701"/>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3345" w:type="dxa"/>
            <w:vAlign w:val="center"/>
          </w:tcPr>
          <w:p>
            <w:pPr>
              <w:spacing w:line="3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highlight w:val="none"/>
              </w:rPr>
              <w:t>评审因素</w:t>
            </w:r>
          </w:p>
        </w:tc>
        <w:tc>
          <w:tcPr>
            <w:tcW w:w="1701" w:type="dxa"/>
            <w:vAlign w:val="center"/>
          </w:tcPr>
          <w:p>
            <w:pPr>
              <w:spacing w:line="3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文件或证明材料所在页码区间</w:t>
            </w:r>
          </w:p>
        </w:tc>
        <w:tc>
          <w:tcPr>
            <w:tcW w:w="2835" w:type="dxa"/>
            <w:vAlign w:val="center"/>
          </w:tcPr>
          <w:p>
            <w:pPr>
              <w:spacing w:line="3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自评得分（由评委进行主观评审的不用填写自评得分）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3345" w:type="dxa"/>
            <w:vAlign w:val="center"/>
          </w:tcPr>
          <w:p>
            <w:pPr>
              <w:spacing w:line="300" w:lineRule="exact"/>
              <w:jc w:val="center"/>
              <w:rPr>
                <w:rFonts w:asciiTheme="minorEastAsia" w:hAnsiTheme="minorEastAsia" w:eastAsiaTheme="minorEastAsia"/>
                <w:color w:val="auto"/>
                <w:szCs w:val="21"/>
                <w:highlight w:val="none"/>
              </w:rPr>
            </w:pPr>
          </w:p>
        </w:tc>
        <w:tc>
          <w:tcPr>
            <w:tcW w:w="1701" w:type="dxa"/>
            <w:vAlign w:val="center"/>
          </w:tcPr>
          <w:p>
            <w:pPr>
              <w:spacing w:line="300" w:lineRule="exact"/>
              <w:jc w:val="center"/>
              <w:rPr>
                <w:rFonts w:asciiTheme="minorEastAsia" w:hAnsiTheme="minorEastAsia" w:eastAsiaTheme="minorEastAsia"/>
                <w:color w:val="auto"/>
                <w:szCs w:val="21"/>
                <w:highlight w:val="none"/>
              </w:rPr>
            </w:pPr>
          </w:p>
        </w:tc>
        <w:tc>
          <w:tcPr>
            <w:tcW w:w="2835" w:type="dxa"/>
            <w:vAlign w:val="center"/>
          </w:tcPr>
          <w:p>
            <w:pPr>
              <w:spacing w:line="3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3345" w:type="dxa"/>
            <w:vAlign w:val="center"/>
          </w:tcPr>
          <w:p>
            <w:pPr>
              <w:spacing w:line="300" w:lineRule="exact"/>
              <w:jc w:val="center"/>
              <w:rPr>
                <w:rFonts w:asciiTheme="minorEastAsia" w:hAnsiTheme="minorEastAsia" w:eastAsiaTheme="minorEastAsia"/>
                <w:color w:val="auto"/>
                <w:szCs w:val="21"/>
                <w:highlight w:val="none"/>
              </w:rPr>
            </w:pPr>
          </w:p>
        </w:tc>
        <w:tc>
          <w:tcPr>
            <w:tcW w:w="1701" w:type="dxa"/>
            <w:vAlign w:val="center"/>
          </w:tcPr>
          <w:p>
            <w:pPr>
              <w:spacing w:line="300" w:lineRule="exact"/>
              <w:jc w:val="center"/>
              <w:rPr>
                <w:rFonts w:asciiTheme="minorEastAsia" w:hAnsiTheme="minorEastAsia" w:eastAsiaTheme="minorEastAsia"/>
                <w:color w:val="auto"/>
                <w:szCs w:val="21"/>
                <w:highlight w:val="none"/>
              </w:rPr>
            </w:pPr>
          </w:p>
        </w:tc>
        <w:tc>
          <w:tcPr>
            <w:tcW w:w="2835" w:type="dxa"/>
            <w:vAlign w:val="center"/>
          </w:tcPr>
          <w:p>
            <w:pPr>
              <w:spacing w:line="3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3345" w:type="dxa"/>
            <w:vAlign w:val="center"/>
          </w:tcPr>
          <w:p>
            <w:pPr>
              <w:spacing w:line="300" w:lineRule="exact"/>
              <w:jc w:val="center"/>
              <w:rPr>
                <w:rFonts w:asciiTheme="minorEastAsia" w:hAnsiTheme="minorEastAsia" w:eastAsiaTheme="minorEastAsia"/>
                <w:color w:val="auto"/>
                <w:szCs w:val="21"/>
                <w:highlight w:val="none"/>
              </w:rPr>
            </w:pPr>
          </w:p>
        </w:tc>
        <w:tc>
          <w:tcPr>
            <w:tcW w:w="1701" w:type="dxa"/>
            <w:vAlign w:val="center"/>
          </w:tcPr>
          <w:p>
            <w:pPr>
              <w:spacing w:line="300" w:lineRule="exact"/>
              <w:jc w:val="center"/>
              <w:rPr>
                <w:rFonts w:asciiTheme="minorEastAsia" w:hAnsiTheme="minorEastAsia" w:eastAsiaTheme="minorEastAsia"/>
                <w:color w:val="auto"/>
                <w:szCs w:val="21"/>
                <w:highlight w:val="none"/>
              </w:rPr>
            </w:pPr>
          </w:p>
        </w:tc>
        <w:tc>
          <w:tcPr>
            <w:tcW w:w="2835" w:type="dxa"/>
            <w:vAlign w:val="center"/>
          </w:tcPr>
          <w:p>
            <w:pPr>
              <w:spacing w:line="3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p>
        </w:tc>
        <w:tc>
          <w:tcPr>
            <w:tcW w:w="3345" w:type="dxa"/>
            <w:vAlign w:val="center"/>
          </w:tcPr>
          <w:p>
            <w:pPr>
              <w:spacing w:line="300" w:lineRule="exact"/>
              <w:jc w:val="center"/>
              <w:rPr>
                <w:rFonts w:asciiTheme="minorEastAsia" w:hAnsiTheme="minorEastAsia" w:eastAsiaTheme="minorEastAsia"/>
                <w:color w:val="auto"/>
                <w:szCs w:val="21"/>
                <w:highlight w:val="none"/>
              </w:rPr>
            </w:pPr>
          </w:p>
        </w:tc>
        <w:tc>
          <w:tcPr>
            <w:tcW w:w="1701" w:type="dxa"/>
            <w:vAlign w:val="center"/>
          </w:tcPr>
          <w:p>
            <w:pPr>
              <w:spacing w:line="300" w:lineRule="exact"/>
              <w:jc w:val="center"/>
              <w:rPr>
                <w:rFonts w:asciiTheme="minorEastAsia" w:hAnsiTheme="minorEastAsia" w:eastAsiaTheme="minorEastAsia"/>
                <w:color w:val="auto"/>
                <w:szCs w:val="21"/>
                <w:highlight w:val="none"/>
              </w:rPr>
            </w:pPr>
          </w:p>
        </w:tc>
        <w:tc>
          <w:tcPr>
            <w:tcW w:w="2835" w:type="dxa"/>
            <w:vAlign w:val="center"/>
          </w:tcPr>
          <w:p>
            <w:pPr>
              <w:spacing w:line="3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p>
        </w:tc>
        <w:tc>
          <w:tcPr>
            <w:tcW w:w="3345" w:type="dxa"/>
            <w:vAlign w:val="center"/>
          </w:tcPr>
          <w:p>
            <w:pPr>
              <w:spacing w:line="300" w:lineRule="exact"/>
              <w:jc w:val="center"/>
              <w:rPr>
                <w:rFonts w:asciiTheme="minorEastAsia" w:hAnsiTheme="minorEastAsia" w:eastAsiaTheme="minorEastAsia"/>
                <w:color w:val="auto"/>
                <w:szCs w:val="21"/>
                <w:highlight w:val="none"/>
              </w:rPr>
            </w:pPr>
          </w:p>
        </w:tc>
        <w:tc>
          <w:tcPr>
            <w:tcW w:w="1701" w:type="dxa"/>
            <w:vAlign w:val="center"/>
          </w:tcPr>
          <w:p>
            <w:pPr>
              <w:spacing w:line="300" w:lineRule="exact"/>
              <w:jc w:val="center"/>
              <w:rPr>
                <w:rFonts w:asciiTheme="minorEastAsia" w:hAnsiTheme="minorEastAsia" w:eastAsiaTheme="minorEastAsia"/>
                <w:color w:val="auto"/>
                <w:szCs w:val="21"/>
                <w:highlight w:val="none"/>
              </w:rPr>
            </w:pPr>
          </w:p>
        </w:tc>
        <w:tc>
          <w:tcPr>
            <w:tcW w:w="2835" w:type="dxa"/>
            <w:vAlign w:val="center"/>
          </w:tcPr>
          <w:p>
            <w:pPr>
              <w:spacing w:line="3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3345" w:type="dxa"/>
            <w:vAlign w:val="center"/>
          </w:tcPr>
          <w:p>
            <w:pPr>
              <w:spacing w:line="300" w:lineRule="exact"/>
              <w:jc w:val="center"/>
              <w:rPr>
                <w:rFonts w:asciiTheme="minorEastAsia" w:hAnsiTheme="minorEastAsia" w:eastAsiaTheme="minorEastAsia"/>
                <w:color w:val="auto"/>
                <w:szCs w:val="21"/>
                <w:highlight w:val="none"/>
              </w:rPr>
            </w:pPr>
          </w:p>
        </w:tc>
        <w:tc>
          <w:tcPr>
            <w:tcW w:w="1701" w:type="dxa"/>
            <w:vAlign w:val="center"/>
          </w:tcPr>
          <w:p>
            <w:pPr>
              <w:spacing w:line="300" w:lineRule="exact"/>
              <w:jc w:val="center"/>
              <w:rPr>
                <w:rFonts w:asciiTheme="minorEastAsia" w:hAnsiTheme="minorEastAsia" w:eastAsiaTheme="minorEastAsia"/>
                <w:color w:val="auto"/>
                <w:szCs w:val="21"/>
                <w:highlight w:val="none"/>
              </w:rPr>
            </w:pPr>
          </w:p>
        </w:tc>
        <w:tc>
          <w:tcPr>
            <w:tcW w:w="2835" w:type="dxa"/>
            <w:vAlign w:val="center"/>
          </w:tcPr>
          <w:p>
            <w:pPr>
              <w:spacing w:line="300" w:lineRule="exact"/>
              <w:jc w:val="center"/>
              <w:rPr>
                <w:rFonts w:asciiTheme="minorEastAsia" w:hAnsiTheme="minorEastAsia" w:eastAsiaTheme="minorEastAsia"/>
                <w:color w:val="auto"/>
                <w:szCs w:val="21"/>
                <w:highlight w:val="none"/>
              </w:rPr>
            </w:pPr>
          </w:p>
        </w:tc>
      </w:tr>
    </w:tbl>
    <w:p>
      <w:pPr>
        <w:pStyle w:val="20"/>
        <w:spacing w:before="120" w:beforeLines="50" w:line="360" w:lineRule="auto"/>
        <w:ind w:left="141" w:leftChars="67"/>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注：按照评委打分表内容逐项填写，报价部分无需列入。</w:t>
      </w:r>
    </w:p>
    <w:p>
      <w:pPr>
        <w:pStyle w:val="20"/>
        <w:spacing w:line="360" w:lineRule="auto"/>
        <w:ind w:firstLine="422"/>
        <w:rPr>
          <w:rFonts w:asciiTheme="minorEastAsia" w:hAnsiTheme="minorEastAsia" w:eastAsiaTheme="minorEastAsia"/>
          <w:b/>
          <w:color w:val="auto"/>
          <w:sz w:val="21"/>
          <w:szCs w:val="21"/>
          <w:highlight w:val="none"/>
        </w:rPr>
      </w:pPr>
    </w:p>
    <w:p>
      <w:pPr>
        <w:widowControl/>
        <w:ind w:firstLine="422"/>
        <w:jc w:val="left"/>
        <w:rPr>
          <w:rFonts w:cs="宋体" w:asciiTheme="minorEastAsia" w:hAnsiTheme="minorEastAsia" w:eastAsiaTheme="minorEastAsia"/>
          <w:b/>
          <w:color w:val="auto"/>
          <w:szCs w:val="21"/>
          <w:highlight w:val="none"/>
        </w:rPr>
      </w:pPr>
      <w:r>
        <w:rPr>
          <w:rFonts w:cs="宋体" w:asciiTheme="minorEastAsia" w:hAnsiTheme="minorEastAsia" w:eastAsiaTheme="minorEastAsia"/>
          <w:b/>
          <w:color w:val="auto"/>
          <w:szCs w:val="21"/>
          <w:highlight w:val="none"/>
        </w:rPr>
        <w:br w:type="page"/>
      </w:r>
    </w:p>
    <w:p>
      <w:pPr>
        <w:pStyle w:val="20"/>
        <w:spacing w:line="360" w:lineRule="auto"/>
        <w:ind w:left="460" w:leftChars="0" w:firstLine="422"/>
        <w:jc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w:t>
      </w:r>
      <w:r>
        <w:rPr>
          <w:rFonts w:cs="宋体" w:asciiTheme="minorEastAsia" w:hAnsiTheme="minorEastAsia" w:eastAsiaTheme="minorEastAsia"/>
          <w:b/>
          <w:color w:val="auto"/>
          <w:sz w:val="21"/>
          <w:szCs w:val="21"/>
          <w:highlight w:val="none"/>
        </w:rPr>
        <w:t>4</w:t>
      </w:r>
      <w:r>
        <w:rPr>
          <w:rFonts w:hint="eastAsia" w:cs="宋体" w:asciiTheme="minorEastAsia" w:hAnsiTheme="minorEastAsia" w:eastAsiaTheme="minorEastAsia"/>
          <w:b/>
          <w:color w:val="auto"/>
          <w:sz w:val="21"/>
          <w:szCs w:val="21"/>
          <w:highlight w:val="none"/>
        </w:rPr>
        <w:t>）商务要求响应表</w:t>
      </w:r>
    </w:p>
    <w:tbl>
      <w:tblPr>
        <w:tblStyle w:val="44"/>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134"/>
        <w:gridCol w:w="4423"/>
        <w:gridCol w:w="1276"/>
        <w:gridCol w:w="15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r>
              <w:rPr>
                <w:rFonts w:asciiTheme="minorEastAsia" w:hAnsiTheme="minorEastAsia" w:eastAsiaTheme="minorEastAsia"/>
                <w:color w:val="auto"/>
                <w:kern w:val="1"/>
                <w:szCs w:val="21"/>
                <w:highlight w:val="none"/>
              </w:rPr>
              <w:t>项目</w:t>
            </w:r>
          </w:p>
        </w:tc>
        <w:tc>
          <w:tcPr>
            <w:tcW w:w="44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招标文件</w:t>
            </w:r>
            <w:r>
              <w:rPr>
                <w:rFonts w:hint="eastAsia" w:asciiTheme="minorEastAsia" w:hAnsiTheme="minorEastAsia" w:eastAsiaTheme="minorEastAsia"/>
                <w:color w:val="auto"/>
                <w:szCs w:val="21"/>
                <w:highlight w:val="none"/>
              </w:rPr>
              <w:t>的商务要求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投标响应</w:t>
            </w:r>
          </w:p>
        </w:tc>
        <w:tc>
          <w:tcPr>
            <w:tcW w:w="15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1134"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olor w:val="auto"/>
                <w:highlight w:val="none"/>
              </w:rPr>
            </w:pPr>
          </w:p>
        </w:tc>
        <w:tc>
          <w:tcPr>
            <w:tcW w:w="442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p>
        </w:tc>
        <w:tc>
          <w:tcPr>
            <w:tcW w:w="15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1134"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olor w:val="auto"/>
                <w:highlight w:val="none"/>
              </w:rPr>
            </w:pPr>
          </w:p>
        </w:tc>
        <w:tc>
          <w:tcPr>
            <w:tcW w:w="442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p>
        </w:tc>
        <w:tc>
          <w:tcPr>
            <w:tcW w:w="15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1134"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olor w:val="auto"/>
                <w:highlight w:val="none"/>
              </w:rPr>
            </w:pPr>
          </w:p>
        </w:tc>
        <w:tc>
          <w:tcPr>
            <w:tcW w:w="442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p>
        </w:tc>
        <w:tc>
          <w:tcPr>
            <w:tcW w:w="15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p>
        </w:tc>
        <w:tc>
          <w:tcPr>
            <w:tcW w:w="1134"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olor w:val="auto"/>
                <w:highlight w:val="none"/>
              </w:rPr>
            </w:pPr>
          </w:p>
        </w:tc>
        <w:tc>
          <w:tcPr>
            <w:tcW w:w="442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p>
        </w:tc>
        <w:tc>
          <w:tcPr>
            <w:tcW w:w="15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p>
        </w:tc>
        <w:tc>
          <w:tcPr>
            <w:tcW w:w="1134"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olor w:val="auto"/>
                <w:highlight w:val="none"/>
              </w:rPr>
            </w:pPr>
          </w:p>
        </w:tc>
        <w:tc>
          <w:tcPr>
            <w:tcW w:w="442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p>
        </w:tc>
        <w:tc>
          <w:tcPr>
            <w:tcW w:w="15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w:t>
            </w:r>
          </w:p>
        </w:tc>
        <w:tc>
          <w:tcPr>
            <w:tcW w:w="1134" w:type="dxa"/>
            <w:tcBorders>
              <w:top w:val="single" w:color="auto" w:sz="4" w:space="0"/>
              <w:left w:val="single" w:color="auto" w:sz="4" w:space="0"/>
              <w:right w:val="single" w:color="auto" w:sz="4" w:space="0"/>
            </w:tcBorders>
            <w:vAlign w:val="center"/>
          </w:tcPr>
          <w:p>
            <w:pPr>
              <w:jc w:val="left"/>
              <w:rPr>
                <w:rFonts w:asciiTheme="minorEastAsia" w:hAnsiTheme="minorEastAsia" w:eastAsiaTheme="minorEastAsia"/>
                <w:color w:val="auto"/>
                <w:highlight w:val="none"/>
              </w:rPr>
            </w:pPr>
          </w:p>
        </w:tc>
        <w:tc>
          <w:tcPr>
            <w:tcW w:w="4423"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color w:val="auto"/>
                <w:highlight w:val="none"/>
              </w:rPr>
            </w:pPr>
          </w:p>
        </w:tc>
        <w:tc>
          <w:tcPr>
            <w:tcW w:w="1276"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p>
        </w:tc>
        <w:tc>
          <w:tcPr>
            <w:tcW w:w="1531"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p>
        </w:tc>
      </w:tr>
    </w:tbl>
    <w:p>
      <w:pPr>
        <w:snapToGrid w:val="0"/>
        <w:spacing w:line="360" w:lineRule="auto"/>
        <w:ind w:left="-23" w:leftChars="-11" w:right="-57" w:rightChars="-27" w:firstLine="21" w:firstLineChars="10"/>
        <w:rPr>
          <w:rFonts w:ascii="宋体" w:hAnsi="宋体"/>
          <w:color w:val="auto"/>
          <w:szCs w:val="22"/>
          <w:highlight w:val="none"/>
        </w:rPr>
      </w:pPr>
      <w:r>
        <w:rPr>
          <w:rFonts w:hint="eastAsia" w:ascii="宋体" w:hAnsi="宋体"/>
          <w:color w:val="auto"/>
          <w:szCs w:val="22"/>
          <w:highlight w:val="none"/>
        </w:rPr>
        <w:t>注：</w:t>
      </w:r>
    </w:p>
    <w:p>
      <w:pPr>
        <w:snapToGrid w:val="0"/>
        <w:spacing w:line="360" w:lineRule="auto"/>
        <w:ind w:left="-23" w:leftChars="-11" w:right="-57" w:rightChars="-27" w:firstLine="21" w:firstLineChars="10"/>
        <w:rPr>
          <w:rFonts w:ascii="宋体" w:hAnsi="宋体"/>
          <w:color w:val="auto"/>
          <w:szCs w:val="22"/>
          <w:highlight w:val="none"/>
        </w:rPr>
      </w:pPr>
      <w:r>
        <w:rPr>
          <w:rFonts w:hint="eastAsia" w:ascii="宋体" w:hAnsi="宋体"/>
          <w:color w:val="auto"/>
          <w:szCs w:val="22"/>
          <w:highlight w:val="none"/>
        </w:rPr>
        <w:t>1.投标人保证：除本表列出的偏离外，响应招标文件《第二章  招标需求》商务要求表列明的所有要求。</w:t>
      </w:r>
    </w:p>
    <w:p>
      <w:pPr>
        <w:snapToGrid w:val="0"/>
        <w:spacing w:line="360" w:lineRule="auto"/>
        <w:ind w:left="-23" w:leftChars="-11" w:right="-57" w:rightChars="-27" w:firstLine="21" w:firstLineChars="10"/>
        <w:rPr>
          <w:rFonts w:ascii="宋体" w:hAnsi="宋体"/>
          <w:color w:val="auto"/>
          <w:szCs w:val="22"/>
          <w:highlight w:val="none"/>
        </w:rPr>
      </w:pPr>
      <w:r>
        <w:rPr>
          <w:rFonts w:hint="eastAsia" w:ascii="宋体" w:hAnsi="宋体"/>
          <w:color w:val="auto"/>
          <w:szCs w:val="22"/>
          <w:highlight w:val="none"/>
        </w:rPr>
        <w:t>2</w:t>
      </w:r>
      <w:r>
        <w:rPr>
          <w:rFonts w:ascii="宋体" w:hAnsi="宋体"/>
          <w:color w:val="auto"/>
          <w:szCs w:val="22"/>
          <w:highlight w:val="none"/>
        </w:rPr>
        <w:t>.</w:t>
      </w:r>
      <w:r>
        <w:rPr>
          <w:rFonts w:hint="eastAsia" w:ascii="宋体" w:hAnsi="宋体"/>
          <w:color w:val="auto"/>
          <w:szCs w:val="22"/>
          <w:highlight w:val="none"/>
        </w:rPr>
        <w:t>投标人</w:t>
      </w:r>
      <w:r>
        <w:rPr>
          <w:rFonts w:hint="eastAsia" w:ascii="宋体" w:hAnsi="宋体"/>
          <w:color w:val="auto"/>
          <w:highlight w:val="none"/>
        </w:rPr>
        <w:t>应当</w:t>
      </w:r>
      <w:r>
        <w:rPr>
          <w:rFonts w:hint="eastAsia" w:ascii="宋体" w:hAnsi="宋体"/>
          <w:color w:val="auto"/>
          <w:szCs w:val="22"/>
          <w:highlight w:val="none"/>
        </w:rPr>
        <w:t>与招标文件《第二章  招标需求》的所有商务要求逐项比较，如有偏离的，须在本表中列明，并填写偏离情况说明。如投标人未在本表中列出偏离项并填写偏离情况说明，即使其在投标文件的其他部分说明与招标文件要求有所不同或回避不答，亦视为响应招标文件《第二章  招标需求》所提出的商务要求并签署合同。若中标人以上述事项为借口而不履行合同签订手续及履行合同，则按照相关法律法规的规定处理，响应情况由评标委员会认定。</w:t>
      </w:r>
    </w:p>
    <w:p>
      <w:pPr>
        <w:snapToGrid w:val="0"/>
        <w:spacing w:before="50" w:after="50" w:line="360" w:lineRule="auto"/>
        <w:ind w:left="-23" w:leftChars="-11" w:right="27" w:rightChars="13" w:firstLine="21" w:firstLineChars="10"/>
        <w:rPr>
          <w:rFonts w:ascii="宋体" w:hAnsi="宋体"/>
          <w:color w:val="auto"/>
          <w:highlight w:val="none"/>
        </w:rPr>
      </w:pPr>
      <w:r>
        <w:rPr>
          <w:rFonts w:hint="eastAsia" w:ascii="宋体" w:hAnsi="宋体"/>
          <w:color w:val="auto"/>
          <w:highlight w:val="none"/>
        </w:rPr>
        <w:t>3.投标人必须响应</w:t>
      </w:r>
      <w:r>
        <w:rPr>
          <w:rFonts w:hint="eastAsia" w:ascii="宋体" w:hAnsi="宋体"/>
          <w:color w:val="auto"/>
          <w:szCs w:val="22"/>
          <w:highlight w:val="none"/>
        </w:rPr>
        <w:t>《第二章  招标需求》</w:t>
      </w:r>
      <w:r>
        <w:rPr>
          <w:rFonts w:hint="eastAsia" w:ascii="宋体" w:hAnsi="宋体"/>
          <w:color w:val="auto"/>
          <w:highlight w:val="none"/>
        </w:rPr>
        <w:t>的所有</w:t>
      </w:r>
      <w:r>
        <w:rPr>
          <w:rFonts w:hint="eastAsia" w:ascii="宋体" w:hAnsi="宋体"/>
          <w:color w:val="auto"/>
          <w:szCs w:val="22"/>
          <w:highlight w:val="none"/>
        </w:rPr>
        <w:t>商务要求</w:t>
      </w:r>
      <w:r>
        <w:rPr>
          <w:rFonts w:hint="eastAsia" w:ascii="宋体" w:hAnsi="宋体"/>
          <w:color w:val="auto"/>
          <w:highlight w:val="none"/>
        </w:rPr>
        <w:t>，有不响应（满足）的，按照投标无效处理。</w:t>
      </w:r>
    </w:p>
    <w:p>
      <w:pPr>
        <w:snapToGrid w:val="0"/>
        <w:spacing w:line="360" w:lineRule="auto"/>
        <w:ind w:left="-23" w:leftChars="-11" w:right="-57" w:rightChars="-27" w:firstLine="21" w:firstLineChars="10"/>
        <w:rPr>
          <w:rFonts w:ascii="宋体" w:hAnsi="宋体"/>
          <w:color w:val="auto"/>
          <w:szCs w:val="22"/>
          <w:highlight w:val="none"/>
        </w:rPr>
      </w:pPr>
      <w:r>
        <w:rPr>
          <w:rFonts w:hint="eastAsia" w:ascii="宋体" w:hAnsi="宋体"/>
          <w:color w:val="auto"/>
          <w:szCs w:val="22"/>
          <w:highlight w:val="none"/>
        </w:rPr>
        <w:t>4.投标人无论对《第二章  招标需求》有无偏离（不满足或优于）都应当将本表盖章后作为投标文件的一部分提交，未在投标文件中提供本表的按照</w:t>
      </w:r>
      <w:r>
        <w:rPr>
          <w:rFonts w:hint="eastAsia" w:ascii="宋体" w:hAnsi="宋体"/>
          <w:color w:val="auto"/>
          <w:highlight w:val="none"/>
        </w:rPr>
        <w:t>投标无效</w:t>
      </w:r>
      <w:r>
        <w:rPr>
          <w:rFonts w:hint="eastAsia" w:ascii="宋体" w:hAnsi="宋体"/>
          <w:color w:val="auto"/>
          <w:szCs w:val="22"/>
          <w:highlight w:val="none"/>
        </w:rPr>
        <w:t>处理。</w:t>
      </w:r>
    </w:p>
    <w:p>
      <w:pPr>
        <w:snapToGrid w:val="0"/>
        <w:spacing w:before="50" w:after="50" w:line="360" w:lineRule="auto"/>
        <w:ind w:left="-23" w:leftChars="-11" w:right="-57" w:rightChars="-27" w:firstLine="21" w:firstLineChars="10"/>
        <w:rPr>
          <w:rFonts w:asciiTheme="minorEastAsia" w:hAnsiTheme="minorEastAsia" w:eastAsiaTheme="minorEastAsia"/>
          <w:b/>
          <w:color w:val="auto"/>
          <w:szCs w:val="21"/>
          <w:highlight w:val="none"/>
        </w:rPr>
      </w:pPr>
    </w:p>
    <w:p>
      <w:pPr>
        <w:pStyle w:val="2"/>
        <w:ind w:firstLine="560"/>
        <w:rPr>
          <w:color w:val="auto"/>
          <w:highlight w:val="none"/>
        </w:rPr>
      </w:pPr>
    </w:p>
    <w:p>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填写全称并加盖公章     </w:t>
      </w:r>
    </w:p>
    <w:p>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日  期：</w:t>
      </w:r>
    </w:p>
    <w:p>
      <w:pPr>
        <w:widowControl/>
        <w:ind w:firstLine="422"/>
        <w:jc w:val="left"/>
        <w:rPr>
          <w:rFonts w:cs="宋体" w:asciiTheme="minorEastAsia" w:hAnsiTheme="minorEastAsia" w:eastAsiaTheme="minorEastAsia"/>
          <w:b/>
          <w:color w:val="auto"/>
          <w:szCs w:val="21"/>
          <w:highlight w:val="none"/>
        </w:rPr>
      </w:pPr>
      <w:r>
        <w:rPr>
          <w:rFonts w:cs="宋体" w:asciiTheme="minorEastAsia" w:hAnsiTheme="minorEastAsia" w:eastAsiaTheme="minorEastAsia"/>
          <w:b/>
          <w:color w:val="auto"/>
          <w:szCs w:val="21"/>
          <w:highlight w:val="none"/>
        </w:rPr>
        <w:br w:type="page"/>
      </w:r>
    </w:p>
    <w:p>
      <w:pPr>
        <w:snapToGrid w:val="0"/>
        <w:spacing w:before="50" w:after="50" w:line="360" w:lineRule="auto"/>
        <w:ind w:left="-21" w:leftChars="-10" w:right="90" w:rightChars="43" w:firstLine="19" w:firstLineChars="9"/>
        <w:jc w:val="center"/>
        <w:rPr>
          <w:rFonts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w:t>
      </w:r>
      <w:r>
        <w:rPr>
          <w:rFonts w:cs="宋体" w:asciiTheme="minorEastAsia" w:hAnsiTheme="minorEastAsia" w:eastAsiaTheme="minorEastAsia"/>
          <w:b/>
          <w:color w:val="auto"/>
          <w:szCs w:val="21"/>
          <w:highlight w:val="none"/>
        </w:rPr>
        <w:t>5</w:t>
      </w:r>
      <w:r>
        <w:rPr>
          <w:rFonts w:hint="eastAsia" w:cs="宋体" w:asciiTheme="minorEastAsia" w:hAnsiTheme="minorEastAsia" w:eastAsiaTheme="minorEastAsia"/>
          <w:b/>
          <w:color w:val="auto"/>
          <w:szCs w:val="21"/>
          <w:highlight w:val="none"/>
        </w:rPr>
        <w:t>）技术/服务要求响应表</w:t>
      </w:r>
    </w:p>
    <w:tbl>
      <w:tblPr>
        <w:tblStyle w:val="44"/>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418"/>
        <w:gridCol w:w="3544"/>
        <w:gridCol w:w="1275"/>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r>
              <w:rPr>
                <w:rFonts w:asciiTheme="minorEastAsia" w:hAnsiTheme="minorEastAsia" w:eastAsiaTheme="minorEastAsia"/>
                <w:color w:val="auto"/>
                <w:kern w:val="1"/>
                <w:szCs w:val="21"/>
                <w:highlight w:val="none"/>
              </w:rPr>
              <w:t>项目</w:t>
            </w:r>
          </w:p>
        </w:tc>
        <w:tc>
          <w:tcPr>
            <w:tcW w:w="354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招标文件</w:t>
            </w:r>
            <w:r>
              <w:rPr>
                <w:rFonts w:hint="eastAsia" w:asciiTheme="minorEastAsia" w:hAnsiTheme="minorEastAsia" w:eastAsiaTheme="minorEastAsia"/>
                <w:color w:val="auto"/>
                <w:szCs w:val="21"/>
                <w:highlight w:val="none"/>
              </w:rPr>
              <w:t>的技术要求</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投标响应</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olor w:val="auto"/>
                <w:highlight w:val="none"/>
              </w:rPr>
            </w:pPr>
          </w:p>
        </w:tc>
        <w:tc>
          <w:tcPr>
            <w:tcW w:w="3544"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olor w:val="auto"/>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olor w:val="auto"/>
                <w:szCs w:val="21"/>
                <w:highlight w:val="none"/>
              </w:rPr>
            </w:pPr>
          </w:p>
        </w:tc>
        <w:tc>
          <w:tcPr>
            <w:tcW w:w="3544"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p>
        </w:tc>
        <w:tc>
          <w:tcPr>
            <w:tcW w:w="354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p>
        </w:tc>
        <w:tc>
          <w:tcPr>
            <w:tcW w:w="354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p>
        </w:tc>
        <w:tc>
          <w:tcPr>
            <w:tcW w:w="354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p>
        </w:tc>
        <w:tc>
          <w:tcPr>
            <w:tcW w:w="354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auto"/>
                <w:szCs w:val="21"/>
                <w:highlight w:val="none"/>
              </w:rPr>
            </w:pPr>
          </w:p>
        </w:tc>
      </w:tr>
    </w:tbl>
    <w:p>
      <w:pPr>
        <w:snapToGrid w:val="0"/>
        <w:spacing w:line="360" w:lineRule="auto"/>
        <w:ind w:left="-23" w:leftChars="-11" w:right="-57" w:rightChars="-27" w:firstLine="21" w:firstLineChars="10"/>
        <w:rPr>
          <w:rFonts w:ascii="宋体" w:hAnsi="宋体"/>
          <w:color w:val="auto"/>
          <w:szCs w:val="22"/>
          <w:highlight w:val="none"/>
        </w:rPr>
      </w:pPr>
      <w:r>
        <w:rPr>
          <w:rFonts w:hint="eastAsia" w:ascii="宋体" w:hAnsi="宋体"/>
          <w:color w:val="auto"/>
          <w:szCs w:val="22"/>
          <w:highlight w:val="none"/>
        </w:rPr>
        <w:t>注：</w:t>
      </w:r>
    </w:p>
    <w:p>
      <w:pPr>
        <w:snapToGrid w:val="0"/>
        <w:spacing w:line="360" w:lineRule="auto"/>
        <w:ind w:left="-23" w:leftChars="-11" w:right="-57" w:rightChars="-27" w:firstLine="21" w:firstLineChars="10"/>
        <w:rPr>
          <w:rFonts w:ascii="宋体" w:hAnsi="宋体"/>
          <w:color w:val="auto"/>
          <w:szCs w:val="22"/>
          <w:highlight w:val="none"/>
        </w:rPr>
      </w:pPr>
      <w:r>
        <w:rPr>
          <w:rFonts w:hint="eastAsia" w:ascii="宋体" w:hAnsi="宋体"/>
          <w:color w:val="auto"/>
          <w:szCs w:val="22"/>
          <w:highlight w:val="none"/>
        </w:rPr>
        <w:t>1.投标人保证：除本表列出的偏离外，响应招标文件《第二章  招标需求》列明的除商务要求以外的所有要求。</w:t>
      </w:r>
    </w:p>
    <w:p>
      <w:pPr>
        <w:snapToGrid w:val="0"/>
        <w:spacing w:line="360" w:lineRule="auto"/>
        <w:ind w:left="-23" w:leftChars="-11" w:right="-57" w:rightChars="-27" w:firstLine="21" w:firstLineChars="10"/>
        <w:rPr>
          <w:rFonts w:ascii="宋体" w:hAnsi="宋体"/>
          <w:color w:val="auto"/>
          <w:szCs w:val="22"/>
          <w:highlight w:val="none"/>
        </w:rPr>
      </w:pPr>
      <w:r>
        <w:rPr>
          <w:rFonts w:hint="eastAsia" w:ascii="宋体" w:hAnsi="宋体"/>
          <w:color w:val="auto"/>
          <w:szCs w:val="22"/>
          <w:highlight w:val="none"/>
        </w:rPr>
        <w:t>2</w:t>
      </w:r>
      <w:r>
        <w:rPr>
          <w:rFonts w:ascii="宋体" w:hAnsi="宋体"/>
          <w:color w:val="auto"/>
          <w:szCs w:val="22"/>
          <w:highlight w:val="none"/>
        </w:rPr>
        <w:t>.</w:t>
      </w:r>
      <w:r>
        <w:rPr>
          <w:rFonts w:hint="eastAsia" w:ascii="宋体" w:hAnsi="宋体"/>
          <w:color w:val="auto"/>
          <w:szCs w:val="22"/>
          <w:highlight w:val="none"/>
        </w:rPr>
        <w:t>投标人</w:t>
      </w:r>
      <w:r>
        <w:rPr>
          <w:rFonts w:hint="eastAsia" w:ascii="宋体" w:hAnsi="宋体"/>
          <w:color w:val="auto"/>
          <w:highlight w:val="none"/>
        </w:rPr>
        <w:t>应当</w:t>
      </w:r>
      <w:r>
        <w:rPr>
          <w:rFonts w:hint="eastAsia" w:ascii="宋体" w:hAnsi="宋体"/>
          <w:color w:val="auto"/>
          <w:szCs w:val="22"/>
          <w:highlight w:val="none"/>
        </w:rPr>
        <w:t>与招标文件《第二章  招标需求》的相关条款逐项比较，如有偏离的，须在本表中列明，并填写偏离情况说明。如投标人未在本表中列出偏离项并填写偏离情况说明，即使其在投标文件的其他部分说明与招标文件要求有所不同或回避不答，亦视为响应招标文件《第二章  招标需求》所提出的要求并签署合同。若中标人以上述事项为借口而不履行合同签订手续及履行合同，则按照相关法律法规的规定处理，响应情况由评标委员会认定。</w:t>
      </w:r>
    </w:p>
    <w:p>
      <w:pPr>
        <w:snapToGrid w:val="0"/>
        <w:spacing w:line="360" w:lineRule="auto"/>
        <w:ind w:left="-23" w:leftChars="-11" w:right="-57" w:rightChars="-27" w:firstLine="21" w:firstLineChars="10"/>
        <w:rPr>
          <w:rFonts w:ascii="宋体" w:hAnsi="宋体"/>
          <w:color w:val="auto"/>
          <w:szCs w:val="22"/>
          <w:highlight w:val="none"/>
        </w:rPr>
      </w:pPr>
      <w:r>
        <w:rPr>
          <w:rFonts w:ascii="宋体" w:hAnsi="宋体"/>
          <w:color w:val="auto"/>
          <w:szCs w:val="22"/>
          <w:highlight w:val="none"/>
        </w:rPr>
        <w:t>3</w:t>
      </w:r>
      <w:r>
        <w:rPr>
          <w:rFonts w:hint="eastAsia" w:ascii="宋体" w:hAnsi="宋体"/>
          <w:color w:val="auto"/>
          <w:szCs w:val="22"/>
          <w:highlight w:val="none"/>
        </w:rPr>
        <w:t>.投标人无论对《第二章  招标需求》的</w:t>
      </w:r>
      <w:r>
        <w:rPr>
          <w:rFonts w:hint="eastAsia" w:asciiTheme="minorEastAsia" w:hAnsiTheme="minorEastAsia" w:eastAsiaTheme="minorEastAsia"/>
          <w:color w:val="auto"/>
          <w:szCs w:val="21"/>
          <w:highlight w:val="none"/>
        </w:rPr>
        <w:t>技术或服务要求</w:t>
      </w:r>
      <w:r>
        <w:rPr>
          <w:rFonts w:hint="eastAsia" w:ascii="宋体" w:hAnsi="宋体"/>
          <w:color w:val="auto"/>
          <w:szCs w:val="22"/>
          <w:highlight w:val="none"/>
        </w:rPr>
        <w:t>有无偏离（不满足或优于）都应当将本表盖章后作为投标文件的一部分提交，未在投标文件中提供本表的按照</w:t>
      </w:r>
      <w:r>
        <w:rPr>
          <w:rFonts w:hint="eastAsia" w:ascii="宋体" w:hAnsi="宋体"/>
          <w:color w:val="auto"/>
          <w:highlight w:val="none"/>
        </w:rPr>
        <w:t>投标无效</w:t>
      </w:r>
      <w:r>
        <w:rPr>
          <w:rFonts w:hint="eastAsia" w:ascii="宋体" w:hAnsi="宋体"/>
          <w:color w:val="auto"/>
          <w:szCs w:val="22"/>
          <w:highlight w:val="none"/>
        </w:rPr>
        <w:t>处理。</w:t>
      </w:r>
    </w:p>
    <w:p>
      <w:pPr>
        <w:pStyle w:val="361"/>
        <w:spacing w:after="120"/>
        <w:ind w:left="0" w:leftChars="0"/>
        <w:rPr>
          <w:rFonts w:ascii="宋体" w:hAnsi="宋体"/>
          <w:color w:val="auto"/>
          <w:highlight w:val="none"/>
        </w:rPr>
      </w:pPr>
    </w:p>
    <w:p>
      <w:pPr>
        <w:snapToGrid w:val="0"/>
        <w:spacing w:line="360" w:lineRule="auto"/>
        <w:ind w:firstLine="3402" w:firstLineChars="1620"/>
        <w:rPr>
          <w:rFonts w:ascii="宋体" w:hAnsi="宋体"/>
          <w:color w:val="auto"/>
          <w:szCs w:val="21"/>
          <w:highlight w:val="none"/>
        </w:rPr>
      </w:pPr>
    </w:p>
    <w:p>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填写全称并加盖公章     </w:t>
      </w:r>
    </w:p>
    <w:p>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日  期：</w:t>
      </w:r>
    </w:p>
    <w:p>
      <w:pPr>
        <w:pStyle w:val="3"/>
        <w:ind w:firstLine="280"/>
        <w:rPr>
          <w:color w:val="auto"/>
          <w:highlight w:val="none"/>
        </w:rPr>
      </w:pPr>
    </w:p>
    <w:p>
      <w:pPr>
        <w:rPr>
          <w:color w:val="auto"/>
          <w:highlight w:val="none"/>
        </w:rPr>
      </w:pPr>
    </w:p>
    <w:p>
      <w:pPr>
        <w:pStyle w:val="2"/>
        <w:ind w:firstLine="560"/>
        <w:rPr>
          <w:rFonts w:asciiTheme="minorEastAsia" w:hAnsiTheme="minorEastAsia" w:eastAsiaTheme="minorEastAsia"/>
          <w:color w:val="auto"/>
          <w:highlight w:val="none"/>
        </w:rPr>
      </w:pPr>
    </w:p>
    <w:p>
      <w:pPr>
        <w:widowControl/>
        <w:ind w:firstLine="422"/>
        <w:jc w:val="left"/>
        <w:rPr>
          <w:rFonts w:cs="宋体" w:asciiTheme="minorEastAsia" w:hAnsiTheme="minorEastAsia" w:eastAsiaTheme="minorEastAsia"/>
          <w:b/>
          <w:color w:val="auto"/>
          <w:kern w:val="0"/>
          <w:szCs w:val="21"/>
          <w:highlight w:val="none"/>
        </w:rPr>
      </w:pPr>
      <w:r>
        <w:rPr>
          <w:rFonts w:cs="宋体" w:asciiTheme="minorEastAsia" w:hAnsiTheme="minorEastAsia" w:eastAsiaTheme="minorEastAsia"/>
          <w:b/>
          <w:color w:val="auto"/>
          <w:szCs w:val="21"/>
          <w:highlight w:val="none"/>
        </w:rPr>
        <w:br w:type="page"/>
      </w:r>
    </w:p>
    <w:p>
      <w:pPr>
        <w:pStyle w:val="20"/>
        <w:spacing w:line="360" w:lineRule="auto"/>
        <w:ind w:left="460" w:leftChars="0" w:firstLine="422"/>
        <w:jc w:val="center"/>
        <w:rPr>
          <w:rFonts w:asciiTheme="minorEastAsia" w:hAnsiTheme="minorEastAsia" w:eastAsiaTheme="minorEastAsia"/>
          <w:b/>
          <w:color w:val="auto"/>
          <w:highlight w:val="none"/>
        </w:rPr>
      </w:pPr>
      <w:r>
        <w:rPr>
          <w:rFonts w:hint="eastAsia" w:cs="宋体" w:asciiTheme="minorEastAsia" w:hAnsiTheme="minorEastAsia" w:eastAsiaTheme="minorEastAsia"/>
          <w:b/>
          <w:color w:val="auto"/>
          <w:sz w:val="21"/>
          <w:szCs w:val="21"/>
          <w:highlight w:val="none"/>
        </w:rPr>
        <w:t>（6）项目实施人员情况表</w:t>
      </w:r>
    </w:p>
    <w:tbl>
      <w:tblPr>
        <w:tblStyle w:val="4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27"/>
        <w:gridCol w:w="1167"/>
        <w:gridCol w:w="1275"/>
        <w:gridCol w:w="851"/>
        <w:gridCol w:w="850"/>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序号</w:t>
            </w:r>
          </w:p>
        </w:tc>
        <w:tc>
          <w:tcPr>
            <w:tcW w:w="1527" w:type="dxa"/>
            <w:vAlign w:val="center"/>
          </w:tcPr>
          <w:p>
            <w:pPr>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姓名</w:t>
            </w:r>
          </w:p>
        </w:tc>
        <w:tc>
          <w:tcPr>
            <w:tcW w:w="1167" w:type="dxa"/>
            <w:vAlign w:val="center"/>
          </w:tcPr>
          <w:p>
            <w:pPr>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本项目中的岗位</w:t>
            </w:r>
          </w:p>
        </w:tc>
        <w:tc>
          <w:tcPr>
            <w:tcW w:w="1275" w:type="dxa"/>
            <w:vAlign w:val="center"/>
          </w:tcPr>
          <w:p>
            <w:pPr>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本项目主要工作内容</w:t>
            </w:r>
          </w:p>
        </w:tc>
        <w:tc>
          <w:tcPr>
            <w:tcW w:w="851" w:type="dxa"/>
            <w:vAlign w:val="center"/>
          </w:tcPr>
          <w:p>
            <w:pPr>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年龄</w:t>
            </w:r>
          </w:p>
        </w:tc>
        <w:tc>
          <w:tcPr>
            <w:tcW w:w="850" w:type="dxa"/>
            <w:vAlign w:val="center"/>
          </w:tcPr>
          <w:p>
            <w:pPr>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性别</w:t>
            </w:r>
          </w:p>
        </w:tc>
        <w:tc>
          <w:tcPr>
            <w:tcW w:w="2694" w:type="dxa"/>
            <w:vAlign w:val="center"/>
          </w:tcPr>
          <w:p>
            <w:pPr>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学历、职称、执业资格等个人能力情况说明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1527" w:type="dxa"/>
            <w:vAlign w:val="center"/>
          </w:tcPr>
          <w:p>
            <w:pPr>
              <w:rPr>
                <w:rFonts w:asciiTheme="minorEastAsia" w:hAnsiTheme="minorEastAsia" w:eastAsiaTheme="minorEastAsia"/>
                <w:color w:val="auto"/>
                <w:szCs w:val="21"/>
                <w:highlight w:val="none"/>
              </w:rPr>
            </w:pPr>
          </w:p>
        </w:tc>
        <w:tc>
          <w:tcPr>
            <w:tcW w:w="1167" w:type="dxa"/>
            <w:vAlign w:val="center"/>
          </w:tcPr>
          <w:p>
            <w:pPr>
              <w:rPr>
                <w:rFonts w:asciiTheme="minorEastAsia" w:hAnsiTheme="minorEastAsia" w:eastAsiaTheme="minorEastAsia"/>
                <w:color w:val="auto"/>
                <w:szCs w:val="21"/>
                <w:highlight w:val="none"/>
              </w:rPr>
            </w:pPr>
          </w:p>
        </w:tc>
        <w:tc>
          <w:tcPr>
            <w:tcW w:w="1275" w:type="dxa"/>
            <w:vAlign w:val="center"/>
          </w:tcPr>
          <w:p>
            <w:pPr>
              <w:rPr>
                <w:rFonts w:asciiTheme="minorEastAsia" w:hAnsiTheme="minorEastAsia" w:eastAsiaTheme="minorEastAsia"/>
                <w:color w:val="auto"/>
                <w:szCs w:val="21"/>
                <w:highlight w:val="none"/>
              </w:rPr>
            </w:pPr>
          </w:p>
        </w:tc>
        <w:tc>
          <w:tcPr>
            <w:tcW w:w="851" w:type="dxa"/>
            <w:vAlign w:val="center"/>
          </w:tcPr>
          <w:p>
            <w:pPr>
              <w:rPr>
                <w:rFonts w:asciiTheme="minorEastAsia" w:hAnsiTheme="minorEastAsia" w:eastAsiaTheme="minorEastAsia"/>
                <w:color w:val="auto"/>
                <w:szCs w:val="21"/>
                <w:highlight w:val="none"/>
              </w:rPr>
            </w:pPr>
          </w:p>
        </w:tc>
        <w:tc>
          <w:tcPr>
            <w:tcW w:w="850" w:type="dxa"/>
            <w:vAlign w:val="center"/>
          </w:tcPr>
          <w:p>
            <w:pPr>
              <w:rPr>
                <w:rFonts w:asciiTheme="minorEastAsia" w:hAnsiTheme="minorEastAsia" w:eastAsiaTheme="minorEastAsia"/>
                <w:color w:val="auto"/>
                <w:szCs w:val="21"/>
                <w:highlight w:val="none"/>
              </w:rPr>
            </w:pPr>
          </w:p>
        </w:tc>
        <w:tc>
          <w:tcPr>
            <w:tcW w:w="2694" w:type="dxa"/>
            <w:vAlign w:val="center"/>
          </w:tcPr>
          <w:p>
            <w:pP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1527" w:type="dxa"/>
            <w:vAlign w:val="center"/>
          </w:tcPr>
          <w:p>
            <w:pPr>
              <w:rPr>
                <w:rFonts w:asciiTheme="minorEastAsia" w:hAnsiTheme="minorEastAsia" w:eastAsiaTheme="minorEastAsia"/>
                <w:color w:val="auto"/>
                <w:szCs w:val="21"/>
                <w:highlight w:val="none"/>
              </w:rPr>
            </w:pPr>
          </w:p>
        </w:tc>
        <w:tc>
          <w:tcPr>
            <w:tcW w:w="1167" w:type="dxa"/>
            <w:vAlign w:val="center"/>
          </w:tcPr>
          <w:p>
            <w:pPr>
              <w:rPr>
                <w:rFonts w:asciiTheme="minorEastAsia" w:hAnsiTheme="minorEastAsia" w:eastAsiaTheme="minorEastAsia"/>
                <w:color w:val="auto"/>
                <w:szCs w:val="21"/>
                <w:highlight w:val="none"/>
              </w:rPr>
            </w:pPr>
          </w:p>
        </w:tc>
        <w:tc>
          <w:tcPr>
            <w:tcW w:w="1275" w:type="dxa"/>
            <w:vAlign w:val="center"/>
          </w:tcPr>
          <w:p>
            <w:pPr>
              <w:rPr>
                <w:rFonts w:asciiTheme="minorEastAsia" w:hAnsiTheme="minorEastAsia" w:eastAsiaTheme="minorEastAsia"/>
                <w:color w:val="auto"/>
                <w:szCs w:val="21"/>
                <w:highlight w:val="none"/>
              </w:rPr>
            </w:pPr>
          </w:p>
        </w:tc>
        <w:tc>
          <w:tcPr>
            <w:tcW w:w="851" w:type="dxa"/>
            <w:vAlign w:val="center"/>
          </w:tcPr>
          <w:p>
            <w:pPr>
              <w:rPr>
                <w:rFonts w:asciiTheme="minorEastAsia" w:hAnsiTheme="minorEastAsia" w:eastAsiaTheme="minorEastAsia"/>
                <w:color w:val="auto"/>
                <w:szCs w:val="21"/>
                <w:highlight w:val="none"/>
              </w:rPr>
            </w:pPr>
          </w:p>
        </w:tc>
        <w:tc>
          <w:tcPr>
            <w:tcW w:w="850" w:type="dxa"/>
            <w:vAlign w:val="center"/>
          </w:tcPr>
          <w:p>
            <w:pPr>
              <w:rPr>
                <w:rFonts w:asciiTheme="minorEastAsia" w:hAnsiTheme="minorEastAsia" w:eastAsiaTheme="minorEastAsia"/>
                <w:color w:val="auto"/>
                <w:szCs w:val="21"/>
                <w:highlight w:val="none"/>
              </w:rPr>
            </w:pPr>
          </w:p>
        </w:tc>
        <w:tc>
          <w:tcPr>
            <w:tcW w:w="2694" w:type="dxa"/>
            <w:vAlign w:val="center"/>
          </w:tcPr>
          <w:p>
            <w:pP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1527" w:type="dxa"/>
            <w:vAlign w:val="center"/>
          </w:tcPr>
          <w:p>
            <w:pPr>
              <w:rPr>
                <w:rFonts w:asciiTheme="minorEastAsia" w:hAnsiTheme="minorEastAsia" w:eastAsiaTheme="minorEastAsia"/>
                <w:color w:val="auto"/>
                <w:szCs w:val="21"/>
                <w:highlight w:val="none"/>
              </w:rPr>
            </w:pPr>
          </w:p>
        </w:tc>
        <w:tc>
          <w:tcPr>
            <w:tcW w:w="1167" w:type="dxa"/>
            <w:vAlign w:val="center"/>
          </w:tcPr>
          <w:p>
            <w:pPr>
              <w:rPr>
                <w:rFonts w:asciiTheme="minorEastAsia" w:hAnsiTheme="minorEastAsia" w:eastAsiaTheme="minorEastAsia"/>
                <w:color w:val="auto"/>
                <w:szCs w:val="21"/>
                <w:highlight w:val="none"/>
              </w:rPr>
            </w:pPr>
          </w:p>
        </w:tc>
        <w:tc>
          <w:tcPr>
            <w:tcW w:w="1275" w:type="dxa"/>
            <w:vAlign w:val="center"/>
          </w:tcPr>
          <w:p>
            <w:pPr>
              <w:rPr>
                <w:rFonts w:asciiTheme="minorEastAsia" w:hAnsiTheme="minorEastAsia" w:eastAsiaTheme="minorEastAsia"/>
                <w:color w:val="auto"/>
                <w:szCs w:val="21"/>
                <w:highlight w:val="none"/>
              </w:rPr>
            </w:pPr>
          </w:p>
        </w:tc>
        <w:tc>
          <w:tcPr>
            <w:tcW w:w="851" w:type="dxa"/>
            <w:vAlign w:val="center"/>
          </w:tcPr>
          <w:p>
            <w:pPr>
              <w:rPr>
                <w:rFonts w:asciiTheme="minorEastAsia" w:hAnsiTheme="minorEastAsia" w:eastAsiaTheme="minorEastAsia"/>
                <w:color w:val="auto"/>
                <w:szCs w:val="21"/>
                <w:highlight w:val="none"/>
              </w:rPr>
            </w:pPr>
          </w:p>
        </w:tc>
        <w:tc>
          <w:tcPr>
            <w:tcW w:w="850" w:type="dxa"/>
            <w:vAlign w:val="center"/>
          </w:tcPr>
          <w:p>
            <w:pPr>
              <w:rPr>
                <w:rFonts w:asciiTheme="minorEastAsia" w:hAnsiTheme="minorEastAsia" w:eastAsiaTheme="minorEastAsia"/>
                <w:color w:val="auto"/>
                <w:szCs w:val="21"/>
                <w:highlight w:val="none"/>
              </w:rPr>
            </w:pPr>
          </w:p>
        </w:tc>
        <w:tc>
          <w:tcPr>
            <w:tcW w:w="2694" w:type="dxa"/>
            <w:vAlign w:val="center"/>
          </w:tcPr>
          <w:p>
            <w:pP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p>
        </w:tc>
        <w:tc>
          <w:tcPr>
            <w:tcW w:w="1527" w:type="dxa"/>
            <w:vAlign w:val="center"/>
          </w:tcPr>
          <w:p>
            <w:pPr>
              <w:rPr>
                <w:rFonts w:asciiTheme="minorEastAsia" w:hAnsiTheme="minorEastAsia" w:eastAsiaTheme="minorEastAsia"/>
                <w:color w:val="auto"/>
                <w:szCs w:val="21"/>
                <w:highlight w:val="none"/>
              </w:rPr>
            </w:pPr>
          </w:p>
        </w:tc>
        <w:tc>
          <w:tcPr>
            <w:tcW w:w="1167" w:type="dxa"/>
            <w:vAlign w:val="center"/>
          </w:tcPr>
          <w:p>
            <w:pPr>
              <w:rPr>
                <w:rFonts w:asciiTheme="minorEastAsia" w:hAnsiTheme="minorEastAsia" w:eastAsiaTheme="minorEastAsia"/>
                <w:color w:val="auto"/>
                <w:szCs w:val="21"/>
                <w:highlight w:val="none"/>
              </w:rPr>
            </w:pPr>
          </w:p>
        </w:tc>
        <w:tc>
          <w:tcPr>
            <w:tcW w:w="1275" w:type="dxa"/>
            <w:vAlign w:val="center"/>
          </w:tcPr>
          <w:p>
            <w:pPr>
              <w:rPr>
                <w:rFonts w:asciiTheme="minorEastAsia" w:hAnsiTheme="minorEastAsia" w:eastAsiaTheme="minorEastAsia"/>
                <w:color w:val="auto"/>
                <w:szCs w:val="21"/>
                <w:highlight w:val="none"/>
              </w:rPr>
            </w:pPr>
          </w:p>
        </w:tc>
        <w:tc>
          <w:tcPr>
            <w:tcW w:w="851" w:type="dxa"/>
            <w:vAlign w:val="center"/>
          </w:tcPr>
          <w:p>
            <w:pPr>
              <w:rPr>
                <w:rFonts w:asciiTheme="minorEastAsia" w:hAnsiTheme="minorEastAsia" w:eastAsiaTheme="minorEastAsia"/>
                <w:color w:val="auto"/>
                <w:szCs w:val="21"/>
                <w:highlight w:val="none"/>
              </w:rPr>
            </w:pPr>
          </w:p>
        </w:tc>
        <w:tc>
          <w:tcPr>
            <w:tcW w:w="850" w:type="dxa"/>
            <w:vAlign w:val="center"/>
          </w:tcPr>
          <w:p>
            <w:pPr>
              <w:rPr>
                <w:rFonts w:asciiTheme="minorEastAsia" w:hAnsiTheme="minorEastAsia" w:eastAsiaTheme="minorEastAsia"/>
                <w:color w:val="auto"/>
                <w:szCs w:val="21"/>
                <w:highlight w:val="none"/>
              </w:rPr>
            </w:pPr>
          </w:p>
        </w:tc>
        <w:tc>
          <w:tcPr>
            <w:tcW w:w="2694" w:type="dxa"/>
            <w:vAlign w:val="center"/>
          </w:tcPr>
          <w:p>
            <w:pP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p>
        </w:tc>
        <w:tc>
          <w:tcPr>
            <w:tcW w:w="1527" w:type="dxa"/>
            <w:vAlign w:val="center"/>
          </w:tcPr>
          <w:p>
            <w:pPr>
              <w:rPr>
                <w:rFonts w:asciiTheme="minorEastAsia" w:hAnsiTheme="minorEastAsia" w:eastAsiaTheme="minorEastAsia"/>
                <w:color w:val="auto"/>
                <w:szCs w:val="21"/>
                <w:highlight w:val="none"/>
              </w:rPr>
            </w:pPr>
          </w:p>
        </w:tc>
        <w:tc>
          <w:tcPr>
            <w:tcW w:w="1167" w:type="dxa"/>
            <w:vAlign w:val="center"/>
          </w:tcPr>
          <w:p>
            <w:pPr>
              <w:rPr>
                <w:rFonts w:asciiTheme="minorEastAsia" w:hAnsiTheme="minorEastAsia" w:eastAsiaTheme="minorEastAsia"/>
                <w:color w:val="auto"/>
                <w:szCs w:val="21"/>
                <w:highlight w:val="none"/>
              </w:rPr>
            </w:pPr>
          </w:p>
        </w:tc>
        <w:tc>
          <w:tcPr>
            <w:tcW w:w="1275" w:type="dxa"/>
            <w:vAlign w:val="center"/>
          </w:tcPr>
          <w:p>
            <w:pPr>
              <w:rPr>
                <w:rFonts w:asciiTheme="minorEastAsia" w:hAnsiTheme="minorEastAsia" w:eastAsiaTheme="minorEastAsia"/>
                <w:color w:val="auto"/>
                <w:szCs w:val="21"/>
                <w:highlight w:val="none"/>
              </w:rPr>
            </w:pPr>
          </w:p>
        </w:tc>
        <w:tc>
          <w:tcPr>
            <w:tcW w:w="851" w:type="dxa"/>
            <w:vAlign w:val="center"/>
          </w:tcPr>
          <w:p>
            <w:pPr>
              <w:rPr>
                <w:rFonts w:asciiTheme="minorEastAsia" w:hAnsiTheme="minorEastAsia" w:eastAsiaTheme="minorEastAsia"/>
                <w:color w:val="auto"/>
                <w:szCs w:val="21"/>
                <w:highlight w:val="none"/>
              </w:rPr>
            </w:pPr>
          </w:p>
        </w:tc>
        <w:tc>
          <w:tcPr>
            <w:tcW w:w="850" w:type="dxa"/>
            <w:vAlign w:val="center"/>
          </w:tcPr>
          <w:p>
            <w:pPr>
              <w:rPr>
                <w:rFonts w:asciiTheme="minorEastAsia" w:hAnsiTheme="minorEastAsia" w:eastAsiaTheme="minorEastAsia"/>
                <w:color w:val="auto"/>
                <w:szCs w:val="21"/>
                <w:highlight w:val="none"/>
              </w:rPr>
            </w:pPr>
          </w:p>
        </w:tc>
        <w:tc>
          <w:tcPr>
            <w:tcW w:w="2694" w:type="dxa"/>
            <w:vAlign w:val="center"/>
          </w:tcPr>
          <w:p>
            <w:pP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527" w:type="dxa"/>
            <w:vAlign w:val="center"/>
          </w:tcPr>
          <w:p>
            <w:pPr>
              <w:rPr>
                <w:rFonts w:asciiTheme="minorEastAsia" w:hAnsiTheme="minorEastAsia" w:eastAsiaTheme="minorEastAsia"/>
                <w:color w:val="auto"/>
                <w:szCs w:val="21"/>
                <w:highlight w:val="none"/>
              </w:rPr>
            </w:pPr>
          </w:p>
        </w:tc>
        <w:tc>
          <w:tcPr>
            <w:tcW w:w="1167" w:type="dxa"/>
            <w:vAlign w:val="center"/>
          </w:tcPr>
          <w:p>
            <w:pPr>
              <w:rPr>
                <w:rFonts w:asciiTheme="minorEastAsia" w:hAnsiTheme="minorEastAsia" w:eastAsiaTheme="minorEastAsia"/>
                <w:color w:val="auto"/>
                <w:szCs w:val="21"/>
                <w:highlight w:val="none"/>
              </w:rPr>
            </w:pPr>
          </w:p>
        </w:tc>
        <w:tc>
          <w:tcPr>
            <w:tcW w:w="1275" w:type="dxa"/>
            <w:vAlign w:val="center"/>
          </w:tcPr>
          <w:p>
            <w:pPr>
              <w:rPr>
                <w:rFonts w:asciiTheme="minorEastAsia" w:hAnsiTheme="minorEastAsia" w:eastAsiaTheme="minorEastAsia"/>
                <w:color w:val="auto"/>
                <w:szCs w:val="21"/>
                <w:highlight w:val="none"/>
              </w:rPr>
            </w:pPr>
          </w:p>
        </w:tc>
        <w:tc>
          <w:tcPr>
            <w:tcW w:w="851" w:type="dxa"/>
            <w:vAlign w:val="center"/>
          </w:tcPr>
          <w:p>
            <w:pPr>
              <w:rPr>
                <w:rFonts w:asciiTheme="minorEastAsia" w:hAnsiTheme="minorEastAsia" w:eastAsiaTheme="minorEastAsia"/>
                <w:color w:val="auto"/>
                <w:szCs w:val="21"/>
                <w:highlight w:val="none"/>
              </w:rPr>
            </w:pPr>
          </w:p>
        </w:tc>
        <w:tc>
          <w:tcPr>
            <w:tcW w:w="850" w:type="dxa"/>
            <w:vAlign w:val="center"/>
          </w:tcPr>
          <w:p>
            <w:pPr>
              <w:rPr>
                <w:rFonts w:asciiTheme="minorEastAsia" w:hAnsiTheme="minorEastAsia" w:eastAsiaTheme="minorEastAsia"/>
                <w:color w:val="auto"/>
                <w:szCs w:val="21"/>
                <w:highlight w:val="none"/>
              </w:rPr>
            </w:pPr>
          </w:p>
        </w:tc>
        <w:tc>
          <w:tcPr>
            <w:tcW w:w="2694" w:type="dxa"/>
            <w:vAlign w:val="center"/>
          </w:tcPr>
          <w:p>
            <w:pPr>
              <w:rPr>
                <w:rFonts w:asciiTheme="minorEastAsia" w:hAnsiTheme="minorEastAsia" w:eastAsiaTheme="minorEastAsia"/>
                <w:color w:val="auto"/>
                <w:szCs w:val="21"/>
                <w:highlight w:val="none"/>
              </w:rPr>
            </w:pPr>
          </w:p>
        </w:tc>
      </w:tr>
    </w:tbl>
    <w:p>
      <w:pPr>
        <w:snapToGrid w:val="0"/>
        <w:spacing w:before="50" w:after="50" w:line="360" w:lineRule="auto"/>
        <w:ind w:left="-23" w:leftChars="-11" w:right="-57" w:rightChars="-27" w:firstLine="21" w:firstLineChars="1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注：</w:t>
      </w:r>
    </w:p>
    <w:p>
      <w:pPr>
        <w:snapToGrid w:val="0"/>
        <w:spacing w:before="50" w:after="50" w:line="360" w:lineRule="auto"/>
        <w:ind w:left="-23" w:leftChars="-11" w:right="-57" w:rightChars="-27" w:firstLine="21" w:firstLineChars="1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1.项目负责人等与评审因素相关的人员必须列入本表并明确，否则在评审中不予认可。项目负责人仅限一名。</w:t>
      </w:r>
    </w:p>
    <w:p>
      <w:pPr>
        <w:snapToGrid w:val="0"/>
        <w:spacing w:before="50" w:after="50" w:line="360" w:lineRule="auto"/>
        <w:ind w:left="-23" w:leftChars="-11" w:right="-57" w:rightChars="-27" w:firstLine="21" w:firstLineChars="1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2.列入本表</w:t>
      </w:r>
      <w:r>
        <w:rPr>
          <w:rFonts w:hint="eastAsia" w:asciiTheme="minorEastAsia" w:hAnsiTheme="minorEastAsia" w:eastAsiaTheme="minorEastAsia"/>
          <w:color w:val="auto"/>
          <w:highlight w:val="none"/>
        </w:rPr>
        <w:t>的人员</w:t>
      </w:r>
      <w:r>
        <w:rPr>
          <w:rFonts w:hint="eastAsia" w:cs="宋体" w:asciiTheme="minorEastAsia" w:hAnsiTheme="minorEastAsia" w:eastAsiaTheme="minorEastAsia"/>
          <w:color w:val="auto"/>
          <w:highlight w:val="none"/>
        </w:rPr>
        <w:t>如要更换，需经采购人同意，擅自更换或不到位属于违约行为。</w:t>
      </w:r>
    </w:p>
    <w:p>
      <w:pPr>
        <w:spacing w:line="360" w:lineRule="auto"/>
        <w:ind w:left="924" w:hanging="924" w:hangingChars="44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3.学历、职称、执业资格等个人能力证明材料的复印件后附。</w:t>
      </w:r>
    </w:p>
    <w:p>
      <w:pPr>
        <w:spacing w:line="360" w:lineRule="auto"/>
        <w:ind w:left="924" w:hanging="924" w:hangingChars="44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4.投标文件内提供评分标准要求的证明材料，未提供佐证能力等证书证件复印件的将不被认定。</w:t>
      </w:r>
    </w:p>
    <w:p>
      <w:pPr>
        <w:snapToGrid w:val="0"/>
        <w:spacing w:line="360" w:lineRule="auto"/>
        <w:rPr>
          <w:rFonts w:asciiTheme="minorEastAsia" w:hAnsiTheme="minorEastAsia" w:eastAsiaTheme="minorEastAsia"/>
          <w:color w:val="auto"/>
          <w:szCs w:val="21"/>
          <w:highlight w:val="none"/>
        </w:rPr>
      </w:pPr>
    </w:p>
    <w:p>
      <w:pPr>
        <w:pStyle w:val="20"/>
        <w:spacing w:line="360" w:lineRule="auto"/>
        <w:jc w:val="center"/>
        <w:rPr>
          <w:rFonts w:asciiTheme="minorEastAsia" w:hAnsiTheme="minorEastAsia" w:eastAsiaTheme="minorEastAsia"/>
          <w:color w:val="auto"/>
          <w:sz w:val="21"/>
          <w:szCs w:val="21"/>
          <w:highlight w:val="none"/>
        </w:rPr>
      </w:pPr>
    </w:p>
    <w:p>
      <w:pPr>
        <w:pStyle w:val="20"/>
        <w:spacing w:line="360" w:lineRule="auto"/>
        <w:ind w:left="436" w:leftChars="0" w:firstLine="400"/>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br w:type="page"/>
      </w:r>
      <w:r>
        <w:rPr>
          <w:rFonts w:hint="eastAsia" w:cs="宋体" w:asciiTheme="minorEastAsia" w:hAnsiTheme="minorEastAsia" w:eastAsiaTheme="minorEastAsia"/>
          <w:b/>
          <w:color w:val="auto"/>
          <w:sz w:val="21"/>
          <w:szCs w:val="21"/>
          <w:highlight w:val="none"/>
        </w:rPr>
        <w:t>（7）类似项目业绩一览表</w:t>
      </w:r>
    </w:p>
    <w:tbl>
      <w:tblPr>
        <w:tblStyle w:val="44"/>
        <w:tblW w:w="9111"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7"/>
        <w:gridCol w:w="1560"/>
        <w:gridCol w:w="3543"/>
        <w:gridCol w:w="326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序号</w:t>
            </w:r>
          </w:p>
        </w:tc>
        <w:tc>
          <w:tcPr>
            <w:tcW w:w="1560" w:type="dxa"/>
            <w:vAlign w:val="center"/>
          </w:tcPr>
          <w:p>
            <w:pPr>
              <w:spacing w:line="300" w:lineRule="exact"/>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项目名称</w:t>
            </w:r>
          </w:p>
        </w:tc>
        <w:tc>
          <w:tcPr>
            <w:tcW w:w="3543" w:type="dxa"/>
            <w:tcBorders>
              <w:right w:val="single" w:color="auto" w:sz="4" w:space="0"/>
            </w:tcBorders>
            <w:vAlign w:val="center"/>
          </w:tcPr>
          <w:p>
            <w:pPr>
              <w:spacing w:line="300" w:lineRule="exact"/>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合同内容范围（主要产品）</w:t>
            </w:r>
          </w:p>
        </w:tc>
        <w:tc>
          <w:tcPr>
            <w:tcW w:w="3261" w:type="dxa"/>
            <w:tcBorders>
              <w:right w:val="single" w:color="auto" w:sz="4" w:space="0"/>
            </w:tcBorders>
            <w:vAlign w:val="center"/>
          </w:tcPr>
          <w:p>
            <w:pPr>
              <w:spacing w:line="300" w:lineRule="exact"/>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用户联系人及其联系电话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w:t>
            </w:r>
          </w:p>
        </w:tc>
        <w:tc>
          <w:tcPr>
            <w:tcW w:w="1560" w:type="dxa"/>
            <w:vAlign w:val="center"/>
          </w:tcPr>
          <w:p>
            <w:pPr>
              <w:jc w:val="center"/>
              <w:rPr>
                <w:rFonts w:asciiTheme="minorEastAsia" w:hAnsiTheme="minorEastAsia" w:eastAsiaTheme="minorEastAsia"/>
                <w:color w:val="auto"/>
                <w:szCs w:val="21"/>
                <w:highlight w:val="none"/>
              </w:rPr>
            </w:pPr>
          </w:p>
        </w:tc>
        <w:tc>
          <w:tcPr>
            <w:tcW w:w="3543" w:type="dxa"/>
            <w:tcBorders>
              <w:right w:val="single" w:color="auto" w:sz="4" w:space="0"/>
            </w:tcBorders>
            <w:vAlign w:val="center"/>
          </w:tcPr>
          <w:p>
            <w:pPr>
              <w:jc w:val="center"/>
              <w:rPr>
                <w:rFonts w:asciiTheme="minorEastAsia" w:hAnsiTheme="minorEastAsia" w:eastAsiaTheme="minorEastAsia"/>
                <w:color w:val="auto"/>
                <w:szCs w:val="21"/>
                <w:highlight w:val="none"/>
              </w:rPr>
            </w:pPr>
          </w:p>
        </w:tc>
        <w:tc>
          <w:tcPr>
            <w:tcW w:w="3261" w:type="dxa"/>
            <w:tcBorders>
              <w:right w:val="single" w:color="auto" w:sz="4" w:space="0"/>
            </w:tcBorders>
            <w:vAlign w:val="center"/>
          </w:tcPr>
          <w:p>
            <w:pPr>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2</w:t>
            </w:r>
          </w:p>
        </w:tc>
        <w:tc>
          <w:tcPr>
            <w:tcW w:w="1560" w:type="dxa"/>
            <w:vAlign w:val="center"/>
          </w:tcPr>
          <w:p>
            <w:pPr>
              <w:jc w:val="center"/>
              <w:rPr>
                <w:rFonts w:asciiTheme="minorEastAsia" w:hAnsiTheme="minorEastAsia" w:eastAsiaTheme="minorEastAsia"/>
                <w:color w:val="auto"/>
                <w:szCs w:val="21"/>
                <w:highlight w:val="none"/>
              </w:rPr>
            </w:pPr>
          </w:p>
        </w:tc>
        <w:tc>
          <w:tcPr>
            <w:tcW w:w="3543" w:type="dxa"/>
            <w:tcBorders>
              <w:right w:val="single" w:color="auto" w:sz="4" w:space="0"/>
            </w:tcBorders>
            <w:vAlign w:val="center"/>
          </w:tcPr>
          <w:p>
            <w:pPr>
              <w:jc w:val="center"/>
              <w:rPr>
                <w:rFonts w:asciiTheme="minorEastAsia" w:hAnsiTheme="minorEastAsia" w:eastAsiaTheme="minorEastAsia"/>
                <w:color w:val="auto"/>
                <w:szCs w:val="21"/>
                <w:highlight w:val="none"/>
              </w:rPr>
            </w:pPr>
          </w:p>
        </w:tc>
        <w:tc>
          <w:tcPr>
            <w:tcW w:w="3261" w:type="dxa"/>
            <w:tcBorders>
              <w:right w:val="single" w:color="auto" w:sz="4" w:space="0"/>
            </w:tcBorders>
            <w:vAlign w:val="center"/>
          </w:tcPr>
          <w:p>
            <w:pPr>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w:t>
            </w:r>
          </w:p>
        </w:tc>
        <w:tc>
          <w:tcPr>
            <w:tcW w:w="1560" w:type="dxa"/>
            <w:vAlign w:val="center"/>
          </w:tcPr>
          <w:p>
            <w:pPr>
              <w:jc w:val="center"/>
              <w:rPr>
                <w:rFonts w:asciiTheme="minorEastAsia" w:hAnsiTheme="minorEastAsia" w:eastAsiaTheme="minorEastAsia"/>
                <w:color w:val="auto"/>
                <w:szCs w:val="21"/>
                <w:highlight w:val="none"/>
              </w:rPr>
            </w:pPr>
          </w:p>
        </w:tc>
        <w:tc>
          <w:tcPr>
            <w:tcW w:w="3543" w:type="dxa"/>
            <w:tcBorders>
              <w:right w:val="single" w:color="auto" w:sz="4" w:space="0"/>
            </w:tcBorders>
            <w:vAlign w:val="center"/>
          </w:tcPr>
          <w:p>
            <w:pPr>
              <w:jc w:val="center"/>
              <w:rPr>
                <w:rFonts w:asciiTheme="minorEastAsia" w:hAnsiTheme="minorEastAsia" w:eastAsiaTheme="minorEastAsia"/>
                <w:color w:val="auto"/>
                <w:szCs w:val="21"/>
                <w:highlight w:val="none"/>
              </w:rPr>
            </w:pPr>
          </w:p>
        </w:tc>
        <w:tc>
          <w:tcPr>
            <w:tcW w:w="3261" w:type="dxa"/>
            <w:tcBorders>
              <w:right w:val="single" w:color="auto" w:sz="4" w:space="0"/>
            </w:tcBorders>
            <w:vAlign w:val="center"/>
          </w:tcPr>
          <w:p>
            <w:pPr>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4</w:t>
            </w:r>
          </w:p>
        </w:tc>
        <w:tc>
          <w:tcPr>
            <w:tcW w:w="1560" w:type="dxa"/>
            <w:vAlign w:val="center"/>
          </w:tcPr>
          <w:p>
            <w:pPr>
              <w:jc w:val="center"/>
              <w:rPr>
                <w:rFonts w:asciiTheme="minorEastAsia" w:hAnsiTheme="minorEastAsia" w:eastAsiaTheme="minorEastAsia"/>
                <w:color w:val="auto"/>
                <w:szCs w:val="21"/>
                <w:highlight w:val="none"/>
              </w:rPr>
            </w:pPr>
          </w:p>
        </w:tc>
        <w:tc>
          <w:tcPr>
            <w:tcW w:w="3543" w:type="dxa"/>
            <w:tcBorders>
              <w:right w:val="single" w:color="auto" w:sz="4" w:space="0"/>
            </w:tcBorders>
            <w:vAlign w:val="center"/>
          </w:tcPr>
          <w:p>
            <w:pPr>
              <w:jc w:val="center"/>
              <w:rPr>
                <w:rFonts w:asciiTheme="minorEastAsia" w:hAnsiTheme="minorEastAsia" w:eastAsiaTheme="minorEastAsia"/>
                <w:color w:val="auto"/>
                <w:szCs w:val="21"/>
                <w:highlight w:val="none"/>
              </w:rPr>
            </w:pPr>
          </w:p>
        </w:tc>
        <w:tc>
          <w:tcPr>
            <w:tcW w:w="3261" w:type="dxa"/>
            <w:tcBorders>
              <w:right w:val="single" w:color="auto" w:sz="4" w:space="0"/>
            </w:tcBorders>
            <w:vAlign w:val="center"/>
          </w:tcPr>
          <w:p>
            <w:pPr>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5</w:t>
            </w:r>
          </w:p>
        </w:tc>
        <w:tc>
          <w:tcPr>
            <w:tcW w:w="1560" w:type="dxa"/>
            <w:vAlign w:val="center"/>
          </w:tcPr>
          <w:p>
            <w:pPr>
              <w:jc w:val="center"/>
              <w:rPr>
                <w:rFonts w:asciiTheme="minorEastAsia" w:hAnsiTheme="minorEastAsia" w:eastAsiaTheme="minorEastAsia"/>
                <w:color w:val="auto"/>
                <w:szCs w:val="21"/>
                <w:highlight w:val="none"/>
              </w:rPr>
            </w:pPr>
          </w:p>
        </w:tc>
        <w:tc>
          <w:tcPr>
            <w:tcW w:w="3543" w:type="dxa"/>
            <w:tcBorders>
              <w:right w:val="single" w:color="auto" w:sz="4" w:space="0"/>
            </w:tcBorders>
            <w:vAlign w:val="center"/>
          </w:tcPr>
          <w:p>
            <w:pPr>
              <w:jc w:val="center"/>
              <w:rPr>
                <w:rFonts w:asciiTheme="minorEastAsia" w:hAnsiTheme="minorEastAsia" w:eastAsiaTheme="minorEastAsia"/>
                <w:color w:val="auto"/>
                <w:szCs w:val="21"/>
                <w:highlight w:val="none"/>
              </w:rPr>
            </w:pPr>
          </w:p>
        </w:tc>
        <w:tc>
          <w:tcPr>
            <w:tcW w:w="3261" w:type="dxa"/>
            <w:tcBorders>
              <w:right w:val="single" w:color="auto" w:sz="4" w:space="0"/>
            </w:tcBorders>
            <w:vAlign w:val="center"/>
          </w:tcPr>
          <w:p>
            <w:pPr>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w:t>
            </w:r>
          </w:p>
        </w:tc>
        <w:tc>
          <w:tcPr>
            <w:tcW w:w="1560" w:type="dxa"/>
            <w:vAlign w:val="center"/>
          </w:tcPr>
          <w:p>
            <w:pPr>
              <w:jc w:val="center"/>
              <w:rPr>
                <w:rFonts w:asciiTheme="minorEastAsia" w:hAnsiTheme="minorEastAsia" w:eastAsiaTheme="minorEastAsia"/>
                <w:color w:val="auto"/>
                <w:szCs w:val="21"/>
                <w:highlight w:val="none"/>
              </w:rPr>
            </w:pPr>
          </w:p>
        </w:tc>
        <w:tc>
          <w:tcPr>
            <w:tcW w:w="3543" w:type="dxa"/>
            <w:tcBorders>
              <w:right w:val="single" w:color="auto" w:sz="4" w:space="0"/>
            </w:tcBorders>
            <w:vAlign w:val="center"/>
          </w:tcPr>
          <w:p>
            <w:pPr>
              <w:jc w:val="center"/>
              <w:rPr>
                <w:rFonts w:asciiTheme="minorEastAsia" w:hAnsiTheme="minorEastAsia" w:eastAsiaTheme="minorEastAsia"/>
                <w:color w:val="auto"/>
                <w:szCs w:val="21"/>
                <w:highlight w:val="none"/>
              </w:rPr>
            </w:pPr>
          </w:p>
        </w:tc>
        <w:tc>
          <w:tcPr>
            <w:tcW w:w="3261" w:type="dxa"/>
            <w:tcBorders>
              <w:right w:val="single" w:color="auto" w:sz="4" w:space="0"/>
            </w:tcBorders>
            <w:vAlign w:val="center"/>
          </w:tcPr>
          <w:p>
            <w:pPr>
              <w:jc w:val="center"/>
              <w:rPr>
                <w:rFonts w:asciiTheme="minorEastAsia" w:hAnsiTheme="minorEastAsia" w:eastAsiaTheme="minorEastAsia"/>
                <w:color w:val="auto"/>
                <w:szCs w:val="21"/>
                <w:highlight w:val="none"/>
              </w:rPr>
            </w:pPr>
          </w:p>
        </w:tc>
      </w:tr>
    </w:tbl>
    <w:p>
      <w:pPr>
        <w:spacing w:line="360" w:lineRule="auto"/>
        <w:ind w:left="924" w:hanging="924" w:hangingChars="440"/>
        <w:rPr>
          <w:rFonts w:cs="宋体" w:asciiTheme="minorEastAsia" w:hAnsiTheme="minorEastAsia" w:eastAsiaTheme="minorEastAsia"/>
          <w:color w:val="auto"/>
          <w:highlight w:val="none"/>
        </w:rPr>
      </w:pPr>
      <w:r>
        <w:rPr>
          <w:rFonts w:hint="eastAsia" w:cs="宋体" w:asciiTheme="minorEastAsia" w:hAnsiTheme="minorEastAsia" w:eastAsiaTheme="minorEastAsia"/>
          <w:bCs/>
          <w:color w:val="auto"/>
          <w:szCs w:val="21"/>
          <w:highlight w:val="none"/>
        </w:rPr>
        <w:t>注：根据评委打分表的要求提供证明材料</w:t>
      </w:r>
      <w:r>
        <w:rPr>
          <w:rFonts w:hint="eastAsia" w:asciiTheme="minorEastAsia" w:hAnsiTheme="minorEastAsia" w:eastAsiaTheme="minorEastAsia"/>
          <w:color w:val="auto"/>
          <w:szCs w:val="21"/>
          <w:highlight w:val="none"/>
        </w:rPr>
        <w:t>。</w:t>
      </w:r>
    </w:p>
    <w:p>
      <w:pPr>
        <w:snapToGrid w:val="0"/>
        <w:spacing w:before="50" w:after="50" w:line="360" w:lineRule="auto"/>
        <w:ind w:left="-23" w:leftChars="-11" w:right="27" w:rightChars="13" w:firstLine="21" w:firstLineChars="10"/>
        <w:rPr>
          <w:rFonts w:cs="宋体" w:asciiTheme="minorEastAsia" w:hAnsiTheme="minorEastAsia" w:eastAsiaTheme="minorEastAsia"/>
          <w:bCs/>
          <w:color w:val="auto"/>
          <w:szCs w:val="21"/>
          <w:highlight w:val="none"/>
        </w:rPr>
      </w:pPr>
    </w:p>
    <w:p>
      <w:pPr>
        <w:widowControl/>
        <w:jc w:val="lef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br w:type="page"/>
      </w:r>
    </w:p>
    <w:p>
      <w:pPr>
        <w:widowControl/>
        <w:ind w:firstLine="422"/>
        <w:jc w:val="center"/>
        <w:rPr>
          <w:rFonts w:ascii="宋体" w:hAnsi="宋体"/>
          <w:color w:val="auto"/>
          <w:szCs w:val="21"/>
          <w:highlight w:val="none"/>
        </w:rPr>
      </w:pPr>
      <w:r>
        <w:rPr>
          <w:rFonts w:hint="eastAsia" w:cs="宋体" w:asciiTheme="minorEastAsia" w:hAnsiTheme="minorEastAsia" w:eastAsiaTheme="minorEastAsia"/>
          <w:b/>
          <w:color w:val="auto"/>
          <w:szCs w:val="21"/>
          <w:highlight w:val="none"/>
        </w:rPr>
        <w:t>（</w:t>
      </w:r>
      <w:r>
        <w:rPr>
          <w:rFonts w:cs="宋体" w:asciiTheme="minorEastAsia" w:hAnsiTheme="minorEastAsia" w:eastAsiaTheme="minorEastAsia"/>
          <w:b/>
          <w:color w:val="auto"/>
          <w:szCs w:val="21"/>
          <w:highlight w:val="none"/>
        </w:rPr>
        <w:t>8</w:t>
      </w:r>
      <w:r>
        <w:rPr>
          <w:rFonts w:hint="eastAsia" w:cs="宋体" w:asciiTheme="minorEastAsia" w:hAnsiTheme="minorEastAsia" w:eastAsiaTheme="minorEastAsia"/>
          <w:b/>
          <w:color w:val="auto"/>
          <w:szCs w:val="21"/>
          <w:highlight w:val="none"/>
        </w:rPr>
        <w:t>）</w:t>
      </w:r>
      <w:r>
        <w:rPr>
          <w:rFonts w:hint="eastAsia" w:ascii="宋体" w:hAnsi="宋体" w:cs="宋体"/>
          <w:b/>
          <w:color w:val="auto"/>
          <w:szCs w:val="21"/>
          <w:highlight w:val="none"/>
        </w:rPr>
        <w:t>证明材料</w:t>
      </w:r>
      <w:r>
        <w:rPr>
          <w:rFonts w:hint="eastAsia" w:ascii="宋体" w:hAnsi="宋体"/>
          <w:b/>
          <w:color w:val="auto"/>
          <w:szCs w:val="21"/>
          <w:highlight w:val="none"/>
        </w:rPr>
        <w:t>索引表</w:t>
      </w:r>
    </w:p>
    <w:tbl>
      <w:tblPr>
        <w:tblStyle w:val="4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5443"/>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序号</w:t>
            </w:r>
          </w:p>
        </w:tc>
        <w:tc>
          <w:tcPr>
            <w:tcW w:w="5443" w:type="dxa"/>
            <w:vAlign w:val="center"/>
          </w:tcPr>
          <w:p>
            <w:pPr>
              <w:spacing w:line="300" w:lineRule="exact"/>
              <w:jc w:val="center"/>
              <w:rPr>
                <w:rFonts w:ascii="宋体" w:hAnsi="宋体"/>
                <w:color w:val="auto"/>
                <w:szCs w:val="21"/>
                <w:highlight w:val="none"/>
              </w:rPr>
            </w:pPr>
            <w:r>
              <w:rPr>
                <w:rFonts w:hint="eastAsia" w:ascii="宋体" w:hAnsi="宋体"/>
                <w:color w:val="auto"/>
                <w:highlight w:val="none"/>
              </w:rPr>
              <w:t>评审因素</w:t>
            </w:r>
          </w:p>
        </w:tc>
        <w:tc>
          <w:tcPr>
            <w:tcW w:w="2835" w:type="dxa"/>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证明材料所在页码区间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1</w:t>
            </w:r>
          </w:p>
        </w:tc>
        <w:tc>
          <w:tcPr>
            <w:tcW w:w="5443" w:type="dxa"/>
            <w:vAlign w:val="center"/>
          </w:tcPr>
          <w:p>
            <w:pPr>
              <w:spacing w:line="300" w:lineRule="exact"/>
              <w:jc w:val="center"/>
              <w:rPr>
                <w:rFonts w:ascii="宋体" w:hAnsi="宋体"/>
                <w:color w:val="auto"/>
                <w:szCs w:val="21"/>
                <w:highlight w:val="none"/>
              </w:rPr>
            </w:pPr>
          </w:p>
        </w:tc>
        <w:tc>
          <w:tcPr>
            <w:tcW w:w="2835" w:type="dxa"/>
            <w:vAlign w:val="center"/>
          </w:tcPr>
          <w:p>
            <w:pPr>
              <w:spacing w:line="3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2</w:t>
            </w:r>
          </w:p>
        </w:tc>
        <w:tc>
          <w:tcPr>
            <w:tcW w:w="5443" w:type="dxa"/>
            <w:vAlign w:val="center"/>
          </w:tcPr>
          <w:p>
            <w:pPr>
              <w:spacing w:line="300" w:lineRule="exact"/>
              <w:jc w:val="center"/>
              <w:rPr>
                <w:rFonts w:ascii="宋体" w:hAnsi="宋体"/>
                <w:color w:val="auto"/>
                <w:szCs w:val="21"/>
                <w:highlight w:val="none"/>
              </w:rPr>
            </w:pPr>
          </w:p>
        </w:tc>
        <w:tc>
          <w:tcPr>
            <w:tcW w:w="2835" w:type="dxa"/>
            <w:vAlign w:val="center"/>
          </w:tcPr>
          <w:p>
            <w:pPr>
              <w:spacing w:line="3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3</w:t>
            </w:r>
          </w:p>
        </w:tc>
        <w:tc>
          <w:tcPr>
            <w:tcW w:w="5443" w:type="dxa"/>
            <w:vAlign w:val="center"/>
          </w:tcPr>
          <w:p>
            <w:pPr>
              <w:spacing w:line="300" w:lineRule="exact"/>
              <w:jc w:val="center"/>
              <w:rPr>
                <w:rFonts w:ascii="宋体" w:hAnsi="宋体"/>
                <w:color w:val="auto"/>
                <w:szCs w:val="21"/>
                <w:highlight w:val="none"/>
              </w:rPr>
            </w:pPr>
          </w:p>
        </w:tc>
        <w:tc>
          <w:tcPr>
            <w:tcW w:w="2835" w:type="dxa"/>
            <w:vAlign w:val="center"/>
          </w:tcPr>
          <w:p>
            <w:pPr>
              <w:spacing w:line="3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4</w:t>
            </w:r>
          </w:p>
        </w:tc>
        <w:tc>
          <w:tcPr>
            <w:tcW w:w="5443" w:type="dxa"/>
            <w:vAlign w:val="center"/>
          </w:tcPr>
          <w:p>
            <w:pPr>
              <w:spacing w:line="300" w:lineRule="exact"/>
              <w:jc w:val="center"/>
              <w:rPr>
                <w:rFonts w:ascii="宋体" w:hAnsi="宋体"/>
                <w:color w:val="auto"/>
                <w:szCs w:val="21"/>
                <w:highlight w:val="none"/>
              </w:rPr>
            </w:pPr>
          </w:p>
        </w:tc>
        <w:tc>
          <w:tcPr>
            <w:tcW w:w="2835" w:type="dxa"/>
            <w:vAlign w:val="center"/>
          </w:tcPr>
          <w:p>
            <w:pPr>
              <w:spacing w:line="3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5</w:t>
            </w:r>
          </w:p>
        </w:tc>
        <w:tc>
          <w:tcPr>
            <w:tcW w:w="5443" w:type="dxa"/>
            <w:vAlign w:val="center"/>
          </w:tcPr>
          <w:p>
            <w:pPr>
              <w:spacing w:line="300" w:lineRule="exact"/>
              <w:jc w:val="center"/>
              <w:rPr>
                <w:rFonts w:ascii="宋体" w:hAnsi="宋体"/>
                <w:color w:val="auto"/>
                <w:szCs w:val="21"/>
                <w:highlight w:val="none"/>
              </w:rPr>
            </w:pPr>
          </w:p>
        </w:tc>
        <w:tc>
          <w:tcPr>
            <w:tcW w:w="2835" w:type="dxa"/>
            <w:vAlign w:val="center"/>
          </w:tcPr>
          <w:p>
            <w:pPr>
              <w:spacing w:line="3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w:t>
            </w:r>
          </w:p>
        </w:tc>
        <w:tc>
          <w:tcPr>
            <w:tcW w:w="5443" w:type="dxa"/>
            <w:vAlign w:val="center"/>
          </w:tcPr>
          <w:p>
            <w:pPr>
              <w:spacing w:line="300" w:lineRule="exact"/>
              <w:jc w:val="center"/>
              <w:rPr>
                <w:rFonts w:ascii="宋体" w:hAnsi="宋体"/>
                <w:color w:val="auto"/>
                <w:szCs w:val="21"/>
                <w:highlight w:val="none"/>
              </w:rPr>
            </w:pPr>
          </w:p>
        </w:tc>
        <w:tc>
          <w:tcPr>
            <w:tcW w:w="2835" w:type="dxa"/>
            <w:vAlign w:val="center"/>
          </w:tcPr>
          <w:p>
            <w:pPr>
              <w:spacing w:line="300" w:lineRule="exact"/>
              <w:jc w:val="center"/>
              <w:rPr>
                <w:rFonts w:ascii="宋体" w:hAnsi="宋体"/>
                <w:color w:val="auto"/>
                <w:szCs w:val="21"/>
                <w:highlight w:val="none"/>
              </w:rPr>
            </w:pPr>
          </w:p>
        </w:tc>
      </w:tr>
    </w:tbl>
    <w:p>
      <w:pPr>
        <w:pStyle w:val="20"/>
        <w:spacing w:before="120" w:beforeLines="50" w:line="360" w:lineRule="auto"/>
        <w:ind w:left="460" w:leftChars="0"/>
        <w:rPr>
          <w:rFonts w:ascii="宋体" w:hAnsi="宋体"/>
          <w:b/>
          <w:color w:val="auto"/>
          <w:sz w:val="21"/>
          <w:szCs w:val="21"/>
          <w:highlight w:val="none"/>
        </w:rPr>
      </w:pPr>
      <w:r>
        <w:rPr>
          <w:rFonts w:hint="eastAsia" w:ascii="宋体" w:hAnsi="宋体"/>
          <w:b/>
          <w:color w:val="auto"/>
          <w:sz w:val="21"/>
          <w:szCs w:val="21"/>
          <w:highlight w:val="none"/>
        </w:rPr>
        <w:t>注：请将招标文件要求提供的证明材料按照先后顺序编制在本表中（行数不够请自行添加，也可以适当调整本表格式），并将证明材料附后，同时要求投标人在证明材料中对具体证明内容进行明显的标记或框选，便于评委搜索与评审。</w:t>
      </w:r>
    </w:p>
    <w:p>
      <w:pPr>
        <w:pStyle w:val="20"/>
        <w:spacing w:line="360" w:lineRule="auto"/>
        <w:ind w:left="436" w:leftChars="0" w:firstLine="400"/>
        <w:jc w:val="center"/>
        <w:rPr>
          <w:rFonts w:cs="宋体" w:asciiTheme="minorEastAsia" w:hAnsiTheme="minorEastAsia" w:eastAsiaTheme="minorEastAsia"/>
          <w:color w:val="auto"/>
          <w:szCs w:val="21"/>
          <w:highlight w:val="none"/>
        </w:rPr>
      </w:pPr>
    </w:p>
    <w:p>
      <w:pPr>
        <w:snapToGrid w:val="0"/>
        <w:spacing w:line="360" w:lineRule="auto"/>
        <w:ind w:left="-23" w:leftChars="-11" w:right="-214" w:rightChars="-102" w:firstLine="21" w:firstLineChars="10"/>
        <w:jc w:val="left"/>
        <w:rPr>
          <w:rFonts w:asciiTheme="minorEastAsia" w:hAnsiTheme="minorEastAsia" w:eastAsiaTheme="minorEastAsia"/>
          <w:b/>
          <w:color w:val="auto"/>
          <w:highlight w:val="none"/>
        </w:rPr>
      </w:pPr>
      <w:r>
        <w:rPr>
          <w:rFonts w:asciiTheme="minorEastAsia" w:hAnsiTheme="minorEastAsia" w:eastAsiaTheme="minorEastAsia"/>
          <w:b/>
          <w:color w:val="auto"/>
          <w:szCs w:val="21"/>
          <w:highlight w:val="none"/>
        </w:rPr>
        <w:br w:type="page"/>
      </w:r>
      <w:r>
        <w:rPr>
          <w:rFonts w:hint="eastAsia" w:asciiTheme="minorEastAsia" w:hAnsiTheme="minorEastAsia" w:eastAsiaTheme="minorEastAsia"/>
          <w:b/>
          <w:color w:val="auto"/>
          <w:highlight w:val="none"/>
        </w:rPr>
        <w:t>3.报价要求响应文件的有关格式</w:t>
      </w:r>
    </w:p>
    <w:p>
      <w:pPr>
        <w:pStyle w:val="20"/>
        <w:spacing w:line="360" w:lineRule="auto"/>
        <w:ind w:left="460" w:leftChars="0" w:firstLine="422"/>
        <w:jc w:val="center"/>
        <w:rPr>
          <w:rFonts w:asciiTheme="minorEastAsia" w:hAnsiTheme="minorEastAsia" w:eastAsiaTheme="minorEastAsia"/>
          <w:color w:val="auto"/>
          <w:kern w:val="1"/>
          <w:szCs w:val="21"/>
          <w:highlight w:val="none"/>
        </w:rPr>
      </w:pPr>
      <w:r>
        <w:rPr>
          <w:rFonts w:hint="eastAsia" w:cs="宋体" w:asciiTheme="minorEastAsia" w:hAnsiTheme="minorEastAsia" w:eastAsiaTheme="minorEastAsia"/>
          <w:b/>
          <w:color w:val="auto"/>
          <w:sz w:val="21"/>
          <w:szCs w:val="21"/>
          <w:highlight w:val="none"/>
        </w:rPr>
        <w:t>（1）开标一览表</w:t>
      </w:r>
    </w:p>
    <w:tbl>
      <w:tblPr>
        <w:tblStyle w:val="44"/>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3969"/>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122" w:type="dxa"/>
            <w:tcBorders>
              <w:top w:val="single" w:color="auto" w:sz="4" w:space="0"/>
              <w:left w:val="single" w:color="auto" w:sz="4" w:space="0"/>
              <w:bottom w:val="single" w:color="auto" w:sz="4" w:space="0"/>
              <w:right w:val="single" w:color="auto" w:sz="4" w:space="0"/>
            </w:tcBorders>
            <w:vAlign w:val="center"/>
          </w:tcPr>
          <w:p>
            <w:pPr>
              <w:pStyle w:val="20"/>
              <w:spacing w:after="0"/>
              <w:ind w:left="457" w:leftChars="0" w:hanging="457" w:hangingChars="218"/>
              <w:jc w:val="center"/>
              <w:rPr>
                <w:rFonts w:asciiTheme="minorEastAsia" w:hAnsiTheme="minorEastAsia" w:eastAsiaTheme="minorEastAsia"/>
                <w:color w:val="auto"/>
                <w:kern w:val="2"/>
                <w:sz w:val="21"/>
                <w:szCs w:val="21"/>
                <w:highlight w:val="none"/>
              </w:rPr>
            </w:pPr>
            <w:r>
              <w:rPr>
                <w:rFonts w:asciiTheme="minorEastAsia" w:hAnsiTheme="minorEastAsia" w:eastAsiaTheme="minorEastAsia"/>
                <w:color w:val="auto"/>
                <w:kern w:val="2"/>
                <w:sz w:val="21"/>
                <w:szCs w:val="21"/>
                <w:highlight w:val="none"/>
              </w:rPr>
              <w:t>项目名称</w:t>
            </w:r>
          </w:p>
        </w:tc>
        <w:tc>
          <w:tcPr>
            <w:tcW w:w="6662" w:type="dxa"/>
            <w:gridSpan w:val="2"/>
            <w:tcBorders>
              <w:top w:val="single" w:color="auto" w:sz="4" w:space="0"/>
              <w:left w:val="single" w:color="auto" w:sz="4" w:space="0"/>
              <w:bottom w:val="single" w:color="auto" w:sz="4" w:space="0"/>
              <w:right w:val="single" w:color="auto" w:sz="4" w:space="0"/>
            </w:tcBorders>
            <w:vAlign w:val="center"/>
          </w:tcPr>
          <w:p>
            <w:pPr>
              <w:pStyle w:val="20"/>
              <w:spacing w:after="0"/>
              <w:ind w:left="36" w:leftChars="17"/>
              <w:jc w:val="center"/>
              <w:rPr>
                <w:rFonts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kern w:val="2"/>
                <w:sz w:val="21"/>
                <w:szCs w:val="21"/>
                <w:highlight w:val="none"/>
              </w:rPr>
              <w:t>宁波工程学院新能源产业技术创新实践基地进口设备采购项目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122" w:type="dxa"/>
            <w:tcBorders>
              <w:top w:val="single" w:color="auto" w:sz="4" w:space="0"/>
              <w:left w:val="single" w:color="auto" w:sz="4" w:space="0"/>
              <w:right w:val="single" w:color="auto" w:sz="4" w:space="0"/>
            </w:tcBorders>
            <w:vAlign w:val="center"/>
          </w:tcPr>
          <w:p>
            <w:pPr>
              <w:pStyle w:val="20"/>
              <w:spacing w:after="0"/>
              <w:ind w:left="457" w:leftChars="0" w:hanging="457" w:hangingChars="218"/>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kern w:val="2"/>
                <w:sz w:val="21"/>
                <w:szCs w:val="21"/>
                <w:highlight w:val="none"/>
              </w:rPr>
              <w:t>项目编号</w:t>
            </w:r>
          </w:p>
        </w:tc>
        <w:tc>
          <w:tcPr>
            <w:tcW w:w="6662" w:type="dxa"/>
            <w:gridSpan w:val="2"/>
            <w:tcBorders>
              <w:top w:val="single" w:color="auto" w:sz="4" w:space="0"/>
              <w:left w:val="single" w:color="auto" w:sz="4" w:space="0"/>
              <w:right w:val="single" w:color="auto" w:sz="4" w:space="0"/>
            </w:tcBorders>
            <w:vAlign w:val="center"/>
          </w:tcPr>
          <w:p>
            <w:pPr>
              <w:pStyle w:val="20"/>
              <w:spacing w:after="0"/>
              <w:ind w:left="36" w:leftChars="17"/>
              <w:jc w:val="center"/>
              <w:rPr>
                <w:rFonts w:asciiTheme="minorEastAsia" w:hAnsiTheme="minorEastAsia" w:eastAsiaTheme="minorEastAsia"/>
                <w:color w:val="auto"/>
                <w:kern w:val="2"/>
                <w:sz w:val="21"/>
                <w:szCs w:val="21"/>
                <w:highlight w:val="none"/>
              </w:rPr>
            </w:pPr>
            <w:r>
              <w:rPr>
                <w:rFonts w:asciiTheme="minorEastAsia" w:hAnsiTheme="minorEastAsia" w:eastAsiaTheme="minorEastAsia"/>
                <w:color w:val="auto"/>
                <w:kern w:val="2"/>
                <w:sz w:val="21"/>
                <w:szCs w:val="21"/>
                <w:highlight w:val="none"/>
              </w:rPr>
              <w:t>NBMC-20242029G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122" w:type="dxa"/>
            <w:tcBorders>
              <w:top w:val="single" w:color="auto" w:sz="4" w:space="0"/>
              <w:left w:val="single" w:color="auto" w:sz="4" w:space="0"/>
              <w:right w:val="single" w:color="auto" w:sz="4" w:space="0"/>
            </w:tcBorders>
            <w:vAlign w:val="center"/>
          </w:tcPr>
          <w:p>
            <w:pPr>
              <w:pStyle w:val="20"/>
              <w:spacing w:after="0"/>
              <w:ind w:left="457" w:leftChars="0" w:hanging="457" w:hangingChars="218"/>
              <w:jc w:val="center"/>
              <w:rPr>
                <w:rFonts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kern w:val="2"/>
                <w:sz w:val="21"/>
                <w:szCs w:val="21"/>
                <w:highlight w:val="none"/>
              </w:rPr>
              <w:t>标项</w:t>
            </w:r>
          </w:p>
        </w:tc>
        <w:tc>
          <w:tcPr>
            <w:tcW w:w="6662" w:type="dxa"/>
            <w:gridSpan w:val="2"/>
            <w:tcBorders>
              <w:top w:val="single" w:color="auto" w:sz="4" w:space="0"/>
              <w:left w:val="single" w:color="auto" w:sz="4" w:space="0"/>
              <w:right w:val="single" w:color="auto" w:sz="4" w:space="0"/>
            </w:tcBorders>
            <w:vAlign w:val="center"/>
          </w:tcPr>
          <w:p>
            <w:pPr>
              <w:pStyle w:val="20"/>
              <w:spacing w:after="0"/>
              <w:ind w:left="36" w:leftChars="17"/>
              <w:jc w:val="center"/>
              <w:rPr>
                <w:rFonts w:asciiTheme="minorEastAsia" w:hAnsiTheme="minorEastAsia" w:eastAsiaTheme="minorEastAsia"/>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122" w:type="dxa"/>
            <w:tcBorders>
              <w:top w:val="single" w:color="auto" w:sz="4" w:space="0"/>
              <w:left w:val="single" w:color="auto" w:sz="4" w:space="0"/>
              <w:right w:val="single" w:color="auto" w:sz="4" w:space="0"/>
            </w:tcBorders>
            <w:vAlign w:val="center"/>
          </w:tcPr>
          <w:p>
            <w:pPr>
              <w:pStyle w:val="20"/>
              <w:spacing w:after="0"/>
              <w:ind w:left="457" w:leftChars="0" w:hanging="457" w:hangingChars="218"/>
              <w:jc w:val="center"/>
              <w:rPr>
                <w:rFonts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kern w:val="2"/>
                <w:sz w:val="21"/>
                <w:szCs w:val="21"/>
                <w:highlight w:val="none"/>
              </w:rPr>
              <w:t>交货期</w:t>
            </w:r>
          </w:p>
        </w:tc>
        <w:tc>
          <w:tcPr>
            <w:tcW w:w="6662" w:type="dxa"/>
            <w:gridSpan w:val="2"/>
            <w:tcBorders>
              <w:top w:val="single" w:color="auto" w:sz="4" w:space="0"/>
              <w:left w:val="single" w:color="auto" w:sz="4" w:space="0"/>
              <w:right w:val="single" w:color="auto" w:sz="4" w:space="0"/>
            </w:tcBorders>
            <w:vAlign w:val="center"/>
          </w:tcPr>
          <w:p>
            <w:pPr>
              <w:pStyle w:val="20"/>
              <w:spacing w:after="0"/>
              <w:ind w:left="36" w:leftChars="17"/>
              <w:jc w:val="center"/>
              <w:rPr>
                <w:rFonts w:asciiTheme="minorEastAsia" w:hAnsiTheme="minorEastAsia" w:eastAsiaTheme="minorEastAsia"/>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122" w:type="dxa"/>
            <w:tcBorders>
              <w:top w:val="single" w:color="auto" w:sz="4" w:space="0"/>
              <w:left w:val="single" w:color="auto" w:sz="4" w:space="0"/>
              <w:right w:val="single" w:color="auto" w:sz="4" w:space="0"/>
            </w:tcBorders>
            <w:vAlign w:val="center"/>
          </w:tcPr>
          <w:p>
            <w:pPr>
              <w:pStyle w:val="20"/>
              <w:spacing w:after="0"/>
              <w:ind w:left="457" w:leftChars="0" w:hanging="457" w:hangingChars="218"/>
              <w:jc w:val="center"/>
              <w:rPr>
                <w:rFonts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kern w:val="2"/>
                <w:sz w:val="21"/>
                <w:szCs w:val="21"/>
                <w:highlight w:val="none"/>
              </w:rPr>
              <w:t>产品保修期</w:t>
            </w:r>
          </w:p>
        </w:tc>
        <w:tc>
          <w:tcPr>
            <w:tcW w:w="6662" w:type="dxa"/>
            <w:gridSpan w:val="2"/>
            <w:tcBorders>
              <w:top w:val="single" w:color="auto" w:sz="4" w:space="0"/>
              <w:left w:val="single" w:color="auto" w:sz="4" w:space="0"/>
              <w:right w:val="single" w:color="auto" w:sz="4" w:space="0"/>
            </w:tcBorders>
            <w:vAlign w:val="center"/>
          </w:tcPr>
          <w:p>
            <w:pPr>
              <w:pStyle w:val="20"/>
              <w:spacing w:after="0"/>
              <w:ind w:left="36" w:leftChars="17"/>
              <w:jc w:val="center"/>
              <w:rPr>
                <w:rFonts w:asciiTheme="minorEastAsia" w:hAnsiTheme="minorEastAsia" w:eastAsiaTheme="minorEastAsia"/>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122" w:type="dxa"/>
            <w:vMerge w:val="restart"/>
            <w:tcBorders>
              <w:top w:val="single" w:color="auto" w:sz="4" w:space="0"/>
              <w:left w:val="single" w:color="auto" w:sz="4" w:space="0"/>
              <w:right w:val="single" w:color="auto" w:sz="4" w:space="0"/>
            </w:tcBorders>
            <w:vAlign w:val="center"/>
          </w:tcPr>
          <w:p>
            <w:pPr>
              <w:pStyle w:val="20"/>
              <w:spacing w:after="0"/>
              <w:ind w:left="457" w:leftChars="0" w:hanging="457" w:hangingChars="218"/>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kern w:val="2"/>
                <w:sz w:val="21"/>
                <w:szCs w:val="21"/>
                <w:highlight w:val="none"/>
              </w:rPr>
              <w:t>投标报价</w:t>
            </w:r>
          </w:p>
        </w:tc>
        <w:tc>
          <w:tcPr>
            <w:tcW w:w="3969" w:type="dxa"/>
            <w:tcBorders>
              <w:top w:val="single" w:color="auto" w:sz="4" w:space="0"/>
              <w:left w:val="single" w:color="auto" w:sz="4" w:space="0"/>
              <w:bottom w:val="single" w:color="auto" w:sz="4" w:space="0"/>
              <w:right w:val="single" w:color="auto" w:sz="4" w:space="0"/>
            </w:tcBorders>
            <w:vAlign w:val="center"/>
          </w:tcPr>
          <w:p>
            <w:pPr>
              <w:pStyle w:val="20"/>
              <w:spacing w:after="0"/>
              <w:ind w:left="457" w:leftChars="0" w:hanging="457" w:hangingChars="218"/>
              <w:jc w:val="left"/>
              <w:rPr>
                <w:rFonts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kern w:val="2"/>
                <w:sz w:val="21"/>
                <w:szCs w:val="21"/>
                <w:highlight w:val="none"/>
              </w:rPr>
              <w:t>小写：</w:t>
            </w:r>
          </w:p>
          <w:p>
            <w:pPr>
              <w:pStyle w:val="20"/>
              <w:spacing w:after="0"/>
              <w:ind w:left="457" w:leftChars="0" w:hanging="457" w:hangingChars="218"/>
              <w:jc w:val="left"/>
              <w:rPr>
                <w:rFonts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kern w:val="2"/>
                <w:sz w:val="21"/>
                <w:szCs w:val="21"/>
                <w:highlight w:val="none"/>
              </w:rPr>
              <w:t>大写：</w:t>
            </w:r>
          </w:p>
        </w:tc>
        <w:tc>
          <w:tcPr>
            <w:tcW w:w="2693" w:type="dxa"/>
            <w:tcBorders>
              <w:top w:val="single" w:color="auto" w:sz="4" w:space="0"/>
              <w:left w:val="single" w:color="auto" w:sz="4" w:space="0"/>
              <w:bottom w:val="single" w:color="auto" w:sz="4" w:space="0"/>
              <w:right w:val="single" w:color="auto" w:sz="4" w:space="0"/>
            </w:tcBorders>
            <w:vAlign w:val="center"/>
          </w:tcPr>
          <w:p>
            <w:pPr>
              <w:pStyle w:val="20"/>
              <w:spacing w:after="0"/>
              <w:ind w:left="0" w:leftChars="0" w:right="-103" w:rightChars="-49"/>
              <w:jc w:val="center"/>
              <w:rPr>
                <w:rFonts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kern w:val="2"/>
                <w:sz w:val="21"/>
                <w:szCs w:val="21"/>
                <w:highlight w:val="none"/>
              </w:rPr>
              <w:t>人民币报价，以元为单位。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122" w:type="dxa"/>
            <w:vMerge w:val="continue"/>
            <w:tcBorders>
              <w:left w:val="single" w:color="auto" w:sz="4" w:space="0"/>
              <w:right w:val="single" w:color="auto" w:sz="4" w:space="0"/>
            </w:tcBorders>
            <w:vAlign w:val="center"/>
          </w:tcPr>
          <w:p>
            <w:pPr>
              <w:pStyle w:val="20"/>
              <w:spacing w:after="0"/>
              <w:ind w:left="457" w:leftChars="0" w:hanging="457" w:hangingChars="218"/>
              <w:jc w:val="center"/>
              <w:rPr>
                <w:rFonts w:asciiTheme="minorEastAsia" w:hAnsiTheme="minorEastAsia" w:eastAsiaTheme="minorEastAsia"/>
                <w:color w:val="auto"/>
                <w:kern w:val="2"/>
                <w:sz w:val="21"/>
                <w:szCs w:val="21"/>
                <w:highlight w:val="none"/>
              </w:rPr>
            </w:pPr>
          </w:p>
        </w:tc>
        <w:tc>
          <w:tcPr>
            <w:tcW w:w="3969" w:type="dxa"/>
            <w:tcBorders>
              <w:top w:val="single" w:color="auto" w:sz="4" w:space="0"/>
              <w:left w:val="single" w:color="auto" w:sz="4" w:space="0"/>
              <w:right w:val="single" w:color="auto" w:sz="4" w:space="0"/>
            </w:tcBorders>
            <w:vAlign w:val="center"/>
          </w:tcPr>
          <w:p>
            <w:pPr>
              <w:pStyle w:val="20"/>
              <w:spacing w:after="0"/>
              <w:ind w:left="457" w:leftChars="0" w:hanging="457" w:hangingChars="218"/>
              <w:jc w:val="left"/>
              <w:rPr>
                <w:rFonts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kern w:val="2"/>
                <w:sz w:val="21"/>
                <w:szCs w:val="21"/>
                <w:highlight w:val="none"/>
              </w:rPr>
              <w:t>小写：</w:t>
            </w:r>
          </w:p>
        </w:tc>
        <w:tc>
          <w:tcPr>
            <w:tcW w:w="2693" w:type="dxa"/>
            <w:tcBorders>
              <w:top w:val="single" w:color="auto" w:sz="4" w:space="0"/>
              <w:left w:val="single" w:color="auto" w:sz="4" w:space="0"/>
              <w:right w:val="single" w:color="auto" w:sz="4" w:space="0"/>
            </w:tcBorders>
            <w:vAlign w:val="center"/>
          </w:tcPr>
          <w:p>
            <w:pPr>
              <w:pStyle w:val="20"/>
              <w:spacing w:after="0"/>
              <w:ind w:left="457" w:leftChars="0" w:hanging="457" w:hangingChars="218"/>
              <w:jc w:val="center"/>
              <w:rPr>
                <w:rFonts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kern w:val="2"/>
                <w:sz w:val="21"/>
                <w:szCs w:val="21"/>
                <w:highlight w:val="none"/>
              </w:rPr>
              <w:t>DAP美元价，以元为单位。</w:t>
            </w:r>
          </w:p>
          <w:p>
            <w:pPr>
              <w:pStyle w:val="20"/>
              <w:spacing w:after="0"/>
              <w:ind w:left="457" w:leftChars="0" w:hanging="457" w:hangingChars="218"/>
              <w:jc w:val="center"/>
              <w:rPr>
                <w:rFonts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kern w:val="2"/>
                <w:sz w:val="21"/>
                <w:szCs w:val="21"/>
                <w:highlight w:val="none"/>
              </w:rPr>
              <w:t>（国产设备无需填报）</w:t>
            </w:r>
          </w:p>
        </w:tc>
      </w:tr>
    </w:tbl>
    <w:p>
      <w:pPr>
        <w:snapToGrid w:val="0"/>
        <w:spacing w:before="50" w:after="50" w:line="360" w:lineRule="auto"/>
        <w:ind w:left="-23" w:leftChars="-11" w:right="27" w:rightChars="13" w:firstLine="21" w:firstLineChars="10"/>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注</w:t>
      </w:r>
      <w:r>
        <w:rPr>
          <w:rFonts w:cs="宋体" w:asciiTheme="minorEastAsia" w:hAnsiTheme="minorEastAsia" w:eastAsiaTheme="minorEastAsia"/>
          <w:bCs/>
          <w:color w:val="auto"/>
          <w:szCs w:val="21"/>
          <w:highlight w:val="none"/>
        </w:rPr>
        <w:t>：</w:t>
      </w:r>
    </w:p>
    <w:p>
      <w:pPr>
        <w:snapToGrid w:val="0"/>
        <w:spacing w:before="50" w:after="50" w:line="360" w:lineRule="auto"/>
        <w:ind w:left="-23" w:leftChars="-11" w:right="27" w:rightChars="13" w:firstLine="21" w:firstLineChars="10"/>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1</w:t>
      </w:r>
      <w:r>
        <w:rPr>
          <w:rFonts w:cs="宋体" w:asciiTheme="minorEastAsia" w:hAnsiTheme="minorEastAsia" w:eastAsiaTheme="minorEastAsia"/>
          <w:bCs/>
          <w:color w:val="auto"/>
          <w:szCs w:val="21"/>
          <w:highlight w:val="none"/>
        </w:rPr>
        <w:t>.</w:t>
      </w:r>
      <w:r>
        <w:rPr>
          <w:rFonts w:hint="eastAsia" w:cs="宋体" w:asciiTheme="minorEastAsia" w:hAnsiTheme="minorEastAsia" w:eastAsiaTheme="minorEastAsia"/>
          <w:bCs/>
          <w:color w:val="auto"/>
          <w:szCs w:val="21"/>
          <w:highlight w:val="none"/>
        </w:rPr>
        <w:t>报价一经涂改，应在涂改处加盖单位公章或由法定代表人或其授权代表签字，否则评标委员会将不接受该修改内容。</w:t>
      </w:r>
    </w:p>
    <w:p>
      <w:pPr>
        <w:snapToGrid w:val="0"/>
        <w:spacing w:before="50" w:after="50" w:line="360" w:lineRule="auto"/>
        <w:ind w:left="-23" w:leftChars="-11" w:right="27" w:rightChars="13" w:firstLine="21" w:firstLineChars="10"/>
        <w:rPr>
          <w:rFonts w:ascii="宋体" w:hAnsi="宋体"/>
          <w:color w:val="auto"/>
          <w:highlight w:val="none"/>
        </w:rPr>
      </w:pPr>
      <w:r>
        <w:rPr>
          <w:rFonts w:hint="eastAsia" w:cs="宋体" w:asciiTheme="minorEastAsia" w:hAnsiTheme="minorEastAsia" w:eastAsiaTheme="minorEastAsia"/>
          <w:bCs/>
          <w:color w:val="auto"/>
          <w:szCs w:val="21"/>
          <w:highlight w:val="none"/>
        </w:rPr>
        <w:t>2</w:t>
      </w:r>
      <w:r>
        <w:rPr>
          <w:rFonts w:cs="宋体" w:asciiTheme="minorEastAsia" w:hAnsiTheme="minorEastAsia" w:eastAsiaTheme="minorEastAsia"/>
          <w:bCs/>
          <w:color w:val="auto"/>
          <w:szCs w:val="21"/>
          <w:highlight w:val="none"/>
        </w:rPr>
        <w:t>.</w:t>
      </w:r>
      <w:r>
        <w:rPr>
          <w:rFonts w:hint="eastAsia" w:cs="宋体" w:asciiTheme="minorEastAsia" w:hAnsiTheme="minorEastAsia" w:eastAsiaTheme="minorEastAsia"/>
          <w:bCs/>
          <w:color w:val="auto"/>
          <w:szCs w:val="21"/>
          <w:highlight w:val="none"/>
        </w:rPr>
        <w:t>评标委员会认为投标人的报价明显低于其他通过符合性审查投标人的报价，有可能影响产品质量或者不能诚信履约的，评标</w:t>
      </w:r>
      <w:r>
        <w:rPr>
          <w:rFonts w:hint="eastAsia" w:ascii="宋体" w:hAnsi="宋体"/>
          <w:color w:val="auto"/>
          <w:highlight w:val="none"/>
        </w:rPr>
        <w:t>委员会有权要求其在评审现场合理的时间内提供书面说明，必要时提交相关证明材料。投标人不能证明报价合理性的，评标委员会有权将其作为无效投标处理。为此，</w:t>
      </w:r>
      <w:r>
        <w:rPr>
          <w:rFonts w:hint="eastAsia" w:cs="宋体" w:asciiTheme="minorEastAsia" w:hAnsiTheme="minorEastAsia" w:eastAsiaTheme="minorEastAsia"/>
          <w:bCs/>
          <w:color w:val="auto"/>
          <w:szCs w:val="21"/>
          <w:highlight w:val="none"/>
        </w:rPr>
        <w:t>请投标人在投标前提前充分测算完成本项目所需的费用成本情况</w:t>
      </w:r>
      <w:r>
        <w:rPr>
          <w:rFonts w:hint="eastAsia" w:ascii="宋体" w:hAnsi="宋体"/>
          <w:color w:val="auto"/>
          <w:highlight w:val="none"/>
        </w:rPr>
        <w:t>，评审现场给予提供说明及证明材料的时间不超过35分钟，如投标人在评审现场以时间不足等各种理由推脱或在规定的时间内提供的说明及材料不能充分证明其报价合理性或拒绝提交说明及材料而被认定为无效投标的后果均由投标人自行承担。</w:t>
      </w:r>
    </w:p>
    <w:p>
      <w:pPr>
        <w:spacing w:line="360" w:lineRule="auto"/>
        <w:ind w:firstLine="422" w:firstLineChars="200"/>
        <w:rPr>
          <w:rFonts w:cs="宋体" w:asciiTheme="minorEastAsia" w:hAnsiTheme="minorEastAsia" w:eastAsiaTheme="minorEastAsia"/>
          <w:b/>
          <w:color w:val="auto"/>
          <w:szCs w:val="21"/>
          <w:highlight w:val="none"/>
        </w:rPr>
      </w:pPr>
    </w:p>
    <w:p>
      <w:pPr>
        <w:spacing w:line="360" w:lineRule="auto"/>
        <w:ind w:firstLine="420" w:firstLineChars="200"/>
        <w:rPr>
          <w:rFonts w:cs="宋体" w:asciiTheme="minorEastAsia" w:hAnsiTheme="minorEastAsia" w:eastAsiaTheme="minorEastAsia"/>
          <w:color w:val="auto"/>
          <w:szCs w:val="21"/>
          <w:highlight w:val="none"/>
        </w:rPr>
      </w:pPr>
    </w:p>
    <w:p>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填写全称并加盖公章     </w:t>
      </w:r>
    </w:p>
    <w:p>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日  期：</w:t>
      </w:r>
    </w:p>
    <w:p>
      <w:pPr>
        <w:pStyle w:val="20"/>
        <w:spacing w:line="360" w:lineRule="auto"/>
        <w:ind w:left="438" w:leftChars="0" w:firstLine="402"/>
        <w:jc w:val="center"/>
        <w:rPr>
          <w:rFonts w:cs="宋体" w:asciiTheme="minorEastAsia" w:hAnsiTheme="minorEastAsia" w:eastAsiaTheme="minorEastAsia"/>
          <w:b/>
          <w:color w:val="auto"/>
          <w:sz w:val="21"/>
          <w:szCs w:val="21"/>
          <w:highlight w:val="none"/>
        </w:rPr>
      </w:pPr>
      <w:r>
        <w:rPr>
          <w:rFonts w:asciiTheme="minorEastAsia" w:hAnsiTheme="minorEastAsia" w:eastAsiaTheme="minorEastAsia"/>
          <w:b/>
          <w:color w:val="auto"/>
          <w:szCs w:val="21"/>
          <w:highlight w:val="none"/>
        </w:rPr>
        <w:br w:type="page"/>
      </w:r>
      <w:r>
        <w:rPr>
          <w:rFonts w:hint="eastAsia" w:cs="宋体" w:asciiTheme="minorEastAsia" w:hAnsiTheme="minorEastAsia" w:eastAsiaTheme="minorEastAsia"/>
          <w:b/>
          <w:color w:val="auto"/>
          <w:sz w:val="21"/>
          <w:szCs w:val="21"/>
          <w:highlight w:val="none"/>
        </w:rPr>
        <w:t>（2）投标报价组成明细表</w:t>
      </w:r>
    </w:p>
    <w:p>
      <w:pPr>
        <w:pStyle w:val="20"/>
        <w:spacing w:line="360" w:lineRule="auto"/>
        <w:ind w:left="438" w:leftChars="0" w:firstLine="402"/>
        <w:jc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2</w:t>
      </w:r>
      <w:r>
        <w:rPr>
          <w:rFonts w:cs="宋体" w:asciiTheme="minorEastAsia" w:hAnsiTheme="minorEastAsia" w:eastAsiaTheme="minorEastAsia"/>
          <w:b/>
          <w:color w:val="auto"/>
          <w:sz w:val="21"/>
          <w:szCs w:val="21"/>
          <w:highlight w:val="none"/>
        </w:rPr>
        <w:t>-1</w:t>
      </w:r>
      <w:r>
        <w:rPr>
          <w:rFonts w:hint="eastAsia" w:cs="宋体" w:asciiTheme="minorEastAsia" w:hAnsiTheme="minorEastAsia" w:eastAsiaTheme="minorEastAsia"/>
          <w:b/>
          <w:color w:val="auto"/>
          <w:sz w:val="21"/>
          <w:szCs w:val="21"/>
          <w:highlight w:val="none"/>
        </w:rPr>
        <w:t>投标报价组成明细表（适用于标项一、二、三、五）</w:t>
      </w:r>
    </w:p>
    <w:tbl>
      <w:tblPr>
        <w:tblStyle w:val="4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686"/>
        <w:gridCol w:w="992"/>
        <w:gridCol w:w="766"/>
        <w:gridCol w:w="995"/>
        <w:gridCol w:w="1134"/>
        <w:gridCol w:w="1134"/>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840" w:type="dxa"/>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序号</w:t>
            </w:r>
          </w:p>
        </w:tc>
        <w:tc>
          <w:tcPr>
            <w:tcW w:w="1686" w:type="dxa"/>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费用内容</w:t>
            </w:r>
          </w:p>
        </w:tc>
        <w:tc>
          <w:tcPr>
            <w:tcW w:w="992" w:type="dxa"/>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单位</w:t>
            </w:r>
          </w:p>
        </w:tc>
        <w:tc>
          <w:tcPr>
            <w:tcW w:w="766" w:type="dxa"/>
            <w:vAlign w:val="center"/>
          </w:tcPr>
          <w:p>
            <w:pPr>
              <w:jc w:val="center"/>
              <w:rPr>
                <w:rFonts w:asciiTheme="minorEastAsia" w:hAnsiTheme="minorEastAsia" w:eastAsiaTheme="minorEastAsia"/>
                <w:color w:val="auto"/>
                <w:highlight w:val="none"/>
              </w:rPr>
            </w:pPr>
            <w:r>
              <w:rPr>
                <w:rFonts w:asciiTheme="minorEastAsia" w:hAnsiTheme="minorEastAsia" w:eastAsiaTheme="minorEastAsia"/>
                <w:bCs/>
                <w:color w:val="auto"/>
                <w:highlight w:val="none"/>
              </w:rPr>
              <w:t>数量</w:t>
            </w:r>
          </w:p>
        </w:tc>
        <w:tc>
          <w:tcPr>
            <w:tcW w:w="995" w:type="dxa"/>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品牌</w:t>
            </w:r>
          </w:p>
        </w:tc>
        <w:tc>
          <w:tcPr>
            <w:tcW w:w="1134" w:type="dxa"/>
            <w:vAlign w:val="center"/>
          </w:tcPr>
          <w:p>
            <w:pPr>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规格型号</w:t>
            </w:r>
          </w:p>
        </w:tc>
        <w:tc>
          <w:tcPr>
            <w:tcW w:w="1134" w:type="dxa"/>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单价（元）</w:t>
            </w:r>
          </w:p>
        </w:tc>
        <w:tc>
          <w:tcPr>
            <w:tcW w:w="1492" w:type="dxa"/>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小计金额（元）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tcBorders>
              <w:bottom w:val="single" w:color="auto" w:sz="4" w:space="0"/>
            </w:tcBorders>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w:t>
            </w:r>
          </w:p>
        </w:tc>
        <w:tc>
          <w:tcPr>
            <w:tcW w:w="1686" w:type="dxa"/>
            <w:vAlign w:val="center"/>
          </w:tcPr>
          <w:p>
            <w:pPr>
              <w:jc w:val="center"/>
              <w:rPr>
                <w:rFonts w:asciiTheme="minorEastAsia" w:hAnsiTheme="minorEastAsia" w:eastAsiaTheme="minorEastAsia"/>
                <w:color w:val="auto"/>
                <w:highlight w:val="none"/>
              </w:rPr>
            </w:pPr>
          </w:p>
        </w:tc>
        <w:tc>
          <w:tcPr>
            <w:tcW w:w="992" w:type="dxa"/>
            <w:vAlign w:val="center"/>
          </w:tcPr>
          <w:p>
            <w:pPr>
              <w:jc w:val="center"/>
              <w:rPr>
                <w:rFonts w:asciiTheme="minorEastAsia" w:hAnsiTheme="minorEastAsia" w:eastAsiaTheme="minorEastAsia"/>
                <w:color w:val="auto"/>
                <w:highlight w:val="none"/>
              </w:rPr>
            </w:pPr>
          </w:p>
        </w:tc>
        <w:tc>
          <w:tcPr>
            <w:tcW w:w="766" w:type="dxa"/>
            <w:vAlign w:val="center"/>
          </w:tcPr>
          <w:p>
            <w:pPr>
              <w:jc w:val="center"/>
              <w:rPr>
                <w:rFonts w:asciiTheme="minorEastAsia" w:hAnsiTheme="minorEastAsia" w:eastAsiaTheme="minorEastAsia"/>
                <w:color w:val="auto"/>
                <w:highlight w:val="none"/>
              </w:rPr>
            </w:pPr>
          </w:p>
        </w:tc>
        <w:tc>
          <w:tcPr>
            <w:tcW w:w="995" w:type="dxa"/>
            <w:vAlign w:val="center"/>
          </w:tcPr>
          <w:p>
            <w:pPr>
              <w:jc w:val="center"/>
              <w:rPr>
                <w:rFonts w:asciiTheme="minorEastAsia" w:hAnsiTheme="minorEastAsia" w:eastAsiaTheme="minorEastAsia"/>
                <w:color w:val="auto"/>
                <w:highlight w:val="none"/>
              </w:rPr>
            </w:pPr>
          </w:p>
        </w:tc>
        <w:tc>
          <w:tcPr>
            <w:tcW w:w="1134" w:type="dxa"/>
            <w:vAlign w:val="center"/>
          </w:tcPr>
          <w:p>
            <w:pPr>
              <w:jc w:val="center"/>
              <w:rPr>
                <w:rFonts w:asciiTheme="minorEastAsia" w:hAnsiTheme="minorEastAsia" w:eastAsiaTheme="minorEastAsia"/>
                <w:color w:val="auto"/>
                <w:highlight w:val="none"/>
              </w:rPr>
            </w:pPr>
          </w:p>
        </w:tc>
        <w:tc>
          <w:tcPr>
            <w:tcW w:w="1134" w:type="dxa"/>
            <w:vAlign w:val="center"/>
          </w:tcPr>
          <w:p>
            <w:pPr>
              <w:jc w:val="center"/>
              <w:rPr>
                <w:rFonts w:asciiTheme="minorEastAsia" w:hAnsiTheme="minorEastAsia" w:eastAsiaTheme="minorEastAsia"/>
                <w:color w:val="auto"/>
                <w:highlight w:val="none"/>
              </w:rPr>
            </w:pPr>
          </w:p>
        </w:tc>
        <w:tc>
          <w:tcPr>
            <w:tcW w:w="1492" w:type="dxa"/>
            <w:vAlign w:val="center"/>
          </w:tcPr>
          <w:p>
            <w:pPr>
              <w:jc w:val="center"/>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tcBorders>
              <w:bottom w:val="single" w:color="auto" w:sz="4" w:space="0"/>
            </w:tcBorders>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w:t>
            </w:r>
          </w:p>
        </w:tc>
        <w:tc>
          <w:tcPr>
            <w:tcW w:w="1686" w:type="dxa"/>
            <w:vAlign w:val="center"/>
          </w:tcPr>
          <w:p>
            <w:pPr>
              <w:jc w:val="center"/>
              <w:rPr>
                <w:rFonts w:asciiTheme="minorEastAsia" w:hAnsiTheme="minorEastAsia" w:eastAsiaTheme="minorEastAsia"/>
                <w:color w:val="auto"/>
                <w:highlight w:val="none"/>
              </w:rPr>
            </w:pPr>
          </w:p>
        </w:tc>
        <w:tc>
          <w:tcPr>
            <w:tcW w:w="992" w:type="dxa"/>
            <w:vAlign w:val="center"/>
          </w:tcPr>
          <w:p>
            <w:pPr>
              <w:jc w:val="center"/>
              <w:rPr>
                <w:rFonts w:asciiTheme="minorEastAsia" w:hAnsiTheme="minorEastAsia" w:eastAsiaTheme="minorEastAsia"/>
                <w:color w:val="auto"/>
                <w:highlight w:val="none"/>
              </w:rPr>
            </w:pPr>
          </w:p>
        </w:tc>
        <w:tc>
          <w:tcPr>
            <w:tcW w:w="766" w:type="dxa"/>
            <w:vAlign w:val="center"/>
          </w:tcPr>
          <w:p>
            <w:pPr>
              <w:jc w:val="center"/>
              <w:rPr>
                <w:rFonts w:asciiTheme="minorEastAsia" w:hAnsiTheme="minorEastAsia" w:eastAsiaTheme="minorEastAsia"/>
                <w:color w:val="auto"/>
                <w:highlight w:val="none"/>
              </w:rPr>
            </w:pPr>
          </w:p>
        </w:tc>
        <w:tc>
          <w:tcPr>
            <w:tcW w:w="995" w:type="dxa"/>
            <w:vAlign w:val="center"/>
          </w:tcPr>
          <w:p>
            <w:pPr>
              <w:jc w:val="center"/>
              <w:rPr>
                <w:rFonts w:asciiTheme="minorEastAsia" w:hAnsiTheme="minorEastAsia" w:eastAsiaTheme="minorEastAsia"/>
                <w:color w:val="auto"/>
                <w:highlight w:val="none"/>
              </w:rPr>
            </w:pPr>
          </w:p>
        </w:tc>
        <w:tc>
          <w:tcPr>
            <w:tcW w:w="1134" w:type="dxa"/>
            <w:vAlign w:val="center"/>
          </w:tcPr>
          <w:p>
            <w:pPr>
              <w:jc w:val="center"/>
              <w:rPr>
                <w:rFonts w:asciiTheme="minorEastAsia" w:hAnsiTheme="minorEastAsia" w:eastAsiaTheme="minorEastAsia"/>
                <w:color w:val="auto"/>
                <w:highlight w:val="none"/>
              </w:rPr>
            </w:pPr>
          </w:p>
        </w:tc>
        <w:tc>
          <w:tcPr>
            <w:tcW w:w="1134" w:type="dxa"/>
            <w:vAlign w:val="center"/>
          </w:tcPr>
          <w:p>
            <w:pPr>
              <w:jc w:val="center"/>
              <w:rPr>
                <w:rFonts w:asciiTheme="minorEastAsia" w:hAnsiTheme="minorEastAsia" w:eastAsiaTheme="minorEastAsia"/>
                <w:color w:val="auto"/>
                <w:highlight w:val="none"/>
              </w:rPr>
            </w:pPr>
          </w:p>
        </w:tc>
        <w:tc>
          <w:tcPr>
            <w:tcW w:w="1492" w:type="dxa"/>
            <w:vAlign w:val="center"/>
          </w:tcPr>
          <w:p>
            <w:pPr>
              <w:jc w:val="center"/>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tcBorders>
              <w:bottom w:val="single" w:color="auto" w:sz="4" w:space="0"/>
            </w:tcBorders>
            <w:vAlign w:val="center"/>
          </w:tcPr>
          <w:p>
            <w:pPr>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w:t>
            </w:r>
          </w:p>
        </w:tc>
        <w:tc>
          <w:tcPr>
            <w:tcW w:w="1686" w:type="dxa"/>
            <w:vAlign w:val="center"/>
          </w:tcPr>
          <w:p>
            <w:pPr>
              <w:jc w:val="center"/>
              <w:rPr>
                <w:rFonts w:asciiTheme="minorEastAsia" w:hAnsiTheme="minorEastAsia" w:eastAsiaTheme="minorEastAsia"/>
                <w:color w:val="auto"/>
                <w:highlight w:val="none"/>
              </w:rPr>
            </w:pPr>
          </w:p>
        </w:tc>
        <w:tc>
          <w:tcPr>
            <w:tcW w:w="992" w:type="dxa"/>
            <w:vAlign w:val="center"/>
          </w:tcPr>
          <w:p>
            <w:pPr>
              <w:jc w:val="center"/>
              <w:rPr>
                <w:rFonts w:asciiTheme="minorEastAsia" w:hAnsiTheme="minorEastAsia" w:eastAsiaTheme="minorEastAsia"/>
                <w:color w:val="auto"/>
                <w:highlight w:val="none"/>
              </w:rPr>
            </w:pPr>
          </w:p>
        </w:tc>
        <w:tc>
          <w:tcPr>
            <w:tcW w:w="766" w:type="dxa"/>
            <w:vAlign w:val="center"/>
          </w:tcPr>
          <w:p>
            <w:pPr>
              <w:jc w:val="center"/>
              <w:rPr>
                <w:rFonts w:asciiTheme="minorEastAsia" w:hAnsiTheme="minorEastAsia" w:eastAsiaTheme="minorEastAsia"/>
                <w:color w:val="auto"/>
                <w:highlight w:val="none"/>
              </w:rPr>
            </w:pPr>
          </w:p>
        </w:tc>
        <w:tc>
          <w:tcPr>
            <w:tcW w:w="995" w:type="dxa"/>
            <w:vAlign w:val="center"/>
          </w:tcPr>
          <w:p>
            <w:pPr>
              <w:jc w:val="center"/>
              <w:rPr>
                <w:rFonts w:asciiTheme="minorEastAsia" w:hAnsiTheme="minorEastAsia" w:eastAsiaTheme="minorEastAsia"/>
                <w:color w:val="auto"/>
                <w:highlight w:val="none"/>
              </w:rPr>
            </w:pPr>
          </w:p>
        </w:tc>
        <w:tc>
          <w:tcPr>
            <w:tcW w:w="1134" w:type="dxa"/>
            <w:vAlign w:val="center"/>
          </w:tcPr>
          <w:p>
            <w:pPr>
              <w:jc w:val="center"/>
              <w:rPr>
                <w:rFonts w:asciiTheme="minorEastAsia" w:hAnsiTheme="minorEastAsia" w:eastAsiaTheme="minorEastAsia"/>
                <w:color w:val="auto"/>
                <w:highlight w:val="none"/>
              </w:rPr>
            </w:pPr>
          </w:p>
        </w:tc>
        <w:tc>
          <w:tcPr>
            <w:tcW w:w="1134" w:type="dxa"/>
            <w:vAlign w:val="center"/>
          </w:tcPr>
          <w:p>
            <w:pPr>
              <w:jc w:val="center"/>
              <w:rPr>
                <w:rFonts w:asciiTheme="minorEastAsia" w:hAnsiTheme="minorEastAsia" w:eastAsiaTheme="minorEastAsia"/>
                <w:color w:val="auto"/>
                <w:highlight w:val="none"/>
              </w:rPr>
            </w:pPr>
          </w:p>
        </w:tc>
        <w:tc>
          <w:tcPr>
            <w:tcW w:w="1492" w:type="dxa"/>
            <w:vAlign w:val="center"/>
          </w:tcPr>
          <w:p>
            <w:pPr>
              <w:jc w:val="center"/>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279" w:type="dxa"/>
            <w:gridSpan w:val="5"/>
            <w:vAlign w:val="center"/>
          </w:tcPr>
          <w:p>
            <w:pPr>
              <w:ind w:firstLine="422"/>
              <w:jc w:val="center"/>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合计金额（元）</w:t>
            </w:r>
          </w:p>
        </w:tc>
        <w:tc>
          <w:tcPr>
            <w:tcW w:w="3760" w:type="dxa"/>
            <w:gridSpan w:val="3"/>
            <w:vAlign w:val="center"/>
          </w:tcPr>
          <w:p>
            <w:pPr>
              <w:jc w:val="left"/>
              <w:rPr>
                <w:rFonts w:asciiTheme="minorEastAsia" w:hAnsiTheme="minorEastAsia" w:eastAsiaTheme="minorEastAsia"/>
                <w:color w:val="auto"/>
                <w:highlight w:val="none"/>
              </w:rPr>
            </w:pPr>
            <w:r>
              <w:rPr>
                <w:rFonts w:hint="eastAsia" w:asciiTheme="minorEastAsia" w:hAnsiTheme="minorEastAsia" w:eastAsiaTheme="minorEastAsia"/>
                <w:color w:val="auto"/>
                <w:szCs w:val="21"/>
                <w:highlight w:val="none"/>
              </w:rPr>
              <w:t>小写：</w:t>
            </w:r>
          </w:p>
        </w:tc>
      </w:tr>
    </w:tbl>
    <w:p>
      <w:pPr>
        <w:adjustRightInd w:val="0"/>
        <w:snapToGrid w:val="0"/>
        <w:spacing w:line="360" w:lineRule="auto"/>
        <w:ind w:firstLine="422"/>
        <w:rPr>
          <w:rFonts w:asciiTheme="minorEastAsia" w:hAnsiTheme="minorEastAsia" w:eastAsiaTheme="minorEastAsia"/>
          <w:color w:val="auto"/>
          <w:highlight w:val="none"/>
        </w:rPr>
      </w:pPr>
      <w:r>
        <w:rPr>
          <w:rFonts w:hint="eastAsia" w:asciiTheme="minorEastAsia" w:hAnsiTheme="minorEastAsia" w:eastAsiaTheme="minorEastAsia"/>
          <w:b/>
          <w:bCs/>
          <w:color w:val="auto"/>
          <w:szCs w:val="28"/>
          <w:highlight w:val="none"/>
        </w:rPr>
        <w:t>注：</w:t>
      </w:r>
      <w:r>
        <w:rPr>
          <w:rFonts w:hint="eastAsia" w:asciiTheme="minorEastAsia" w:hAnsiTheme="minorEastAsia" w:eastAsiaTheme="minorEastAsia"/>
          <w:color w:val="auto"/>
          <w:highlight w:val="none"/>
        </w:rPr>
        <w:t>所列费用为对应本项目需求的全部货物及相关服务内容，如有漏项或缺项，投标人承担全部责任。</w:t>
      </w:r>
      <w:r>
        <w:rPr>
          <w:color w:val="auto"/>
          <w:szCs w:val="21"/>
          <w:highlight w:val="none"/>
        </w:rPr>
        <w:t>若投标人尚有其它内容需明列的，请按此表格式扩展</w:t>
      </w:r>
      <w:r>
        <w:rPr>
          <w:rFonts w:hint="eastAsia"/>
          <w:color w:val="auto"/>
          <w:szCs w:val="21"/>
          <w:highlight w:val="none"/>
        </w:rPr>
        <w:t>但是不得删除已有的内容</w:t>
      </w:r>
      <w:r>
        <w:rPr>
          <w:color w:val="auto"/>
          <w:szCs w:val="21"/>
          <w:highlight w:val="none"/>
        </w:rPr>
        <w:t>。</w:t>
      </w:r>
    </w:p>
    <w:p>
      <w:pPr>
        <w:spacing w:line="360" w:lineRule="auto"/>
        <w:rPr>
          <w:rFonts w:cs="宋体" w:asciiTheme="minorEastAsia" w:hAnsiTheme="minorEastAsia" w:eastAsiaTheme="minorEastAsia"/>
          <w:color w:val="auto"/>
          <w:szCs w:val="21"/>
          <w:highlight w:val="none"/>
        </w:rPr>
      </w:pPr>
    </w:p>
    <w:p>
      <w:pPr>
        <w:spacing w:line="360" w:lineRule="auto"/>
        <w:rPr>
          <w:rFonts w:cs="宋体" w:asciiTheme="minorEastAsia" w:hAnsiTheme="minorEastAsia" w:eastAsiaTheme="minorEastAsia"/>
          <w:color w:val="auto"/>
          <w:szCs w:val="21"/>
          <w:highlight w:val="none"/>
        </w:rPr>
      </w:pPr>
    </w:p>
    <w:p>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填写全称并加盖公章     </w:t>
      </w:r>
    </w:p>
    <w:p>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日  期：</w:t>
      </w:r>
    </w:p>
    <w:p>
      <w:pPr>
        <w:pStyle w:val="2"/>
        <w:ind w:firstLine="560"/>
        <w:rPr>
          <w:color w:val="auto"/>
          <w:highlight w:val="none"/>
        </w:rPr>
      </w:pPr>
    </w:p>
    <w:p>
      <w:pPr>
        <w:widowControl/>
        <w:jc w:val="left"/>
        <w:rPr>
          <w:rFonts w:ascii="Calibri" w:hAnsi="Calibri"/>
          <w:color w:val="auto"/>
          <w:kern w:val="0"/>
          <w:sz w:val="28"/>
          <w:highlight w:val="none"/>
        </w:rPr>
      </w:pPr>
      <w:r>
        <w:rPr>
          <w:color w:val="auto"/>
          <w:highlight w:val="none"/>
        </w:rPr>
        <w:br w:type="page"/>
      </w:r>
    </w:p>
    <w:p>
      <w:pPr>
        <w:pStyle w:val="20"/>
        <w:spacing w:line="360" w:lineRule="auto"/>
        <w:ind w:left="438" w:leftChars="0" w:firstLine="402"/>
        <w:jc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2</w:t>
      </w:r>
      <w:r>
        <w:rPr>
          <w:rFonts w:cs="宋体" w:asciiTheme="minorEastAsia" w:hAnsiTheme="minorEastAsia" w:eastAsiaTheme="minorEastAsia"/>
          <w:b/>
          <w:color w:val="auto"/>
          <w:sz w:val="21"/>
          <w:szCs w:val="21"/>
          <w:highlight w:val="none"/>
        </w:rPr>
        <w:t>-2</w:t>
      </w:r>
      <w:r>
        <w:rPr>
          <w:rFonts w:hint="eastAsia" w:cs="宋体" w:asciiTheme="minorEastAsia" w:hAnsiTheme="minorEastAsia" w:eastAsiaTheme="minorEastAsia"/>
          <w:b/>
          <w:color w:val="auto"/>
          <w:sz w:val="21"/>
          <w:szCs w:val="21"/>
          <w:highlight w:val="none"/>
        </w:rPr>
        <w:t>投标报价组成明细表（适用于标项四）</w:t>
      </w:r>
    </w:p>
    <w:p>
      <w:pPr>
        <w:pStyle w:val="29"/>
        <w:spacing w:before="120" w:beforeLines="50" w:after="120" w:afterLines="50" w:line="360" w:lineRule="auto"/>
        <w:ind w:firstLine="495" w:firstLineChars="235"/>
        <w:rPr>
          <w:rFonts w:ascii="宋体" w:hAnsi="宋体" w:cs="宋体"/>
          <w:b/>
          <w:bCs/>
          <w:color w:val="auto"/>
          <w:sz w:val="21"/>
          <w:szCs w:val="21"/>
          <w:highlight w:val="none"/>
        </w:rPr>
      </w:pPr>
      <w:r>
        <w:rPr>
          <w:rFonts w:hint="eastAsia" w:ascii="宋体" w:hAnsi="宋体" w:cs="宋体"/>
          <w:b/>
          <w:bCs/>
          <w:color w:val="auto"/>
          <w:sz w:val="21"/>
          <w:szCs w:val="21"/>
          <w:highlight w:val="none"/>
        </w:rPr>
        <w:t>序号1：动态光散射粒度分析仪</w:t>
      </w:r>
    </w:p>
    <w:tbl>
      <w:tblPr>
        <w:tblStyle w:val="4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686"/>
        <w:gridCol w:w="992"/>
        <w:gridCol w:w="766"/>
        <w:gridCol w:w="995"/>
        <w:gridCol w:w="1134"/>
        <w:gridCol w:w="1134"/>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840" w:type="dxa"/>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序号</w:t>
            </w:r>
          </w:p>
        </w:tc>
        <w:tc>
          <w:tcPr>
            <w:tcW w:w="1686" w:type="dxa"/>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费用内容</w:t>
            </w:r>
          </w:p>
        </w:tc>
        <w:tc>
          <w:tcPr>
            <w:tcW w:w="992" w:type="dxa"/>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单位</w:t>
            </w:r>
          </w:p>
        </w:tc>
        <w:tc>
          <w:tcPr>
            <w:tcW w:w="766" w:type="dxa"/>
            <w:vAlign w:val="center"/>
          </w:tcPr>
          <w:p>
            <w:pPr>
              <w:jc w:val="center"/>
              <w:rPr>
                <w:rFonts w:asciiTheme="minorEastAsia" w:hAnsiTheme="minorEastAsia" w:eastAsiaTheme="minorEastAsia"/>
                <w:color w:val="auto"/>
                <w:highlight w:val="none"/>
              </w:rPr>
            </w:pPr>
            <w:r>
              <w:rPr>
                <w:rFonts w:asciiTheme="minorEastAsia" w:hAnsiTheme="minorEastAsia" w:eastAsiaTheme="minorEastAsia"/>
                <w:bCs/>
                <w:color w:val="auto"/>
                <w:highlight w:val="none"/>
              </w:rPr>
              <w:t>数量</w:t>
            </w:r>
          </w:p>
        </w:tc>
        <w:tc>
          <w:tcPr>
            <w:tcW w:w="995" w:type="dxa"/>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品牌</w:t>
            </w:r>
          </w:p>
        </w:tc>
        <w:tc>
          <w:tcPr>
            <w:tcW w:w="1134" w:type="dxa"/>
            <w:vAlign w:val="center"/>
          </w:tcPr>
          <w:p>
            <w:pPr>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规格型号</w:t>
            </w:r>
          </w:p>
        </w:tc>
        <w:tc>
          <w:tcPr>
            <w:tcW w:w="1134" w:type="dxa"/>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单价（元）</w:t>
            </w:r>
          </w:p>
        </w:tc>
        <w:tc>
          <w:tcPr>
            <w:tcW w:w="1492" w:type="dxa"/>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小计金额（元）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tcBorders>
              <w:bottom w:val="single" w:color="auto" w:sz="4" w:space="0"/>
            </w:tcBorders>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w:t>
            </w:r>
          </w:p>
        </w:tc>
        <w:tc>
          <w:tcPr>
            <w:tcW w:w="1686" w:type="dxa"/>
            <w:vAlign w:val="center"/>
          </w:tcPr>
          <w:p>
            <w:pPr>
              <w:jc w:val="center"/>
              <w:rPr>
                <w:rFonts w:asciiTheme="minorEastAsia" w:hAnsiTheme="minorEastAsia" w:eastAsiaTheme="minorEastAsia"/>
                <w:color w:val="auto"/>
                <w:highlight w:val="none"/>
              </w:rPr>
            </w:pPr>
          </w:p>
        </w:tc>
        <w:tc>
          <w:tcPr>
            <w:tcW w:w="992" w:type="dxa"/>
            <w:vAlign w:val="center"/>
          </w:tcPr>
          <w:p>
            <w:pPr>
              <w:jc w:val="center"/>
              <w:rPr>
                <w:rFonts w:asciiTheme="minorEastAsia" w:hAnsiTheme="minorEastAsia" w:eastAsiaTheme="minorEastAsia"/>
                <w:color w:val="auto"/>
                <w:highlight w:val="none"/>
              </w:rPr>
            </w:pPr>
          </w:p>
        </w:tc>
        <w:tc>
          <w:tcPr>
            <w:tcW w:w="766" w:type="dxa"/>
            <w:vAlign w:val="center"/>
          </w:tcPr>
          <w:p>
            <w:pPr>
              <w:jc w:val="center"/>
              <w:rPr>
                <w:rFonts w:asciiTheme="minorEastAsia" w:hAnsiTheme="minorEastAsia" w:eastAsiaTheme="minorEastAsia"/>
                <w:color w:val="auto"/>
                <w:highlight w:val="none"/>
              </w:rPr>
            </w:pPr>
          </w:p>
        </w:tc>
        <w:tc>
          <w:tcPr>
            <w:tcW w:w="995" w:type="dxa"/>
            <w:vAlign w:val="center"/>
          </w:tcPr>
          <w:p>
            <w:pPr>
              <w:jc w:val="center"/>
              <w:rPr>
                <w:rFonts w:asciiTheme="minorEastAsia" w:hAnsiTheme="minorEastAsia" w:eastAsiaTheme="minorEastAsia"/>
                <w:color w:val="auto"/>
                <w:highlight w:val="none"/>
              </w:rPr>
            </w:pPr>
          </w:p>
        </w:tc>
        <w:tc>
          <w:tcPr>
            <w:tcW w:w="1134" w:type="dxa"/>
            <w:vAlign w:val="center"/>
          </w:tcPr>
          <w:p>
            <w:pPr>
              <w:jc w:val="center"/>
              <w:rPr>
                <w:rFonts w:asciiTheme="minorEastAsia" w:hAnsiTheme="minorEastAsia" w:eastAsiaTheme="minorEastAsia"/>
                <w:color w:val="auto"/>
                <w:highlight w:val="none"/>
              </w:rPr>
            </w:pPr>
          </w:p>
        </w:tc>
        <w:tc>
          <w:tcPr>
            <w:tcW w:w="1134" w:type="dxa"/>
            <w:vAlign w:val="center"/>
          </w:tcPr>
          <w:p>
            <w:pPr>
              <w:jc w:val="center"/>
              <w:rPr>
                <w:rFonts w:asciiTheme="minorEastAsia" w:hAnsiTheme="minorEastAsia" w:eastAsiaTheme="minorEastAsia"/>
                <w:color w:val="auto"/>
                <w:highlight w:val="none"/>
              </w:rPr>
            </w:pPr>
          </w:p>
        </w:tc>
        <w:tc>
          <w:tcPr>
            <w:tcW w:w="1492" w:type="dxa"/>
            <w:vAlign w:val="center"/>
          </w:tcPr>
          <w:p>
            <w:pPr>
              <w:jc w:val="center"/>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tcBorders>
              <w:bottom w:val="single" w:color="auto" w:sz="4" w:space="0"/>
            </w:tcBorders>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w:t>
            </w:r>
          </w:p>
        </w:tc>
        <w:tc>
          <w:tcPr>
            <w:tcW w:w="1686" w:type="dxa"/>
            <w:vAlign w:val="center"/>
          </w:tcPr>
          <w:p>
            <w:pPr>
              <w:jc w:val="center"/>
              <w:rPr>
                <w:rFonts w:asciiTheme="minorEastAsia" w:hAnsiTheme="minorEastAsia" w:eastAsiaTheme="minorEastAsia"/>
                <w:color w:val="auto"/>
                <w:highlight w:val="none"/>
              </w:rPr>
            </w:pPr>
          </w:p>
        </w:tc>
        <w:tc>
          <w:tcPr>
            <w:tcW w:w="992" w:type="dxa"/>
            <w:vAlign w:val="center"/>
          </w:tcPr>
          <w:p>
            <w:pPr>
              <w:jc w:val="center"/>
              <w:rPr>
                <w:rFonts w:asciiTheme="minorEastAsia" w:hAnsiTheme="minorEastAsia" w:eastAsiaTheme="minorEastAsia"/>
                <w:color w:val="auto"/>
                <w:highlight w:val="none"/>
              </w:rPr>
            </w:pPr>
          </w:p>
        </w:tc>
        <w:tc>
          <w:tcPr>
            <w:tcW w:w="766" w:type="dxa"/>
            <w:vAlign w:val="center"/>
          </w:tcPr>
          <w:p>
            <w:pPr>
              <w:jc w:val="center"/>
              <w:rPr>
                <w:rFonts w:asciiTheme="minorEastAsia" w:hAnsiTheme="minorEastAsia" w:eastAsiaTheme="minorEastAsia"/>
                <w:color w:val="auto"/>
                <w:highlight w:val="none"/>
              </w:rPr>
            </w:pPr>
          </w:p>
        </w:tc>
        <w:tc>
          <w:tcPr>
            <w:tcW w:w="995" w:type="dxa"/>
            <w:vAlign w:val="center"/>
          </w:tcPr>
          <w:p>
            <w:pPr>
              <w:jc w:val="center"/>
              <w:rPr>
                <w:rFonts w:asciiTheme="minorEastAsia" w:hAnsiTheme="minorEastAsia" w:eastAsiaTheme="minorEastAsia"/>
                <w:color w:val="auto"/>
                <w:highlight w:val="none"/>
              </w:rPr>
            </w:pPr>
          </w:p>
        </w:tc>
        <w:tc>
          <w:tcPr>
            <w:tcW w:w="1134" w:type="dxa"/>
            <w:vAlign w:val="center"/>
          </w:tcPr>
          <w:p>
            <w:pPr>
              <w:jc w:val="center"/>
              <w:rPr>
                <w:rFonts w:asciiTheme="minorEastAsia" w:hAnsiTheme="minorEastAsia" w:eastAsiaTheme="minorEastAsia"/>
                <w:color w:val="auto"/>
                <w:highlight w:val="none"/>
              </w:rPr>
            </w:pPr>
          </w:p>
        </w:tc>
        <w:tc>
          <w:tcPr>
            <w:tcW w:w="1134" w:type="dxa"/>
            <w:vAlign w:val="center"/>
          </w:tcPr>
          <w:p>
            <w:pPr>
              <w:jc w:val="center"/>
              <w:rPr>
                <w:rFonts w:asciiTheme="minorEastAsia" w:hAnsiTheme="minorEastAsia" w:eastAsiaTheme="minorEastAsia"/>
                <w:color w:val="auto"/>
                <w:highlight w:val="none"/>
              </w:rPr>
            </w:pPr>
          </w:p>
        </w:tc>
        <w:tc>
          <w:tcPr>
            <w:tcW w:w="1492" w:type="dxa"/>
            <w:vAlign w:val="center"/>
          </w:tcPr>
          <w:p>
            <w:pPr>
              <w:jc w:val="center"/>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tcBorders>
              <w:bottom w:val="single" w:color="auto" w:sz="4" w:space="0"/>
            </w:tcBorders>
            <w:vAlign w:val="center"/>
          </w:tcPr>
          <w:p>
            <w:pPr>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w:t>
            </w:r>
          </w:p>
        </w:tc>
        <w:tc>
          <w:tcPr>
            <w:tcW w:w="1686" w:type="dxa"/>
            <w:vAlign w:val="center"/>
          </w:tcPr>
          <w:p>
            <w:pPr>
              <w:jc w:val="center"/>
              <w:rPr>
                <w:rFonts w:asciiTheme="minorEastAsia" w:hAnsiTheme="minorEastAsia" w:eastAsiaTheme="minorEastAsia"/>
                <w:color w:val="auto"/>
                <w:highlight w:val="none"/>
              </w:rPr>
            </w:pPr>
          </w:p>
        </w:tc>
        <w:tc>
          <w:tcPr>
            <w:tcW w:w="992" w:type="dxa"/>
            <w:vAlign w:val="center"/>
          </w:tcPr>
          <w:p>
            <w:pPr>
              <w:jc w:val="center"/>
              <w:rPr>
                <w:rFonts w:asciiTheme="minorEastAsia" w:hAnsiTheme="minorEastAsia" w:eastAsiaTheme="minorEastAsia"/>
                <w:color w:val="auto"/>
                <w:highlight w:val="none"/>
              </w:rPr>
            </w:pPr>
          </w:p>
        </w:tc>
        <w:tc>
          <w:tcPr>
            <w:tcW w:w="766" w:type="dxa"/>
            <w:vAlign w:val="center"/>
          </w:tcPr>
          <w:p>
            <w:pPr>
              <w:jc w:val="center"/>
              <w:rPr>
                <w:rFonts w:asciiTheme="minorEastAsia" w:hAnsiTheme="minorEastAsia" w:eastAsiaTheme="minorEastAsia"/>
                <w:color w:val="auto"/>
                <w:highlight w:val="none"/>
              </w:rPr>
            </w:pPr>
          </w:p>
        </w:tc>
        <w:tc>
          <w:tcPr>
            <w:tcW w:w="995" w:type="dxa"/>
            <w:vAlign w:val="center"/>
          </w:tcPr>
          <w:p>
            <w:pPr>
              <w:jc w:val="center"/>
              <w:rPr>
                <w:rFonts w:asciiTheme="minorEastAsia" w:hAnsiTheme="minorEastAsia" w:eastAsiaTheme="minorEastAsia"/>
                <w:color w:val="auto"/>
                <w:highlight w:val="none"/>
              </w:rPr>
            </w:pPr>
          </w:p>
        </w:tc>
        <w:tc>
          <w:tcPr>
            <w:tcW w:w="1134" w:type="dxa"/>
            <w:vAlign w:val="center"/>
          </w:tcPr>
          <w:p>
            <w:pPr>
              <w:jc w:val="center"/>
              <w:rPr>
                <w:rFonts w:asciiTheme="minorEastAsia" w:hAnsiTheme="minorEastAsia" w:eastAsiaTheme="minorEastAsia"/>
                <w:color w:val="auto"/>
                <w:highlight w:val="none"/>
              </w:rPr>
            </w:pPr>
          </w:p>
        </w:tc>
        <w:tc>
          <w:tcPr>
            <w:tcW w:w="1134" w:type="dxa"/>
            <w:vAlign w:val="center"/>
          </w:tcPr>
          <w:p>
            <w:pPr>
              <w:jc w:val="center"/>
              <w:rPr>
                <w:rFonts w:asciiTheme="minorEastAsia" w:hAnsiTheme="minorEastAsia" w:eastAsiaTheme="minorEastAsia"/>
                <w:color w:val="auto"/>
                <w:highlight w:val="none"/>
              </w:rPr>
            </w:pPr>
          </w:p>
        </w:tc>
        <w:tc>
          <w:tcPr>
            <w:tcW w:w="1492" w:type="dxa"/>
            <w:vAlign w:val="center"/>
          </w:tcPr>
          <w:p>
            <w:pPr>
              <w:jc w:val="center"/>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279" w:type="dxa"/>
            <w:gridSpan w:val="5"/>
            <w:vAlign w:val="center"/>
          </w:tcPr>
          <w:p>
            <w:pPr>
              <w:ind w:firstLine="422"/>
              <w:jc w:val="center"/>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合计金额（元）</w:t>
            </w:r>
          </w:p>
        </w:tc>
        <w:tc>
          <w:tcPr>
            <w:tcW w:w="3760" w:type="dxa"/>
            <w:gridSpan w:val="3"/>
            <w:vAlign w:val="center"/>
          </w:tcPr>
          <w:p>
            <w:pPr>
              <w:jc w:val="left"/>
              <w:rPr>
                <w:rFonts w:asciiTheme="minorEastAsia" w:hAnsiTheme="minorEastAsia" w:eastAsiaTheme="minorEastAsia"/>
                <w:color w:val="auto"/>
                <w:highlight w:val="none"/>
              </w:rPr>
            </w:pPr>
            <w:r>
              <w:rPr>
                <w:rFonts w:hint="eastAsia" w:asciiTheme="minorEastAsia" w:hAnsiTheme="minorEastAsia" w:eastAsiaTheme="minorEastAsia"/>
                <w:color w:val="auto"/>
                <w:szCs w:val="21"/>
                <w:highlight w:val="none"/>
              </w:rPr>
              <w:t>小写：</w:t>
            </w:r>
          </w:p>
        </w:tc>
      </w:tr>
    </w:tbl>
    <w:p>
      <w:pPr>
        <w:adjustRightInd w:val="0"/>
        <w:snapToGrid w:val="0"/>
        <w:spacing w:line="360" w:lineRule="auto"/>
        <w:ind w:firstLine="422"/>
        <w:rPr>
          <w:rFonts w:asciiTheme="minorEastAsia" w:hAnsiTheme="minorEastAsia" w:eastAsiaTheme="minorEastAsia"/>
          <w:color w:val="auto"/>
          <w:highlight w:val="none"/>
        </w:rPr>
      </w:pPr>
      <w:r>
        <w:rPr>
          <w:rFonts w:hint="eastAsia" w:asciiTheme="minorEastAsia" w:hAnsiTheme="minorEastAsia" w:eastAsiaTheme="minorEastAsia"/>
          <w:b/>
          <w:bCs/>
          <w:color w:val="auto"/>
          <w:szCs w:val="28"/>
          <w:highlight w:val="none"/>
        </w:rPr>
        <w:t>注：</w:t>
      </w:r>
      <w:r>
        <w:rPr>
          <w:rFonts w:hint="eastAsia" w:asciiTheme="minorEastAsia" w:hAnsiTheme="minorEastAsia" w:eastAsiaTheme="minorEastAsia"/>
          <w:color w:val="auto"/>
          <w:highlight w:val="none"/>
        </w:rPr>
        <w:t>所列费用为对应本项目需求的全部货物及相关服务内容，如有漏项或缺项，投标人承担全部责任。</w:t>
      </w:r>
      <w:r>
        <w:rPr>
          <w:color w:val="auto"/>
          <w:szCs w:val="21"/>
          <w:highlight w:val="none"/>
        </w:rPr>
        <w:t>若投标人尚有其它内容需明列的，请按此表格式扩展</w:t>
      </w:r>
      <w:r>
        <w:rPr>
          <w:rFonts w:hint="eastAsia"/>
          <w:color w:val="auto"/>
          <w:szCs w:val="21"/>
          <w:highlight w:val="none"/>
        </w:rPr>
        <w:t>但是不得删除已有的内容</w:t>
      </w:r>
      <w:r>
        <w:rPr>
          <w:color w:val="auto"/>
          <w:szCs w:val="21"/>
          <w:highlight w:val="none"/>
        </w:rPr>
        <w:t>。</w:t>
      </w:r>
    </w:p>
    <w:p>
      <w:pPr>
        <w:pStyle w:val="29"/>
        <w:spacing w:before="120" w:beforeLines="50" w:after="120" w:afterLines="50" w:line="360" w:lineRule="auto"/>
        <w:ind w:firstLine="495" w:firstLineChars="235"/>
        <w:rPr>
          <w:rFonts w:ascii="宋体" w:hAnsi="宋体" w:cs="宋体"/>
          <w:b/>
          <w:bCs/>
          <w:color w:val="auto"/>
          <w:sz w:val="21"/>
          <w:szCs w:val="21"/>
          <w:highlight w:val="none"/>
        </w:rPr>
      </w:pPr>
    </w:p>
    <w:p>
      <w:pPr>
        <w:pStyle w:val="29"/>
        <w:spacing w:before="120" w:beforeLines="50" w:after="120" w:afterLines="50" w:line="360" w:lineRule="auto"/>
        <w:ind w:firstLine="495" w:firstLineChars="235"/>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r>
        <w:rPr>
          <w:rFonts w:ascii="宋体" w:hAnsi="宋体" w:cs="宋体"/>
          <w:b/>
          <w:bCs/>
          <w:color w:val="auto"/>
          <w:sz w:val="21"/>
          <w:szCs w:val="21"/>
          <w:highlight w:val="none"/>
        </w:rPr>
        <w:t>2</w:t>
      </w:r>
      <w:r>
        <w:rPr>
          <w:rFonts w:hint="eastAsia" w:ascii="宋体" w:hAnsi="宋体" w:cs="宋体"/>
          <w:b/>
          <w:bCs/>
          <w:color w:val="auto"/>
          <w:sz w:val="21"/>
          <w:szCs w:val="21"/>
          <w:highlight w:val="none"/>
        </w:rPr>
        <w:t>：</w:t>
      </w:r>
      <w:r>
        <w:rPr>
          <w:rFonts w:hint="eastAsia"/>
          <w:b/>
          <w:color w:val="auto"/>
          <w:sz w:val="21"/>
          <w:szCs w:val="21"/>
          <w:highlight w:val="none"/>
        </w:rPr>
        <w:t>比表面分析仪</w:t>
      </w:r>
    </w:p>
    <w:tbl>
      <w:tblPr>
        <w:tblStyle w:val="4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686"/>
        <w:gridCol w:w="992"/>
        <w:gridCol w:w="766"/>
        <w:gridCol w:w="995"/>
        <w:gridCol w:w="1134"/>
        <w:gridCol w:w="1134"/>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840" w:type="dxa"/>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序号</w:t>
            </w:r>
          </w:p>
        </w:tc>
        <w:tc>
          <w:tcPr>
            <w:tcW w:w="1686" w:type="dxa"/>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费用内容</w:t>
            </w:r>
          </w:p>
        </w:tc>
        <w:tc>
          <w:tcPr>
            <w:tcW w:w="992" w:type="dxa"/>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单位</w:t>
            </w:r>
          </w:p>
        </w:tc>
        <w:tc>
          <w:tcPr>
            <w:tcW w:w="766" w:type="dxa"/>
            <w:vAlign w:val="center"/>
          </w:tcPr>
          <w:p>
            <w:pPr>
              <w:jc w:val="center"/>
              <w:rPr>
                <w:rFonts w:asciiTheme="minorEastAsia" w:hAnsiTheme="minorEastAsia" w:eastAsiaTheme="minorEastAsia"/>
                <w:color w:val="auto"/>
                <w:highlight w:val="none"/>
              </w:rPr>
            </w:pPr>
            <w:r>
              <w:rPr>
                <w:rFonts w:asciiTheme="minorEastAsia" w:hAnsiTheme="minorEastAsia" w:eastAsiaTheme="minorEastAsia"/>
                <w:bCs/>
                <w:color w:val="auto"/>
                <w:highlight w:val="none"/>
              </w:rPr>
              <w:t>数量</w:t>
            </w:r>
          </w:p>
        </w:tc>
        <w:tc>
          <w:tcPr>
            <w:tcW w:w="995" w:type="dxa"/>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品牌</w:t>
            </w:r>
          </w:p>
        </w:tc>
        <w:tc>
          <w:tcPr>
            <w:tcW w:w="1134" w:type="dxa"/>
            <w:vAlign w:val="center"/>
          </w:tcPr>
          <w:p>
            <w:pPr>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规格型号</w:t>
            </w:r>
          </w:p>
        </w:tc>
        <w:tc>
          <w:tcPr>
            <w:tcW w:w="1134" w:type="dxa"/>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单价（元）</w:t>
            </w:r>
          </w:p>
        </w:tc>
        <w:tc>
          <w:tcPr>
            <w:tcW w:w="1492" w:type="dxa"/>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小计金额（元）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tcBorders>
              <w:bottom w:val="single" w:color="auto" w:sz="4" w:space="0"/>
            </w:tcBorders>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w:t>
            </w:r>
          </w:p>
        </w:tc>
        <w:tc>
          <w:tcPr>
            <w:tcW w:w="1686" w:type="dxa"/>
            <w:vAlign w:val="center"/>
          </w:tcPr>
          <w:p>
            <w:pPr>
              <w:jc w:val="center"/>
              <w:rPr>
                <w:rFonts w:asciiTheme="minorEastAsia" w:hAnsiTheme="minorEastAsia" w:eastAsiaTheme="minorEastAsia"/>
                <w:color w:val="auto"/>
                <w:highlight w:val="none"/>
              </w:rPr>
            </w:pPr>
          </w:p>
        </w:tc>
        <w:tc>
          <w:tcPr>
            <w:tcW w:w="992" w:type="dxa"/>
            <w:vAlign w:val="center"/>
          </w:tcPr>
          <w:p>
            <w:pPr>
              <w:jc w:val="center"/>
              <w:rPr>
                <w:rFonts w:asciiTheme="minorEastAsia" w:hAnsiTheme="minorEastAsia" w:eastAsiaTheme="minorEastAsia"/>
                <w:color w:val="auto"/>
                <w:highlight w:val="none"/>
              </w:rPr>
            </w:pPr>
          </w:p>
        </w:tc>
        <w:tc>
          <w:tcPr>
            <w:tcW w:w="766" w:type="dxa"/>
            <w:vAlign w:val="center"/>
          </w:tcPr>
          <w:p>
            <w:pPr>
              <w:jc w:val="center"/>
              <w:rPr>
                <w:rFonts w:asciiTheme="minorEastAsia" w:hAnsiTheme="minorEastAsia" w:eastAsiaTheme="minorEastAsia"/>
                <w:color w:val="auto"/>
                <w:highlight w:val="none"/>
              </w:rPr>
            </w:pPr>
          </w:p>
        </w:tc>
        <w:tc>
          <w:tcPr>
            <w:tcW w:w="995" w:type="dxa"/>
            <w:vAlign w:val="center"/>
          </w:tcPr>
          <w:p>
            <w:pPr>
              <w:jc w:val="center"/>
              <w:rPr>
                <w:rFonts w:asciiTheme="minorEastAsia" w:hAnsiTheme="minorEastAsia" w:eastAsiaTheme="minorEastAsia"/>
                <w:color w:val="auto"/>
                <w:highlight w:val="none"/>
              </w:rPr>
            </w:pPr>
          </w:p>
        </w:tc>
        <w:tc>
          <w:tcPr>
            <w:tcW w:w="1134" w:type="dxa"/>
            <w:vAlign w:val="center"/>
          </w:tcPr>
          <w:p>
            <w:pPr>
              <w:jc w:val="center"/>
              <w:rPr>
                <w:rFonts w:asciiTheme="minorEastAsia" w:hAnsiTheme="minorEastAsia" w:eastAsiaTheme="minorEastAsia"/>
                <w:color w:val="auto"/>
                <w:highlight w:val="none"/>
              </w:rPr>
            </w:pPr>
          </w:p>
        </w:tc>
        <w:tc>
          <w:tcPr>
            <w:tcW w:w="1134" w:type="dxa"/>
            <w:vAlign w:val="center"/>
          </w:tcPr>
          <w:p>
            <w:pPr>
              <w:jc w:val="center"/>
              <w:rPr>
                <w:rFonts w:asciiTheme="minorEastAsia" w:hAnsiTheme="minorEastAsia" w:eastAsiaTheme="minorEastAsia"/>
                <w:color w:val="auto"/>
                <w:highlight w:val="none"/>
              </w:rPr>
            </w:pPr>
          </w:p>
        </w:tc>
        <w:tc>
          <w:tcPr>
            <w:tcW w:w="1492" w:type="dxa"/>
            <w:vAlign w:val="center"/>
          </w:tcPr>
          <w:p>
            <w:pPr>
              <w:jc w:val="center"/>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tcBorders>
              <w:bottom w:val="single" w:color="auto" w:sz="4" w:space="0"/>
            </w:tcBorders>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w:t>
            </w:r>
          </w:p>
        </w:tc>
        <w:tc>
          <w:tcPr>
            <w:tcW w:w="1686" w:type="dxa"/>
            <w:vAlign w:val="center"/>
          </w:tcPr>
          <w:p>
            <w:pPr>
              <w:jc w:val="center"/>
              <w:rPr>
                <w:rFonts w:asciiTheme="minorEastAsia" w:hAnsiTheme="minorEastAsia" w:eastAsiaTheme="minorEastAsia"/>
                <w:color w:val="auto"/>
                <w:highlight w:val="none"/>
              </w:rPr>
            </w:pPr>
          </w:p>
        </w:tc>
        <w:tc>
          <w:tcPr>
            <w:tcW w:w="992" w:type="dxa"/>
            <w:vAlign w:val="center"/>
          </w:tcPr>
          <w:p>
            <w:pPr>
              <w:jc w:val="center"/>
              <w:rPr>
                <w:rFonts w:asciiTheme="minorEastAsia" w:hAnsiTheme="minorEastAsia" w:eastAsiaTheme="minorEastAsia"/>
                <w:color w:val="auto"/>
                <w:highlight w:val="none"/>
              </w:rPr>
            </w:pPr>
          </w:p>
        </w:tc>
        <w:tc>
          <w:tcPr>
            <w:tcW w:w="766" w:type="dxa"/>
            <w:vAlign w:val="center"/>
          </w:tcPr>
          <w:p>
            <w:pPr>
              <w:jc w:val="center"/>
              <w:rPr>
                <w:rFonts w:asciiTheme="minorEastAsia" w:hAnsiTheme="minorEastAsia" w:eastAsiaTheme="minorEastAsia"/>
                <w:color w:val="auto"/>
                <w:highlight w:val="none"/>
              </w:rPr>
            </w:pPr>
          </w:p>
        </w:tc>
        <w:tc>
          <w:tcPr>
            <w:tcW w:w="995" w:type="dxa"/>
            <w:vAlign w:val="center"/>
          </w:tcPr>
          <w:p>
            <w:pPr>
              <w:jc w:val="center"/>
              <w:rPr>
                <w:rFonts w:asciiTheme="minorEastAsia" w:hAnsiTheme="minorEastAsia" w:eastAsiaTheme="minorEastAsia"/>
                <w:color w:val="auto"/>
                <w:highlight w:val="none"/>
              </w:rPr>
            </w:pPr>
          </w:p>
        </w:tc>
        <w:tc>
          <w:tcPr>
            <w:tcW w:w="1134" w:type="dxa"/>
            <w:vAlign w:val="center"/>
          </w:tcPr>
          <w:p>
            <w:pPr>
              <w:jc w:val="center"/>
              <w:rPr>
                <w:rFonts w:asciiTheme="minorEastAsia" w:hAnsiTheme="minorEastAsia" w:eastAsiaTheme="minorEastAsia"/>
                <w:color w:val="auto"/>
                <w:highlight w:val="none"/>
              </w:rPr>
            </w:pPr>
          </w:p>
        </w:tc>
        <w:tc>
          <w:tcPr>
            <w:tcW w:w="1134" w:type="dxa"/>
            <w:vAlign w:val="center"/>
          </w:tcPr>
          <w:p>
            <w:pPr>
              <w:jc w:val="center"/>
              <w:rPr>
                <w:rFonts w:asciiTheme="minorEastAsia" w:hAnsiTheme="minorEastAsia" w:eastAsiaTheme="minorEastAsia"/>
                <w:color w:val="auto"/>
                <w:highlight w:val="none"/>
              </w:rPr>
            </w:pPr>
          </w:p>
        </w:tc>
        <w:tc>
          <w:tcPr>
            <w:tcW w:w="1492" w:type="dxa"/>
            <w:vAlign w:val="center"/>
          </w:tcPr>
          <w:p>
            <w:pPr>
              <w:jc w:val="center"/>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tcBorders>
              <w:bottom w:val="single" w:color="auto" w:sz="4" w:space="0"/>
            </w:tcBorders>
            <w:vAlign w:val="center"/>
          </w:tcPr>
          <w:p>
            <w:pPr>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w:t>
            </w:r>
          </w:p>
        </w:tc>
        <w:tc>
          <w:tcPr>
            <w:tcW w:w="1686" w:type="dxa"/>
            <w:vAlign w:val="center"/>
          </w:tcPr>
          <w:p>
            <w:pPr>
              <w:jc w:val="center"/>
              <w:rPr>
                <w:rFonts w:asciiTheme="minorEastAsia" w:hAnsiTheme="minorEastAsia" w:eastAsiaTheme="minorEastAsia"/>
                <w:color w:val="auto"/>
                <w:highlight w:val="none"/>
              </w:rPr>
            </w:pPr>
          </w:p>
        </w:tc>
        <w:tc>
          <w:tcPr>
            <w:tcW w:w="992" w:type="dxa"/>
            <w:vAlign w:val="center"/>
          </w:tcPr>
          <w:p>
            <w:pPr>
              <w:jc w:val="center"/>
              <w:rPr>
                <w:rFonts w:asciiTheme="minorEastAsia" w:hAnsiTheme="minorEastAsia" w:eastAsiaTheme="minorEastAsia"/>
                <w:color w:val="auto"/>
                <w:highlight w:val="none"/>
              </w:rPr>
            </w:pPr>
          </w:p>
        </w:tc>
        <w:tc>
          <w:tcPr>
            <w:tcW w:w="766" w:type="dxa"/>
            <w:vAlign w:val="center"/>
          </w:tcPr>
          <w:p>
            <w:pPr>
              <w:jc w:val="center"/>
              <w:rPr>
                <w:rFonts w:asciiTheme="minorEastAsia" w:hAnsiTheme="minorEastAsia" w:eastAsiaTheme="minorEastAsia"/>
                <w:color w:val="auto"/>
                <w:highlight w:val="none"/>
              </w:rPr>
            </w:pPr>
          </w:p>
        </w:tc>
        <w:tc>
          <w:tcPr>
            <w:tcW w:w="995" w:type="dxa"/>
            <w:vAlign w:val="center"/>
          </w:tcPr>
          <w:p>
            <w:pPr>
              <w:jc w:val="center"/>
              <w:rPr>
                <w:rFonts w:asciiTheme="minorEastAsia" w:hAnsiTheme="minorEastAsia" w:eastAsiaTheme="minorEastAsia"/>
                <w:color w:val="auto"/>
                <w:highlight w:val="none"/>
              </w:rPr>
            </w:pPr>
          </w:p>
        </w:tc>
        <w:tc>
          <w:tcPr>
            <w:tcW w:w="1134" w:type="dxa"/>
            <w:vAlign w:val="center"/>
          </w:tcPr>
          <w:p>
            <w:pPr>
              <w:jc w:val="center"/>
              <w:rPr>
                <w:rFonts w:asciiTheme="minorEastAsia" w:hAnsiTheme="minorEastAsia" w:eastAsiaTheme="minorEastAsia"/>
                <w:color w:val="auto"/>
                <w:highlight w:val="none"/>
              </w:rPr>
            </w:pPr>
          </w:p>
        </w:tc>
        <w:tc>
          <w:tcPr>
            <w:tcW w:w="1134" w:type="dxa"/>
            <w:vAlign w:val="center"/>
          </w:tcPr>
          <w:p>
            <w:pPr>
              <w:jc w:val="center"/>
              <w:rPr>
                <w:rFonts w:asciiTheme="minorEastAsia" w:hAnsiTheme="minorEastAsia" w:eastAsiaTheme="minorEastAsia"/>
                <w:color w:val="auto"/>
                <w:highlight w:val="none"/>
              </w:rPr>
            </w:pPr>
          </w:p>
        </w:tc>
        <w:tc>
          <w:tcPr>
            <w:tcW w:w="1492" w:type="dxa"/>
            <w:vAlign w:val="center"/>
          </w:tcPr>
          <w:p>
            <w:pPr>
              <w:jc w:val="center"/>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279" w:type="dxa"/>
            <w:gridSpan w:val="5"/>
            <w:vAlign w:val="center"/>
          </w:tcPr>
          <w:p>
            <w:pPr>
              <w:ind w:firstLine="422"/>
              <w:jc w:val="center"/>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合计金额（元）</w:t>
            </w:r>
          </w:p>
        </w:tc>
        <w:tc>
          <w:tcPr>
            <w:tcW w:w="3760" w:type="dxa"/>
            <w:gridSpan w:val="3"/>
            <w:vAlign w:val="center"/>
          </w:tcPr>
          <w:p>
            <w:pPr>
              <w:jc w:val="left"/>
              <w:rPr>
                <w:rFonts w:asciiTheme="minorEastAsia" w:hAnsiTheme="minorEastAsia" w:eastAsiaTheme="minorEastAsia"/>
                <w:color w:val="auto"/>
                <w:highlight w:val="none"/>
              </w:rPr>
            </w:pPr>
            <w:r>
              <w:rPr>
                <w:rFonts w:hint="eastAsia" w:asciiTheme="minorEastAsia" w:hAnsiTheme="minorEastAsia" w:eastAsiaTheme="minorEastAsia"/>
                <w:color w:val="auto"/>
                <w:szCs w:val="21"/>
                <w:highlight w:val="none"/>
              </w:rPr>
              <w:t>小写：</w:t>
            </w:r>
          </w:p>
        </w:tc>
      </w:tr>
    </w:tbl>
    <w:p>
      <w:pPr>
        <w:adjustRightInd w:val="0"/>
        <w:snapToGrid w:val="0"/>
        <w:spacing w:line="360" w:lineRule="auto"/>
        <w:ind w:firstLine="422"/>
        <w:rPr>
          <w:rFonts w:asciiTheme="minorEastAsia" w:hAnsiTheme="minorEastAsia" w:eastAsiaTheme="minorEastAsia"/>
          <w:color w:val="auto"/>
          <w:highlight w:val="none"/>
        </w:rPr>
      </w:pPr>
      <w:r>
        <w:rPr>
          <w:rFonts w:hint="eastAsia" w:asciiTheme="minorEastAsia" w:hAnsiTheme="minorEastAsia" w:eastAsiaTheme="minorEastAsia"/>
          <w:b/>
          <w:bCs/>
          <w:color w:val="auto"/>
          <w:szCs w:val="28"/>
          <w:highlight w:val="none"/>
        </w:rPr>
        <w:t>注：</w:t>
      </w:r>
      <w:r>
        <w:rPr>
          <w:rFonts w:hint="eastAsia" w:asciiTheme="minorEastAsia" w:hAnsiTheme="minorEastAsia" w:eastAsiaTheme="minorEastAsia"/>
          <w:color w:val="auto"/>
          <w:highlight w:val="none"/>
        </w:rPr>
        <w:t>所列费用为对应本项目需求的全部货物及相关服务内容，如有漏项或缺项，投标人承担全部责任。</w:t>
      </w:r>
      <w:r>
        <w:rPr>
          <w:color w:val="auto"/>
          <w:szCs w:val="21"/>
          <w:highlight w:val="none"/>
        </w:rPr>
        <w:t>若投标人尚有其它内容需明列的，请按此表格式扩展</w:t>
      </w:r>
      <w:r>
        <w:rPr>
          <w:rFonts w:hint="eastAsia"/>
          <w:color w:val="auto"/>
          <w:szCs w:val="21"/>
          <w:highlight w:val="none"/>
        </w:rPr>
        <w:t>但是不得删除已有的内容</w:t>
      </w:r>
      <w:r>
        <w:rPr>
          <w:color w:val="auto"/>
          <w:szCs w:val="21"/>
          <w:highlight w:val="none"/>
        </w:rPr>
        <w:t>。</w:t>
      </w:r>
    </w:p>
    <w:p>
      <w:pPr>
        <w:spacing w:line="360" w:lineRule="auto"/>
        <w:rPr>
          <w:rFonts w:cs="宋体" w:asciiTheme="minorEastAsia" w:hAnsiTheme="minorEastAsia" w:eastAsiaTheme="minorEastAsia"/>
          <w:color w:val="auto"/>
          <w:szCs w:val="21"/>
          <w:highlight w:val="none"/>
        </w:rPr>
      </w:pPr>
    </w:p>
    <w:p>
      <w:pPr>
        <w:spacing w:line="360" w:lineRule="auto"/>
        <w:rPr>
          <w:rFonts w:cs="宋体" w:asciiTheme="minorEastAsia" w:hAnsiTheme="minorEastAsia" w:eastAsiaTheme="minorEastAsia"/>
          <w:color w:val="auto"/>
          <w:szCs w:val="21"/>
          <w:highlight w:val="none"/>
        </w:rPr>
      </w:pPr>
    </w:p>
    <w:p>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填写全称并加盖公章     </w:t>
      </w:r>
    </w:p>
    <w:p>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日  期：</w:t>
      </w:r>
    </w:p>
    <w:p>
      <w:pPr>
        <w:widowControl/>
        <w:jc w:val="left"/>
        <w:rPr>
          <w:rFonts w:ascii="Calibri" w:hAnsi="Calibri"/>
          <w:color w:val="auto"/>
          <w:kern w:val="0"/>
          <w:sz w:val="28"/>
          <w:highlight w:val="none"/>
        </w:rPr>
      </w:pPr>
      <w:r>
        <w:rPr>
          <w:color w:val="auto"/>
          <w:highlight w:val="none"/>
        </w:rPr>
        <w:br w:type="page"/>
      </w:r>
    </w:p>
    <w:p>
      <w:pPr>
        <w:pStyle w:val="20"/>
        <w:spacing w:line="360" w:lineRule="auto"/>
        <w:ind w:left="438" w:leftChars="0" w:firstLine="402"/>
        <w:jc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2</w:t>
      </w:r>
      <w:r>
        <w:rPr>
          <w:rFonts w:cs="宋体" w:asciiTheme="minorEastAsia" w:hAnsiTheme="minorEastAsia" w:eastAsiaTheme="minorEastAsia"/>
          <w:b/>
          <w:color w:val="auto"/>
          <w:sz w:val="21"/>
          <w:szCs w:val="21"/>
          <w:highlight w:val="none"/>
        </w:rPr>
        <w:t>-3</w:t>
      </w:r>
      <w:r>
        <w:rPr>
          <w:rFonts w:hint="eastAsia" w:cs="宋体" w:asciiTheme="minorEastAsia" w:hAnsiTheme="minorEastAsia" w:eastAsiaTheme="minorEastAsia"/>
          <w:b/>
          <w:color w:val="auto"/>
          <w:sz w:val="21"/>
          <w:szCs w:val="21"/>
          <w:highlight w:val="none"/>
        </w:rPr>
        <w:t>投标报价组成明细表（适用于标项六）</w:t>
      </w:r>
    </w:p>
    <w:p>
      <w:pPr>
        <w:pStyle w:val="20"/>
        <w:spacing w:line="360" w:lineRule="auto"/>
        <w:ind w:left="0" w:leftChars="0" w:firstLine="632" w:firstLineChars="300"/>
        <w:rPr>
          <w:rFonts w:cs="宋体" w:asciiTheme="minorEastAsia" w:hAnsiTheme="minorEastAsia" w:eastAsiaTheme="minorEastAsia"/>
          <w:b/>
          <w:color w:val="auto"/>
          <w:sz w:val="21"/>
          <w:szCs w:val="21"/>
          <w:highlight w:val="none"/>
        </w:rPr>
      </w:pPr>
      <w:r>
        <w:rPr>
          <w:rFonts w:hint="eastAsia" w:ascii="宋体" w:hAnsi="宋体" w:cs="宋体"/>
          <w:b/>
          <w:bCs/>
          <w:color w:val="auto"/>
          <w:sz w:val="21"/>
          <w:szCs w:val="21"/>
          <w:highlight w:val="none"/>
        </w:rPr>
        <w:t>序号1：高精度阻抗测试系统</w:t>
      </w:r>
    </w:p>
    <w:tbl>
      <w:tblPr>
        <w:tblStyle w:val="4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686"/>
        <w:gridCol w:w="992"/>
        <w:gridCol w:w="766"/>
        <w:gridCol w:w="995"/>
        <w:gridCol w:w="1134"/>
        <w:gridCol w:w="1134"/>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840" w:type="dxa"/>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序号</w:t>
            </w:r>
          </w:p>
        </w:tc>
        <w:tc>
          <w:tcPr>
            <w:tcW w:w="1686" w:type="dxa"/>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费用内容</w:t>
            </w:r>
          </w:p>
        </w:tc>
        <w:tc>
          <w:tcPr>
            <w:tcW w:w="992" w:type="dxa"/>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单位</w:t>
            </w:r>
          </w:p>
        </w:tc>
        <w:tc>
          <w:tcPr>
            <w:tcW w:w="766" w:type="dxa"/>
            <w:vAlign w:val="center"/>
          </w:tcPr>
          <w:p>
            <w:pPr>
              <w:jc w:val="center"/>
              <w:rPr>
                <w:rFonts w:asciiTheme="minorEastAsia" w:hAnsiTheme="minorEastAsia" w:eastAsiaTheme="minorEastAsia"/>
                <w:color w:val="auto"/>
                <w:highlight w:val="none"/>
              </w:rPr>
            </w:pPr>
            <w:r>
              <w:rPr>
                <w:rFonts w:asciiTheme="minorEastAsia" w:hAnsiTheme="minorEastAsia" w:eastAsiaTheme="minorEastAsia"/>
                <w:bCs/>
                <w:color w:val="auto"/>
                <w:highlight w:val="none"/>
              </w:rPr>
              <w:t>数量</w:t>
            </w:r>
          </w:p>
        </w:tc>
        <w:tc>
          <w:tcPr>
            <w:tcW w:w="995" w:type="dxa"/>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品牌</w:t>
            </w:r>
          </w:p>
        </w:tc>
        <w:tc>
          <w:tcPr>
            <w:tcW w:w="1134" w:type="dxa"/>
            <w:vAlign w:val="center"/>
          </w:tcPr>
          <w:p>
            <w:pPr>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规格型号</w:t>
            </w:r>
          </w:p>
        </w:tc>
        <w:tc>
          <w:tcPr>
            <w:tcW w:w="1134" w:type="dxa"/>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单价（元）</w:t>
            </w:r>
          </w:p>
        </w:tc>
        <w:tc>
          <w:tcPr>
            <w:tcW w:w="1492" w:type="dxa"/>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小计金额（元）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tcBorders>
              <w:bottom w:val="single" w:color="auto" w:sz="4" w:space="0"/>
            </w:tcBorders>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w:t>
            </w:r>
          </w:p>
        </w:tc>
        <w:tc>
          <w:tcPr>
            <w:tcW w:w="1686" w:type="dxa"/>
            <w:vAlign w:val="center"/>
          </w:tcPr>
          <w:p>
            <w:pPr>
              <w:jc w:val="center"/>
              <w:rPr>
                <w:rFonts w:asciiTheme="minorEastAsia" w:hAnsiTheme="minorEastAsia" w:eastAsiaTheme="minorEastAsia"/>
                <w:color w:val="auto"/>
                <w:highlight w:val="none"/>
              </w:rPr>
            </w:pPr>
          </w:p>
        </w:tc>
        <w:tc>
          <w:tcPr>
            <w:tcW w:w="992" w:type="dxa"/>
            <w:vAlign w:val="center"/>
          </w:tcPr>
          <w:p>
            <w:pPr>
              <w:jc w:val="center"/>
              <w:rPr>
                <w:rFonts w:asciiTheme="minorEastAsia" w:hAnsiTheme="minorEastAsia" w:eastAsiaTheme="minorEastAsia"/>
                <w:color w:val="auto"/>
                <w:highlight w:val="none"/>
              </w:rPr>
            </w:pPr>
          </w:p>
        </w:tc>
        <w:tc>
          <w:tcPr>
            <w:tcW w:w="766" w:type="dxa"/>
            <w:vAlign w:val="center"/>
          </w:tcPr>
          <w:p>
            <w:pPr>
              <w:jc w:val="center"/>
              <w:rPr>
                <w:rFonts w:asciiTheme="minorEastAsia" w:hAnsiTheme="minorEastAsia" w:eastAsiaTheme="minorEastAsia"/>
                <w:color w:val="auto"/>
                <w:highlight w:val="none"/>
              </w:rPr>
            </w:pPr>
          </w:p>
        </w:tc>
        <w:tc>
          <w:tcPr>
            <w:tcW w:w="995" w:type="dxa"/>
            <w:vAlign w:val="center"/>
          </w:tcPr>
          <w:p>
            <w:pPr>
              <w:jc w:val="center"/>
              <w:rPr>
                <w:rFonts w:asciiTheme="minorEastAsia" w:hAnsiTheme="minorEastAsia" w:eastAsiaTheme="minorEastAsia"/>
                <w:color w:val="auto"/>
                <w:highlight w:val="none"/>
              </w:rPr>
            </w:pPr>
          </w:p>
        </w:tc>
        <w:tc>
          <w:tcPr>
            <w:tcW w:w="1134" w:type="dxa"/>
            <w:vAlign w:val="center"/>
          </w:tcPr>
          <w:p>
            <w:pPr>
              <w:jc w:val="center"/>
              <w:rPr>
                <w:rFonts w:asciiTheme="minorEastAsia" w:hAnsiTheme="minorEastAsia" w:eastAsiaTheme="minorEastAsia"/>
                <w:color w:val="auto"/>
                <w:highlight w:val="none"/>
              </w:rPr>
            </w:pPr>
          </w:p>
        </w:tc>
        <w:tc>
          <w:tcPr>
            <w:tcW w:w="1134" w:type="dxa"/>
            <w:vAlign w:val="center"/>
          </w:tcPr>
          <w:p>
            <w:pPr>
              <w:jc w:val="center"/>
              <w:rPr>
                <w:rFonts w:asciiTheme="minorEastAsia" w:hAnsiTheme="minorEastAsia" w:eastAsiaTheme="minorEastAsia"/>
                <w:color w:val="auto"/>
                <w:highlight w:val="none"/>
              </w:rPr>
            </w:pPr>
          </w:p>
        </w:tc>
        <w:tc>
          <w:tcPr>
            <w:tcW w:w="1492" w:type="dxa"/>
            <w:vAlign w:val="center"/>
          </w:tcPr>
          <w:p>
            <w:pPr>
              <w:jc w:val="center"/>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tcBorders>
              <w:bottom w:val="single" w:color="auto" w:sz="4" w:space="0"/>
            </w:tcBorders>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w:t>
            </w:r>
          </w:p>
        </w:tc>
        <w:tc>
          <w:tcPr>
            <w:tcW w:w="1686" w:type="dxa"/>
            <w:vAlign w:val="center"/>
          </w:tcPr>
          <w:p>
            <w:pPr>
              <w:jc w:val="center"/>
              <w:rPr>
                <w:rFonts w:asciiTheme="minorEastAsia" w:hAnsiTheme="minorEastAsia" w:eastAsiaTheme="minorEastAsia"/>
                <w:color w:val="auto"/>
                <w:highlight w:val="none"/>
              </w:rPr>
            </w:pPr>
          </w:p>
        </w:tc>
        <w:tc>
          <w:tcPr>
            <w:tcW w:w="992" w:type="dxa"/>
            <w:vAlign w:val="center"/>
          </w:tcPr>
          <w:p>
            <w:pPr>
              <w:jc w:val="center"/>
              <w:rPr>
                <w:rFonts w:asciiTheme="minorEastAsia" w:hAnsiTheme="minorEastAsia" w:eastAsiaTheme="minorEastAsia"/>
                <w:color w:val="auto"/>
                <w:highlight w:val="none"/>
              </w:rPr>
            </w:pPr>
          </w:p>
        </w:tc>
        <w:tc>
          <w:tcPr>
            <w:tcW w:w="766" w:type="dxa"/>
            <w:vAlign w:val="center"/>
          </w:tcPr>
          <w:p>
            <w:pPr>
              <w:jc w:val="center"/>
              <w:rPr>
                <w:rFonts w:asciiTheme="minorEastAsia" w:hAnsiTheme="minorEastAsia" w:eastAsiaTheme="minorEastAsia"/>
                <w:color w:val="auto"/>
                <w:highlight w:val="none"/>
              </w:rPr>
            </w:pPr>
          </w:p>
        </w:tc>
        <w:tc>
          <w:tcPr>
            <w:tcW w:w="995" w:type="dxa"/>
            <w:vAlign w:val="center"/>
          </w:tcPr>
          <w:p>
            <w:pPr>
              <w:jc w:val="center"/>
              <w:rPr>
                <w:rFonts w:asciiTheme="minorEastAsia" w:hAnsiTheme="minorEastAsia" w:eastAsiaTheme="minorEastAsia"/>
                <w:color w:val="auto"/>
                <w:highlight w:val="none"/>
              </w:rPr>
            </w:pPr>
          </w:p>
        </w:tc>
        <w:tc>
          <w:tcPr>
            <w:tcW w:w="1134" w:type="dxa"/>
            <w:vAlign w:val="center"/>
          </w:tcPr>
          <w:p>
            <w:pPr>
              <w:jc w:val="center"/>
              <w:rPr>
                <w:rFonts w:asciiTheme="minorEastAsia" w:hAnsiTheme="minorEastAsia" w:eastAsiaTheme="minorEastAsia"/>
                <w:color w:val="auto"/>
                <w:highlight w:val="none"/>
              </w:rPr>
            </w:pPr>
          </w:p>
        </w:tc>
        <w:tc>
          <w:tcPr>
            <w:tcW w:w="1134" w:type="dxa"/>
            <w:vAlign w:val="center"/>
          </w:tcPr>
          <w:p>
            <w:pPr>
              <w:jc w:val="center"/>
              <w:rPr>
                <w:rFonts w:asciiTheme="minorEastAsia" w:hAnsiTheme="minorEastAsia" w:eastAsiaTheme="minorEastAsia"/>
                <w:color w:val="auto"/>
                <w:highlight w:val="none"/>
              </w:rPr>
            </w:pPr>
          </w:p>
        </w:tc>
        <w:tc>
          <w:tcPr>
            <w:tcW w:w="1492" w:type="dxa"/>
            <w:vAlign w:val="center"/>
          </w:tcPr>
          <w:p>
            <w:pPr>
              <w:jc w:val="center"/>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tcBorders>
              <w:bottom w:val="single" w:color="auto" w:sz="4" w:space="0"/>
            </w:tcBorders>
            <w:vAlign w:val="center"/>
          </w:tcPr>
          <w:p>
            <w:pPr>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w:t>
            </w:r>
          </w:p>
        </w:tc>
        <w:tc>
          <w:tcPr>
            <w:tcW w:w="1686" w:type="dxa"/>
            <w:vAlign w:val="center"/>
          </w:tcPr>
          <w:p>
            <w:pPr>
              <w:jc w:val="center"/>
              <w:rPr>
                <w:rFonts w:asciiTheme="minorEastAsia" w:hAnsiTheme="minorEastAsia" w:eastAsiaTheme="minorEastAsia"/>
                <w:color w:val="auto"/>
                <w:highlight w:val="none"/>
              </w:rPr>
            </w:pPr>
          </w:p>
        </w:tc>
        <w:tc>
          <w:tcPr>
            <w:tcW w:w="992" w:type="dxa"/>
            <w:vAlign w:val="center"/>
          </w:tcPr>
          <w:p>
            <w:pPr>
              <w:jc w:val="center"/>
              <w:rPr>
                <w:rFonts w:asciiTheme="minorEastAsia" w:hAnsiTheme="minorEastAsia" w:eastAsiaTheme="minorEastAsia"/>
                <w:color w:val="auto"/>
                <w:highlight w:val="none"/>
              </w:rPr>
            </w:pPr>
          </w:p>
        </w:tc>
        <w:tc>
          <w:tcPr>
            <w:tcW w:w="766" w:type="dxa"/>
            <w:vAlign w:val="center"/>
          </w:tcPr>
          <w:p>
            <w:pPr>
              <w:jc w:val="center"/>
              <w:rPr>
                <w:rFonts w:asciiTheme="minorEastAsia" w:hAnsiTheme="minorEastAsia" w:eastAsiaTheme="minorEastAsia"/>
                <w:color w:val="auto"/>
                <w:highlight w:val="none"/>
              </w:rPr>
            </w:pPr>
          </w:p>
        </w:tc>
        <w:tc>
          <w:tcPr>
            <w:tcW w:w="995" w:type="dxa"/>
            <w:vAlign w:val="center"/>
          </w:tcPr>
          <w:p>
            <w:pPr>
              <w:jc w:val="center"/>
              <w:rPr>
                <w:rFonts w:asciiTheme="minorEastAsia" w:hAnsiTheme="minorEastAsia" w:eastAsiaTheme="minorEastAsia"/>
                <w:color w:val="auto"/>
                <w:highlight w:val="none"/>
              </w:rPr>
            </w:pPr>
          </w:p>
        </w:tc>
        <w:tc>
          <w:tcPr>
            <w:tcW w:w="1134" w:type="dxa"/>
            <w:vAlign w:val="center"/>
          </w:tcPr>
          <w:p>
            <w:pPr>
              <w:jc w:val="center"/>
              <w:rPr>
                <w:rFonts w:asciiTheme="minorEastAsia" w:hAnsiTheme="minorEastAsia" w:eastAsiaTheme="minorEastAsia"/>
                <w:color w:val="auto"/>
                <w:highlight w:val="none"/>
              </w:rPr>
            </w:pPr>
          </w:p>
        </w:tc>
        <w:tc>
          <w:tcPr>
            <w:tcW w:w="1134" w:type="dxa"/>
            <w:vAlign w:val="center"/>
          </w:tcPr>
          <w:p>
            <w:pPr>
              <w:jc w:val="center"/>
              <w:rPr>
                <w:rFonts w:asciiTheme="minorEastAsia" w:hAnsiTheme="minorEastAsia" w:eastAsiaTheme="minorEastAsia"/>
                <w:color w:val="auto"/>
                <w:highlight w:val="none"/>
              </w:rPr>
            </w:pPr>
          </w:p>
        </w:tc>
        <w:tc>
          <w:tcPr>
            <w:tcW w:w="1492" w:type="dxa"/>
            <w:vAlign w:val="center"/>
          </w:tcPr>
          <w:p>
            <w:pPr>
              <w:jc w:val="center"/>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279" w:type="dxa"/>
            <w:gridSpan w:val="5"/>
            <w:vAlign w:val="center"/>
          </w:tcPr>
          <w:p>
            <w:pPr>
              <w:ind w:firstLine="422"/>
              <w:jc w:val="center"/>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合计金额（元）</w:t>
            </w:r>
          </w:p>
        </w:tc>
        <w:tc>
          <w:tcPr>
            <w:tcW w:w="3760" w:type="dxa"/>
            <w:gridSpan w:val="3"/>
            <w:vAlign w:val="center"/>
          </w:tcPr>
          <w:p>
            <w:pPr>
              <w:jc w:val="left"/>
              <w:rPr>
                <w:rFonts w:asciiTheme="minorEastAsia" w:hAnsiTheme="minorEastAsia" w:eastAsiaTheme="minorEastAsia"/>
                <w:color w:val="auto"/>
                <w:highlight w:val="none"/>
              </w:rPr>
            </w:pPr>
            <w:r>
              <w:rPr>
                <w:rFonts w:hint="eastAsia" w:asciiTheme="minorEastAsia" w:hAnsiTheme="minorEastAsia" w:eastAsiaTheme="minorEastAsia"/>
                <w:color w:val="auto"/>
                <w:szCs w:val="21"/>
                <w:highlight w:val="none"/>
              </w:rPr>
              <w:t>小写：</w:t>
            </w:r>
          </w:p>
        </w:tc>
      </w:tr>
    </w:tbl>
    <w:p>
      <w:pPr>
        <w:adjustRightInd w:val="0"/>
        <w:snapToGrid w:val="0"/>
        <w:spacing w:line="360" w:lineRule="auto"/>
        <w:ind w:firstLine="422"/>
        <w:rPr>
          <w:rFonts w:asciiTheme="minorEastAsia" w:hAnsiTheme="minorEastAsia" w:eastAsiaTheme="minorEastAsia"/>
          <w:color w:val="auto"/>
          <w:highlight w:val="none"/>
        </w:rPr>
      </w:pPr>
      <w:r>
        <w:rPr>
          <w:rFonts w:hint="eastAsia" w:asciiTheme="minorEastAsia" w:hAnsiTheme="minorEastAsia" w:eastAsiaTheme="minorEastAsia"/>
          <w:b/>
          <w:bCs/>
          <w:color w:val="auto"/>
          <w:szCs w:val="28"/>
          <w:highlight w:val="none"/>
        </w:rPr>
        <w:t>注：</w:t>
      </w:r>
      <w:r>
        <w:rPr>
          <w:rFonts w:hint="eastAsia" w:asciiTheme="minorEastAsia" w:hAnsiTheme="minorEastAsia" w:eastAsiaTheme="minorEastAsia"/>
          <w:color w:val="auto"/>
          <w:highlight w:val="none"/>
        </w:rPr>
        <w:t>所列费用为对应本项目需求的全部货物及相关服务内容，如有漏项或缺项，投标人承担全部责任。</w:t>
      </w:r>
      <w:r>
        <w:rPr>
          <w:color w:val="auto"/>
          <w:szCs w:val="21"/>
          <w:highlight w:val="none"/>
        </w:rPr>
        <w:t>若投标人尚有其它内容需明列的，请按此表格式扩展</w:t>
      </w:r>
      <w:r>
        <w:rPr>
          <w:rFonts w:hint="eastAsia"/>
          <w:color w:val="auto"/>
          <w:szCs w:val="21"/>
          <w:highlight w:val="none"/>
        </w:rPr>
        <w:t>但是不得删除已有的内容</w:t>
      </w:r>
      <w:r>
        <w:rPr>
          <w:color w:val="auto"/>
          <w:szCs w:val="21"/>
          <w:highlight w:val="none"/>
        </w:rPr>
        <w:t>。</w:t>
      </w:r>
    </w:p>
    <w:p>
      <w:pPr>
        <w:spacing w:line="360" w:lineRule="auto"/>
        <w:rPr>
          <w:rFonts w:cs="宋体" w:asciiTheme="minorEastAsia" w:hAnsiTheme="minorEastAsia" w:eastAsiaTheme="minorEastAsia"/>
          <w:color w:val="auto"/>
          <w:szCs w:val="21"/>
          <w:highlight w:val="none"/>
        </w:rPr>
      </w:pPr>
    </w:p>
    <w:p>
      <w:pPr>
        <w:pStyle w:val="29"/>
        <w:spacing w:before="120" w:beforeLines="50" w:after="120" w:afterLines="50" w:line="360" w:lineRule="auto"/>
        <w:ind w:firstLine="495" w:firstLineChars="235"/>
        <w:rPr>
          <w:rFonts w:ascii="宋体" w:hAnsi="宋体" w:cs="宋体"/>
          <w:b/>
          <w:bCs/>
          <w:color w:val="auto"/>
          <w:sz w:val="21"/>
          <w:szCs w:val="21"/>
          <w:highlight w:val="none"/>
        </w:rPr>
      </w:pPr>
      <w:r>
        <w:rPr>
          <w:rFonts w:hint="eastAsia" w:ascii="宋体" w:hAnsi="宋体" w:cs="宋体"/>
          <w:b/>
          <w:bCs/>
          <w:color w:val="auto"/>
          <w:sz w:val="21"/>
          <w:szCs w:val="21"/>
          <w:highlight w:val="none"/>
        </w:rPr>
        <w:t>序号2：自动聚焦耦合单模微波合成系统</w:t>
      </w:r>
    </w:p>
    <w:tbl>
      <w:tblPr>
        <w:tblStyle w:val="4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686"/>
        <w:gridCol w:w="992"/>
        <w:gridCol w:w="766"/>
        <w:gridCol w:w="995"/>
        <w:gridCol w:w="1134"/>
        <w:gridCol w:w="1134"/>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840" w:type="dxa"/>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序号</w:t>
            </w:r>
          </w:p>
        </w:tc>
        <w:tc>
          <w:tcPr>
            <w:tcW w:w="1686" w:type="dxa"/>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费用内容</w:t>
            </w:r>
          </w:p>
        </w:tc>
        <w:tc>
          <w:tcPr>
            <w:tcW w:w="992" w:type="dxa"/>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单位</w:t>
            </w:r>
          </w:p>
        </w:tc>
        <w:tc>
          <w:tcPr>
            <w:tcW w:w="766" w:type="dxa"/>
            <w:vAlign w:val="center"/>
          </w:tcPr>
          <w:p>
            <w:pPr>
              <w:jc w:val="center"/>
              <w:rPr>
                <w:rFonts w:asciiTheme="minorEastAsia" w:hAnsiTheme="minorEastAsia" w:eastAsiaTheme="minorEastAsia"/>
                <w:color w:val="auto"/>
                <w:highlight w:val="none"/>
              </w:rPr>
            </w:pPr>
            <w:r>
              <w:rPr>
                <w:rFonts w:asciiTheme="minorEastAsia" w:hAnsiTheme="minorEastAsia" w:eastAsiaTheme="minorEastAsia"/>
                <w:bCs/>
                <w:color w:val="auto"/>
                <w:highlight w:val="none"/>
              </w:rPr>
              <w:t>数量</w:t>
            </w:r>
          </w:p>
        </w:tc>
        <w:tc>
          <w:tcPr>
            <w:tcW w:w="995" w:type="dxa"/>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品牌</w:t>
            </w:r>
          </w:p>
        </w:tc>
        <w:tc>
          <w:tcPr>
            <w:tcW w:w="1134" w:type="dxa"/>
            <w:vAlign w:val="center"/>
          </w:tcPr>
          <w:p>
            <w:pPr>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规格型号</w:t>
            </w:r>
          </w:p>
        </w:tc>
        <w:tc>
          <w:tcPr>
            <w:tcW w:w="1134" w:type="dxa"/>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单价（元）</w:t>
            </w:r>
          </w:p>
        </w:tc>
        <w:tc>
          <w:tcPr>
            <w:tcW w:w="1492" w:type="dxa"/>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小计金额（元）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tcBorders>
              <w:bottom w:val="single" w:color="auto" w:sz="4" w:space="0"/>
            </w:tcBorders>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w:t>
            </w:r>
          </w:p>
        </w:tc>
        <w:tc>
          <w:tcPr>
            <w:tcW w:w="1686" w:type="dxa"/>
            <w:vAlign w:val="center"/>
          </w:tcPr>
          <w:p>
            <w:pPr>
              <w:jc w:val="center"/>
              <w:rPr>
                <w:rFonts w:asciiTheme="minorEastAsia" w:hAnsiTheme="minorEastAsia" w:eastAsiaTheme="minorEastAsia"/>
                <w:color w:val="auto"/>
                <w:highlight w:val="none"/>
              </w:rPr>
            </w:pPr>
          </w:p>
        </w:tc>
        <w:tc>
          <w:tcPr>
            <w:tcW w:w="992" w:type="dxa"/>
            <w:vAlign w:val="center"/>
          </w:tcPr>
          <w:p>
            <w:pPr>
              <w:jc w:val="center"/>
              <w:rPr>
                <w:rFonts w:asciiTheme="minorEastAsia" w:hAnsiTheme="minorEastAsia" w:eastAsiaTheme="minorEastAsia"/>
                <w:color w:val="auto"/>
                <w:highlight w:val="none"/>
              </w:rPr>
            </w:pPr>
          </w:p>
        </w:tc>
        <w:tc>
          <w:tcPr>
            <w:tcW w:w="766" w:type="dxa"/>
            <w:vAlign w:val="center"/>
          </w:tcPr>
          <w:p>
            <w:pPr>
              <w:jc w:val="center"/>
              <w:rPr>
                <w:rFonts w:asciiTheme="minorEastAsia" w:hAnsiTheme="minorEastAsia" w:eastAsiaTheme="minorEastAsia"/>
                <w:color w:val="auto"/>
                <w:highlight w:val="none"/>
              </w:rPr>
            </w:pPr>
          </w:p>
        </w:tc>
        <w:tc>
          <w:tcPr>
            <w:tcW w:w="995" w:type="dxa"/>
            <w:vAlign w:val="center"/>
          </w:tcPr>
          <w:p>
            <w:pPr>
              <w:jc w:val="center"/>
              <w:rPr>
                <w:rFonts w:asciiTheme="minorEastAsia" w:hAnsiTheme="minorEastAsia" w:eastAsiaTheme="minorEastAsia"/>
                <w:color w:val="auto"/>
                <w:highlight w:val="none"/>
              </w:rPr>
            </w:pPr>
          </w:p>
        </w:tc>
        <w:tc>
          <w:tcPr>
            <w:tcW w:w="1134" w:type="dxa"/>
            <w:vAlign w:val="center"/>
          </w:tcPr>
          <w:p>
            <w:pPr>
              <w:jc w:val="center"/>
              <w:rPr>
                <w:rFonts w:asciiTheme="minorEastAsia" w:hAnsiTheme="minorEastAsia" w:eastAsiaTheme="minorEastAsia"/>
                <w:color w:val="auto"/>
                <w:highlight w:val="none"/>
              </w:rPr>
            </w:pPr>
          </w:p>
        </w:tc>
        <w:tc>
          <w:tcPr>
            <w:tcW w:w="1134" w:type="dxa"/>
            <w:vAlign w:val="center"/>
          </w:tcPr>
          <w:p>
            <w:pPr>
              <w:jc w:val="center"/>
              <w:rPr>
                <w:rFonts w:asciiTheme="minorEastAsia" w:hAnsiTheme="minorEastAsia" w:eastAsiaTheme="minorEastAsia"/>
                <w:color w:val="auto"/>
                <w:highlight w:val="none"/>
              </w:rPr>
            </w:pPr>
          </w:p>
        </w:tc>
        <w:tc>
          <w:tcPr>
            <w:tcW w:w="1492" w:type="dxa"/>
            <w:vAlign w:val="center"/>
          </w:tcPr>
          <w:p>
            <w:pPr>
              <w:jc w:val="center"/>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tcBorders>
              <w:bottom w:val="single" w:color="auto" w:sz="4" w:space="0"/>
            </w:tcBorders>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w:t>
            </w:r>
          </w:p>
        </w:tc>
        <w:tc>
          <w:tcPr>
            <w:tcW w:w="1686" w:type="dxa"/>
            <w:vAlign w:val="center"/>
          </w:tcPr>
          <w:p>
            <w:pPr>
              <w:jc w:val="center"/>
              <w:rPr>
                <w:rFonts w:asciiTheme="minorEastAsia" w:hAnsiTheme="minorEastAsia" w:eastAsiaTheme="minorEastAsia"/>
                <w:color w:val="auto"/>
                <w:highlight w:val="none"/>
              </w:rPr>
            </w:pPr>
          </w:p>
        </w:tc>
        <w:tc>
          <w:tcPr>
            <w:tcW w:w="992" w:type="dxa"/>
            <w:vAlign w:val="center"/>
          </w:tcPr>
          <w:p>
            <w:pPr>
              <w:jc w:val="center"/>
              <w:rPr>
                <w:rFonts w:asciiTheme="minorEastAsia" w:hAnsiTheme="minorEastAsia" w:eastAsiaTheme="minorEastAsia"/>
                <w:color w:val="auto"/>
                <w:highlight w:val="none"/>
              </w:rPr>
            </w:pPr>
          </w:p>
        </w:tc>
        <w:tc>
          <w:tcPr>
            <w:tcW w:w="766" w:type="dxa"/>
            <w:vAlign w:val="center"/>
          </w:tcPr>
          <w:p>
            <w:pPr>
              <w:jc w:val="center"/>
              <w:rPr>
                <w:rFonts w:asciiTheme="minorEastAsia" w:hAnsiTheme="minorEastAsia" w:eastAsiaTheme="minorEastAsia"/>
                <w:color w:val="auto"/>
                <w:highlight w:val="none"/>
              </w:rPr>
            </w:pPr>
          </w:p>
        </w:tc>
        <w:tc>
          <w:tcPr>
            <w:tcW w:w="995" w:type="dxa"/>
            <w:vAlign w:val="center"/>
          </w:tcPr>
          <w:p>
            <w:pPr>
              <w:jc w:val="center"/>
              <w:rPr>
                <w:rFonts w:asciiTheme="minorEastAsia" w:hAnsiTheme="minorEastAsia" w:eastAsiaTheme="minorEastAsia"/>
                <w:color w:val="auto"/>
                <w:highlight w:val="none"/>
              </w:rPr>
            </w:pPr>
          </w:p>
        </w:tc>
        <w:tc>
          <w:tcPr>
            <w:tcW w:w="1134" w:type="dxa"/>
            <w:vAlign w:val="center"/>
          </w:tcPr>
          <w:p>
            <w:pPr>
              <w:jc w:val="center"/>
              <w:rPr>
                <w:rFonts w:asciiTheme="minorEastAsia" w:hAnsiTheme="minorEastAsia" w:eastAsiaTheme="minorEastAsia"/>
                <w:color w:val="auto"/>
                <w:highlight w:val="none"/>
              </w:rPr>
            </w:pPr>
          </w:p>
        </w:tc>
        <w:tc>
          <w:tcPr>
            <w:tcW w:w="1134" w:type="dxa"/>
            <w:vAlign w:val="center"/>
          </w:tcPr>
          <w:p>
            <w:pPr>
              <w:jc w:val="center"/>
              <w:rPr>
                <w:rFonts w:asciiTheme="minorEastAsia" w:hAnsiTheme="minorEastAsia" w:eastAsiaTheme="minorEastAsia"/>
                <w:color w:val="auto"/>
                <w:highlight w:val="none"/>
              </w:rPr>
            </w:pPr>
          </w:p>
        </w:tc>
        <w:tc>
          <w:tcPr>
            <w:tcW w:w="1492" w:type="dxa"/>
            <w:vAlign w:val="center"/>
          </w:tcPr>
          <w:p>
            <w:pPr>
              <w:jc w:val="center"/>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tcBorders>
              <w:bottom w:val="single" w:color="auto" w:sz="4" w:space="0"/>
            </w:tcBorders>
            <w:vAlign w:val="center"/>
          </w:tcPr>
          <w:p>
            <w:pPr>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w:t>
            </w:r>
          </w:p>
        </w:tc>
        <w:tc>
          <w:tcPr>
            <w:tcW w:w="1686" w:type="dxa"/>
            <w:vAlign w:val="center"/>
          </w:tcPr>
          <w:p>
            <w:pPr>
              <w:jc w:val="center"/>
              <w:rPr>
                <w:rFonts w:asciiTheme="minorEastAsia" w:hAnsiTheme="minorEastAsia" w:eastAsiaTheme="minorEastAsia"/>
                <w:color w:val="auto"/>
                <w:highlight w:val="none"/>
              </w:rPr>
            </w:pPr>
          </w:p>
        </w:tc>
        <w:tc>
          <w:tcPr>
            <w:tcW w:w="992" w:type="dxa"/>
            <w:vAlign w:val="center"/>
          </w:tcPr>
          <w:p>
            <w:pPr>
              <w:jc w:val="center"/>
              <w:rPr>
                <w:rFonts w:asciiTheme="minorEastAsia" w:hAnsiTheme="minorEastAsia" w:eastAsiaTheme="minorEastAsia"/>
                <w:color w:val="auto"/>
                <w:highlight w:val="none"/>
              </w:rPr>
            </w:pPr>
          </w:p>
        </w:tc>
        <w:tc>
          <w:tcPr>
            <w:tcW w:w="766" w:type="dxa"/>
            <w:vAlign w:val="center"/>
          </w:tcPr>
          <w:p>
            <w:pPr>
              <w:jc w:val="center"/>
              <w:rPr>
                <w:rFonts w:asciiTheme="minorEastAsia" w:hAnsiTheme="minorEastAsia" w:eastAsiaTheme="minorEastAsia"/>
                <w:color w:val="auto"/>
                <w:highlight w:val="none"/>
              </w:rPr>
            </w:pPr>
          </w:p>
        </w:tc>
        <w:tc>
          <w:tcPr>
            <w:tcW w:w="995" w:type="dxa"/>
            <w:vAlign w:val="center"/>
          </w:tcPr>
          <w:p>
            <w:pPr>
              <w:jc w:val="center"/>
              <w:rPr>
                <w:rFonts w:asciiTheme="minorEastAsia" w:hAnsiTheme="minorEastAsia" w:eastAsiaTheme="minorEastAsia"/>
                <w:color w:val="auto"/>
                <w:highlight w:val="none"/>
              </w:rPr>
            </w:pPr>
          </w:p>
        </w:tc>
        <w:tc>
          <w:tcPr>
            <w:tcW w:w="1134" w:type="dxa"/>
            <w:vAlign w:val="center"/>
          </w:tcPr>
          <w:p>
            <w:pPr>
              <w:jc w:val="center"/>
              <w:rPr>
                <w:rFonts w:asciiTheme="minorEastAsia" w:hAnsiTheme="minorEastAsia" w:eastAsiaTheme="minorEastAsia"/>
                <w:color w:val="auto"/>
                <w:highlight w:val="none"/>
              </w:rPr>
            </w:pPr>
          </w:p>
        </w:tc>
        <w:tc>
          <w:tcPr>
            <w:tcW w:w="1134" w:type="dxa"/>
            <w:vAlign w:val="center"/>
          </w:tcPr>
          <w:p>
            <w:pPr>
              <w:jc w:val="center"/>
              <w:rPr>
                <w:rFonts w:asciiTheme="minorEastAsia" w:hAnsiTheme="minorEastAsia" w:eastAsiaTheme="minorEastAsia"/>
                <w:color w:val="auto"/>
                <w:highlight w:val="none"/>
              </w:rPr>
            </w:pPr>
          </w:p>
        </w:tc>
        <w:tc>
          <w:tcPr>
            <w:tcW w:w="1492" w:type="dxa"/>
            <w:vAlign w:val="center"/>
          </w:tcPr>
          <w:p>
            <w:pPr>
              <w:jc w:val="center"/>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279" w:type="dxa"/>
            <w:gridSpan w:val="5"/>
            <w:vAlign w:val="center"/>
          </w:tcPr>
          <w:p>
            <w:pPr>
              <w:ind w:firstLine="422"/>
              <w:jc w:val="center"/>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合计金额（元）</w:t>
            </w:r>
          </w:p>
        </w:tc>
        <w:tc>
          <w:tcPr>
            <w:tcW w:w="3760" w:type="dxa"/>
            <w:gridSpan w:val="3"/>
            <w:vAlign w:val="center"/>
          </w:tcPr>
          <w:p>
            <w:pPr>
              <w:jc w:val="left"/>
              <w:rPr>
                <w:rFonts w:asciiTheme="minorEastAsia" w:hAnsiTheme="minorEastAsia" w:eastAsiaTheme="minorEastAsia"/>
                <w:color w:val="auto"/>
                <w:highlight w:val="none"/>
              </w:rPr>
            </w:pPr>
            <w:r>
              <w:rPr>
                <w:rFonts w:hint="eastAsia" w:asciiTheme="minorEastAsia" w:hAnsiTheme="minorEastAsia" w:eastAsiaTheme="minorEastAsia"/>
                <w:color w:val="auto"/>
                <w:szCs w:val="21"/>
                <w:highlight w:val="none"/>
              </w:rPr>
              <w:t>小写：</w:t>
            </w:r>
          </w:p>
        </w:tc>
      </w:tr>
    </w:tbl>
    <w:p>
      <w:pPr>
        <w:adjustRightInd w:val="0"/>
        <w:snapToGrid w:val="0"/>
        <w:spacing w:line="360" w:lineRule="auto"/>
        <w:ind w:firstLine="422"/>
        <w:rPr>
          <w:rFonts w:asciiTheme="minorEastAsia" w:hAnsiTheme="minorEastAsia" w:eastAsiaTheme="minorEastAsia"/>
          <w:color w:val="auto"/>
          <w:highlight w:val="none"/>
        </w:rPr>
      </w:pPr>
      <w:r>
        <w:rPr>
          <w:rFonts w:hint="eastAsia" w:asciiTheme="minorEastAsia" w:hAnsiTheme="minorEastAsia" w:eastAsiaTheme="minorEastAsia"/>
          <w:b/>
          <w:bCs/>
          <w:color w:val="auto"/>
          <w:szCs w:val="28"/>
          <w:highlight w:val="none"/>
        </w:rPr>
        <w:t>注：</w:t>
      </w:r>
      <w:r>
        <w:rPr>
          <w:rFonts w:hint="eastAsia" w:asciiTheme="minorEastAsia" w:hAnsiTheme="minorEastAsia" w:eastAsiaTheme="minorEastAsia"/>
          <w:color w:val="auto"/>
          <w:highlight w:val="none"/>
        </w:rPr>
        <w:t>所列费用为对应本项目需求的全部货物及相关服务内容，如有漏项或缺项，投标人承担全部责任。</w:t>
      </w:r>
      <w:r>
        <w:rPr>
          <w:color w:val="auto"/>
          <w:szCs w:val="21"/>
          <w:highlight w:val="none"/>
        </w:rPr>
        <w:t>若投标人尚有其它内容需明列的，请按此表格式扩展</w:t>
      </w:r>
      <w:r>
        <w:rPr>
          <w:rFonts w:hint="eastAsia"/>
          <w:color w:val="auto"/>
          <w:szCs w:val="21"/>
          <w:highlight w:val="none"/>
        </w:rPr>
        <w:t>但是不得删除已有的内容</w:t>
      </w:r>
      <w:r>
        <w:rPr>
          <w:color w:val="auto"/>
          <w:szCs w:val="21"/>
          <w:highlight w:val="none"/>
        </w:rPr>
        <w:t>。</w:t>
      </w:r>
    </w:p>
    <w:p>
      <w:pPr>
        <w:adjustRightInd w:val="0"/>
        <w:snapToGrid w:val="0"/>
        <w:spacing w:line="360" w:lineRule="auto"/>
        <w:ind w:firstLine="422"/>
        <w:rPr>
          <w:rFonts w:asciiTheme="minorEastAsia" w:hAnsiTheme="minorEastAsia" w:eastAsiaTheme="minorEastAsia"/>
          <w:color w:val="auto"/>
          <w:highlight w:val="none"/>
        </w:rPr>
      </w:pPr>
    </w:p>
    <w:p>
      <w:pPr>
        <w:spacing w:line="360" w:lineRule="auto"/>
        <w:rPr>
          <w:rFonts w:cs="宋体" w:asciiTheme="minorEastAsia" w:hAnsiTheme="minorEastAsia" w:eastAsiaTheme="minorEastAsia"/>
          <w:color w:val="auto"/>
          <w:szCs w:val="21"/>
          <w:highlight w:val="none"/>
        </w:rPr>
      </w:pPr>
    </w:p>
    <w:p>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填写全称并加盖公章     </w:t>
      </w:r>
    </w:p>
    <w:p>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日  期：</w:t>
      </w:r>
    </w:p>
    <w:p>
      <w:pPr>
        <w:widowControl/>
        <w:jc w:val="left"/>
        <w:rPr>
          <w:rFonts w:ascii="Calibri" w:hAnsi="Calibri"/>
          <w:color w:val="auto"/>
          <w:kern w:val="0"/>
          <w:sz w:val="28"/>
          <w:highlight w:val="none"/>
        </w:rPr>
      </w:pPr>
      <w:r>
        <w:rPr>
          <w:color w:val="auto"/>
          <w:highlight w:val="none"/>
        </w:rPr>
        <w:br w:type="page"/>
      </w:r>
    </w:p>
    <w:p>
      <w:pPr>
        <w:pStyle w:val="20"/>
        <w:spacing w:line="360" w:lineRule="auto"/>
        <w:ind w:left="438" w:leftChars="0" w:firstLine="402"/>
        <w:jc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2</w:t>
      </w:r>
      <w:r>
        <w:rPr>
          <w:rFonts w:cs="宋体" w:asciiTheme="minorEastAsia" w:hAnsiTheme="minorEastAsia" w:eastAsiaTheme="minorEastAsia"/>
          <w:b/>
          <w:color w:val="auto"/>
          <w:sz w:val="21"/>
          <w:szCs w:val="21"/>
          <w:highlight w:val="none"/>
        </w:rPr>
        <w:t>-4</w:t>
      </w:r>
      <w:r>
        <w:rPr>
          <w:rFonts w:hint="eastAsia" w:cs="宋体" w:asciiTheme="minorEastAsia" w:hAnsiTheme="minorEastAsia" w:eastAsiaTheme="minorEastAsia"/>
          <w:b/>
          <w:color w:val="auto"/>
          <w:sz w:val="21"/>
          <w:szCs w:val="21"/>
          <w:highlight w:val="none"/>
        </w:rPr>
        <w:t>投标报价组成明细表（适用于标项七）</w:t>
      </w:r>
    </w:p>
    <w:p>
      <w:pPr>
        <w:pStyle w:val="20"/>
        <w:spacing w:line="360" w:lineRule="auto"/>
        <w:ind w:leftChars="0"/>
        <w:rPr>
          <w:rFonts w:cs="宋体" w:asciiTheme="minorEastAsia" w:hAnsiTheme="minorEastAsia" w:eastAsiaTheme="minorEastAsia"/>
          <w:b/>
          <w:color w:val="auto"/>
          <w:sz w:val="21"/>
          <w:szCs w:val="21"/>
          <w:highlight w:val="none"/>
        </w:rPr>
      </w:pPr>
      <w:r>
        <w:rPr>
          <w:rFonts w:hint="eastAsia" w:ascii="宋体" w:hAnsi="宋体" w:cs="宋体"/>
          <w:b/>
          <w:bCs/>
          <w:color w:val="auto"/>
          <w:sz w:val="21"/>
          <w:szCs w:val="21"/>
          <w:highlight w:val="none"/>
        </w:rPr>
        <w:t>序号1：电感耦合等离子体发射光谱仪</w:t>
      </w:r>
    </w:p>
    <w:tbl>
      <w:tblPr>
        <w:tblStyle w:val="4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686"/>
        <w:gridCol w:w="992"/>
        <w:gridCol w:w="766"/>
        <w:gridCol w:w="995"/>
        <w:gridCol w:w="1134"/>
        <w:gridCol w:w="1134"/>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840" w:type="dxa"/>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序号</w:t>
            </w:r>
          </w:p>
        </w:tc>
        <w:tc>
          <w:tcPr>
            <w:tcW w:w="1686" w:type="dxa"/>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费用内容</w:t>
            </w:r>
          </w:p>
        </w:tc>
        <w:tc>
          <w:tcPr>
            <w:tcW w:w="992" w:type="dxa"/>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单位</w:t>
            </w:r>
          </w:p>
        </w:tc>
        <w:tc>
          <w:tcPr>
            <w:tcW w:w="766" w:type="dxa"/>
            <w:vAlign w:val="center"/>
          </w:tcPr>
          <w:p>
            <w:pPr>
              <w:jc w:val="center"/>
              <w:rPr>
                <w:rFonts w:asciiTheme="minorEastAsia" w:hAnsiTheme="minorEastAsia" w:eastAsiaTheme="minorEastAsia"/>
                <w:color w:val="auto"/>
                <w:highlight w:val="none"/>
              </w:rPr>
            </w:pPr>
            <w:r>
              <w:rPr>
                <w:rFonts w:asciiTheme="minorEastAsia" w:hAnsiTheme="minorEastAsia" w:eastAsiaTheme="minorEastAsia"/>
                <w:bCs/>
                <w:color w:val="auto"/>
                <w:highlight w:val="none"/>
              </w:rPr>
              <w:t>数量</w:t>
            </w:r>
          </w:p>
        </w:tc>
        <w:tc>
          <w:tcPr>
            <w:tcW w:w="995" w:type="dxa"/>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品牌</w:t>
            </w:r>
          </w:p>
        </w:tc>
        <w:tc>
          <w:tcPr>
            <w:tcW w:w="1134" w:type="dxa"/>
            <w:vAlign w:val="center"/>
          </w:tcPr>
          <w:p>
            <w:pPr>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规格型号</w:t>
            </w:r>
          </w:p>
        </w:tc>
        <w:tc>
          <w:tcPr>
            <w:tcW w:w="1134" w:type="dxa"/>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单价（元）</w:t>
            </w:r>
          </w:p>
        </w:tc>
        <w:tc>
          <w:tcPr>
            <w:tcW w:w="1492" w:type="dxa"/>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小计金额（元）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tcBorders>
              <w:bottom w:val="single" w:color="auto" w:sz="4" w:space="0"/>
            </w:tcBorders>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w:t>
            </w:r>
          </w:p>
        </w:tc>
        <w:tc>
          <w:tcPr>
            <w:tcW w:w="1686" w:type="dxa"/>
            <w:vAlign w:val="center"/>
          </w:tcPr>
          <w:p>
            <w:pPr>
              <w:jc w:val="center"/>
              <w:rPr>
                <w:rFonts w:asciiTheme="minorEastAsia" w:hAnsiTheme="minorEastAsia" w:eastAsiaTheme="minorEastAsia"/>
                <w:color w:val="auto"/>
                <w:highlight w:val="none"/>
              </w:rPr>
            </w:pPr>
          </w:p>
        </w:tc>
        <w:tc>
          <w:tcPr>
            <w:tcW w:w="992" w:type="dxa"/>
            <w:vAlign w:val="center"/>
          </w:tcPr>
          <w:p>
            <w:pPr>
              <w:jc w:val="center"/>
              <w:rPr>
                <w:rFonts w:asciiTheme="minorEastAsia" w:hAnsiTheme="minorEastAsia" w:eastAsiaTheme="minorEastAsia"/>
                <w:color w:val="auto"/>
                <w:highlight w:val="none"/>
              </w:rPr>
            </w:pPr>
          </w:p>
        </w:tc>
        <w:tc>
          <w:tcPr>
            <w:tcW w:w="766" w:type="dxa"/>
            <w:vAlign w:val="center"/>
          </w:tcPr>
          <w:p>
            <w:pPr>
              <w:jc w:val="center"/>
              <w:rPr>
                <w:rFonts w:asciiTheme="minorEastAsia" w:hAnsiTheme="minorEastAsia" w:eastAsiaTheme="minorEastAsia"/>
                <w:color w:val="auto"/>
                <w:highlight w:val="none"/>
              </w:rPr>
            </w:pPr>
          </w:p>
        </w:tc>
        <w:tc>
          <w:tcPr>
            <w:tcW w:w="995" w:type="dxa"/>
            <w:vAlign w:val="center"/>
          </w:tcPr>
          <w:p>
            <w:pPr>
              <w:jc w:val="center"/>
              <w:rPr>
                <w:rFonts w:asciiTheme="minorEastAsia" w:hAnsiTheme="minorEastAsia" w:eastAsiaTheme="minorEastAsia"/>
                <w:color w:val="auto"/>
                <w:highlight w:val="none"/>
              </w:rPr>
            </w:pPr>
          </w:p>
        </w:tc>
        <w:tc>
          <w:tcPr>
            <w:tcW w:w="1134" w:type="dxa"/>
            <w:vAlign w:val="center"/>
          </w:tcPr>
          <w:p>
            <w:pPr>
              <w:jc w:val="center"/>
              <w:rPr>
                <w:rFonts w:asciiTheme="minorEastAsia" w:hAnsiTheme="minorEastAsia" w:eastAsiaTheme="minorEastAsia"/>
                <w:color w:val="auto"/>
                <w:highlight w:val="none"/>
              </w:rPr>
            </w:pPr>
          </w:p>
        </w:tc>
        <w:tc>
          <w:tcPr>
            <w:tcW w:w="1134" w:type="dxa"/>
            <w:vAlign w:val="center"/>
          </w:tcPr>
          <w:p>
            <w:pPr>
              <w:jc w:val="center"/>
              <w:rPr>
                <w:rFonts w:asciiTheme="minorEastAsia" w:hAnsiTheme="minorEastAsia" w:eastAsiaTheme="minorEastAsia"/>
                <w:color w:val="auto"/>
                <w:highlight w:val="none"/>
              </w:rPr>
            </w:pPr>
          </w:p>
        </w:tc>
        <w:tc>
          <w:tcPr>
            <w:tcW w:w="1492" w:type="dxa"/>
            <w:vAlign w:val="center"/>
          </w:tcPr>
          <w:p>
            <w:pPr>
              <w:jc w:val="center"/>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tcBorders>
              <w:bottom w:val="single" w:color="auto" w:sz="4" w:space="0"/>
            </w:tcBorders>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w:t>
            </w:r>
          </w:p>
        </w:tc>
        <w:tc>
          <w:tcPr>
            <w:tcW w:w="1686" w:type="dxa"/>
            <w:vAlign w:val="center"/>
          </w:tcPr>
          <w:p>
            <w:pPr>
              <w:jc w:val="center"/>
              <w:rPr>
                <w:rFonts w:asciiTheme="minorEastAsia" w:hAnsiTheme="minorEastAsia" w:eastAsiaTheme="minorEastAsia"/>
                <w:color w:val="auto"/>
                <w:highlight w:val="none"/>
              </w:rPr>
            </w:pPr>
          </w:p>
        </w:tc>
        <w:tc>
          <w:tcPr>
            <w:tcW w:w="992" w:type="dxa"/>
            <w:vAlign w:val="center"/>
          </w:tcPr>
          <w:p>
            <w:pPr>
              <w:jc w:val="center"/>
              <w:rPr>
                <w:rFonts w:asciiTheme="minorEastAsia" w:hAnsiTheme="minorEastAsia" w:eastAsiaTheme="minorEastAsia"/>
                <w:color w:val="auto"/>
                <w:highlight w:val="none"/>
              </w:rPr>
            </w:pPr>
          </w:p>
        </w:tc>
        <w:tc>
          <w:tcPr>
            <w:tcW w:w="766" w:type="dxa"/>
            <w:vAlign w:val="center"/>
          </w:tcPr>
          <w:p>
            <w:pPr>
              <w:jc w:val="center"/>
              <w:rPr>
                <w:rFonts w:asciiTheme="minorEastAsia" w:hAnsiTheme="minorEastAsia" w:eastAsiaTheme="minorEastAsia"/>
                <w:color w:val="auto"/>
                <w:highlight w:val="none"/>
              </w:rPr>
            </w:pPr>
          </w:p>
        </w:tc>
        <w:tc>
          <w:tcPr>
            <w:tcW w:w="995" w:type="dxa"/>
            <w:vAlign w:val="center"/>
          </w:tcPr>
          <w:p>
            <w:pPr>
              <w:jc w:val="center"/>
              <w:rPr>
                <w:rFonts w:asciiTheme="minorEastAsia" w:hAnsiTheme="minorEastAsia" w:eastAsiaTheme="minorEastAsia"/>
                <w:color w:val="auto"/>
                <w:highlight w:val="none"/>
              </w:rPr>
            </w:pPr>
          </w:p>
        </w:tc>
        <w:tc>
          <w:tcPr>
            <w:tcW w:w="1134" w:type="dxa"/>
            <w:vAlign w:val="center"/>
          </w:tcPr>
          <w:p>
            <w:pPr>
              <w:jc w:val="center"/>
              <w:rPr>
                <w:rFonts w:asciiTheme="minorEastAsia" w:hAnsiTheme="minorEastAsia" w:eastAsiaTheme="minorEastAsia"/>
                <w:color w:val="auto"/>
                <w:highlight w:val="none"/>
              </w:rPr>
            </w:pPr>
          </w:p>
        </w:tc>
        <w:tc>
          <w:tcPr>
            <w:tcW w:w="1134" w:type="dxa"/>
            <w:vAlign w:val="center"/>
          </w:tcPr>
          <w:p>
            <w:pPr>
              <w:jc w:val="center"/>
              <w:rPr>
                <w:rFonts w:asciiTheme="minorEastAsia" w:hAnsiTheme="minorEastAsia" w:eastAsiaTheme="minorEastAsia"/>
                <w:color w:val="auto"/>
                <w:highlight w:val="none"/>
              </w:rPr>
            </w:pPr>
          </w:p>
        </w:tc>
        <w:tc>
          <w:tcPr>
            <w:tcW w:w="1492" w:type="dxa"/>
            <w:vAlign w:val="center"/>
          </w:tcPr>
          <w:p>
            <w:pPr>
              <w:jc w:val="center"/>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tcBorders>
              <w:bottom w:val="single" w:color="auto" w:sz="4" w:space="0"/>
            </w:tcBorders>
            <w:vAlign w:val="center"/>
          </w:tcPr>
          <w:p>
            <w:pPr>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w:t>
            </w:r>
          </w:p>
        </w:tc>
        <w:tc>
          <w:tcPr>
            <w:tcW w:w="1686" w:type="dxa"/>
            <w:vAlign w:val="center"/>
          </w:tcPr>
          <w:p>
            <w:pPr>
              <w:jc w:val="center"/>
              <w:rPr>
                <w:rFonts w:asciiTheme="minorEastAsia" w:hAnsiTheme="minorEastAsia" w:eastAsiaTheme="minorEastAsia"/>
                <w:color w:val="auto"/>
                <w:highlight w:val="none"/>
              </w:rPr>
            </w:pPr>
          </w:p>
        </w:tc>
        <w:tc>
          <w:tcPr>
            <w:tcW w:w="992" w:type="dxa"/>
            <w:vAlign w:val="center"/>
          </w:tcPr>
          <w:p>
            <w:pPr>
              <w:jc w:val="center"/>
              <w:rPr>
                <w:rFonts w:asciiTheme="minorEastAsia" w:hAnsiTheme="minorEastAsia" w:eastAsiaTheme="minorEastAsia"/>
                <w:color w:val="auto"/>
                <w:highlight w:val="none"/>
              </w:rPr>
            </w:pPr>
          </w:p>
        </w:tc>
        <w:tc>
          <w:tcPr>
            <w:tcW w:w="766" w:type="dxa"/>
            <w:vAlign w:val="center"/>
          </w:tcPr>
          <w:p>
            <w:pPr>
              <w:jc w:val="center"/>
              <w:rPr>
                <w:rFonts w:asciiTheme="minorEastAsia" w:hAnsiTheme="minorEastAsia" w:eastAsiaTheme="minorEastAsia"/>
                <w:color w:val="auto"/>
                <w:highlight w:val="none"/>
              </w:rPr>
            </w:pPr>
          </w:p>
        </w:tc>
        <w:tc>
          <w:tcPr>
            <w:tcW w:w="995" w:type="dxa"/>
            <w:vAlign w:val="center"/>
          </w:tcPr>
          <w:p>
            <w:pPr>
              <w:jc w:val="center"/>
              <w:rPr>
                <w:rFonts w:asciiTheme="minorEastAsia" w:hAnsiTheme="minorEastAsia" w:eastAsiaTheme="minorEastAsia"/>
                <w:color w:val="auto"/>
                <w:highlight w:val="none"/>
              </w:rPr>
            </w:pPr>
          </w:p>
        </w:tc>
        <w:tc>
          <w:tcPr>
            <w:tcW w:w="1134" w:type="dxa"/>
            <w:vAlign w:val="center"/>
          </w:tcPr>
          <w:p>
            <w:pPr>
              <w:jc w:val="center"/>
              <w:rPr>
                <w:rFonts w:asciiTheme="minorEastAsia" w:hAnsiTheme="minorEastAsia" w:eastAsiaTheme="minorEastAsia"/>
                <w:color w:val="auto"/>
                <w:highlight w:val="none"/>
              </w:rPr>
            </w:pPr>
          </w:p>
        </w:tc>
        <w:tc>
          <w:tcPr>
            <w:tcW w:w="1134" w:type="dxa"/>
            <w:vAlign w:val="center"/>
          </w:tcPr>
          <w:p>
            <w:pPr>
              <w:jc w:val="center"/>
              <w:rPr>
                <w:rFonts w:asciiTheme="minorEastAsia" w:hAnsiTheme="minorEastAsia" w:eastAsiaTheme="minorEastAsia"/>
                <w:color w:val="auto"/>
                <w:highlight w:val="none"/>
              </w:rPr>
            </w:pPr>
          </w:p>
        </w:tc>
        <w:tc>
          <w:tcPr>
            <w:tcW w:w="1492" w:type="dxa"/>
            <w:vAlign w:val="center"/>
          </w:tcPr>
          <w:p>
            <w:pPr>
              <w:jc w:val="center"/>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279" w:type="dxa"/>
            <w:gridSpan w:val="5"/>
            <w:vAlign w:val="center"/>
          </w:tcPr>
          <w:p>
            <w:pPr>
              <w:ind w:firstLine="422"/>
              <w:jc w:val="center"/>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合计金额（元）</w:t>
            </w:r>
          </w:p>
        </w:tc>
        <w:tc>
          <w:tcPr>
            <w:tcW w:w="3760" w:type="dxa"/>
            <w:gridSpan w:val="3"/>
            <w:vAlign w:val="center"/>
          </w:tcPr>
          <w:p>
            <w:pPr>
              <w:jc w:val="left"/>
              <w:rPr>
                <w:rFonts w:asciiTheme="minorEastAsia" w:hAnsiTheme="minorEastAsia" w:eastAsiaTheme="minorEastAsia"/>
                <w:color w:val="auto"/>
                <w:highlight w:val="none"/>
              </w:rPr>
            </w:pPr>
            <w:r>
              <w:rPr>
                <w:rFonts w:hint="eastAsia" w:asciiTheme="minorEastAsia" w:hAnsiTheme="minorEastAsia" w:eastAsiaTheme="minorEastAsia"/>
                <w:color w:val="auto"/>
                <w:szCs w:val="21"/>
                <w:highlight w:val="none"/>
              </w:rPr>
              <w:t>小写：</w:t>
            </w:r>
          </w:p>
        </w:tc>
      </w:tr>
    </w:tbl>
    <w:p>
      <w:pPr>
        <w:adjustRightInd w:val="0"/>
        <w:snapToGrid w:val="0"/>
        <w:spacing w:line="360" w:lineRule="auto"/>
        <w:ind w:firstLine="422"/>
        <w:rPr>
          <w:rFonts w:asciiTheme="minorEastAsia" w:hAnsiTheme="minorEastAsia" w:eastAsiaTheme="minorEastAsia"/>
          <w:color w:val="auto"/>
          <w:highlight w:val="none"/>
        </w:rPr>
      </w:pPr>
      <w:r>
        <w:rPr>
          <w:rFonts w:hint="eastAsia" w:asciiTheme="minorEastAsia" w:hAnsiTheme="minorEastAsia" w:eastAsiaTheme="minorEastAsia"/>
          <w:b/>
          <w:bCs/>
          <w:color w:val="auto"/>
          <w:szCs w:val="28"/>
          <w:highlight w:val="none"/>
        </w:rPr>
        <w:t>注：</w:t>
      </w:r>
      <w:r>
        <w:rPr>
          <w:rFonts w:hint="eastAsia" w:asciiTheme="minorEastAsia" w:hAnsiTheme="minorEastAsia" w:eastAsiaTheme="minorEastAsia"/>
          <w:color w:val="auto"/>
          <w:highlight w:val="none"/>
        </w:rPr>
        <w:t>所列费用为对应本项目需求的全部货物及相关服务内容，如有漏项或缺项，投标人承担全部责任。</w:t>
      </w:r>
      <w:r>
        <w:rPr>
          <w:color w:val="auto"/>
          <w:szCs w:val="21"/>
          <w:highlight w:val="none"/>
        </w:rPr>
        <w:t>若投标人尚有其它内容需明列的，请按此表格式扩展</w:t>
      </w:r>
      <w:r>
        <w:rPr>
          <w:rFonts w:hint="eastAsia"/>
          <w:color w:val="auto"/>
          <w:szCs w:val="21"/>
          <w:highlight w:val="none"/>
        </w:rPr>
        <w:t>但是不得删除已有的内容</w:t>
      </w:r>
      <w:r>
        <w:rPr>
          <w:color w:val="auto"/>
          <w:szCs w:val="21"/>
          <w:highlight w:val="none"/>
        </w:rPr>
        <w:t>。</w:t>
      </w:r>
    </w:p>
    <w:p>
      <w:pPr>
        <w:adjustRightInd w:val="0"/>
        <w:snapToGrid w:val="0"/>
        <w:spacing w:line="360" w:lineRule="auto"/>
        <w:ind w:firstLine="422"/>
        <w:rPr>
          <w:rFonts w:asciiTheme="minorEastAsia" w:hAnsiTheme="minorEastAsia" w:eastAsiaTheme="minorEastAsia"/>
          <w:color w:val="auto"/>
          <w:highlight w:val="none"/>
        </w:rPr>
      </w:pPr>
    </w:p>
    <w:p>
      <w:pPr>
        <w:pStyle w:val="29"/>
        <w:spacing w:before="120" w:beforeLines="50" w:after="120" w:afterLines="50" w:line="360" w:lineRule="auto"/>
        <w:ind w:firstLine="495" w:firstLineChars="235"/>
        <w:rPr>
          <w:rFonts w:ascii="宋体" w:hAnsi="宋体" w:cs="宋体"/>
          <w:b/>
          <w:bCs/>
          <w:color w:val="auto"/>
          <w:sz w:val="21"/>
          <w:szCs w:val="21"/>
          <w:highlight w:val="none"/>
        </w:rPr>
      </w:pPr>
      <w:r>
        <w:rPr>
          <w:rFonts w:hint="eastAsia" w:ascii="宋体" w:hAnsi="宋体" w:cs="宋体"/>
          <w:b/>
          <w:bCs/>
          <w:color w:val="auto"/>
          <w:sz w:val="21"/>
          <w:szCs w:val="21"/>
          <w:highlight w:val="none"/>
        </w:rPr>
        <w:t>序号2：荧光分光光度计</w:t>
      </w:r>
    </w:p>
    <w:tbl>
      <w:tblPr>
        <w:tblStyle w:val="4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686"/>
        <w:gridCol w:w="992"/>
        <w:gridCol w:w="766"/>
        <w:gridCol w:w="995"/>
        <w:gridCol w:w="1134"/>
        <w:gridCol w:w="1134"/>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840" w:type="dxa"/>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序号</w:t>
            </w:r>
          </w:p>
        </w:tc>
        <w:tc>
          <w:tcPr>
            <w:tcW w:w="1686" w:type="dxa"/>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费用内容</w:t>
            </w:r>
          </w:p>
        </w:tc>
        <w:tc>
          <w:tcPr>
            <w:tcW w:w="992" w:type="dxa"/>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单位</w:t>
            </w:r>
          </w:p>
        </w:tc>
        <w:tc>
          <w:tcPr>
            <w:tcW w:w="766" w:type="dxa"/>
            <w:vAlign w:val="center"/>
          </w:tcPr>
          <w:p>
            <w:pPr>
              <w:jc w:val="center"/>
              <w:rPr>
                <w:rFonts w:asciiTheme="minorEastAsia" w:hAnsiTheme="minorEastAsia" w:eastAsiaTheme="minorEastAsia"/>
                <w:color w:val="auto"/>
                <w:highlight w:val="none"/>
              </w:rPr>
            </w:pPr>
            <w:r>
              <w:rPr>
                <w:rFonts w:asciiTheme="minorEastAsia" w:hAnsiTheme="minorEastAsia" w:eastAsiaTheme="minorEastAsia"/>
                <w:bCs/>
                <w:color w:val="auto"/>
                <w:highlight w:val="none"/>
              </w:rPr>
              <w:t>数量</w:t>
            </w:r>
          </w:p>
        </w:tc>
        <w:tc>
          <w:tcPr>
            <w:tcW w:w="995" w:type="dxa"/>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品牌</w:t>
            </w:r>
          </w:p>
        </w:tc>
        <w:tc>
          <w:tcPr>
            <w:tcW w:w="1134" w:type="dxa"/>
            <w:vAlign w:val="center"/>
          </w:tcPr>
          <w:p>
            <w:pPr>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规格型号</w:t>
            </w:r>
          </w:p>
        </w:tc>
        <w:tc>
          <w:tcPr>
            <w:tcW w:w="1134" w:type="dxa"/>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单价（元）</w:t>
            </w:r>
          </w:p>
        </w:tc>
        <w:tc>
          <w:tcPr>
            <w:tcW w:w="1492" w:type="dxa"/>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小计金额（元）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tcBorders>
              <w:bottom w:val="single" w:color="auto" w:sz="4" w:space="0"/>
            </w:tcBorders>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w:t>
            </w:r>
          </w:p>
        </w:tc>
        <w:tc>
          <w:tcPr>
            <w:tcW w:w="1686" w:type="dxa"/>
            <w:vAlign w:val="center"/>
          </w:tcPr>
          <w:p>
            <w:pPr>
              <w:jc w:val="center"/>
              <w:rPr>
                <w:rFonts w:asciiTheme="minorEastAsia" w:hAnsiTheme="minorEastAsia" w:eastAsiaTheme="minorEastAsia"/>
                <w:color w:val="auto"/>
                <w:highlight w:val="none"/>
              </w:rPr>
            </w:pPr>
          </w:p>
        </w:tc>
        <w:tc>
          <w:tcPr>
            <w:tcW w:w="992" w:type="dxa"/>
            <w:vAlign w:val="center"/>
          </w:tcPr>
          <w:p>
            <w:pPr>
              <w:jc w:val="center"/>
              <w:rPr>
                <w:rFonts w:asciiTheme="minorEastAsia" w:hAnsiTheme="minorEastAsia" w:eastAsiaTheme="minorEastAsia"/>
                <w:color w:val="auto"/>
                <w:highlight w:val="none"/>
              </w:rPr>
            </w:pPr>
          </w:p>
        </w:tc>
        <w:tc>
          <w:tcPr>
            <w:tcW w:w="766" w:type="dxa"/>
            <w:vAlign w:val="center"/>
          </w:tcPr>
          <w:p>
            <w:pPr>
              <w:jc w:val="center"/>
              <w:rPr>
                <w:rFonts w:asciiTheme="minorEastAsia" w:hAnsiTheme="minorEastAsia" w:eastAsiaTheme="minorEastAsia"/>
                <w:color w:val="auto"/>
                <w:highlight w:val="none"/>
              </w:rPr>
            </w:pPr>
          </w:p>
        </w:tc>
        <w:tc>
          <w:tcPr>
            <w:tcW w:w="995" w:type="dxa"/>
            <w:vAlign w:val="center"/>
          </w:tcPr>
          <w:p>
            <w:pPr>
              <w:jc w:val="center"/>
              <w:rPr>
                <w:rFonts w:asciiTheme="minorEastAsia" w:hAnsiTheme="minorEastAsia" w:eastAsiaTheme="minorEastAsia"/>
                <w:color w:val="auto"/>
                <w:highlight w:val="none"/>
              </w:rPr>
            </w:pPr>
          </w:p>
        </w:tc>
        <w:tc>
          <w:tcPr>
            <w:tcW w:w="1134" w:type="dxa"/>
            <w:vAlign w:val="center"/>
          </w:tcPr>
          <w:p>
            <w:pPr>
              <w:jc w:val="center"/>
              <w:rPr>
                <w:rFonts w:asciiTheme="minorEastAsia" w:hAnsiTheme="minorEastAsia" w:eastAsiaTheme="minorEastAsia"/>
                <w:color w:val="auto"/>
                <w:highlight w:val="none"/>
              </w:rPr>
            </w:pPr>
          </w:p>
        </w:tc>
        <w:tc>
          <w:tcPr>
            <w:tcW w:w="1134" w:type="dxa"/>
            <w:vAlign w:val="center"/>
          </w:tcPr>
          <w:p>
            <w:pPr>
              <w:jc w:val="center"/>
              <w:rPr>
                <w:rFonts w:asciiTheme="minorEastAsia" w:hAnsiTheme="minorEastAsia" w:eastAsiaTheme="minorEastAsia"/>
                <w:color w:val="auto"/>
                <w:highlight w:val="none"/>
              </w:rPr>
            </w:pPr>
          </w:p>
        </w:tc>
        <w:tc>
          <w:tcPr>
            <w:tcW w:w="1492" w:type="dxa"/>
            <w:vAlign w:val="center"/>
          </w:tcPr>
          <w:p>
            <w:pPr>
              <w:jc w:val="center"/>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tcBorders>
              <w:bottom w:val="single" w:color="auto" w:sz="4" w:space="0"/>
            </w:tcBorders>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w:t>
            </w:r>
          </w:p>
        </w:tc>
        <w:tc>
          <w:tcPr>
            <w:tcW w:w="1686" w:type="dxa"/>
            <w:vAlign w:val="center"/>
          </w:tcPr>
          <w:p>
            <w:pPr>
              <w:jc w:val="center"/>
              <w:rPr>
                <w:rFonts w:asciiTheme="minorEastAsia" w:hAnsiTheme="minorEastAsia" w:eastAsiaTheme="minorEastAsia"/>
                <w:color w:val="auto"/>
                <w:highlight w:val="none"/>
              </w:rPr>
            </w:pPr>
          </w:p>
        </w:tc>
        <w:tc>
          <w:tcPr>
            <w:tcW w:w="992" w:type="dxa"/>
            <w:vAlign w:val="center"/>
          </w:tcPr>
          <w:p>
            <w:pPr>
              <w:jc w:val="center"/>
              <w:rPr>
                <w:rFonts w:asciiTheme="minorEastAsia" w:hAnsiTheme="minorEastAsia" w:eastAsiaTheme="minorEastAsia"/>
                <w:color w:val="auto"/>
                <w:highlight w:val="none"/>
              </w:rPr>
            </w:pPr>
          </w:p>
        </w:tc>
        <w:tc>
          <w:tcPr>
            <w:tcW w:w="766" w:type="dxa"/>
            <w:vAlign w:val="center"/>
          </w:tcPr>
          <w:p>
            <w:pPr>
              <w:jc w:val="center"/>
              <w:rPr>
                <w:rFonts w:asciiTheme="minorEastAsia" w:hAnsiTheme="minorEastAsia" w:eastAsiaTheme="minorEastAsia"/>
                <w:color w:val="auto"/>
                <w:highlight w:val="none"/>
              </w:rPr>
            </w:pPr>
          </w:p>
        </w:tc>
        <w:tc>
          <w:tcPr>
            <w:tcW w:w="995" w:type="dxa"/>
            <w:vAlign w:val="center"/>
          </w:tcPr>
          <w:p>
            <w:pPr>
              <w:jc w:val="center"/>
              <w:rPr>
                <w:rFonts w:asciiTheme="minorEastAsia" w:hAnsiTheme="minorEastAsia" w:eastAsiaTheme="minorEastAsia"/>
                <w:color w:val="auto"/>
                <w:highlight w:val="none"/>
              </w:rPr>
            </w:pPr>
          </w:p>
        </w:tc>
        <w:tc>
          <w:tcPr>
            <w:tcW w:w="1134" w:type="dxa"/>
            <w:vAlign w:val="center"/>
          </w:tcPr>
          <w:p>
            <w:pPr>
              <w:jc w:val="center"/>
              <w:rPr>
                <w:rFonts w:asciiTheme="minorEastAsia" w:hAnsiTheme="minorEastAsia" w:eastAsiaTheme="minorEastAsia"/>
                <w:color w:val="auto"/>
                <w:highlight w:val="none"/>
              </w:rPr>
            </w:pPr>
          </w:p>
        </w:tc>
        <w:tc>
          <w:tcPr>
            <w:tcW w:w="1134" w:type="dxa"/>
            <w:vAlign w:val="center"/>
          </w:tcPr>
          <w:p>
            <w:pPr>
              <w:jc w:val="center"/>
              <w:rPr>
                <w:rFonts w:asciiTheme="minorEastAsia" w:hAnsiTheme="minorEastAsia" w:eastAsiaTheme="minorEastAsia"/>
                <w:color w:val="auto"/>
                <w:highlight w:val="none"/>
              </w:rPr>
            </w:pPr>
          </w:p>
        </w:tc>
        <w:tc>
          <w:tcPr>
            <w:tcW w:w="1492" w:type="dxa"/>
            <w:vAlign w:val="center"/>
          </w:tcPr>
          <w:p>
            <w:pPr>
              <w:jc w:val="center"/>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tcBorders>
              <w:bottom w:val="single" w:color="auto" w:sz="4" w:space="0"/>
            </w:tcBorders>
            <w:vAlign w:val="center"/>
          </w:tcPr>
          <w:p>
            <w:pPr>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w:t>
            </w:r>
          </w:p>
        </w:tc>
        <w:tc>
          <w:tcPr>
            <w:tcW w:w="1686" w:type="dxa"/>
            <w:vAlign w:val="center"/>
          </w:tcPr>
          <w:p>
            <w:pPr>
              <w:jc w:val="center"/>
              <w:rPr>
                <w:rFonts w:asciiTheme="minorEastAsia" w:hAnsiTheme="minorEastAsia" w:eastAsiaTheme="minorEastAsia"/>
                <w:color w:val="auto"/>
                <w:highlight w:val="none"/>
              </w:rPr>
            </w:pPr>
          </w:p>
        </w:tc>
        <w:tc>
          <w:tcPr>
            <w:tcW w:w="992" w:type="dxa"/>
            <w:vAlign w:val="center"/>
          </w:tcPr>
          <w:p>
            <w:pPr>
              <w:jc w:val="center"/>
              <w:rPr>
                <w:rFonts w:asciiTheme="minorEastAsia" w:hAnsiTheme="minorEastAsia" w:eastAsiaTheme="minorEastAsia"/>
                <w:color w:val="auto"/>
                <w:highlight w:val="none"/>
              </w:rPr>
            </w:pPr>
          </w:p>
        </w:tc>
        <w:tc>
          <w:tcPr>
            <w:tcW w:w="766" w:type="dxa"/>
            <w:vAlign w:val="center"/>
          </w:tcPr>
          <w:p>
            <w:pPr>
              <w:jc w:val="center"/>
              <w:rPr>
                <w:rFonts w:asciiTheme="minorEastAsia" w:hAnsiTheme="minorEastAsia" w:eastAsiaTheme="minorEastAsia"/>
                <w:color w:val="auto"/>
                <w:highlight w:val="none"/>
              </w:rPr>
            </w:pPr>
          </w:p>
        </w:tc>
        <w:tc>
          <w:tcPr>
            <w:tcW w:w="995" w:type="dxa"/>
            <w:vAlign w:val="center"/>
          </w:tcPr>
          <w:p>
            <w:pPr>
              <w:jc w:val="center"/>
              <w:rPr>
                <w:rFonts w:asciiTheme="minorEastAsia" w:hAnsiTheme="minorEastAsia" w:eastAsiaTheme="minorEastAsia"/>
                <w:color w:val="auto"/>
                <w:highlight w:val="none"/>
              </w:rPr>
            </w:pPr>
          </w:p>
        </w:tc>
        <w:tc>
          <w:tcPr>
            <w:tcW w:w="1134" w:type="dxa"/>
            <w:vAlign w:val="center"/>
          </w:tcPr>
          <w:p>
            <w:pPr>
              <w:jc w:val="center"/>
              <w:rPr>
                <w:rFonts w:asciiTheme="minorEastAsia" w:hAnsiTheme="minorEastAsia" w:eastAsiaTheme="minorEastAsia"/>
                <w:color w:val="auto"/>
                <w:highlight w:val="none"/>
              </w:rPr>
            </w:pPr>
          </w:p>
        </w:tc>
        <w:tc>
          <w:tcPr>
            <w:tcW w:w="1134" w:type="dxa"/>
            <w:vAlign w:val="center"/>
          </w:tcPr>
          <w:p>
            <w:pPr>
              <w:jc w:val="center"/>
              <w:rPr>
                <w:rFonts w:asciiTheme="minorEastAsia" w:hAnsiTheme="minorEastAsia" w:eastAsiaTheme="minorEastAsia"/>
                <w:color w:val="auto"/>
                <w:highlight w:val="none"/>
              </w:rPr>
            </w:pPr>
          </w:p>
        </w:tc>
        <w:tc>
          <w:tcPr>
            <w:tcW w:w="1492" w:type="dxa"/>
            <w:vAlign w:val="center"/>
          </w:tcPr>
          <w:p>
            <w:pPr>
              <w:jc w:val="center"/>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279" w:type="dxa"/>
            <w:gridSpan w:val="5"/>
            <w:vAlign w:val="center"/>
          </w:tcPr>
          <w:p>
            <w:pPr>
              <w:ind w:firstLine="422"/>
              <w:jc w:val="center"/>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合计金额（元）</w:t>
            </w:r>
          </w:p>
        </w:tc>
        <w:tc>
          <w:tcPr>
            <w:tcW w:w="3760" w:type="dxa"/>
            <w:gridSpan w:val="3"/>
            <w:vAlign w:val="center"/>
          </w:tcPr>
          <w:p>
            <w:pPr>
              <w:jc w:val="left"/>
              <w:rPr>
                <w:rFonts w:asciiTheme="minorEastAsia" w:hAnsiTheme="minorEastAsia" w:eastAsiaTheme="minorEastAsia"/>
                <w:color w:val="auto"/>
                <w:highlight w:val="none"/>
              </w:rPr>
            </w:pPr>
            <w:r>
              <w:rPr>
                <w:rFonts w:hint="eastAsia" w:asciiTheme="minorEastAsia" w:hAnsiTheme="minorEastAsia" w:eastAsiaTheme="minorEastAsia"/>
                <w:color w:val="auto"/>
                <w:szCs w:val="21"/>
                <w:highlight w:val="none"/>
              </w:rPr>
              <w:t>小写：</w:t>
            </w:r>
          </w:p>
        </w:tc>
      </w:tr>
    </w:tbl>
    <w:p>
      <w:pPr>
        <w:adjustRightInd w:val="0"/>
        <w:snapToGrid w:val="0"/>
        <w:spacing w:line="360" w:lineRule="auto"/>
        <w:ind w:firstLine="422"/>
        <w:rPr>
          <w:rFonts w:asciiTheme="minorEastAsia" w:hAnsiTheme="minorEastAsia" w:eastAsiaTheme="minorEastAsia"/>
          <w:color w:val="auto"/>
          <w:highlight w:val="none"/>
        </w:rPr>
      </w:pPr>
      <w:r>
        <w:rPr>
          <w:rFonts w:hint="eastAsia" w:asciiTheme="minorEastAsia" w:hAnsiTheme="minorEastAsia" w:eastAsiaTheme="minorEastAsia"/>
          <w:b/>
          <w:bCs/>
          <w:color w:val="auto"/>
          <w:szCs w:val="28"/>
          <w:highlight w:val="none"/>
        </w:rPr>
        <w:t>注：</w:t>
      </w:r>
      <w:r>
        <w:rPr>
          <w:rFonts w:hint="eastAsia" w:asciiTheme="minorEastAsia" w:hAnsiTheme="minorEastAsia" w:eastAsiaTheme="minorEastAsia"/>
          <w:color w:val="auto"/>
          <w:highlight w:val="none"/>
        </w:rPr>
        <w:t>所列费用为对应本项目需求的全部货物及相关服务内容，如有漏项或缺项，投标人承担全部责任。</w:t>
      </w:r>
      <w:r>
        <w:rPr>
          <w:color w:val="auto"/>
          <w:szCs w:val="21"/>
          <w:highlight w:val="none"/>
        </w:rPr>
        <w:t>若投标人尚有其它内容需明列的，请按此表格式扩展</w:t>
      </w:r>
      <w:r>
        <w:rPr>
          <w:rFonts w:hint="eastAsia"/>
          <w:color w:val="auto"/>
          <w:szCs w:val="21"/>
          <w:highlight w:val="none"/>
        </w:rPr>
        <w:t>但是不得删除已有的内容</w:t>
      </w:r>
      <w:r>
        <w:rPr>
          <w:color w:val="auto"/>
          <w:szCs w:val="21"/>
          <w:highlight w:val="none"/>
        </w:rPr>
        <w:t>。</w:t>
      </w:r>
    </w:p>
    <w:p>
      <w:pPr>
        <w:adjustRightInd w:val="0"/>
        <w:snapToGrid w:val="0"/>
        <w:spacing w:line="360" w:lineRule="auto"/>
        <w:ind w:firstLine="422"/>
        <w:rPr>
          <w:rFonts w:asciiTheme="minorEastAsia" w:hAnsiTheme="minorEastAsia" w:eastAsiaTheme="minorEastAsia"/>
          <w:color w:val="auto"/>
          <w:highlight w:val="none"/>
        </w:rPr>
      </w:pPr>
    </w:p>
    <w:p>
      <w:pPr>
        <w:pStyle w:val="29"/>
        <w:spacing w:before="120" w:beforeLines="50" w:after="120" w:afterLines="50" w:line="360" w:lineRule="auto"/>
        <w:ind w:firstLine="495" w:firstLineChars="235"/>
        <w:rPr>
          <w:rFonts w:ascii="宋体" w:hAnsi="宋体" w:cs="宋体"/>
          <w:b/>
          <w:bCs/>
          <w:color w:val="auto"/>
          <w:sz w:val="21"/>
          <w:szCs w:val="21"/>
          <w:highlight w:val="none"/>
        </w:rPr>
      </w:pPr>
      <w:r>
        <w:rPr>
          <w:rFonts w:hint="eastAsia" w:ascii="宋体" w:hAnsi="宋体" w:cs="宋体"/>
          <w:b/>
          <w:bCs/>
          <w:color w:val="auto"/>
          <w:sz w:val="21"/>
          <w:szCs w:val="21"/>
          <w:highlight w:val="none"/>
        </w:rPr>
        <w:t>序号3：同步热分析仪</w:t>
      </w:r>
    </w:p>
    <w:tbl>
      <w:tblPr>
        <w:tblStyle w:val="4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686"/>
        <w:gridCol w:w="992"/>
        <w:gridCol w:w="766"/>
        <w:gridCol w:w="995"/>
        <w:gridCol w:w="1134"/>
        <w:gridCol w:w="1134"/>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840" w:type="dxa"/>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序号</w:t>
            </w:r>
          </w:p>
        </w:tc>
        <w:tc>
          <w:tcPr>
            <w:tcW w:w="1686" w:type="dxa"/>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费用内容</w:t>
            </w:r>
          </w:p>
        </w:tc>
        <w:tc>
          <w:tcPr>
            <w:tcW w:w="992" w:type="dxa"/>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单位</w:t>
            </w:r>
          </w:p>
        </w:tc>
        <w:tc>
          <w:tcPr>
            <w:tcW w:w="766" w:type="dxa"/>
            <w:vAlign w:val="center"/>
          </w:tcPr>
          <w:p>
            <w:pPr>
              <w:jc w:val="center"/>
              <w:rPr>
                <w:rFonts w:asciiTheme="minorEastAsia" w:hAnsiTheme="minorEastAsia" w:eastAsiaTheme="minorEastAsia"/>
                <w:color w:val="auto"/>
                <w:highlight w:val="none"/>
              </w:rPr>
            </w:pPr>
            <w:r>
              <w:rPr>
                <w:rFonts w:asciiTheme="minorEastAsia" w:hAnsiTheme="minorEastAsia" w:eastAsiaTheme="minorEastAsia"/>
                <w:bCs/>
                <w:color w:val="auto"/>
                <w:highlight w:val="none"/>
              </w:rPr>
              <w:t>数量</w:t>
            </w:r>
          </w:p>
        </w:tc>
        <w:tc>
          <w:tcPr>
            <w:tcW w:w="995" w:type="dxa"/>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品牌</w:t>
            </w:r>
          </w:p>
        </w:tc>
        <w:tc>
          <w:tcPr>
            <w:tcW w:w="1134" w:type="dxa"/>
            <w:vAlign w:val="center"/>
          </w:tcPr>
          <w:p>
            <w:pPr>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规格型号</w:t>
            </w:r>
          </w:p>
        </w:tc>
        <w:tc>
          <w:tcPr>
            <w:tcW w:w="1134" w:type="dxa"/>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单价（元）</w:t>
            </w:r>
          </w:p>
        </w:tc>
        <w:tc>
          <w:tcPr>
            <w:tcW w:w="1492" w:type="dxa"/>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小计金额（元）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tcBorders>
              <w:bottom w:val="single" w:color="auto" w:sz="4" w:space="0"/>
            </w:tcBorders>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w:t>
            </w:r>
          </w:p>
        </w:tc>
        <w:tc>
          <w:tcPr>
            <w:tcW w:w="1686" w:type="dxa"/>
            <w:vAlign w:val="center"/>
          </w:tcPr>
          <w:p>
            <w:pPr>
              <w:jc w:val="center"/>
              <w:rPr>
                <w:rFonts w:asciiTheme="minorEastAsia" w:hAnsiTheme="minorEastAsia" w:eastAsiaTheme="minorEastAsia"/>
                <w:color w:val="auto"/>
                <w:highlight w:val="none"/>
              </w:rPr>
            </w:pPr>
          </w:p>
        </w:tc>
        <w:tc>
          <w:tcPr>
            <w:tcW w:w="992" w:type="dxa"/>
            <w:vAlign w:val="center"/>
          </w:tcPr>
          <w:p>
            <w:pPr>
              <w:jc w:val="center"/>
              <w:rPr>
                <w:rFonts w:asciiTheme="minorEastAsia" w:hAnsiTheme="minorEastAsia" w:eastAsiaTheme="minorEastAsia"/>
                <w:color w:val="auto"/>
                <w:highlight w:val="none"/>
              </w:rPr>
            </w:pPr>
          </w:p>
        </w:tc>
        <w:tc>
          <w:tcPr>
            <w:tcW w:w="766" w:type="dxa"/>
            <w:vAlign w:val="center"/>
          </w:tcPr>
          <w:p>
            <w:pPr>
              <w:jc w:val="center"/>
              <w:rPr>
                <w:rFonts w:asciiTheme="minorEastAsia" w:hAnsiTheme="minorEastAsia" w:eastAsiaTheme="minorEastAsia"/>
                <w:color w:val="auto"/>
                <w:highlight w:val="none"/>
              </w:rPr>
            </w:pPr>
          </w:p>
        </w:tc>
        <w:tc>
          <w:tcPr>
            <w:tcW w:w="995" w:type="dxa"/>
            <w:vAlign w:val="center"/>
          </w:tcPr>
          <w:p>
            <w:pPr>
              <w:jc w:val="center"/>
              <w:rPr>
                <w:rFonts w:asciiTheme="minorEastAsia" w:hAnsiTheme="minorEastAsia" w:eastAsiaTheme="minorEastAsia"/>
                <w:color w:val="auto"/>
                <w:highlight w:val="none"/>
              </w:rPr>
            </w:pPr>
          </w:p>
        </w:tc>
        <w:tc>
          <w:tcPr>
            <w:tcW w:w="1134" w:type="dxa"/>
            <w:vAlign w:val="center"/>
          </w:tcPr>
          <w:p>
            <w:pPr>
              <w:jc w:val="center"/>
              <w:rPr>
                <w:rFonts w:asciiTheme="minorEastAsia" w:hAnsiTheme="minorEastAsia" w:eastAsiaTheme="minorEastAsia"/>
                <w:color w:val="auto"/>
                <w:highlight w:val="none"/>
              </w:rPr>
            </w:pPr>
          </w:p>
        </w:tc>
        <w:tc>
          <w:tcPr>
            <w:tcW w:w="1134" w:type="dxa"/>
            <w:vAlign w:val="center"/>
          </w:tcPr>
          <w:p>
            <w:pPr>
              <w:jc w:val="center"/>
              <w:rPr>
                <w:rFonts w:asciiTheme="minorEastAsia" w:hAnsiTheme="minorEastAsia" w:eastAsiaTheme="minorEastAsia"/>
                <w:color w:val="auto"/>
                <w:highlight w:val="none"/>
              </w:rPr>
            </w:pPr>
          </w:p>
        </w:tc>
        <w:tc>
          <w:tcPr>
            <w:tcW w:w="1492" w:type="dxa"/>
            <w:vAlign w:val="center"/>
          </w:tcPr>
          <w:p>
            <w:pPr>
              <w:jc w:val="center"/>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tcBorders>
              <w:bottom w:val="single" w:color="auto" w:sz="4" w:space="0"/>
            </w:tcBorders>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w:t>
            </w:r>
          </w:p>
        </w:tc>
        <w:tc>
          <w:tcPr>
            <w:tcW w:w="1686" w:type="dxa"/>
            <w:vAlign w:val="center"/>
          </w:tcPr>
          <w:p>
            <w:pPr>
              <w:jc w:val="center"/>
              <w:rPr>
                <w:rFonts w:asciiTheme="minorEastAsia" w:hAnsiTheme="minorEastAsia" w:eastAsiaTheme="minorEastAsia"/>
                <w:color w:val="auto"/>
                <w:highlight w:val="none"/>
              </w:rPr>
            </w:pPr>
          </w:p>
        </w:tc>
        <w:tc>
          <w:tcPr>
            <w:tcW w:w="992" w:type="dxa"/>
            <w:vAlign w:val="center"/>
          </w:tcPr>
          <w:p>
            <w:pPr>
              <w:jc w:val="center"/>
              <w:rPr>
                <w:rFonts w:asciiTheme="minorEastAsia" w:hAnsiTheme="minorEastAsia" w:eastAsiaTheme="minorEastAsia"/>
                <w:color w:val="auto"/>
                <w:highlight w:val="none"/>
              </w:rPr>
            </w:pPr>
          </w:p>
        </w:tc>
        <w:tc>
          <w:tcPr>
            <w:tcW w:w="766" w:type="dxa"/>
            <w:vAlign w:val="center"/>
          </w:tcPr>
          <w:p>
            <w:pPr>
              <w:jc w:val="center"/>
              <w:rPr>
                <w:rFonts w:asciiTheme="minorEastAsia" w:hAnsiTheme="minorEastAsia" w:eastAsiaTheme="minorEastAsia"/>
                <w:color w:val="auto"/>
                <w:highlight w:val="none"/>
              </w:rPr>
            </w:pPr>
          </w:p>
        </w:tc>
        <w:tc>
          <w:tcPr>
            <w:tcW w:w="995" w:type="dxa"/>
            <w:vAlign w:val="center"/>
          </w:tcPr>
          <w:p>
            <w:pPr>
              <w:jc w:val="center"/>
              <w:rPr>
                <w:rFonts w:asciiTheme="minorEastAsia" w:hAnsiTheme="minorEastAsia" w:eastAsiaTheme="minorEastAsia"/>
                <w:color w:val="auto"/>
                <w:highlight w:val="none"/>
              </w:rPr>
            </w:pPr>
          </w:p>
        </w:tc>
        <w:tc>
          <w:tcPr>
            <w:tcW w:w="1134" w:type="dxa"/>
            <w:vAlign w:val="center"/>
          </w:tcPr>
          <w:p>
            <w:pPr>
              <w:jc w:val="center"/>
              <w:rPr>
                <w:rFonts w:asciiTheme="minorEastAsia" w:hAnsiTheme="minorEastAsia" w:eastAsiaTheme="minorEastAsia"/>
                <w:color w:val="auto"/>
                <w:highlight w:val="none"/>
              </w:rPr>
            </w:pPr>
          </w:p>
        </w:tc>
        <w:tc>
          <w:tcPr>
            <w:tcW w:w="1134" w:type="dxa"/>
            <w:vAlign w:val="center"/>
          </w:tcPr>
          <w:p>
            <w:pPr>
              <w:jc w:val="center"/>
              <w:rPr>
                <w:rFonts w:asciiTheme="minorEastAsia" w:hAnsiTheme="minorEastAsia" w:eastAsiaTheme="minorEastAsia"/>
                <w:color w:val="auto"/>
                <w:highlight w:val="none"/>
              </w:rPr>
            </w:pPr>
          </w:p>
        </w:tc>
        <w:tc>
          <w:tcPr>
            <w:tcW w:w="1492" w:type="dxa"/>
            <w:vAlign w:val="center"/>
          </w:tcPr>
          <w:p>
            <w:pPr>
              <w:jc w:val="center"/>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tcBorders>
              <w:bottom w:val="single" w:color="auto" w:sz="4" w:space="0"/>
            </w:tcBorders>
            <w:vAlign w:val="center"/>
          </w:tcPr>
          <w:p>
            <w:pPr>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w:t>
            </w:r>
          </w:p>
        </w:tc>
        <w:tc>
          <w:tcPr>
            <w:tcW w:w="1686" w:type="dxa"/>
            <w:vAlign w:val="center"/>
          </w:tcPr>
          <w:p>
            <w:pPr>
              <w:jc w:val="center"/>
              <w:rPr>
                <w:rFonts w:asciiTheme="minorEastAsia" w:hAnsiTheme="minorEastAsia" w:eastAsiaTheme="minorEastAsia"/>
                <w:color w:val="auto"/>
                <w:highlight w:val="none"/>
              </w:rPr>
            </w:pPr>
          </w:p>
        </w:tc>
        <w:tc>
          <w:tcPr>
            <w:tcW w:w="992" w:type="dxa"/>
            <w:vAlign w:val="center"/>
          </w:tcPr>
          <w:p>
            <w:pPr>
              <w:jc w:val="center"/>
              <w:rPr>
                <w:rFonts w:asciiTheme="minorEastAsia" w:hAnsiTheme="minorEastAsia" w:eastAsiaTheme="minorEastAsia"/>
                <w:color w:val="auto"/>
                <w:highlight w:val="none"/>
              </w:rPr>
            </w:pPr>
          </w:p>
        </w:tc>
        <w:tc>
          <w:tcPr>
            <w:tcW w:w="766" w:type="dxa"/>
            <w:vAlign w:val="center"/>
          </w:tcPr>
          <w:p>
            <w:pPr>
              <w:jc w:val="center"/>
              <w:rPr>
                <w:rFonts w:asciiTheme="minorEastAsia" w:hAnsiTheme="minorEastAsia" w:eastAsiaTheme="minorEastAsia"/>
                <w:color w:val="auto"/>
                <w:highlight w:val="none"/>
              </w:rPr>
            </w:pPr>
          </w:p>
        </w:tc>
        <w:tc>
          <w:tcPr>
            <w:tcW w:w="995" w:type="dxa"/>
            <w:vAlign w:val="center"/>
          </w:tcPr>
          <w:p>
            <w:pPr>
              <w:jc w:val="center"/>
              <w:rPr>
                <w:rFonts w:asciiTheme="minorEastAsia" w:hAnsiTheme="minorEastAsia" w:eastAsiaTheme="minorEastAsia"/>
                <w:color w:val="auto"/>
                <w:highlight w:val="none"/>
              </w:rPr>
            </w:pPr>
          </w:p>
        </w:tc>
        <w:tc>
          <w:tcPr>
            <w:tcW w:w="1134" w:type="dxa"/>
            <w:vAlign w:val="center"/>
          </w:tcPr>
          <w:p>
            <w:pPr>
              <w:jc w:val="center"/>
              <w:rPr>
                <w:rFonts w:asciiTheme="minorEastAsia" w:hAnsiTheme="minorEastAsia" w:eastAsiaTheme="minorEastAsia"/>
                <w:color w:val="auto"/>
                <w:highlight w:val="none"/>
              </w:rPr>
            </w:pPr>
          </w:p>
        </w:tc>
        <w:tc>
          <w:tcPr>
            <w:tcW w:w="1134" w:type="dxa"/>
            <w:vAlign w:val="center"/>
          </w:tcPr>
          <w:p>
            <w:pPr>
              <w:jc w:val="center"/>
              <w:rPr>
                <w:rFonts w:asciiTheme="minorEastAsia" w:hAnsiTheme="minorEastAsia" w:eastAsiaTheme="minorEastAsia"/>
                <w:color w:val="auto"/>
                <w:highlight w:val="none"/>
              </w:rPr>
            </w:pPr>
          </w:p>
        </w:tc>
        <w:tc>
          <w:tcPr>
            <w:tcW w:w="1492" w:type="dxa"/>
            <w:vAlign w:val="center"/>
          </w:tcPr>
          <w:p>
            <w:pPr>
              <w:jc w:val="center"/>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279" w:type="dxa"/>
            <w:gridSpan w:val="5"/>
            <w:vAlign w:val="center"/>
          </w:tcPr>
          <w:p>
            <w:pPr>
              <w:ind w:firstLine="422"/>
              <w:jc w:val="center"/>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合计金额（元）</w:t>
            </w:r>
          </w:p>
        </w:tc>
        <w:tc>
          <w:tcPr>
            <w:tcW w:w="3760" w:type="dxa"/>
            <w:gridSpan w:val="3"/>
            <w:vAlign w:val="center"/>
          </w:tcPr>
          <w:p>
            <w:pPr>
              <w:jc w:val="left"/>
              <w:rPr>
                <w:rFonts w:asciiTheme="minorEastAsia" w:hAnsiTheme="minorEastAsia" w:eastAsiaTheme="minorEastAsia"/>
                <w:color w:val="auto"/>
                <w:highlight w:val="none"/>
              </w:rPr>
            </w:pPr>
            <w:r>
              <w:rPr>
                <w:rFonts w:hint="eastAsia" w:asciiTheme="minorEastAsia" w:hAnsiTheme="minorEastAsia" w:eastAsiaTheme="minorEastAsia"/>
                <w:color w:val="auto"/>
                <w:szCs w:val="21"/>
                <w:highlight w:val="none"/>
              </w:rPr>
              <w:t>小写：</w:t>
            </w:r>
          </w:p>
        </w:tc>
      </w:tr>
    </w:tbl>
    <w:p>
      <w:pPr>
        <w:adjustRightInd w:val="0"/>
        <w:snapToGrid w:val="0"/>
        <w:spacing w:line="360" w:lineRule="auto"/>
        <w:ind w:firstLine="422"/>
        <w:rPr>
          <w:rFonts w:asciiTheme="minorEastAsia" w:hAnsiTheme="minorEastAsia" w:eastAsiaTheme="minorEastAsia"/>
          <w:color w:val="auto"/>
          <w:highlight w:val="none"/>
        </w:rPr>
      </w:pPr>
      <w:r>
        <w:rPr>
          <w:rFonts w:hint="eastAsia" w:asciiTheme="minorEastAsia" w:hAnsiTheme="minorEastAsia" w:eastAsiaTheme="minorEastAsia"/>
          <w:b/>
          <w:bCs/>
          <w:color w:val="auto"/>
          <w:szCs w:val="28"/>
          <w:highlight w:val="none"/>
        </w:rPr>
        <w:t>注：</w:t>
      </w:r>
      <w:r>
        <w:rPr>
          <w:rFonts w:hint="eastAsia" w:asciiTheme="minorEastAsia" w:hAnsiTheme="minorEastAsia" w:eastAsiaTheme="minorEastAsia"/>
          <w:color w:val="auto"/>
          <w:highlight w:val="none"/>
        </w:rPr>
        <w:t>所列费用为对应本项目需求的全部货物及相关服务内容，如有漏项或缺项，投标人承担全部责任。</w:t>
      </w:r>
      <w:r>
        <w:rPr>
          <w:color w:val="auto"/>
          <w:szCs w:val="21"/>
          <w:highlight w:val="none"/>
        </w:rPr>
        <w:t>若投标人尚有其它内容需明列的，请按此表格式扩展</w:t>
      </w:r>
      <w:r>
        <w:rPr>
          <w:rFonts w:hint="eastAsia"/>
          <w:color w:val="auto"/>
          <w:szCs w:val="21"/>
          <w:highlight w:val="none"/>
        </w:rPr>
        <w:t>但是不得删除已有的内容</w:t>
      </w:r>
      <w:r>
        <w:rPr>
          <w:color w:val="auto"/>
          <w:szCs w:val="21"/>
          <w:highlight w:val="none"/>
        </w:rPr>
        <w:t>。</w:t>
      </w:r>
    </w:p>
    <w:p>
      <w:pPr>
        <w:adjustRightInd w:val="0"/>
        <w:snapToGrid w:val="0"/>
        <w:spacing w:line="360" w:lineRule="auto"/>
        <w:ind w:firstLine="422"/>
        <w:rPr>
          <w:rFonts w:asciiTheme="minorEastAsia" w:hAnsiTheme="minorEastAsia" w:eastAsiaTheme="minorEastAsia"/>
          <w:color w:val="auto"/>
          <w:highlight w:val="none"/>
        </w:rPr>
      </w:pPr>
    </w:p>
    <w:p>
      <w:pPr>
        <w:spacing w:line="360" w:lineRule="auto"/>
        <w:rPr>
          <w:rFonts w:cs="宋体" w:asciiTheme="minorEastAsia" w:hAnsiTheme="minorEastAsia" w:eastAsiaTheme="minorEastAsia"/>
          <w:color w:val="auto"/>
          <w:szCs w:val="21"/>
          <w:highlight w:val="none"/>
        </w:rPr>
      </w:pPr>
    </w:p>
    <w:p>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填写全称并加盖公章     </w:t>
      </w:r>
    </w:p>
    <w:p>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日  期：</w:t>
      </w:r>
    </w:p>
    <w:p>
      <w:pPr>
        <w:widowControl/>
        <w:jc w:val="left"/>
        <w:rPr>
          <w:rFonts w:ascii="Calibri" w:hAnsi="Calibri"/>
          <w:color w:val="auto"/>
          <w:kern w:val="0"/>
          <w:sz w:val="28"/>
          <w:highlight w:val="none"/>
        </w:rPr>
      </w:pPr>
    </w:p>
    <w:p>
      <w:pPr>
        <w:pStyle w:val="3"/>
        <w:ind w:firstLine="280"/>
        <w:rPr>
          <w:color w:val="auto"/>
          <w:highlight w:val="none"/>
        </w:rPr>
      </w:pPr>
    </w:p>
    <w:p>
      <w:pPr>
        <w:widowControl/>
        <w:ind w:firstLine="422"/>
        <w:jc w:val="left"/>
        <w:rPr>
          <w:rFonts w:asciiTheme="minorEastAsia" w:hAnsiTheme="minorEastAsia" w:eastAsiaTheme="minorEastAsia"/>
          <w:b/>
          <w:color w:val="auto"/>
          <w:kern w:val="0"/>
          <w:sz w:val="20"/>
          <w:highlight w:val="none"/>
        </w:rPr>
      </w:pPr>
      <w:r>
        <w:rPr>
          <w:rFonts w:asciiTheme="minorEastAsia" w:hAnsiTheme="minorEastAsia" w:eastAsiaTheme="minorEastAsia"/>
          <w:b/>
          <w:color w:val="auto"/>
          <w:highlight w:val="none"/>
        </w:rPr>
        <w:br w:type="page"/>
      </w:r>
    </w:p>
    <w:p>
      <w:pPr>
        <w:pStyle w:val="20"/>
        <w:spacing w:line="360" w:lineRule="auto"/>
        <w:ind w:left="460" w:leftChars="0" w:firstLine="422"/>
        <w:jc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（3）</w:t>
      </w:r>
      <w:r>
        <w:rPr>
          <w:rFonts w:cs="宋体" w:asciiTheme="minorEastAsia" w:hAnsiTheme="minorEastAsia" w:eastAsiaTheme="minorEastAsia"/>
          <w:b/>
          <w:color w:val="auto"/>
          <w:sz w:val="21"/>
          <w:szCs w:val="21"/>
          <w:highlight w:val="none"/>
        </w:rPr>
        <w:t>中小企业声明函</w:t>
      </w:r>
    </w:p>
    <w:p>
      <w:pPr>
        <w:snapToGrid w:val="0"/>
        <w:spacing w:line="360" w:lineRule="auto"/>
        <w:ind w:left="-23" w:leftChars="-11" w:right="-214" w:rightChars="-102" w:firstLine="21" w:firstLineChars="10"/>
        <w:jc w:val="center"/>
        <w:rPr>
          <w:rFonts w:asciiTheme="minorEastAsia" w:hAnsiTheme="minorEastAsia" w:eastAsiaTheme="minorEastAsia"/>
          <w:color w:val="auto"/>
          <w:highlight w:val="none"/>
        </w:rPr>
      </w:pPr>
      <w:r>
        <w:rPr>
          <w:rFonts w:cs="宋体" w:asciiTheme="minorEastAsia" w:hAnsiTheme="minorEastAsia" w:eastAsiaTheme="minorEastAsia"/>
          <w:b/>
          <w:color w:val="auto"/>
          <w:szCs w:val="21"/>
          <w:highlight w:val="none"/>
        </w:rPr>
        <w:t>中小企业声明函</w:t>
      </w:r>
      <w:r>
        <w:rPr>
          <w:rFonts w:hint="eastAsia" w:cs="宋体" w:asciiTheme="minorEastAsia" w:hAnsiTheme="minorEastAsia" w:eastAsiaTheme="minorEastAsia"/>
          <w:b/>
          <w:color w:val="auto"/>
          <w:szCs w:val="21"/>
          <w:highlight w:val="none"/>
        </w:rPr>
        <w:t>（标项一）</w:t>
      </w:r>
    </w:p>
    <w:p>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本公司（联合体）郑重声明，根据《政府采购促进中小企业发展管理办法》（财库﹝2020﹞46号）的规定，本公司（联合体）参加</w:t>
      </w:r>
      <w:r>
        <w:rPr>
          <w:rFonts w:hint="eastAsia" w:asciiTheme="minorEastAsia" w:hAnsiTheme="minorEastAsia" w:eastAsiaTheme="minorEastAsia"/>
          <w:b/>
          <w:color w:val="auto"/>
          <w:highlight w:val="none"/>
          <w:u w:val="single"/>
        </w:rPr>
        <w:t>宁波工程学院</w:t>
      </w:r>
      <w:r>
        <w:rPr>
          <w:rFonts w:asciiTheme="minorEastAsia" w:hAnsiTheme="minorEastAsia" w:eastAsiaTheme="minorEastAsia"/>
          <w:color w:val="auto"/>
          <w:highlight w:val="none"/>
        </w:rPr>
        <w:t>的</w:t>
      </w:r>
      <w:r>
        <w:rPr>
          <w:rFonts w:hint="eastAsia" w:asciiTheme="minorEastAsia" w:hAnsiTheme="minorEastAsia" w:eastAsiaTheme="minorEastAsia"/>
          <w:b/>
          <w:color w:val="auto"/>
          <w:szCs w:val="21"/>
          <w:highlight w:val="none"/>
          <w:u w:val="single"/>
        </w:rPr>
        <w:t>宁波工程学院新能源产业技术创新实践基地进口设备采购项目</w:t>
      </w:r>
      <w:r>
        <w:rPr>
          <w:rFonts w:asciiTheme="minorEastAsia" w:hAnsiTheme="minorEastAsia" w:eastAsiaTheme="minorEastAsia"/>
          <w:color w:val="auto"/>
          <w:highlight w:val="none"/>
        </w:rPr>
        <w:t>采购活动，提供的货物全部由符合政策要求的中小企业制造。相关企业（含联合体中的中小企业、签订分包意向协议的中小企业）的具体情况如下：</w:t>
      </w:r>
    </w:p>
    <w:p>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1.</w:t>
      </w:r>
      <w:r>
        <w:rPr>
          <w:rFonts w:hint="eastAsia" w:asciiTheme="minorEastAsia" w:hAnsiTheme="minorEastAsia" w:eastAsiaTheme="minorEastAsia"/>
          <w:b/>
          <w:color w:val="auto"/>
          <w:highlight w:val="none"/>
          <w:u w:val="single"/>
        </w:rPr>
        <w:t xml:space="preserve">  原子力显微镜 </w:t>
      </w:r>
      <w:r>
        <w:rPr>
          <w:rFonts w:asciiTheme="minorEastAsia" w:hAnsiTheme="minorEastAsia" w:eastAsiaTheme="minorEastAsia"/>
          <w:b/>
          <w:color w:val="auto"/>
          <w:highlight w:val="none"/>
          <w:u w:val="single"/>
        </w:rPr>
        <w:t xml:space="preserve"> </w:t>
      </w:r>
      <w:r>
        <w:rPr>
          <w:rFonts w:asciiTheme="minorEastAsia" w:hAnsiTheme="minorEastAsia" w:eastAsiaTheme="minorEastAsia"/>
          <w:color w:val="auto"/>
          <w:highlight w:val="none"/>
        </w:rPr>
        <w:t>，属于</w:t>
      </w:r>
      <w:r>
        <w:rPr>
          <w:rFonts w:asciiTheme="minorEastAsia" w:hAnsiTheme="minorEastAsia" w:eastAsiaTheme="minorEastAsia"/>
          <w:b/>
          <w:color w:val="auto"/>
          <w:highlight w:val="none"/>
          <w:u w:val="single"/>
        </w:rPr>
        <w:t xml:space="preserve">  </w:t>
      </w:r>
      <w:r>
        <w:rPr>
          <w:rFonts w:hint="eastAsia" w:asciiTheme="minorEastAsia" w:hAnsiTheme="minorEastAsia" w:eastAsiaTheme="minorEastAsia"/>
          <w:b/>
          <w:color w:val="auto"/>
          <w:highlight w:val="none"/>
          <w:u w:val="single"/>
        </w:rPr>
        <w:t>工业</w:t>
      </w:r>
      <w:r>
        <w:rPr>
          <w:rFonts w:asciiTheme="minorEastAsia" w:hAnsiTheme="minorEastAsia" w:eastAsiaTheme="minorEastAsia"/>
          <w:b/>
          <w:color w:val="auto"/>
          <w:highlight w:val="none"/>
          <w:u w:val="single"/>
        </w:rPr>
        <w:t xml:space="preserve">  </w:t>
      </w:r>
      <w:r>
        <w:rPr>
          <w:rFonts w:asciiTheme="minorEastAsia" w:hAnsiTheme="minorEastAsia" w:eastAsiaTheme="minorEastAsia"/>
          <w:color w:val="auto"/>
          <w:highlight w:val="none"/>
        </w:rPr>
        <w:t>；制造商为</w:t>
      </w:r>
      <w:r>
        <w:rPr>
          <w:rFonts w:asciiTheme="minorEastAsia" w:hAnsiTheme="minorEastAsia" w:eastAsiaTheme="minorEastAsia"/>
          <w:color w:val="auto"/>
          <w:highlight w:val="none"/>
          <w:u w:val="single"/>
        </w:rPr>
        <w:t xml:space="preserve">    （企业名称）</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u w:val="single"/>
        </w:rPr>
        <w:t xml:space="preserve">     （中型企业、小型企业、微型企业）</w:t>
      </w:r>
      <w:r>
        <w:rPr>
          <w:rFonts w:asciiTheme="minorEastAsia" w:hAnsiTheme="minorEastAsia" w:eastAsiaTheme="minorEastAsia"/>
          <w:color w:val="auto"/>
          <w:highlight w:val="none"/>
        </w:rPr>
        <w:t>；</w:t>
      </w:r>
    </w:p>
    <w:p>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w:t>
      </w:r>
      <w:r>
        <w:rPr>
          <w:rFonts w:asciiTheme="minorEastAsia" w:hAnsiTheme="minorEastAsia" w:eastAsiaTheme="minorEastAsia"/>
          <w:color w:val="auto"/>
          <w:highlight w:val="none"/>
        </w:rPr>
        <w:t>.</w:t>
      </w:r>
      <w:r>
        <w:rPr>
          <w:rFonts w:hint="eastAsia" w:asciiTheme="minorEastAsia" w:hAnsiTheme="minorEastAsia" w:eastAsiaTheme="minorEastAsia"/>
          <w:b/>
          <w:color w:val="auto"/>
          <w:highlight w:val="none"/>
          <w:u w:val="single"/>
        </w:rPr>
        <w:t xml:space="preserve">                  </w:t>
      </w:r>
      <w:r>
        <w:rPr>
          <w:rFonts w:asciiTheme="minorEastAsia" w:hAnsiTheme="minorEastAsia" w:eastAsiaTheme="minorEastAsia"/>
          <w:b/>
          <w:color w:val="auto"/>
          <w:highlight w:val="none"/>
          <w:u w:val="single"/>
        </w:rPr>
        <w:t xml:space="preserve"> </w:t>
      </w:r>
      <w:r>
        <w:rPr>
          <w:rFonts w:asciiTheme="minorEastAsia" w:hAnsiTheme="minorEastAsia" w:eastAsiaTheme="minorEastAsia"/>
          <w:color w:val="auto"/>
          <w:highlight w:val="none"/>
        </w:rPr>
        <w:t>，属于</w:t>
      </w:r>
      <w:r>
        <w:rPr>
          <w:rFonts w:asciiTheme="minorEastAsia" w:hAnsiTheme="minorEastAsia" w:eastAsiaTheme="minorEastAsia"/>
          <w:b/>
          <w:color w:val="auto"/>
          <w:highlight w:val="none"/>
          <w:u w:val="single"/>
        </w:rPr>
        <w:t xml:space="preserve">  </w:t>
      </w:r>
      <w:r>
        <w:rPr>
          <w:rFonts w:hint="eastAsia" w:asciiTheme="minorEastAsia" w:hAnsiTheme="minorEastAsia" w:eastAsiaTheme="minorEastAsia"/>
          <w:b/>
          <w:color w:val="auto"/>
          <w:highlight w:val="none"/>
          <w:u w:val="single"/>
        </w:rPr>
        <w:t>工业</w:t>
      </w:r>
      <w:r>
        <w:rPr>
          <w:rFonts w:asciiTheme="minorEastAsia" w:hAnsiTheme="minorEastAsia" w:eastAsiaTheme="minorEastAsia"/>
          <w:b/>
          <w:color w:val="auto"/>
          <w:highlight w:val="none"/>
          <w:u w:val="single"/>
        </w:rPr>
        <w:t xml:space="preserve">  </w:t>
      </w:r>
      <w:r>
        <w:rPr>
          <w:rFonts w:asciiTheme="minorEastAsia" w:hAnsiTheme="minorEastAsia" w:eastAsiaTheme="minorEastAsia"/>
          <w:color w:val="auto"/>
          <w:highlight w:val="none"/>
        </w:rPr>
        <w:t>；制造商为</w:t>
      </w:r>
      <w:r>
        <w:rPr>
          <w:rFonts w:asciiTheme="minorEastAsia" w:hAnsiTheme="minorEastAsia" w:eastAsiaTheme="minorEastAsia"/>
          <w:color w:val="auto"/>
          <w:highlight w:val="none"/>
          <w:u w:val="single"/>
        </w:rPr>
        <w:t xml:space="preserve">    （企业名称）</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u w:val="single"/>
        </w:rPr>
        <w:t xml:space="preserve">     （中型企业、小型企业、微型企业）</w:t>
      </w:r>
      <w:r>
        <w:rPr>
          <w:rFonts w:asciiTheme="minorEastAsia" w:hAnsiTheme="minorEastAsia" w:eastAsiaTheme="minorEastAsia"/>
          <w:color w:val="auto"/>
          <w:highlight w:val="none"/>
        </w:rPr>
        <w:t>；</w:t>
      </w:r>
    </w:p>
    <w:p>
      <w:pPr>
        <w:rPr>
          <w:color w:val="auto"/>
          <w:highlight w:val="none"/>
        </w:rPr>
      </w:pPr>
    </w:p>
    <w:p>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w:t>
      </w:r>
    </w:p>
    <w:p>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以上企业，不属于大企业的分支机构，不存在控股股东为大企业的情形，也不存在与大企业的负责人为同一人的情形。</w:t>
      </w:r>
    </w:p>
    <w:p>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本企业对上述声明内容的真实性负责。如有虚假，将依法承担相应责任。</w:t>
      </w:r>
    </w:p>
    <w:p>
      <w:pPr>
        <w:snapToGrid w:val="0"/>
        <w:spacing w:line="360" w:lineRule="auto"/>
        <w:ind w:left="-23" w:leftChars="-11" w:right="-214" w:rightChars="-102" w:firstLine="4416" w:firstLineChars="2103"/>
        <w:jc w:val="left"/>
        <w:rPr>
          <w:rFonts w:asciiTheme="minorEastAsia" w:hAnsiTheme="minorEastAsia" w:eastAsiaTheme="minorEastAsia"/>
          <w:color w:val="auto"/>
          <w:highlight w:val="none"/>
        </w:rPr>
      </w:pPr>
    </w:p>
    <w:p>
      <w:pPr>
        <w:snapToGrid w:val="0"/>
        <w:spacing w:line="360" w:lineRule="auto"/>
        <w:ind w:left="-23" w:leftChars="-11" w:right="-214" w:rightChars="-102" w:firstLine="4416" w:firstLineChars="2103"/>
        <w:jc w:val="left"/>
        <w:rPr>
          <w:rFonts w:asciiTheme="minorEastAsia" w:hAnsiTheme="minorEastAsia" w:eastAsiaTheme="minorEastAsia"/>
          <w:color w:val="auto"/>
          <w:highlight w:val="none"/>
        </w:rPr>
      </w:pPr>
    </w:p>
    <w:p>
      <w:pPr>
        <w:snapToGrid w:val="0"/>
        <w:spacing w:line="360" w:lineRule="auto"/>
        <w:ind w:left="-23" w:leftChars="-11" w:right="-214" w:rightChars="-102" w:firstLine="4416" w:firstLineChars="2103"/>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企业名称（盖章）：</w:t>
      </w:r>
    </w:p>
    <w:p>
      <w:pPr>
        <w:snapToGrid w:val="0"/>
        <w:spacing w:line="360" w:lineRule="auto"/>
        <w:ind w:left="-23" w:leftChars="-11" w:right="-214" w:rightChars="-102" w:firstLine="4416" w:firstLineChars="2103"/>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日 期：</w:t>
      </w:r>
    </w:p>
    <w:p>
      <w:pPr>
        <w:snapToGrid w:val="0"/>
        <w:spacing w:before="50" w:after="50" w:line="360" w:lineRule="auto"/>
        <w:ind w:left="-23" w:leftChars="-11" w:right="-214" w:rightChars="-102" w:firstLine="24" w:firstLineChars="10"/>
        <w:jc w:val="left"/>
        <w:rPr>
          <w:rFonts w:asciiTheme="minorEastAsia" w:hAnsiTheme="minorEastAsia" w:eastAsiaTheme="minorEastAsia"/>
          <w:b/>
          <w:color w:val="auto"/>
          <w:sz w:val="24"/>
          <w:highlight w:val="none"/>
        </w:rPr>
      </w:pPr>
    </w:p>
    <w:p>
      <w:pPr>
        <w:snapToGrid w:val="0"/>
        <w:spacing w:before="50" w:after="50" w:line="360" w:lineRule="auto"/>
        <w:ind w:left="-23" w:leftChars="-11" w:right="-214" w:rightChars="-102" w:firstLine="24" w:firstLineChars="10"/>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请投标人仔细阅读填写说明：</w:t>
      </w:r>
    </w:p>
    <w:p>
      <w:pPr>
        <w:snapToGrid w:val="0"/>
        <w:spacing w:before="50" w:after="50" w:line="360" w:lineRule="auto"/>
        <w:ind w:right="-214" w:rightChars="-102" w:firstLine="422"/>
        <w:jc w:val="left"/>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w:t>
      </w:r>
      <w:r>
        <w:rPr>
          <w:rFonts w:asciiTheme="minorEastAsia" w:hAnsiTheme="minorEastAsia" w:eastAsiaTheme="minorEastAsia"/>
          <w:b/>
          <w:color w:val="auto"/>
          <w:highlight w:val="none"/>
        </w:rPr>
        <w:t>.</w:t>
      </w:r>
      <w:r>
        <w:rPr>
          <w:rFonts w:hint="eastAsia" w:asciiTheme="minorEastAsia" w:hAnsiTheme="minorEastAsia" w:eastAsiaTheme="minorEastAsia"/>
          <w:b/>
          <w:color w:val="auto"/>
          <w:highlight w:val="none"/>
        </w:rPr>
        <w:t>本项目为货物采购项目，货物有中小企业制造，即货物由中小企业生产且使用该企业商号或者注册商标，确认符合的再提交本声明函。</w:t>
      </w:r>
    </w:p>
    <w:p>
      <w:pPr>
        <w:snapToGrid w:val="0"/>
        <w:spacing w:before="50" w:after="50" w:line="360" w:lineRule="auto"/>
        <w:ind w:right="-214" w:rightChars="-102" w:firstLine="422"/>
        <w:jc w:val="left"/>
        <w:rPr>
          <w:rFonts w:asciiTheme="minorEastAsia" w:hAnsiTheme="minorEastAsia" w:eastAsiaTheme="minorEastAsia"/>
          <w:b/>
          <w:color w:val="auto"/>
          <w:highlight w:val="none"/>
        </w:rPr>
      </w:pPr>
      <w:r>
        <w:rPr>
          <w:rFonts w:asciiTheme="minorEastAsia" w:hAnsiTheme="minorEastAsia" w:eastAsiaTheme="minorEastAsia"/>
          <w:b/>
          <w:color w:val="auto"/>
          <w:highlight w:val="none"/>
        </w:rPr>
        <w:t>2</w:t>
      </w:r>
      <w:r>
        <w:rPr>
          <w:rFonts w:hint="eastAsia" w:asciiTheme="minorEastAsia" w:hAnsiTheme="minorEastAsia" w:eastAsiaTheme="minorEastAsia"/>
          <w:b/>
          <w:color w:val="auto"/>
          <w:highlight w:val="none"/>
        </w:rPr>
        <w:t>.从业人员、营业收入、资产总额填报上一年度数据，无上一年度数据的新成立企业可不填报。</w:t>
      </w:r>
    </w:p>
    <w:p>
      <w:pPr>
        <w:snapToGrid w:val="0"/>
        <w:spacing w:before="50" w:after="50" w:line="360" w:lineRule="auto"/>
        <w:ind w:left="-23" w:leftChars="-11" w:right="-214" w:rightChars="-102" w:firstLine="21" w:firstLineChars="10"/>
        <w:jc w:val="left"/>
        <w:rPr>
          <w:rFonts w:asciiTheme="minorEastAsia" w:hAnsiTheme="minorEastAsia" w:eastAsiaTheme="minorEastAsia"/>
          <w:b/>
          <w:color w:val="auto"/>
          <w:highlight w:val="none"/>
        </w:rPr>
      </w:pPr>
      <w:r>
        <w:rPr>
          <w:rFonts w:asciiTheme="minorEastAsia" w:hAnsiTheme="minorEastAsia" w:eastAsiaTheme="minorEastAsia"/>
          <w:b/>
          <w:color w:val="auto"/>
          <w:highlight w:val="none"/>
        </w:rPr>
        <w:t>3</w:t>
      </w:r>
      <w:r>
        <w:rPr>
          <w:rFonts w:hint="eastAsia" w:asciiTheme="minorEastAsia" w:hAnsiTheme="minorEastAsia" w:eastAsiaTheme="minorEastAsia"/>
          <w:b/>
          <w:color w:val="auto"/>
          <w:highlight w:val="none"/>
        </w:rPr>
        <w:t>.投标人应当对其出具的《中小企业声明函》真实性负责，出具的《中小企业声明函》内容不实的，属于提供虚假材料。</w:t>
      </w:r>
    </w:p>
    <w:p>
      <w:pPr>
        <w:snapToGrid w:val="0"/>
        <w:spacing w:before="50" w:after="50" w:line="360" w:lineRule="auto"/>
        <w:ind w:left="-23" w:leftChars="-11" w:right="-214" w:rightChars="-102" w:firstLine="21" w:firstLineChars="10"/>
        <w:jc w:val="left"/>
        <w:rPr>
          <w:rFonts w:asciiTheme="minorEastAsia" w:hAnsiTheme="minorEastAsia" w:eastAsiaTheme="minorEastAsia"/>
          <w:b/>
          <w:color w:val="auto"/>
          <w:highlight w:val="none"/>
        </w:rPr>
      </w:pPr>
      <w:r>
        <w:rPr>
          <w:rFonts w:asciiTheme="minorEastAsia" w:hAnsiTheme="minorEastAsia" w:eastAsiaTheme="minorEastAsia"/>
          <w:b/>
          <w:color w:val="auto"/>
          <w:highlight w:val="none"/>
        </w:rPr>
        <w:t>4</w:t>
      </w:r>
      <w:r>
        <w:rPr>
          <w:rFonts w:hint="eastAsia" w:asciiTheme="minorEastAsia" w:hAnsiTheme="minorEastAsia" w:eastAsiaTheme="minorEastAsia"/>
          <w:b/>
          <w:color w:val="auto"/>
          <w:highlight w:val="none"/>
        </w:rPr>
        <w:t>.事业单位不属于企业不应提交本声明函，其他组织形式的供应商参与本项目并提交本声明函前请仔细阅读相关政策文件。</w:t>
      </w:r>
    </w:p>
    <w:p>
      <w:pPr>
        <w:snapToGrid w:val="0"/>
        <w:spacing w:before="50" w:after="50" w:line="360" w:lineRule="auto"/>
        <w:ind w:left="-23" w:leftChars="-11" w:right="-214" w:rightChars="-102" w:firstLine="21" w:firstLineChars="10"/>
        <w:jc w:val="left"/>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5</w:t>
      </w:r>
      <w:r>
        <w:rPr>
          <w:rFonts w:asciiTheme="minorEastAsia" w:hAnsiTheme="minorEastAsia" w:eastAsiaTheme="minorEastAsia"/>
          <w:b/>
          <w:color w:val="auto"/>
          <w:highlight w:val="none"/>
        </w:rPr>
        <w:t>.</w:t>
      </w:r>
      <w:r>
        <w:rPr>
          <w:rFonts w:hint="eastAsia" w:asciiTheme="minorEastAsia" w:hAnsiTheme="minorEastAsia" w:eastAsiaTheme="minorEastAsia"/>
          <w:b/>
          <w:color w:val="auto"/>
          <w:highlight w:val="none"/>
        </w:rPr>
        <w:t>投标产品为进口的，不享受政策优惠，投标人不应提供本表。</w:t>
      </w:r>
    </w:p>
    <w:p>
      <w:pPr>
        <w:snapToGrid w:val="0"/>
        <w:spacing w:before="50" w:after="50" w:line="360" w:lineRule="auto"/>
        <w:ind w:left="-23" w:leftChars="-11" w:right="-214" w:rightChars="-102" w:firstLine="21" w:firstLineChars="10"/>
        <w:jc w:val="left"/>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6.投标人应当谨慎填写并提供本表。</w:t>
      </w:r>
    </w:p>
    <w:p>
      <w:pPr>
        <w:pStyle w:val="2"/>
        <w:ind w:firstLine="560"/>
        <w:rPr>
          <w:color w:val="auto"/>
          <w:highlight w:val="none"/>
        </w:rPr>
      </w:pPr>
      <w:r>
        <w:rPr>
          <w:color w:val="auto"/>
          <w:highlight w:val="none"/>
        </w:rPr>
        <w:br w:type="page"/>
      </w:r>
    </w:p>
    <w:p>
      <w:pPr>
        <w:snapToGrid w:val="0"/>
        <w:spacing w:line="360" w:lineRule="auto"/>
        <w:ind w:left="-23" w:leftChars="-11" w:right="-214" w:rightChars="-102" w:firstLine="21" w:firstLineChars="10"/>
        <w:jc w:val="center"/>
        <w:rPr>
          <w:rFonts w:asciiTheme="minorEastAsia" w:hAnsiTheme="minorEastAsia" w:eastAsiaTheme="minorEastAsia"/>
          <w:color w:val="auto"/>
          <w:highlight w:val="none"/>
        </w:rPr>
      </w:pPr>
      <w:r>
        <w:rPr>
          <w:rFonts w:cs="宋体" w:asciiTheme="minorEastAsia" w:hAnsiTheme="minorEastAsia" w:eastAsiaTheme="minorEastAsia"/>
          <w:b/>
          <w:color w:val="auto"/>
          <w:szCs w:val="21"/>
          <w:highlight w:val="none"/>
        </w:rPr>
        <w:t>中小企业声明函</w:t>
      </w:r>
      <w:r>
        <w:rPr>
          <w:rFonts w:hint="eastAsia" w:cs="宋体" w:asciiTheme="minorEastAsia" w:hAnsiTheme="minorEastAsia" w:eastAsiaTheme="minorEastAsia"/>
          <w:b/>
          <w:color w:val="auto"/>
          <w:szCs w:val="21"/>
          <w:highlight w:val="none"/>
        </w:rPr>
        <w:t>（标项二）</w:t>
      </w:r>
    </w:p>
    <w:p>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本公司（联合体）郑重声明，根据《政府采购促进中小企业发展管理办法》（财库﹝2020﹞46号）的规定，本公司（联合体）参加</w:t>
      </w:r>
      <w:r>
        <w:rPr>
          <w:rFonts w:hint="eastAsia" w:asciiTheme="minorEastAsia" w:hAnsiTheme="minorEastAsia" w:eastAsiaTheme="minorEastAsia"/>
          <w:b/>
          <w:color w:val="auto"/>
          <w:highlight w:val="none"/>
          <w:u w:val="single"/>
        </w:rPr>
        <w:t>宁波工程学院</w:t>
      </w:r>
      <w:r>
        <w:rPr>
          <w:rFonts w:asciiTheme="minorEastAsia" w:hAnsiTheme="minorEastAsia" w:eastAsiaTheme="minorEastAsia"/>
          <w:color w:val="auto"/>
          <w:highlight w:val="none"/>
        </w:rPr>
        <w:t>的</w:t>
      </w:r>
      <w:r>
        <w:rPr>
          <w:rFonts w:hint="eastAsia" w:asciiTheme="minorEastAsia" w:hAnsiTheme="minorEastAsia" w:eastAsiaTheme="minorEastAsia"/>
          <w:b/>
          <w:color w:val="auto"/>
          <w:szCs w:val="21"/>
          <w:highlight w:val="none"/>
          <w:u w:val="single"/>
        </w:rPr>
        <w:t>宁波工程学院新能源产业技术创新实践基地进口设备采购项目</w:t>
      </w:r>
      <w:r>
        <w:rPr>
          <w:rFonts w:asciiTheme="minorEastAsia" w:hAnsiTheme="minorEastAsia" w:eastAsiaTheme="minorEastAsia"/>
          <w:color w:val="auto"/>
          <w:highlight w:val="none"/>
        </w:rPr>
        <w:t>采购活动，提供的货物全部由符合政策要求的中小企业制造。相关企业（含联合体中的中小企业、签订分包意向协议的中小企业）的具体情况如下：</w:t>
      </w:r>
    </w:p>
    <w:p>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1.</w:t>
      </w:r>
      <w:r>
        <w:rPr>
          <w:rFonts w:hint="eastAsia" w:asciiTheme="minorEastAsia" w:hAnsiTheme="minorEastAsia" w:eastAsiaTheme="minorEastAsia"/>
          <w:b/>
          <w:color w:val="auto"/>
          <w:highlight w:val="none"/>
          <w:u w:val="single"/>
        </w:rPr>
        <w:t xml:space="preserve">  X射线衍射仪 </w:t>
      </w:r>
      <w:r>
        <w:rPr>
          <w:rFonts w:asciiTheme="minorEastAsia" w:hAnsiTheme="minorEastAsia" w:eastAsiaTheme="minorEastAsia"/>
          <w:b/>
          <w:color w:val="auto"/>
          <w:highlight w:val="none"/>
          <w:u w:val="single"/>
        </w:rPr>
        <w:t xml:space="preserve"> </w:t>
      </w:r>
      <w:r>
        <w:rPr>
          <w:rFonts w:asciiTheme="minorEastAsia" w:hAnsiTheme="minorEastAsia" w:eastAsiaTheme="minorEastAsia"/>
          <w:color w:val="auto"/>
          <w:highlight w:val="none"/>
        </w:rPr>
        <w:t>，属于</w:t>
      </w:r>
      <w:r>
        <w:rPr>
          <w:rFonts w:asciiTheme="minorEastAsia" w:hAnsiTheme="minorEastAsia" w:eastAsiaTheme="minorEastAsia"/>
          <w:b/>
          <w:color w:val="auto"/>
          <w:highlight w:val="none"/>
          <w:u w:val="single"/>
        </w:rPr>
        <w:t xml:space="preserve">  </w:t>
      </w:r>
      <w:r>
        <w:rPr>
          <w:rFonts w:hint="eastAsia" w:asciiTheme="minorEastAsia" w:hAnsiTheme="minorEastAsia" w:eastAsiaTheme="minorEastAsia"/>
          <w:b/>
          <w:color w:val="auto"/>
          <w:highlight w:val="none"/>
          <w:u w:val="single"/>
        </w:rPr>
        <w:t>工业</w:t>
      </w:r>
      <w:r>
        <w:rPr>
          <w:rFonts w:asciiTheme="minorEastAsia" w:hAnsiTheme="minorEastAsia" w:eastAsiaTheme="minorEastAsia"/>
          <w:b/>
          <w:color w:val="auto"/>
          <w:highlight w:val="none"/>
          <w:u w:val="single"/>
        </w:rPr>
        <w:t xml:space="preserve">  </w:t>
      </w:r>
      <w:r>
        <w:rPr>
          <w:rFonts w:asciiTheme="minorEastAsia" w:hAnsiTheme="minorEastAsia" w:eastAsiaTheme="minorEastAsia"/>
          <w:color w:val="auto"/>
          <w:highlight w:val="none"/>
        </w:rPr>
        <w:t>；制造商为</w:t>
      </w:r>
      <w:r>
        <w:rPr>
          <w:rFonts w:asciiTheme="minorEastAsia" w:hAnsiTheme="minorEastAsia" w:eastAsiaTheme="minorEastAsia"/>
          <w:color w:val="auto"/>
          <w:highlight w:val="none"/>
          <w:u w:val="single"/>
        </w:rPr>
        <w:t xml:space="preserve">    （企业名称）</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u w:val="single"/>
        </w:rPr>
        <w:t xml:space="preserve">     （中型企业、小型企业、微型企业）</w:t>
      </w:r>
      <w:r>
        <w:rPr>
          <w:rFonts w:asciiTheme="minorEastAsia" w:hAnsiTheme="minorEastAsia" w:eastAsiaTheme="minorEastAsia"/>
          <w:color w:val="auto"/>
          <w:highlight w:val="none"/>
        </w:rPr>
        <w:t>；</w:t>
      </w:r>
    </w:p>
    <w:p>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w:t>
      </w:r>
      <w:r>
        <w:rPr>
          <w:rFonts w:asciiTheme="minorEastAsia" w:hAnsiTheme="minorEastAsia" w:eastAsiaTheme="minorEastAsia"/>
          <w:color w:val="auto"/>
          <w:highlight w:val="none"/>
        </w:rPr>
        <w:t>.</w:t>
      </w:r>
      <w:r>
        <w:rPr>
          <w:rFonts w:hint="eastAsia" w:asciiTheme="minorEastAsia" w:hAnsiTheme="minorEastAsia" w:eastAsiaTheme="minorEastAsia"/>
          <w:b/>
          <w:color w:val="auto"/>
          <w:highlight w:val="none"/>
          <w:u w:val="single"/>
        </w:rPr>
        <w:t xml:space="preserve">                  </w:t>
      </w:r>
      <w:r>
        <w:rPr>
          <w:rFonts w:asciiTheme="minorEastAsia" w:hAnsiTheme="minorEastAsia" w:eastAsiaTheme="minorEastAsia"/>
          <w:b/>
          <w:color w:val="auto"/>
          <w:highlight w:val="none"/>
          <w:u w:val="single"/>
        </w:rPr>
        <w:t xml:space="preserve"> </w:t>
      </w:r>
      <w:r>
        <w:rPr>
          <w:rFonts w:asciiTheme="minorEastAsia" w:hAnsiTheme="minorEastAsia" w:eastAsiaTheme="minorEastAsia"/>
          <w:color w:val="auto"/>
          <w:highlight w:val="none"/>
        </w:rPr>
        <w:t>，属于</w:t>
      </w:r>
      <w:r>
        <w:rPr>
          <w:rFonts w:asciiTheme="minorEastAsia" w:hAnsiTheme="minorEastAsia" w:eastAsiaTheme="minorEastAsia"/>
          <w:b/>
          <w:color w:val="auto"/>
          <w:highlight w:val="none"/>
          <w:u w:val="single"/>
        </w:rPr>
        <w:t xml:space="preserve">  </w:t>
      </w:r>
      <w:r>
        <w:rPr>
          <w:rFonts w:hint="eastAsia" w:asciiTheme="minorEastAsia" w:hAnsiTheme="minorEastAsia" w:eastAsiaTheme="minorEastAsia"/>
          <w:b/>
          <w:color w:val="auto"/>
          <w:highlight w:val="none"/>
          <w:u w:val="single"/>
        </w:rPr>
        <w:t>工业</w:t>
      </w:r>
      <w:r>
        <w:rPr>
          <w:rFonts w:asciiTheme="minorEastAsia" w:hAnsiTheme="minorEastAsia" w:eastAsiaTheme="minorEastAsia"/>
          <w:b/>
          <w:color w:val="auto"/>
          <w:highlight w:val="none"/>
          <w:u w:val="single"/>
        </w:rPr>
        <w:t xml:space="preserve">  </w:t>
      </w:r>
      <w:r>
        <w:rPr>
          <w:rFonts w:asciiTheme="minorEastAsia" w:hAnsiTheme="minorEastAsia" w:eastAsiaTheme="minorEastAsia"/>
          <w:color w:val="auto"/>
          <w:highlight w:val="none"/>
        </w:rPr>
        <w:t>；制造商为</w:t>
      </w:r>
      <w:r>
        <w:rPr>
          <w:rFonts w:asciiTheme="minorEastAsia" w:hAnsiTheme="minorEastAsia" w:eastAsiaTheme="minorEastAsia"/>
          <w:color w:val="auto"/>
          <w:highlight w:val="none"/>
          <w:u w:val="single"/>
        </w:rPr>
        <w:t xml:space="preserve">    （企业名称）</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u w:val="single"/>
        </w:rPr>
        <w:t xml:space="preserve">     （中型企业、小型企业、微型企业）</w:t>
      </w:r>
      <w:r>
        <w:rPr>
          <w:rFonts w:asciiTheme="minorEastAsia" w:hAnsiTheme="minorEastAsia" w:eastAsiaTheme="minorEastAsia"/>
          <w:color w:val="auto"/>
          <w:highlight w:val="none"/>
        </w:rPr>
        <w:t>；</w:t>
      </w:r>
    </w:p>
    <w:p>
      <w:pPr>
        <w:rPr>
          <w:color w:val="auto"/>
          <w:highlight w:val="none"/>
        </w:rPr>
      </w:pPr>
    </w:p>
    <w:p>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w:t>
      </w:r>
    </w:p>
    <w:p>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以上企业，不属于大企业的分支机构，不存在控股股东为大企业的情形，也不存在与大企业的负责人为同一人的情形。</w:t>
      </w:r>
    </w:p>
    <w:p>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本企业对上述声明内容的真实性负责。如有虚假，将依法承担相应责任。</w:t>
      </w:r>
    </w:p>
    <w:p>
      <w:pPr>
        <w:snapToGrid w:val="0"/>
        <w:spacing w:line="360" w:lineRule="auto"/>
        <w:ind w:left="-23" w:leftChars="-11" w:right="-214" w:rightChars="-102" w:firstLine="4416" w:firstLineChars="2103"/>
        <w:jc w:val="left"/>
        <w:rPr>
          <w:rFonts w:asciiTheme="minorEastAsia" w:hAnsiTheme="minorEastAsia" w:eastAsiaTheme="minorEastAsia"/>
          <w:color w:val="auto"/>
          <w:highlight w:val="none"/>
        </w:rPr>
      </w:pPr>
    </w:p>
    <w:p>
      <w:pPr>
        <w:snapToGrid w:val="0"/>
        <w:spacing w:line="360" w:lineRule="auto"/>
        <w:ind w:left="-23" w:leftChars="-11" w:right="-214" w:rightChars="-102" w:firstLine="4416" w:firstLineChars="2103"/>
        <w:jc w:val="left"/>
        <w:rPr>
          <w:rFonts w:asciiTheme="minorEastAsia" w:hAnsiTheme="minorEastAsia" w:eastAsiaTheme="minorEastAsia"/>
          <w:color w:val="auto"/>
          <w:highlight w:val="none"/>
        </w:rPr>
      </w:pPr>
    </w:p>
    <w:p>
      <w:pPr>
        <w:snapToGrid w:val="0"/>
        <w:spacing w:line="360" w:lineRule="auto"/>
        <w:ind w:left="-23" w:leftChars="-11" w:right="-214" w:rightChars="-102" w:firstLine="4416" w:firstLineChars="2103"/>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企业名称（盖章）：</w:t>
      </w:r>
    </w:p>
    <w:p>
      <w:pPr>
        <w:snapToGrid w:val="0"/>
        <w:spacing w:line="360" w:lineRule="auto"/>
        <w:ind w:left="-23" w:leftChars="-11" w:right="-214" w:rightChars="-102" w:firstLine="4416" w:firstLineChars="2103"/>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日 期：</w:t>
      </w:r>
    </w:p>
    <w:p>
      <w:pPr>
        <w:snapToGrid w:val="0"/>
        <w:spacing w:before="50" w:after="50" w:line="360" w:lineRule="auto"/>
        <w:ind w:left="-23" w:leftChars="-11" w:right="-214" w:rightChars="-102" w:firstLine="24" w:firstLineChars="10"/>
        <w:jc w:val="left"/>
        <w:rPr>
          <w:rFonts w:asciiTheme="minorEastAsia" w:hAnsiTheme="minorEastAsia" w:eastAsiaTheme="minorEastAsia"/>
          <w:b/>
          <w:color w:val="auto"/>
          <w:sz w:val="24"/>
          <w:highlight w:val="none"/>
        </w:rPr>
      </w:pPr>
    </w:p>
    <w:p>
      <w:pPr>
        <w:snapToGrid w:val="0"/>
        <w:spacing w:before="50" w:after="50" w:line="360" w:lineRule="auto"/>
        <w:ind w:left="-23" w:leftChars="-11" w:right="-214" w:rightChars="-102" w:firstLine="24" w:firstLineChars="10"/>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请投标人仔细阅读填写说明：</w:t>
      </w:r>
    </w:p>
    <w:p>
      <w:pPr>
        <w:snapToGrid w:val="0"/>
        <w:spacing w:before="50" w:after="50" w:line="360" w:lineRule="auto"/>
        <w:ind w:right="-214" w:rightChars="-102" w:firstLine="422"/>
        <w:jc w:val="left"/>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w:t>
      </w:r>
      <w:r>
        <w:rPr>
          <w:rFonts w:asciiTheme="minorEastAsia" w:hAnsiTheme="minorEastAsia" w:eastAsiaTheme="minorEastAsia"/>
          <w:b/>
          <w:color w:val="auto"/>
          <w:highlight w:val="none"/>
        </w:rPr>
        <w:t>.</w:t>
      </w:r>
      <w:r>
        <w:rPr>
          <w:rFonts w:hint="eastAsia" w:asciiTheme="minorEastAsia" w:hAnsiTheme="minorEastAsia" w:eastAsiaTheme="minorEastAsia"/>
          <w:b/>
          <w:color w:val="auto"/>
          <w:highlight w:val="none"/>
        </w:rPr>
        <w:t>本项目为货物采购项目，货物有中小企业制造，即货物由中小企业生产且使用该企业商号或者注册商标，确认符合的再提交本声明函。</w:t>
      </w:r>
    </w:p>
    <w:p>
      <w:pPr>
        <w:snapToGrid w:val="0"/>
        <w:spacing w:before="50" w:after="50" w:line="360" w:lineRule="auto"/>
        <w:ind w:right="-214" w:rightChars="-102" w:firstLine="422"/>
        <w:jc w:val="left"/>
        <w:rPr>
          <w:rFonts w:asciiTheme="minorEastAsia" w:hAnsiTheme="minorEastAsia" w:eastAsiaTheme="minorEastAsia"/>
          <w:b/>
          <w:color w:val="auto"/>
          <w:highlight w:val="none"/>
        </w:rPr>
      </w:pPr>
      <w:r>
        <w:rPr>
          <w:rFonts w:asciiTheme="minorEastAsia" w:hAnsiTheme="minorEastAsia" w:eastAsiaTheme="minorEastAsia"/>
          <w:b/>
          <w:color w:val="auto"/>
          <w:highlight w:val="none"/>
        </w:rPr>
        <w:t>2</w:t>
      </w:r>
      <w:r>
        <w:rPr>
          <w:rFonts w:hint="eastAsia" w:asciiTheme="minorEastAsia" w:hAnsiTheme="minorEastAsia" w:eastAsiaTheme="minorEastAsia"/>
          <w:b/>
          <w:color w:val="auto"/>
          <w:highlight w:val="none"/>
        </w:rPr>
        <w:t>.从业人员、营业收入、资产总额填报上一年度数据，无上一年度数据的新成立企业可不填报。</w:t>
      </w:r>
    </w:p>
    <w:p>
      <w:pPr>
        <w:snapToGrid w:val="0"/>
        <w:spacing w:before="50" w:after="50" w:line="360" w:lineRule="auto"/>
        <w:ind w:left="-23" w:leftChars="-11" w:right="-214" w:rightChars="-102" w:firstLine="21" w:firstLineChars="10"/>
        <w:jc w:val="left"/>
        <w:rPr>
          <w:rFonts w:asciiTheme="minorEastAsia" w:hAnsiTheme="minorEastAsia" w:eastAsiaTheme="minorEastAsia"/>
          <w:b/>
          <w:color w:val="auto"/>
          <w:highlight w:val="none"/>
        </w:rPr>
      </w:pPr>
      <w:r>
        <w:rPr>
          <w:rFonts w:asciiTheme="minorEastAsia" w:hAnsiTheme="minorEastAsia" w:eastAsiaTheme="minorEastAsia"/>
          <w:b/>
          <w:color w:val="auto"/>
          <w:highlight w:val="none"/>
        </w:rPr>
        <w:t>3</w:t>
      </w:r>
      <w:r>
        <w:rPr>
          <w:rFonts w:hint="eastAsia" w:asciiTheme="minorEastAsia" w:hAnsiTheme="minorEastAsia" w:eastAsiaTheme="minorEastAsia"/>
          <w:b/>
          <w:color w:val="auto"/>
          <w:highlight w:val="none"/>
        </w:rPr>
        <w:t>.投标人应当对其出具的《中小企业声明函》真实性负责，出具的《中小企业声明函》内容不实的，属于提供虚假材料。</w:t>
      </w:r>
    </w:p>
    <w:p>
      <w:pPr>
        <w:snapToGrid w:val="0"/>
        <w:spacing w:before="50" w:after="50" w:line="360" w:lineRule="auto"/>
        <w:ind w:left="-23" w:leftChars="-11" w:right="-214" w:rightChars="-102" w:firstLine="21" w:firstLineChars="10"/>
        <w:jc w:val="left"/>
        <w:rPr>
          <w:rFonts w:asciiTheme="minorEastAsia" w:hAnsiTheme="minorEastAsia" w:eastAsiaTheme="minorEastAsia"/>
          <w:b/>
          <w:color w:val="auto"/>
          <w:highlight w:val="none"/>
        </w:rPr>
      </w:pPr>
      <w:r>
        <w:rPr>
          <w:rFonts w:asciiTheme="minorEastAsia" w:hAnsiTheme="minorEastAsia" w:eastAsiaTheme="minorEastAsia"/>
          <w:b/>
          <w:color w:val="auto"/>
          <w:highlight w:val="none"/>
        </w:rPr>
        <w:t>4</w:t>
      </w:r>
      <w:r>
        <w:rPr>
          <w:rFonts w:hint="eastAsia" w:asciiTheme="minorEastAsia" w:hAnsiTheme="minorEastAsia" w:eastAsiaTheme="minorEastAsia"/>
          <w:b/>
          <w:color w:val="auto"/>
          <w:highlight w:val="none"/>
        </w:rPr>
        <w:t>.事业单位不属于企业不应提交本声明函，其他组织形式的供应商参与本项目并提交本声明函前请仔细阅读相关政策文件。</w:t>
      </w:r>
    </w:p>
    <w:p>
      <w:pPr>
        <w:snapToGrid w:val="0"/>
        <w:spacing w:before="50" w:after="50" w:line="360" w:lineRule="auto"/>
        <w:ind w:left="-23" w:leftChars="-11" w:right="-214" w:rightChars="-102" w:firstLine="21" w:firstLineChars="10"/>
        <w:jc w:val="left"/>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5</w:t>
      </w:r>
      <w:r>
        <w:rPr>
          <w:rFonts w:asciiTheme="minorEastAsia" w:hAnsiTheme="minorEastAsia" w:eastAsiaTheme="minorEastAsia"/>
          <w:b/>
          <w:color w:val="auto"/>
          <w:highlight w:val="none"/>
        </w:rPr>
        <w:t>.</w:t>
      </w:r>
      <w:r>
        <w:rPr>
          <w:rFonts w:hint="eastAsia" w:asciiTheme="minorEastAsia" w:hAnsiTheme="minorEastAsia" w:eastAsiaTheme="minorEastAsia"/>
          <w:b/>
          <w:color w:val="auto"/>
          <w:highlight w:val="none"/>
        </w:rPr>
        <w:t>投标产品为进口的，不享受政策优惠，投标人不应提供本表。</w:t>
      </w:r>
    </w:p>
    <w:p>
      <w:pPr>
        <w:snapToGrid w:val="0"/>
        <w:spacing w:before="50" w:after="50" w:line="360" w:lineRule="auto"/>
        <w:ind w:left="-23" w:leftChars="-11" w:right="-214" w:rightChars="-102" w:firstLine="21" w:firstLineChars="10"/>
        <w:jc w:val="left"/>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6.投标人应当谨慎填写并提供本表。</w:t>
      </w:r>
    </w:p>
    <w:p>
      <w:pPr>
        <w:widowControl/>
        <w:ind w:firstLine="422"/>
        <w:jc w:val="left"/>
        <w:rPr>
          <w:rFonts w:asciiTheme="minorEastAsia" w:hAnsiTheme="minorEastAsia" w:eastAsiaTheme="minorEastAsia"/>
          <w:b/>
          <w:color w:val="auto"/>
          <w:highlight w:val="none"/>
        </w:rPr>
      </w:pPr>
      <w:r>
        <w:rPr>
          <w:rFonts w:asciiTheme="minorEastAsia" w:hAnsiTheme="minorEastAsia" w:eastAsiaTheme="minorEastAsia"/>
          <w:b/>
          <w:color w:val="auto"/>
          <w:highlight w:val="none"/>
        </w:rPr>
        <w:br w:type="page"/>
      </w:r>
    </w:p>
    <w:p>
      <w:pPr>
        <w:snapToGrid w:val="0"/>
        <w:spacing w:line="360" w:lineRule="auto"/>
        <w:ind w:left="-23" w:leftChars="-11" w:right="-214" w:rightChars="-102" w:firstLine="21" w:firstLineChars="10"/>
        <w:jc w:val="center"/>
        <w:rPr>
          <w:rFonts w:asciiTheme="minorEastAsia" w:hAnsiTheme="minorEastAsia" w:eastAsiaTheme="minorEastAsia"/>
          <w:color w:val="auto"/>
          <w:highlight w:val="none"/>
        </w:rPr>
      </w:pPr>
      <w:r>
        <w:rPr>
          <w:rFonts w:cs="宋体" w:asciiTheme="minorEastAsia" w:hAnsiTheme="minorEastAsia" w:eastAsiaTheme="minorEastAsia"/>
          <w:b/>
          <w:color w:val="auto"/>
          <w:szCs w:val="21"/>
          <w:highlight w:val="none"/>
        </w:rPr>
        <w:t>中小企业声明函</w:t>
      </w:r>
      <w:r>
        <w:rPr>
          <w:rFonts w:hint="eastAsia" w:cs="宋体" w:asciiTheme="minorEastAsia" w:hAnsiTheme="minorEastAsia" w:eastAsiaTheme="minorEastAsia"/>
          <w:b/>
          <w:color w:val="auto"/>
          <w:szCs w:val="21"/>
          <w:highlight w:val="none"/>
        </w:rPr>
        <w:t>（标项三）</w:t>
      </w:r>
    </w:p>
    <w:p>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本公司（联合体）郑重声明，根据《政府采购促进中小企业发展管理办法》（财库﹝2020﹞46号）的规定，本公司（联合体）参加</w:t>
      </w:r>
      <w:r>
        <w:rPr>
          <w:rFonts w:hint="eastAsia" w:asciiTheme="minorEastAsia" w:hAnsiTheme="minorEastAsia" w:eastAsiaTheme="minorEastAsia"/>
          <w:b/>
          <w:color w:val="auto"/>
          <w:highlight w:val="none"/>
          <w:u w:val="single"/>
        </w:rPr>
        <w:t>宁波工程学院</w:t>
      </w:r>
      <w:r>
        <w:rPr>
          <w:rFonts w:asciiTheme="minorEastAsia" w:hAnsiTheme="minorEastAsia" w:eastAsiaTheme="minorEastAsia"/>
          <w:color w:val="auto"/>
          <w:highlight w:val="none"/>
        </w:rPr>
        <w:t>的</w:t>
      </w:r>
      <w:r>
        <w:rPr>
          <w:rFonts w:hint="eastAsia" w:asciiTheme="minorEastAsia" w:hAnsiTheme="minorEastAsia" w:eastAsiaTheme="minorEastAsia"/>
          <w:b/>
          <w:color w:val="auto"/>
          <w:szCs w:val="21"/>
          <w:highlight w:val="none"/>
          <w:u w:val="single"/>
        </w:rPr>
        <w:t>宁波工程学院新能源产业技术创新实践基地进口设备采购项目</w:t>
      </w:r>
      <w:r>
        <w:rPr>
          <w:rFonts w:asciiTheme="minorEastAsia" w:hAnsiTheme="minorEastAsia" w:eastAsiaTheme="minorEastAsia"/>
          <w:color w:val="auto"/>
          <w:highlight w:val="none"/>
        </w:rPr>
        <w:t>采购活动，提供的货物全部由符合政策要求的中小企业制造。相关企业（含联合体中的中小企业、签订分包意向协议的中小企业）的具体情况如下：</w:t>
      </w:r>
    </w:p>
    <w:p>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1.</w:t>
      </w:r>
      <w:r>
        <w:rPr>
          <w:rFonts w:hint="eastAsia" w:asciiTheme="minorEastAsia" w:hAnsiTheme="minorEastAsia" w:eastAsiaTheme="minorEastAsia"/>
          <w:b/>
          <w:color w:val="auto"/>
          <w:highlight w:val="none"/>
          <w:u w:val="single"/>
        </w:rPr>
        <w:t xml:space="preserve">  扫描电镜系统 </w:t>
      </w:r>
      <w:r>
        <w:rPr>
          <w:rFonts w:asciiTheme="minorEastAsia" w:hAnsiTheme="minorEastAsia" w:eastAsiaTheme="minorEastAsia"/>
          <w:b/>
          <w:color w:val="auto"/>
          <w:highlight w:val="none"/>
          <w:u w:val="single"/>
        </w:rPr>
        <w:t xml:space="preserve"> </w:t>
      </w:r>
      <w:r>
        <w:rPr>
          <w:rFonts w:asciiTheme="minorEastAsia" w:hAnsiTheme="minorEastAsia" w:eastAsiaTheme="minorEastAsia"/>
          <w:color w:val="auto"/>
          <w:highlight w:val="none"/>
        </w:rPr>
        <w:t>，属于</w:t>
      </w:r>
      <w:r>
        <w:rPr>
          <w:rFonts w:asciiTheme="minorEastAsia" w:hAnsiTheme="minorEastAsia" w:eastAsiaTheme="minorEastAsia"/>
          <w:b/>
          <w:color w:val="auto"/>
          <w:highlight w:val="none"/>
          <w:u w:val="single"/>
        </w:rPr>
        <w:t xml:space="preserve">  </w:t>
      </w:r>
      <w:r>
        <w:rPr>
          <w:rFonts w:hint="eastAsia" w:asciiTheme="minorEastAsia" w:hAnsiTheme="minorEastAsia" w:eastAsiaTheme="minorEastAsia"/>
          <w:b/>
          <w:color w:val="auto"/>
          <w:highlight w:val="none"/>
          <w:u w:val="single"/>
        </w:rPr>
        <w:t>工业</w:t>
      </w:r>
      <w:r>
        <w:rPr>
          <w:rFonts w:asciiTheme="minorEastAsia" w:hAnsiTheme="minorEastAsia" w:eastAsiaTheme="minorEastAsia"/>
          <w:b/>
          <w:color w:val="auto"/>
          <w:highlight w:val="none"/>
          <w:u w:val="single"/>
        </w:rPr>
        <w:t xml:space="preserve">  </w:t>
      </w:r>
      <w:r>
        <w:rPr>
          <w:rFonts w:asciiTheme="minorEastAsia" w:hAnsiTheme="minorEastAsia" w:eastAsiaTheme="minorEastAsia"/>
          <w:color w:val="auto"/>
          <w:highlight w:val="none"/>
        </w:rPr>
        <w:t>；制造商为</w:t>
      </w:r>
      <w:r>
        <w:rPr>
          <w:rFonts w:asciiTheme="minorEastAsia" w:hAnsiTheme="minorEastAsia" w:eastAsiaTheme="minorEastAsia"/>
          <w:color w:val="auto"/>
          <w:highlight w:val="none"/>
          <w:u w:val="single"/>
        </w:rPr>
        <w:t xml:space="preserve">    （企业名称）</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u w:val="single"/>
        </w:rPr>
        <w:t xml:space="preserve">     （中型企业、小型企业、微型企业）</w:t>
      </w:r>
      <w:r>
        <w:rPr>
          <w:rFonts w:asciiTheme="minorEastAsia" w:hAnsiTheme="minorEastAsia" w:eastAsiaTheme="minorEastAsia"/>
          <w:color w:val="auto"/>
          <w:highlight w:val="none"/>
        </w:rPr>
        <w:t>；</w:t>
      </w:r>
    </w:p>
    <w:p>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w:t>
      </w:r>
      <w:r>
        <w:rPr>
          <w:rFonts w:asciiTheme="minorEastAsia" w:hAnsiTheme="minorEastAsia" w:eastAsiaTheme="minorEastAsia"/>
          <w:color w:val="auto"/>
          <w:highlight w:val="none"/>
        </w:rPr>
        <w:t>.</w:t>
      </w:r>
      <w:r>
        <w:rPr>
          <w:rFonts w:hint="eastAsia" w:asciiTheme="minorEastAsia" w:hAnsiTheme="minorEastAsia" w:eastAsiaTheme="minorEastAsia"/>
          <w:b/>
          <w:color w:val="auto"/>
          <w:highlight w:val="none"/>
          <w:u w:val="single"/>
        </w:rPr>
        <w:t xml:space="preserve">                  </w:t>
      </w:r>
      <w:r>
        <w:rPr>
          <w:rFonts w:asciiTheme="minorEastAsia" w:hAnsiTheme="minorEastAsia" w:eastAsiaTheme="minorEastAsia"/>
          <w:b/>
          <w:color w:val="auto"/>
          <w:highlight w:val="none"/>
          <w:u w:val="single"/>
        </w:rPr>
        <w:t xml:space="preserve"> </w:t>
      </w:r>
      <w:r>
        <w:rPr>
          <w:rFonts w:asciiTheme="minorEastAsia" w:hAnsiTheme="minorEastAsia" w:eastAsiaTheme="minorEastAsia"/>
          <w:color w:val="auto"/>
          <w:highlight w:val="none"/>
        </w:rPr>
        <w:t>，属于</w:t>
      </w:r>
      <w:r>
        <w:rPr>
          <w:rFonts w:asciiTheme="minorEastAsia" w:hAnsiTheme="minorEastAsia" w:eastAsiaTheme="minorEastAsia"/>
          <w:b/>
          <w:color w:val="auto"/>
          <w:highlight w:val="none"/>
          <w:u w:val="single"/>
        </w:rPr>
        <w:t xml:space="preserve">  </w:t>
      </w:r>
      <w:r>
        <w:rPr>
          <w:rFonts w:hint="eastAsia" w:asciiTheme="minorEastAsia" w:hAnsiTheme="minorEastAsia" w:eastAsiaTheme="minorEastAsia"/>
          <w:b/>
          <w:color w:val="auto"/>
          <w:highlight w:val="none"/>
          <w:u w:val="single"/>
        </w:rPr>
        <w:t>工业</w:t>
      </w:r>
      <w:r>
        <w:rPr>
          <w:rFonts w:asciiTheme="minorEastAsia" w:hAnsiTheme="minorEastAsia" w:eastAsiaTheme="minorEastAsia"/>
          <w:b/>
          <w:color w:val="auto"/>
          <w:highlight w:val="none"/>
          <w:u w:val="single"/>
        </w:rPr>
        <w:t xml:space="preserve">  </w:t>
      </w:r>
      <w:r>
        <w:rPr>
          <w:rFonts w:asciiTheme="minorEastAsia" w:hAnsiTheme="minorEastAsia" w:eastAsiaTheme="minorEastAsia"/>
          <w:color w:val="auto"/>
          <w:highlight w:val="none"/>
        </w:rPr>
        <w:t>；制造商为</w:t>
      </w:r>
      <w:r>
        <w:rPr>
          <w:rFonts w:asciiTheme="minorEastAsia" w:hAnsiTheme="minorEastAsia" w:eastAsiaTheme="minorEastAsia"/>
          <w:color w:val="auto"/>
          <w:highlight w:val="none"/>
          <w:u w:val="single"/>
        </w:rPr>
        <w:t xml:space="preserve">    （企业名称）</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u w:val="single"/>
        </w:rPr>
        <w:t xml:space="preserve">     （中型企业、小型企业、微型企业）</w:t>
      </w:r>
      <w:r>
        <w:rPr>
          <w:rFonts w:asciiTheme="minorEastAsia" w:hAnsiTheme="minorEastAsia" w:eastAsiaTheme="minorEastAsia"/>
          <w:color w:val="auto"/>
          <w:highlight w:val="none"/>
        </w:rPr>
        <w:t>；</w:t>
      </w:r>
    </w:p>
    <w:p>
      <w:pPr>
        <w:rPr>
          <w:color w:val="auto"/>
          <w:highlight w:val="none"/>
        </w:rPr>
      </w:pPr>
    </w:p>
    <w:p>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w:t>
      </w:r>
    </w:p>
    <w:p>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以上企业，不属于大企业的分支机构，不存在控股股东为大企业的情形，也不存在与大企业的负责人为同一人的情形。</w:t>
      </w:r>
    </w:p>
    <w:p>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本企业对上述声明内容的真实性负责。如有虚假，将依法承担相应责任。</w:t>
      </w:r>
    </w:p>
    <w:p>
      <w:pPr>
        <w:snapToGrid w:val="0"/>
        <w:spacing w:line="360" w:lineRule="auto"/>
        <w:ind w:left="-23" w:leftChars="-11" w:right="-214" w:rightChars="-102" w:firstLine="4416" w:firstLineChars="2103"/>
        <w:jc w:val="left"/>
        <w:rPr>
          <w:rFonts w:asciiTheme="minorEastAsia" w:hAnsiTheme="minorEastAsia" w:eastAsiaTheme="minorEastAsia"/>
          <w:color w:val="auto"/>
          <w:highlight w:val="none"/>
        </w:rPr>
      </w:pPr>
    </w:p>
    <w:p>
      <w:pPr>
        <w:snapToGrid w:val="0"/>
        <w:spacing w:line="360" w:lineRule="auto"/>
        <w:ind w:left="-23" w:leftChars="-11" w:right="-214" w:rightChars="-102" w:firstLine="4416" w:firstLineChars="2103"/>
        <w:jc w:val="left"/>
        <w:rPr>
          <w:rFonts w:asciiTheme="minorEastAsia" w:hAnsiTheme="minorEastAsia" w:eastAsiaTheme="minorEastAsia"/>
          <w:color w:val="auto"/>
          <w:highlight w:val="none"/>
        </w:rPr>
      </w:pPr>
    </w:p>
    <w:p>
      <w:pPr>
        <w:snapToGrid w:val="0"/>
        <w:spacing w:line="360" w:lineRule="auto"/>
        <w:ind w:left="-23" w:leftChars="-11" w:right="-214" w:rightChars="-102" w:firstLine="4416" w:firstLineChars="2103"/>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企业名称（盖章）：</w:t>
      </w:r>
    </w:p>
    <w:p>
      <w:pPr>
        <w:snapToGrid w:val="0"/>
        <w:spacing w:line="360" w:lineRule="auto"/>
        <w:ind w:left="-23" w:leftChars="-11" w:right="-214" w:rightChars="-102" w:firstLine="4416" w:firstLineChars="2103"/>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日 期：</w:t>
      </w:r>
    </w:p>
    <w:p>
      <w:pPr>
        <w:snapToGrid w:val="0"/>
        <w:spacing w:before="50" w:after="50" w:line="360" w:lineRule="auto"/>
        <w:ind w:left="-23" w:leftChars="-11" w:right="-214" w:rightChars="-102" w:firstLine="24" w:firstLineChars="10"/>
        <w:jc w:val="left"/>
        <w:rPr>
          <w:rFonts w:asciiTheme="minorEastAsia" w:hAnsiTheme="minorEastAsia" w:eastAsiaTheme="minorEastAsia"/>
          <w:b/>
          <w:color w:val="auto"/>
          <w:sz w:val="24"/>
          <w:highlight w:val="none"/>
        </w:rPr>
      </w:pPr>
    </w:p>
    <w:p>
      <w:pPr>
        <w:snapToGrid w:val="0"/>
        <w:spacing w:before="50" w:after="50" w:line="360" w:lineRule="auto"/>
        <w:ind w:left="-23" w:leftChars="-11" w:right="-214" w:rightChars="-102" w:firstLine="24" w:firstLineChars="10"/>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请投标人仔细阅读填写说明：</w:t>
      </w:r>
    </w:p>
    <w:p>
      <w:pPr>
        <w:snapToGrid w:val="0"/>
        <w:spacing w:before="50" w:after="50" w:line="360" w:lineRule="auto"/>
        <w:ind w:right="-214" w:rightChars="-102" w:firstLine="422"/>
        <w:jc w:val="left"/>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w:t>
      </w:r>
      <w:r>
        <w:rPr>
          <w:rFonts w:asciiTheme="minorEastAsia" w:hAnsiTheme="minorEastAsia" w:eastAsiaTheme="minorEastAsia"/>
          <w:b/>
          <w:color w:val="auto"/>
          <w:highlight w:val="none"/>
        </w:rPr>
        <w:t>.</w:t>
      </w:r>
      <w:r>
        <w:rPr>
          <w:rFonts w:hint="eastAsia" w:asciiTheme="minorEastAsia" w:hAnsiTheme="minorEastAsia" w:eastAsiaTheme="minorEastAsia"/>
          <w:b/>
          <w:color w:val="auto"/>
          <w:highlight w:val="none"/>
        </w:rPr>
        <w:t>本项目为货物采购项目，货物有中小企业制造，即货物由中小企业生产且使用该企业商号或者注册商标，确认符合的再提交本声明函。</w:t>
      </w:r>
    </w:p>
    <w:p>
      <w:pPr>
        <w:snapToGrid w:val="0"/>
        <w:spacing w:before="50" w:after="50" w:line="360" w:lineRule="auto"/>
        <w:ind w:right="-214" w:rightChars="-102" w:firstLine="422"/>
        <w:jc w:val="left"/>
        <w:rPr>
          <w:rFonts w:asciiTheme="minorEastAsia" w:hAnsiTheme="minorEastAsia" w:eastAsiaTheme="minorEastAsia"/>
          <w:b/>
          <w:color w:val="auto"/>
          <w:highlight w:val="none"/>
        </w:rPr>
      </w:pPr>
      <w:r>
        <w:rPr>
          <w:rFonts w:asciiTheme="minorEastAsia" w:hAnsiTheme="minorEastAsia" w:eastAsiaTheme="minorEastAsia"/>
          <w:b/>
          <w:color w:val="auto"/>
          <w:highlight w:val="none"/>
        </w:rPr>
        <w:t>2</w:t>
      </w:r>
      <w:r>
        <w:rPr>
          <w:rFonts w:hint="eastAsia" w:asciiTheme="minorEastAsia" w:hAnsiTheme="minorEastAsia" w:eastAsiaTheme="minorEastAsia"/>
          <w:b/>
          <w:color w:val="auto"/>
          <w:highlight w:val="none"/>
        </w:rPr>
        <w:t>.从业人员、营业收入、资产总额填报上一年度数据，无上一年度数据的新成立企业可不填报。</w:t>
      </w:r>
    </w:p>
    <w:p>
      <w:pPr>
        <w:snapToGrid w:val="0"/>
        <w:spacing w:before="50" w:after="50" w:line="360" w:lineRule="auto"/>
        <w:ind w:left="-23" w:leftChars="-11" w:right="-214" w:rightChars="-102" w:firstLine="21" w:firstLineChars="10"/>
        <w:jc w:val="left"/>
        <w:rPr>
          <w:rFonts w:asciiTheme="minorEastAsia" w:hAnsiTheme="minorEastAsia" w:eastAsiaTheme="minorEastAsia"/>
          <w:b/>
          <w:color w:val="auto"/>
          <w:highlight w:val="none"/>
        </w:rPr>
      </w:pPr>
      <w:r>
        <w:rPr>
          <w:rFonts w:asciiTheme="minorEastAsia" w:hAnsiTheme="minorEastAsia" w:eastAsiaTheme="minorEastAsia"/>
          <w:b/>
          <w:color w:val="auto"/>
          <w:highlight w:val="none"/>
        </w:rPr>
        <w:t>3</w:t>
      </w:r>
      <w:r>
        <w:rPr>
          <w:rFonts w:hint="eastAsia" w:asciiTheme="minorEastAsia" w:hAnsiTheme="minorEastAsia" w:eastAsiaTheme="minorEastAsia"/>
          <w:b/>
          <w:color w:val="auto"/>
          <w:highlight w:val="none"/>
        </w:rPr>
        <w:t>.投标人应当对其出具的《中小企业声明函》真实性负责，出具的《中小企业声明函》内容不实的，属于提供虚假材料。</w:t>
      </w:r>
    </w:p>
    <w:p>
      <w:pPr>
        <w:snapToGrid w:val="0"/>
        <w:spacing w:before="50" w:after="50" w:line="360" w:lineRule="auto"/>
        <w:ind w:left="-23" w:leftChars="-11" w:right="-214" w:rightChars="-102" w:firstLine="21" w:firstLineChars="10"/>
        <w:jc w:val="left"/>
        <w:rPr>
          <w:rFonts w:asciiTheme="minorEastAsia" w:hAnsiTheme="minorEastAsia" w:eastAsiaTheme="minorEastAsia"/>
          <w:b/>
          <w:color w:val="auto"/>
          <w:highlight w:val="none"/>
        </w:rPr>
      </w:pPr>
      <w:r>
        <w:rPr>
          <w:rFonts w:asciiTheme="minorEastAsia" w:hAnsiTheme="minorEastAsia" w:eastAsiaTheme="minorEastAsia"/>
          <w:b/>
          <w:color w:val="auto"/>
          <w:highlight w:val="none"/>
        </w:rPr>
        <w:t>4</w:t>
      </w:r>
      <w:r>
        <w:rPr>
          <w:rFonts w:hint="eastAsia" w:asciiTheme="minorEastAsia" w:hAnsiTheme="minorEastAsia" w:eastAsiaTheme="minorEastAsia"/>
          <w:b/>
          <w:color w:val="auto"/>
          <w:highlight w:val="none"/>
        </w:rPr>
        <w:t>.事业单位不属于企业不应提交本声明函，其他组织形式的供应商参与本项目并提交本声明函前请仔细阅读相关政策文件。</w:t>
      </w:r>
    </w:p>
    <w:p>
      <w:pPr>
        <w:snapToGrid w:val="0"/>
        <w:spacing w:before="50" w:after="50" w:line="360" w:lineRule="auto"/>
        <w:ind w:left="-23" w:leftChars="-11" w:right="-214" w:rightChars="-102" w:firstLine="21" w:firstLineChars="10"/>
        <w:jc w:val="left"/>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5</w:t>
      </w:r>
      <w:r>
        <w:rPr>
          <w:rFonts w:asciiTheme="minorEastAsia" w:hAnsiTheme="minorEastAsia" w:eastAsiaTheme="minorEastAsia"/>
          <w:b/>
          <w:color w:val="auto"/>
          <w:highlight w:val="none"/>
        </w:rPr>
        <w:t>.</w:t>
      </w:r>
      <w:r>
        <w:rPr>
          <w:rFonts w:hint="eastAsia" w:asciiTheme="minorEastAsia" w:hAnsiTheme="minorEastAsia" w:eastAsiaTheme="minorEastAsia"/>
          <w:b/>
          <w:color w:val="auto"/>
          <w:highlight w:val="none"/>
        </w:rPr>
        <w:t>投标产品为进口的，不享受政策优惠，投标人不应提供本表。</w:t>
      </w:r>
    </w:p>
    <w:p>
      <w:pPr>
        <w:snapToGrid w:val="0"/>
        <w:spacing w:before="50" w:after="50" w:line="360" w:lineRule="auto"/>
        <w:ind w:left="-23" w:leftChars="-11" w:right="-214" w:rightChars="-102" w:firstLine="21" w:firstLineChars="10"/>
        <w:jc w:val="left"/>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6.投标人应当谨慎填写并提供本表。</w:t>
      </w:r>
    </w:p>
    <w:p>
      <w:pPr>
        <w:widowControl/>
        <w:ind w:firstLine="422"/>
        <w:jc w:val="left"/>
        <w:rPr>
          <w:rFonts w:asciiTheme="minorEastAsia" w:hAnsiTheme="minorEastAsia" w:eastAsiaTheme="minorEastAsia"/>
          <w:b/>
          <w:color w:val="auto"/>
          <w:highlight w:val="none"/>
        </w:rPr>
      </w:pPr>
      <w:r>
        <w:rPr>
          <w:rFonts w:asciiTheme="minorEastAsia" w:hAnsiTheme="minorEastAsia" w:eastAsiaTheme="minorEastAsia"/>
          <w:b/>
          <w:color w:val="auto"/>
          <w:highlight w:val="none"/>
        </w:rPr>
        <w:br w:type="page"/>
      </w:r>
    </w:p>
    <w:p>
      <w:pPr>
        <w:snapToGrid w:val="0"/>
        <w:spacing w:line="360" w:lineRule="auto"/>
        <w:ind w:left="-23" w:leftChars="-11" w:right="-214" w:rightChars="-102" w:firstLine="21" w:firstLineChars="10"/>
        <w:jc w:val="center"/>
        <w:rPr>
          <w:rFonts w:asciiTheme="minorEastAsia" w:hAnsiTheme="minorEastAsia" w:eastAsiaTheme="minorEastAsia"/>
          <w:color w:val="auto"/>
          <w:highlight w:val="none"/>
        </w:rPr>
      </w:pPr>
      <w:r>
        <w:rPr>
          <w:rFonts w:cs="宋体" w:asciiTheme="minorEastAsia" w:hAnsiTheme="minorEastAsia" w:eastAsiaTheme="minorEastAsia"/>
          <w:b/>
          <w:color w:val="auto"/>
          <w:szCs w:val="21"/>
          <w:highlight w:val="none"/>
        </w:rPr>
        <w:t>中小企业声明函</w:t>
      </w:r>
      <w:r>
        <w:rPr>
          <w:rFonts w:hint="eastAsia" w:cs="宋体" w:asciiTheme="minorEastAsia" w:hAnsiTheme="minorEastAsia" w:eastAsiaTheme="minorEastAsia"/>
          <w:b/>
          <w:color w:val="auto"/>
          <w:szCs w:val="21"/>
          <w:highlight w:val="none"/>
        </w:rPr>
        <w:t>（标项四）</w:t>
      </w:r>
    </w:p>
    <w:p>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本公司（联合体）郑重声明，根据《政府采购促进中小企业发展管理办法》（财库﹝2020﹞46号）的规定，本公司（联合体）参加</w:t>
      </w:r>
      <w:r>
        <w:rPr>
          <w:rFonts w:hint="eastAsia" w:asciiTheme="minorEastAsia" w:hAnsiTheme="minorEastAsia" w:eastAsiaTheme="minorEastAsia"/>
          <w:b/>
          <w:color w:val="auto"/>
          <w:highlight w:val="none"/>
          <w:u w:val="single"/>
        </w:rPr>
        <w:t>宁波工程学院</w:t>
      </w:r>
      <w:r>
        <w:rPr>
          <w:rFonts w:asciiTheme="minorEastAsia" w:hAnsiTheme="minorEastAsia" w:eastAsiaTheme="minorEastAsia"/>
          <w:color w:val="auto"/>
          <w:highlight w:val="none"/>
        </w:rPr>
        <w:t>的</w:t>
      </w:r>
      <w:r>
        <w:rPr>
          <w:rFonts w:hint="eastAsia" w:asciiTheme="minorEastAsia" w:hAnsiTheme="minorEastAsia" w:eastAsiaTheme="minorEastAsia"/>
          <w:b/>
          <w:color w:val="auto"/>
          <w:szCs w:val="21"/>
          <w:highlight w:val="none"/>
          <w:u w:val="single"/>
        </w:rPr>
        <w:t>宁波工程学院新能源产业技术创新实践基地进口设备采购项目</w:t>
      </w:r>
      <w:r>
        <w:rPr>
          <w:rFonts w:asciiTheme="minorEastAsia" w:hAnsiTheme="minorEastAsia" w:eastAsiaTheme="minorEastAsia"/>
          <w:color w:val="auto"/>
          <w:highlight w:val="none"/>
        </w:rPr>
        <w:t>采购活动，提供的货物全部由符合政策要求的中小企业制造。相关企业（含联合体中的中小企业、签订分包意向协议的中小企业）的具体情况如下：</w:t>
      </w:r>
    </w:p>
    <w:p>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1.</w:t>
      </w:r>
      <w:r>
        <w:rPr>
          <w:rFonts w:hint="eastAsia" w:asciiTheme="minorEastAsia" w:hAnsiTheme="minorEastAsia" w:eastAsiaTheme="minorEastAsia"/>
          <w:b/>
          <w:color w:val="auto"/>
          <w:highlight w:val="none"/>
          <w:u w:val="single"/>
        </w:rPr>
        <w:t xml:space="preserve">  动态光散射粒度分析仪 </w:t>
      </w:r>
      <w:r>
        <w:rPr>
          <w:rFonts w:asciiTheme="minorEastAsia" w:hAnsiTheme="minorEastAsia" w:eastAsiaTheme="minorEastAsia"/>
          <w:b/>
          <w:color w:val="auto"/>
          <w:highlight w:val="none"/>
          <w:u w:val="single"/>
        </w:rPr>
        <w:t xml:space="preserve"> </w:t>
      </w:r>
      <w:r>
        <w:rPr>
          <w:rFonts w:asciiTheme="minorEastAsia" w:hAnsiTheme="minorEastAsia" w:eastAsiaTheme="minorEastAsia"/>
          <w:color w:val="auto"/>
          <w:highlight w:val="none"/>
        </w:rPr>
        <w:t>，属于</w:t>
      </w:r>
      <w:r>
        <w:rPr>
          <w:rFonts w:asciiTheme="minorEastAsia" w:hAnsiTheme="minorEastAsia" w:eastAsiaTheme="minorEastAsia"/>
          <w:b/>
          <w:color w:val="auto"/>
          <w:highlight w:val="none"/>
          <w:u w:val="single"/>
        </w:rPr>
        <w:t xml:space="preserve">  </w:t>
      </w:r>
      <w:r>
        <w:rPr>
          <w:rFonts w:hint="eastAsia" w:asciiTheme="minorEastAsia" w:hAnsiTheme="minorEastAsia" w:eastAsiaTheme="minorEastAsia"/>
          <w:b/>
          <w:color w:val="auto"/>
          <w:highlight w:val="none"/>
          <w:u w:val="single"/>
        </w:rPr>
        <w:t>工业</w:t>
      </w:r>
      <w:r>
        <w:rPr>
          <w:rFonts w:asciiTheme="minorEastAsia" w:hAnsiTheme="minorEastAsia" w:eastAsiaTheme="minorEastAsia"/>
          <w:b/>
          <w:color w:val="auto"/>
          <w:highlight w:val="none"/>
          <w:u w:val="single"/>
        </w:rPr>
        <w:t xml:space="preserve">  </w:t>
      </w:r>
      <w:r>
        <w:rPr>
          <w:rFonts w:asciiTheme="minorEastAsia" w:hAnsiTheme="minorEastAsia" w:eastAsiaTheme="minorEastAsia"/>
          <w:color w:val="auto"/>
          <w:highlight w:val="none"/>
        </w:rPr>
        <w:t>；制造商为</w:t>
      </w:r>
      <w:r>
        <w:rPr>
          <w:rFonts w:asciiTheme="minorEastAsia" w:hAnsiTheme="minorEastAsia" w:eastAsiaTheme="minorEastAsia"/>
          <w:color w:val="auto"/>
          <w:highlight w:val="none"/>
          <w:u w:val="single"/>
        </w:rPr>
        <w:t xml:space="preserve">    （企业名称）</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u w:val="single"/>
        </w:rPr>
        <w:t xml:space="preserve">     （中型企业、小型企业、微型企业）</w:t>
      </w:r>
      <w:r>
        <w:rPr>
          <w:rFonts w:asciiTheme="minorEastAsia" w:hAnsiTheme="minorEastAsia" w:eastAsiaTheme="minorEastAsia"/>
          <w:color w:val="auto"/>
          <w:highlight w:val="none"/>
        </w:rPr>
        <w:t>；</w:t>
      </w:r>
    </w:p>
    <w:p>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w:t>
      </w:r>
      <w:r>
        <w:rPr>
          <w:rFonts w:asciiTheme="minorEastAsia" w:hAnsiTheme="minorEastAsia" w:eastAsiaTheme="minorEastAsia"/>
          <w:color w:val="auto"/>
          <w:highlight w:val="none"/>
        </w:rPr>
        <w:t>.</w:t>
      </w:r>
      <w:r>
        <w:rPr>
          <w:rFonts w:hint="eastAsia" w:asciiTheme="minorEastAsia" w:hAnsiTheme="minorEastAsia" w:eastAsiaTheme="minorEastAsia"/>
          <w:b/>
          <w:color w:val="auto"/>
          <w:highlight w:val="none"/>
          <w:u w:val="single"/>
        </w:rPr>
        <w:t xml:space="preserve">  比表面分析仪 </w:t>
      </w:r>
      <w:r>
        <w:rPr>
          <w:rFonts w:asciiTheme="minorEastAsia" w:hAnsiTheme="minorEastAsia" w:eastAsiaTheme="minorEastAsia"/>
          <w:b/>
          <w:color w:val="auto"/>
          <w:highlight w:val="none"/>
          <w:u w:val="single"/>
        </w:rPr>
        <w:t xml:space="preserve"> </w:t>
      </w:r>
      <w:r>
        <w:rPr>
          <w:rFonts w:asciiTheme="minorEastAsia" w:hAnsiTheme="minorEastAsia" w:eastAsiaTheme="minorEastAsia"/>
          <w:color w:val="auto"/>
          <w:highlight w:val="none"/>
        </w:rPr>
        <w:t>，属于</w:t>
      </w:r>
      <w:r>
        <w:rPr>
          <w:rFonts w:asciiTheme="minorEastAsia" w:hAnsiTheme="minorEastAsia" w:eastAsiaTheme="minorEastAsia"/>
          <w:b/>
          <w:color w:val="auto"/>
          <w:highlight w:val="none"/>
          <w:u w:val="single"/>
        </w:rPr>
        <w:t xml:space="preserve">  </w:t>
      </w:r>
      <w:r>
        <w:rPr>
          <w:rFonts w:hint="eastAsia" w:asciiTheme="minorEastAsia" w:hAnsiTheme="minorEastAsia" w:eastAsiaTheme="minorEastAsia"/>
          <w:b/>
          <w:color w:val="auto"/>
          <w:highlight w:val="none"/>
          <w:u w:val="single"/>
        </w:rPr>
        <w:t>工业</w:t>
      </w:r>
      <w:r>
        <w:rPr>
          <w:rFonts w:asciiTheme="minorEastAsia" w:hAnsiTheme="minorEastAsia" w:eastAsiaTheme="minorEastAsia"/>
          <w:b/>
          <w:color w:val="auto"/>
          <w:highlight w:val="none"/>
          <w:u w:val="single"/>
        </w:rPr>
        <w:t xml:space="preserve">  </w:t>
      </w:r>
      <w:r>
        <w:rPr>
          <w:rFonts w:asciiTheme="minorEastAsia" w:hAnsiTheme="minorEastAsia" w:eastAsiaTheme="minorEastAsia"/>
          <w:color w:val="auto"/>
          <w:highlight w:val="none"/>
        </w:rPr>
        <w:t>；制造商为</w:t>
      </w:r>
      <w:r>
        <w:rPr>
          <w:rFonts w:asciiTheme="minorEastAsia" w:hAnsiTheme="minorEastAsia" w:eastAsiaTheme="minorEastAsia"/>
          <w:color w:val="auto"/>
          <w:highlight w:val="none"/>
          <w:u w:val="single"/>
        </w:rPr>
        <w:t xml:space="preserve">    （企业名称）</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u w:val="single"/>
        </w:rPr>
        <w:t xml:space="preserve">     （中型企业、小型企业、微型企业）</w:t>
      </w:r>
      <w:r>
        <w:rPr>
          <w:rFonts w:asciiTheme="minorEastAsia" w:hAnsiTheme="minorEastAsia" w:eastAsiaTheme="minorEastAsia"/>
          <w:color w:val="auto"/>
          <w:highlight w:val="none"/>
        </w:rPr>
        <w:t>；</w:t>
      </w:r>
    </w:p>
    <w:p>
      <w:pPr>
        <w:rPr>
          <w:color w:val="auto"/>
          <w:highlight w:val="none"/>
        </w:rPr>
      </w:pPr>
    </w:p>
    <w:p>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w:t>
      </w:r>
    </w:p>
    <w:p>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以上企业，不属于大企业的分支机构，不存在控股股东为大企业的情形，也不存在与大企业的负责人为同一人的情形。</w:t>
      </w:r>
    </w:p>
    <w:p>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本企业对上述声明内容的真实性负责。如有虚假，将依法承担相应责任。</w:t>
      </w:r>
    </w:p>
    <w:p>
      <w:pPr>
        <w:snapToGrid w:val="0"/>
        <w:spacing w:line="360" w:lineRule="auto"/>
        <w:ind w:left="-23" w:leftChars="-11" w:right="-214" w:rightChars="-102" w:firstLine="4416" w:firstLineChars="2103"/>
        <w:jc w:val="left"/>
        <w:rPr>
          <w:rFonts w:asciiTheme="minorEastAsia" w:hAnsiTheme="minorEastAsia" w:eastAsiaTheme="minorEastAsia"/>
          <w:color w:val="auto"/>
          <w:highlight w:val="none"/>
        </w:rPr>
      </w:pPr>
    </w:p>
    <w:p>
      <w:pPr>
        <w:snapToGrid w:val="0"/>
        <w:spacing w:line="360" w:lineRule="auto"/>
        <w:ind w:left="-23" w:leftChars="-11" w:right="-214" w:rightChars="-102" w:firstLine="4416" w:firstLineChars="2103"/>
        <w:jc w:val="left"/>
        <w:rPr>
          <w:rFonts w:asciiTheme="minorEastAsia" w:hAnsiTheme="minorEastAsia" w:eastAsiaTheme="minorEastAsia"/>
          <w:color w:val="auto"/>
          <w:highlight w:val="none"/>
        </w:rPr>
      </w:pPr>
    </w:p>
    <w:p>
      <w:pPr>
        <w:snapToGrid w:val="0"/>
        <w:spacing w:line="360" w:lineRule="auto"/>
        <w:ind w:left="-23" w:leftChars="-11" w:right="-214" w:rightChars="-102" w:firstLine="4416" w:firstLineChars="2103"/>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企业名称（盖章）：</w:t>
      </w:r>
    </w:p>
    <w:p>
      <w:pPr>
        <w:snapToGrid w:val="0"/>
        <w:spacing w:line="360" w:lineRule="auto"/>
        <w:ind w:left="-23" w:leftChars="-11" w:right="-214" w:rightChars="-102" w:firstLine="4416" w:firstLineChars="2103"/>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日 期：</w:t>
      </w:r>
    </w:p>
    <w:p>
      <w:pPr>
        <w:snapToGrid w:val="0"/>
        <w:spacing w:before="50" w:after="50" w:line="360" w:lineRule="auto"/>
        <w:ind w:left="-23" w:leftChars="-11" w:right="-214" w:rightChars="-102" w:firstLine="24" w:firstLineChars="10"/>
        <w:jc w:val="left"/>
        <w:rPr>
          <w:rFonts w:asciiTheme="minorEastAsia" w:hAnsiTheme="minorEastAsia" w:eastAsiaTheme="minorEastAsia"/>
          <w:b/>
          <w:color w:val="auto"/>
          <w:sz w:val="24"/>
          <w:highlight w:val="none"/>
        </w:rPr>
      </w:pPr>
    </w:p>
    <w:p>
      <w:pPr>
        <w:snapToGrid w:val="0"/>
        <w:spacing w:before="50" w:after="50" w:line="360" w:lineRule="auto"/>
        <w:ind w:left="-23" w:leftChars="-11" w:right="-214" w:rightChars="-102" w:firstLine="24" w:firstLineChars="10"/>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请投标人仔细阅读填写说明：</w:t>
      </w:r>
    </w:p>
    <w:p>
      <w:pPr>
        <w:snapToGrid w:val="0"/>
        <w:spacing w:before="50" w:after="50" w:line="360" w:lineRule="auto"/>
        <w:ind w:right="-214" w:rightChars="-102" w:firstLine="422"/>
        <w:jc w:val="left"/>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w:t>
      </w:r>
      <w:r>
        <w:rPr>
          <w:rFonts w:asciiTheme="minorEastAsia" w:hAnsiTheme="minorEastAsia" w:eastAsiaTheme="minorEastAsia"/>
          <w:b/>
          <w:color w:val="auto"/>
          <w:highlight w:val="none"/>
        </w:rPr>
        <w:t>.</w:t>
      </w:r>
      <w:r>
        <w:rPr>
          <w:rFonts w:hint="eastAsia" w:asciiTheme="minorEastAsia" w:hAnsiTheme="minorEastAsia" w:eastAsiaTheme="minorEastAsia"/>
          <w:b/>
          <w:color w:val="auto"/>
          <w:highlight w:val="none"/>
        </w:rPr>
        <w:t>本项目为货物采购项目，货物有中小企业制造，即货物由中小企业生产且使用该企业商号或者注册商标，确认符合的再提交本声明函。</w:t>
      </w:r>
    </w:p>
    <w:p>
      <w:pPr>
        <w:snapToGrid w:val="0"/>
        <w:spacing w:before="50" w:after="50" w:line="360" w:lineRule="auto"/>
        <w:ind w:right="-214" w:rightChars="-102" w:firstLine="422"/>
        <w:jc w:val="left"/>
        <w:rPr>
          <w:rFonts w:asciiTheme="minorEastAsia" w:hAnsiTheme="minorEastAsia" w:eastAsiaTheme="minorEastAsia"/>
          <w:b/>
          <w:color w:val="auto"/>
          <w:highlight w:val="none"/>
        </w:rPr>
      </w:pPr>
      <w:r>
        <w:rPr>
          <w:rFonts w:asciiTheme="minorEastAsia" w:hAnsiTheme="minorEastAsia" w:eastAsiaTheme="minorEastAsia"/>
          <w:b/>
          <w:color w:val="auto"/>
          <w:highlight w:val="none"/>
        </w:rPr>
        <w:t>2</w:t>
      </w:r>
      <w:r>
        <w:rPr>
          <w:rFonts w:hint="eastAsia" w:asciiTheme="minorEastAsia" w:hAnsiTheme="minorEastAsia" w:eastAsiaTheme="minorEastAsia"/>
          <w:b/>
          <w:color w:val="auto"/>
          <w:highlight w:val="none"/>
        </w:rPr>
        <w:t>.从业人员、营业收入、资产总额填报上一年度数据，无上一年度数据的新成立企业可不填报。</w:t>
      </w:r>
    </w:p>
    <w:p>
      <w:pPr>
        <w:snapToGrid w:val="0"/>
        <w:spacing w:before="50" w:after="50" w:line="360" w:lineRule="auto"/>
        <w:ind w:left="-23" w:leftChars="-11" w:right="-214" w:rightChars="-102" w:firstLine="21" w:firstLineChars="10"/>
        <w:jc w:val="left"/>
        <w:rPr>
          <w:rFonts w:asciiTheme="minorEastAsia" w:hAnsiTheme="minorEastAsia" w:eastAsiaTheme="minorEastAsia"/>
          <w:b/>
          <w:color w:val="auto"/>
          <w:highlight w:val="none"/>
        </w:rPr>
      </w:pPr>
      <w:r>
        <w:rPr>
          <w:rFonts w:asciiTheme="minorEastAsia" w:hAnsiTheme="minorEastAsia" w:eastAsiaTheme="minorEastAsia"/>
          <w:b/>
          <w:color w:val="auto"/>
          <w:highlight w:val="none"/>
        </w:rPr>
        <w:t>3</w:t>
      </w:r>
      <w:r>
        <w:rPr>
          <w:rFonts w:hint="eastAsia" w:asciiTheme="minorEastAsia" w:hAnsiTheme="minorEastAsia" w:eastAsiaTheme="minorEastAsia"/>
          <w:b/>
          <w:color w:val="auto"/>
          <w:highlight w:val="none"/>
        </w:rPr>
        <w:t>.投标人应当对其出具的《中小企业声明函》真实性负责，出具的《中小企业声明函》内容不实的，属于提供虚假材料。</w:t>
      </w:r>
    </w:p>
    <w:p>
      <w:pPr>
        <w:snapToGrid w:val="0"/>
        <w:spacing w:before="50" w:after="50" w:line="360" w:lineRule="auto"/>
        <w:ind w:left="-23" w:leftChars="-11" w:right="-214" w:rightChars="-102" w:firstLine="21" w:firstLineChars="10"/>
        <w:jc w:val="left"/>
        <w:rPr>
          <w:rFonts w:asciiTheme="minorEastAsia" w:hAnsiTheme="minorEastAsia" w:eastAsiaTheme="minorEastAsia"/>
          <w:b/>
          <w:color w:val="auto"/>
          <w:highlight w:val="none"/>
        </w:rPr>
      </w:pPr>
      <w:r>
        <w:rPr>
          <w:rFonts w:asciiTheme="minorEastAsia" w:hAnsiTheme="minorEastAsia" w:eastAsiaTheme="minorEastAsia"/>
          <w:b/>
          <w:color w:val="auto"/>
          <w:highlight w:val="none"/>
        </w:rPr>
        <w:t>4</w:t>
      </w:r>
      <w:r>
        <w:rPr>
          <w:rFonts w:hint="eastAsia" w:asciiTheme="minorEastAsia" w:hAnsiTheme="minorEastAsia" w:eastAsiaTheme="minorEastAsia"/>
          <w:b/>
          <w:color w:val="auto"/>
          <w:highlight w:val="none"/>
        </w:rPr>
        <w:t>.事业单位不属于企业不应提交本声明函，其他组织形式的供应商参与本项目并提交本声明函前请仔细阅读相关政策文件。</w:t>
      </w:r>
    </w:p>
    <w:p>
      <w:pPr>
        <w:snapToGrid w:val="0"/>
        <w:spacing w:before="50" w:after="50" w:line="360" w:lineRule="auto"/>
        <w:ind w:left="-23" w:leftChars="-11" w:right="-214" w:rightChars="-102" w:firstLine="21" w:firstLineChars="10"/>
        <w:jc w:val="left"/>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5</w:t>
      </w:r>
      <w:r>
        <w:rPr>
          <w:rFonts w:asciiTheme="minorEastAsia" w:hAnsiTheme="minorEastAsia" w:eastAsiaTheme="minorEastAsia"/>
          <w:b/>
          <w:color w:val="auto"/>
          <w:highlight w:val="none"/>
        </w:rPr>
        <w:t>.</w:t>
      </w:r>
      <w:r>
        <w:rPr>
          <w:rFonts w:hint="eastAsia" w:asciiTheme="minorEastAsia" w:hAnsiTheme="minorEastAsia" w:eastAsiaTheme="minorEastAsia"/>
          <w:b/>
          <w:color w:val="auto"/>
          <w:highlight w:val="none"/>
        </w:rPr>
        <w:t>投标产品为进口的，不享受政策优惠，投标人不应提供本表。</w:t>
      </w:r>
    </w:p>
    <w:p>
      <w:pPr>
        <w:snapToGrid w:val="0"/>
        <w:spacing w:before="50" w:after="50" w:line="360" w:lineRule="auto"/>
        <w:ind w:left="-23" w:leftChars="-11" w:right="-214" w:rightChars="-102" w:firstLine="21" w:firstLineChars="10"/>
        <w:jc w:val="left"/>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6.投标人应当谨慎填写并提供本表。</w:t>
      </w:r>
    </w:p>
    <w:p>
      <w:pPr>
        <w:widowControl/>
        <w:ind w:firstLine="422"/>
        <w:jc w:val="left"/>
        <w:rPr>
          <w:rFonts w:asciiTheme="minorEastAsia" w:hAnsiTheme="minorEastAsia" w:eastAsiaTheme="minorEastAsia"/>
          <w:b/>
          <w:color w:val="auto"/>
          <w:highlight w:val="none"/>
        </w:rPr>
      </w:pPr>
      <w:r>
        <w:rPr>
          <w:rFonts w:asciiTheme="minorEastAsia" w:hAnsiTheme="minorEastAsia" w:eastAsiaTheme="minorEastAsia"/>
          <w:b/>
          <w:color w:val="auto"/>
          <w:highlight w:val="none"/>
        </w:rPr>
        <w:br w:type="page"/>
      </w:r>
    </w:p>
    <w:p>
      <w:pPr>
        <w:snapToGrid w:val="0"/>
        <w:spacing w:line="360" w:lineRule="auto"/>
        <w:ind w:left="-23" w:leftChars="-11" w:right="-214" w:rightChars="-102" w:firstLine="21" w:firstLineChars="10"/>
        <w:jc w:val="center"/>
        <w:rPr>
          <w:rFonts w:asciiTheme="minorEastAsia" w:hAnsiTheme="minorEastAsia" w:eastAsiaTheme="minorEastAsia"/>
          <w:color w:val="auto"/>
          <w:highlight w:val="none"/>
        </w:rPr>
      </w:pPr>
      <w:r>
        <w:rPr>
          <w:rFonts w:cs="宋体" w:asciiTheme="minorEastAsia" w:hAnsiTheme="minorEastAsia" w:eastAsiaTheme="minorEastAsia"/>
          <w:b/>
          <w:color w:val="auto"/>
          <w:szCs w:val="21"/>
          <w:highlight w:val="none"/>
        </w:rPr>
        <w:t>中小企业声明函</w:t>
      </w:r>
      <w:r>
        <w:rPr>
          <w:rFonts w:hint="eastAsia" w:cs="宋体" w:asciiTheme="minorEastAsia" w:hAnsiTheme="minorEastAsia" w:eastAsiaTheme="minorEastAsia"/>
          <w:b/>
          <w:color w:val="auto"/>
          <w:szCs w:val="21"/>
          <w:highlight w:val="none"/>
        </w:rPr>
        <w:t>（标项五）</w:t>
      </w:r>
    </w:p>
    <w:p>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本公司（联合体）郑重声明，根据《政府采购促进中小企业发展管理办法》（财库﹝2020﹞46号）的规定，本公司（联合体）参加</w:t>
      </w:r>
      <w:r>
        <w:rPr>
          <w:rFonts w:hint="eastAsia" w:asciiTheme="minorEastAsia" w:hAnsiTheme="minorEastAsia" w:eastAsiaTheme="minorEastAsia"/>
          <w:b/>
          <w:color w:val="auto"/>
          <w:highlight w:val="none"/>
          <w:u w:val="single"/>
        </w:rPr>
        <w:t>宁波工程学院</w:t>
      </w:r>
      <w:r>
        <w:rPr>
          <w:rFonts w:asciiTheme="minorEastAsia" w:hAnsiTheme="minorEastAsia" w:eastAsiaTheme="minorEastAsia"/>
          <w:color w:val="auto"/>
          <w:highlight w:val="none"/>
        </w:rPr>
        <w:t>的</w:t>
      </w:r>
      <w:r>
        <w:rPr>
          <w:rFonts w:hint="eastAsia" w:asciiTheme="minorEastAsia" w:hAnsiTheme="minorEastAsia" w:eastAsiaTheme="minorEastAsia"/>
          <w:b/>
          <w:color w:val="auto"/>
          <w:szCs w:val="21"/>
          <w:highlight w:val="none"/>
          <w:u w:val="single"/>
        </w:rPr>
        <w:t>宁波工程学院新能源产业技术创新实践基地进口设备采购项目</w:t>
      </w:r>
      <w:r>
        <w:rPr>
          <w:rFonts w:asciiTheme="minorEastAsia" w:hAnsiTheme="minorEastAsia" w:eastAsiaTheme="minorEastAsia"/>
          <w:color w:val="auto"/>
          <w:highlight w:val="none"/>
        </w:rPr>
        <w:t>采购活动，提供的货物全部由符合政策要求的中小企业制造。相关企业（含联合体中的中小企业、签订分包意向协议的中小企业）的具体情况如下：</w:t>
      </w:r>
    </w:p>
    <w:p>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1.</w:t>
      </w:r>
      <w:r>
        <w:rPr>
          <w:rFonts w:hint="eastAsia" w:asciiTheme="minorEastAsia" w:hAnsiTheme="minorEastAsia" w:eastAsiaTheme="minorEastAsia"/>
          <w:b/>
          <w:color w:val="auto"/>
          <w:highlight w:val="none"/>
          <w:u w:val="single"/>
        </w:rPr>
        <w:t xml:space="preserve">  核磁共振波谱仪 </w:t>
      </w:r>
      <w:r>
        <w:rPr>
          <w:rFonts w:asciiTheme="minorEastAsia" w:hAnsiTheme="minorEastAsia" w:eastAsiaTheme="minorEastAsia"/>
          <w:b/>
          <w:color w:val="auto"/>
          <w:highlight w:val="none"/>
          <w:u w:val="single"/>
        </w:rPr>
        <w:t xml:space="preserve"> </w:t>
      </w:r>
      <w:r>
        <w:rPr>
          <w:rFonts w:asciiTheme="minorEastAsia" w:hAnsiTheme="minorEastAsia" w:eastAsiaTheme="minorEastAsia"/>
          <w:color w:val="auto"/>
          <w:highlight w:val="none"/>
        </w:rPr>
        <w:t>，属于</w:t>
      </w:r>
      <w:r>
        <w:rPr>
          <w:rFonts w:asciiTheme="minorEastAsia" w:hAnsiTheme="minorEastAsia" w:eastAsiaTheme="minorEastAsia"/>
          <w:b/>
          <w:color w:val="auto"/>
          <w:highlight w:val="none"/>
          <w:u w:val="single"/>
        </w:rPr>
        <w:t xml:space="preserve">  </w:t>
      </w:r>
      <w:r>
        <w:rPr>
          <w:rFonts w:hint="eastAsia" w:asciiTheme="minorEastAsia" w:hAnsiTheme="minorEastAsia" w:eastAsiaTheme="minorEastAsia"/>
          <w:b/>
          <w:color w:val="auto"/>
          <w:highlight w:val="none"/>
          <w:u w:val="single"/>
        </w:rPr>
        <w:t>工业</w:t>
      </w:r>
      <w:r>
        <w:rPr>
          <w:rFonts w:asciiTheme="minorEastAsia" w:hAnsiTheme="minorEastAsia" w:eastAsiaTheme="minorEastAsia"/>
          <w:b/>
          <w:color w:val="auto"/>
          <w:highlight w:val="none"/>
          <w:u w:val="single"/>
        </w:rPr>
        <w:t xml:space="preserve">  </w:t>
      </w:r>
      <w:r>
        <w:rPr>
          <w:rFonts w:asciiTheme="minorEastAsia" w:hAnsiTheme="minorEastAsia" w:eastAsiaTheme="minorEastAsia"/>
          <w:color w:val="auto"/>
          <w:highlight w:val="none"/>
        </w:rPr>
        <w:t>；制造商为</w:t>
      </w:r>
      <w:r>
        <w:rPr>
          <w:rFonts w:asciiTheme="minorEastAsia" w:hAnsiTheme="minorEastAsia" w:eastAsiaTheme="minorEastAsia"/>
          <w:color w:val="auto"/>
          <w:highlight w:val="none"/>
          <w:u w:val="single"/>
        </w:rPr>
        <w:t xml:space="preserve">    （企业名称）</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u w:val="single"/>
        </w:rPr>
        <w:t xml:space="preserve">     （中型企业、小型企业、微型企业）</w:t>
      </w:r>
      <w:r>
        <w:rPr>
          <w:rFonts w:asciiTheme="minorEastAsia" w:hAnsiTheme="minorEastAsia" w:eastAsiaTheme="minorEastAsia"/>
          <w:color w:val="auto"/>
          <w:highlight w:val="none"/>
        </w:rPr>
        <w:t>；</w:t>
      </w:r>
    </w:p>
    <w:p>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w:t>
      </w:r>
      <w:r>
        <w:rPr>
          <w:rFonts w:asciiTheme="minorEastAsia" w:hAnsiTheme="minorEastAsia" w:eastAsiaTheme="minorEastAsia"/>
          <w:color w:val="auto"/>
          <w:highlight w:val="none"/>
        </w:rPr>
        <w:t>.</w:t>
      </w:r>
      <w:r>
        <w:rPr>
          <w:rFonts w:hint="eastAsia" w:asciiTheme="minorEastAsia" w:hAnsiTheme="minorEastAsia" w:eastAsiaTheme="minorEastAsia"/>
          <w:b/>
          <w:color w:val="auto"/>
          <w:highlight w:val="none"/>
          <w:u w:val="single"/>
        </w:rPr>
        <w:t xml:space="preserve">                  </w:t>
      </w:r>
      <w:r>
        <w:rPr>
          <w:rFonts w:asciiTheme="minorEastAsia" w:hAnsiTheme="minorEastAsia" w:eastAsiaTheme="minorEastAsia"/>
          <w:b/>
          <w:color w:val="auto"/>
          <w:highlight w:val="none"/>
          <w:u w:val="single"/>
        </w:rPr>
        <w:t xml:space="preserve"> </w:t>
      </w:r>
      <w:r>
        <w:rPr>
          <w:rFonts w:asciiTheme="minorEastAsia" w:hAnsiTheme="minorEastAsia" w:eastAsiaTheme="minorEastAsia"/>
          <w:color w:val="auto"/>
          <w:highlight w:val="none"/>
        </w:rPr>
        <w:t>，属于</w:t>
      </w:r>
      <w:r>
        <w:rPr>
          <w:rFonts w:asciiTheme="minorEastAsia" w:hAnsiTheme="minorEastAsia" w:eastAsiaTheme="minorEastAsia"/>
          <w:b/>
          <w:color w:val="auto"/>
          <w:highlight w:val="none"/>
          <w:u w:val="single"/>
        </w:rPr>
        <w:t xml:space="preserve">  </w:t>
      </w:r>
      <w:r>
        <w:rPr>
          <w:rFonts w:hint="eastAsia" w:asciiTheme="minorEastAsia" w:hAnsiTheme="minorEastAsia" w:eastAsiaTheme="minorEastAsia"/>
          <w:b/>
          <w:color w:val="auto"/>
          <w:highlight w:val="none"/>
          <w:u w:val="single"/>
        </w:rPr>
        <w:t>工业</w:t>
      </w:r>
      <w:r>
        <w:rPr>
          <w:rFonts w:asciiTheme="minorEastAsia" w:hAnsiTheme="minorEastAsia" w:eastAsiaTheme="minorEastAsia"/>
          <w:b/>
          <w:color w:val="auto"/>
          <w:highlight w:val="none"/>
          <w:u w:val="single"/>
        </w:rPr>
        <w:t xml:space="preserve">  </w:t>
      </w:r>
      <w:r>
        <w:rPr>
          <w:rFonts w:asciiTheme="minorEastAsia" w:hAnsiTheme="minorEastAsia" w:eastAsiaTheme="minorEastAsia"/>
          <w:color w:val="auto"/>
          <w:highlight w:val="none"/>
        </w:rPr>
        <w:t>；制造商为</w:t>
      </w:r>
      <w:r>
        <w:rPr>
          <w:rFonts w:asciiTheme="minorEastAsia" w:hAnsiTheme="minorEastAsia" w:eastAsiaTheme="minorEastAsia"/>
          <w:color w:val="auto"/>
          <w:highlight w:val="none"/>
          <w:u w:val="single"/>
        </w:rPr>
        <w:t xml:space="preserve">    （企业名称）</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u w:val="single"/>
        </w:rPr>
        <w:t xml:space="preserve">     （中型企业、小型企业、微型企业）</w:t>
      </w:r>
      <w:r>
        <w:rPr>
          <w:rFonts w:asciiTheme="minorEastAsia" w:hAnsiTheme="minorEastAsia" w:eastAsiaTheme="minorEastAsia"/>
          <w:color w:val="auto"/>
          <w:highlight w:val="none"/>
        </w:rPr>
        <w:t>；</w:t>
      </w:r>
    </w:p>
    <w:p>
      <w:pPr>
        <w:rPr>
          <w:color w:val="auto"/>
          <w:highlight w:val="none"/>
        </w:rPr>
      </w:pPr>
    </w:p>
    <w:p>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w:t>
      </w:r>
    </w:p>
    <w:p>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以上企业，不属于大企业的分支机构，不存在控股股东为大企业的情形，也不存在与大企业的负责人为同一人的情形。</w:t>
      </w:r>
    </w:p>
    <w:p>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本企业对上述声明内容的真实性负责。如有虚假，将依法承担相应责任。</w:t>
      </w:r>
    </w:p>
    <w:p>
      <w:pPr>
        <w:snapToGrid w:val="0"/>
        <w:spacing w:line="360" w:lineRule="auto"/>
        <w:ind w:left="-23" w:leftChars="-11" w:right="-214" w:rightChars="-102" w:firstLine="4416" w:firstLineChars="2103"/>
        <w:jc w:val="left"/>
        <w:rPr>
          <w:rFonts w:asciiTheme="minorEastAsia" w:hAnsiTheme="minorEastAsia" w:eastAsiaTheme="minorEastAsia"/>
          <w:color w:val="auto"/>
          <w:highlight w:val="none"/>
        </w:rPr>
      </w:pPr>
    </w:p>
    <w:p>
      <w:pPr>
        <w:snapToGrid w:val="0"/>
        <w:spacing w:line="360" w:lineRule="auto"/>
        <w:ind w:left="-23" w:leftChars="-11" w:right="-214" w:rightChars="-102" w:firstLine="4416" w:firstLineChars="2103"/>
        <w:jc w:val="left"/>
        <w:rPr>
          <w:rFonts w:asciiTheme="minorEastAsia" w:hAnsiTheme="minorEastAsia" w:eastAsiaTheme="minorEastAsia"/>
          <w:color w:val="auto"/>
          <w:highlight w:val="none"/>
        </w:rPr>
      </w:pPr>
    </w:p>
    <w:p>
      <w:pPr>
        <w:snapToGrid w:val="0"/>
        <w:spacing w:line="360" w:lineRule="auto"/>
        <w:ind w:left="-23" w:leftChars="-11" w:right="-214" w:rightChars="-102" w:firstLine="4416" w:firstLineChars="2103"/>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企业名称（盖章）：</w:t>
      </w:r>
    </w:p>
    <w:p>
      <w:pPr>
        <w:snapToGrid w:val="0"/>
        <w:spacing w:line="360" w:lineRule="auto"/>
        <w:ind w:left="-23" w:leftChars="-11" w:right="-214" w:rightChars="-102" w:firstLine="4416" w:firstLineChars="2103"/>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日 期：</w:t>
      </w:r>
    </w:p>
    <w:p>
      <w:pPr>
        <w:snapToGrid w:val="0"/>
        <w:spacing w:before="50" w:after="50" w:line="360" w:lineRule="auto"/>
        <w:ind w:left="-23" w:leftChars="-11" w:right="-214" w:rightChars="-102" w:firstLine="24" w:firstLineChars="10"/>
        <w:jc w:val="left"/>
        <w:rPr>
          <w:rFonts w:asciiTheme="minorEastAsia" w:hAnsiTheme="minorEastAsia" w:eastAsiaTheme="minorEastAsia"/>
          <w:b/>
          <w:color w:val="auto"/>
          <w:sz w:val="24"/>
          <w:highlight w:val="none"/>
        </w:rPr>
      </w:pPr>
    </w:p>
    <w:p>
      <w:pPr>
        <w:snapToGrid w:val="0"/>
        <w:spacing w:before="50" w:after="50" w:line="360" w:lineRule="auto"/>
        <w:ind w:left="-23" w:leftChars="-11" w:right="-214" w:rightChars="-102" w:firstLine="24" w:firstLineChars="10"/>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请投标人仔细阅读填写说明：</w:t>
      </w:r>
    </w:p>
    <w:p>
      <w:pPr>
        <w:snapToGrid w:val="0"/>
        <w:spacing w:before="50" w:after="50" w:line="360" w:lineRule="auto"/>
        <w:ind w:right="-214" w:rightChars="-102" w:firstLine="422"/>
        <w:jc w:val="left"/>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w:t>
      </w:r>
      <w:r>
        <w:rPr>
          <w:rFonts w:asciiTheme="minorEastAsia" w:hAnsiTheme="minorEastAsia" w:eastAsiaTheme="minorEastAsia"/>
          <w:b/>
          <w:color w:val="auto"/>
          <w:highlight w:val="none"/>
        </w:rPr>
        <w:t>.</w:t>
      </w:r>
      <w:r>
        <w:rPr>
          <w:rFonts w:hint="eastAsia" w:asciiTheme="minorEastAsia" w:hAnsiTheme="minorEastAsia" w:eastAsiaTheme="minorEastAsia"/>
          <w:b/>
          <w:color w:val="auto"/>
          <w:highlight w:val="none"/>
        </w:rPr>
        <w:t>本项目为货物采购项目，货物有中小企业制造，即货物由中小企业生产且使用该企业商号或者注册商标，确认符合的再提交本声明函。</w:t>
      </w:r>
    </w:p>
    <w:p>
      <w:pPr>
        <w:snapToGrid w:val="0"/>
        <w:spacing w:before="50" w:after="50" w:line="360" w:lineRule="auto"/>
        <w:ind w:right="-214" w:rightChars="-102" w:firstLine="422"/>
        <w:jc w:val="left"/>
        <w:rPr>
          <w:rFonts w:asciiTheme="minorEastAsia" w:hAnsiTheme="minorEastAsia" w:eastAsiaTheme="minorEastAsia"/>
          <w:b/>
          <w:color w:val="auto"/>
          <w:highlight w:val="none"/>
        </w:rPr>
      </w:pPr>
      <w:r>
        <w:rPr>
          <w:rFonts w:asciiTheme="minorEastAsia" w:hAnsiTheme="minorEastAsia" w:eastAsiaTheme="minorEastAsia"/>
          <w:b/>
          <w:color w:val="auto"/>
          <w:highlight w:val="none"/>
        </w:rPr>
        <w:t>2</w:t>
      </w:r>
      <w:r>
        <w:rPr>
          <w:rFonts w:hint="eastAsia" w:asciiTheme="minorEastAsia" w:hAnsiTheme="minorEastAsia" w:eastAsiaTheme="minorEastAsia"/>
          <w:b/>
          <w:color w:val="auto"/>
          <w:highlight w:val="none"/>
        </w:rPr>
        <w:t>.从业人员、营业收入、资产总额填报上一年度数据，无上一年度数据的新成立企业可不填报。</w:t>
      </w:r>
    </w:p>
    <w:p>
      <w:pPr>
        <w:snapToGrid w:val="0"/>
        <w:spacing w:before="50" w:after="50" w:line="360" w:lineRule="auto"/>
        <w:ind w:left="-23" w:leftChars="-11" w:right="-214" w:rightChars="-102" w:firstLine="21" w:firstLineChars="10"/>
        <w:jc w:val="left"/>
        <w:rPr>
          <w:rFonts w:asciiTheme="minorEastAsia" w:hAnsiTheme="minorEastAsia" w:eastAsiaTheme="minorEastAsia"/>
          <w:b/>
          <w:color w:val="auto"/>
          <w:highlight w:val="none"/>
        </w:rPr>
      </w:pPr>
      <w:r>
        <w:rPr>
          <w:rFonts w:asciiTheme="minorEastAsia" w:hAnsiTheme="minorEastAsia" w:eastAsiaTheme="minorEastAsia"/>
          <w:b/>
          <w:color w:val="auto"/>
          <w:highlight w:val="none"/>
        </w:rPr>
        <w:t>3</w:t>
      </w:r>
      <w:r>
        <w:rPr>
          <w:rFonts w:hint="eastAsia" w:asciiTheme="minorEastAsia" w:hAnsiTheme="minorEastAsia" w:eastAsiaTheme="minorEastAsia"/>
          <w:b/>
          <w:color w:val="auto"/>
          <w:highlight w:val="none"/>
        </w:rPr>
        <w:t>.投标人应当对其出具的《中小企业声明函》真实性负责，出具的《中小企业声明函》内容不实的，属于提供虚假材料。</w:t>
      </w:r>
    </w:p>
    <w:p>
      <w:pPr>
        <w:snapToGrid w:val="0"/>
        <w:spacing w:before="50" w:after="50" w:line="360" w:lineRule="auto"/>
        <w:ind w:left="-23" w:leftChars="-11" w:right="-214" w:rightChars="-102" w:firstLine="21" w:firstLineChars="10"/>
        <w:jc w:val="left"/>
        <w:rPr>
          <w:rFonts w:asciiTheme="minorEastAsia" w:hAnsiTheme="minorEastAsia" w:eastAsiaTheme="minorEastAsia"/>
          <w:b/>
          <w:color w:val="auto"/>
          <w:highlight w:val="none"/>
        </w:rPr>
      </w:pPr>
      <w:r>
        <w:rPr>
          <w:rFonts w:asciiTheme="minorEastAsia" w:hAnsiTheme="minorEastAsia" w:eastAsiaTheme="minorEastAsia"/>
          <w:b/>
          <w:color w:val="auto"/>
          <w:highlight w:val="none"/>
        </w:rPr>
        <w:t>4</w:t>
      </w:r>
      <w:r>
        <w:rPr>
          <w:rFonts w:hint="eastAsia" w:asciiTheme="minorEastAsia" w:hAnsiTheme="minorEastAsia" w:eastAsiaTheme="minorEastAsia"/>
          <w:b/>
          <w:color w:val="auto"/>
          <w:highlight w:val="none"/>
        </w:rPr>
        <w:t>.事业单位不属于企业不应提交本声明函，其他组织形式的供应商参与本项目并提交本声明函前请仔细阅读相关政策文件。</w:t>
      </w:r>
    </w:p>
    <w:p>
      <w:pPr>
        <w:snapToGrid w:val="0"/>
        <w:spacing w:before="50" w:after="50" w:line="360" w:lineRule="auto"/>
        <w:ind w:left="-23" w:leftChars="-11" w:right="-214" w:rightChars="-102" w:firstLine="21" w:firstLineChars="10"/>
        <w:jc w:val="left"/>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5</w:t>
      </w:r>
      <w:r>
        <w:rPr>
          <w:rFonts w:asciiTheme="minorEastAsia" w:hAnsiTheme="minorEastAsia" w:eastAsiaTheme="minorEastAsia"/>
          <w:b/>
          <w:color w:val="auto"/>
          <w:highlight w:val="none"/>
        </w:rPr>
        <w:t>.</w:t>
      </w:r>
      <w:r>
        <w:rPr>
          <w:rFonts w:hint="eastAsia" w:asciiTheme="minorEastAsia" w:hAnsiTheme="minorEastAsia" w:eastAsiaTheme="minorEastAsia"/>
          <w:b/>
          <w:color w:val="auto"/>
          <w:highlight w:val="none"/>
        </w:rPr>
        <w:t>投标产品为进口的，不享受政策优惠，投标人不应提供本表。</w:t>
      </w:r>
    </w:p>
    <w:p>
      <w:pPr>
        <w:snapToGrid w:val="0"/>
        <w:spacing w:before="50" w:after="50" w:line="360" w:lineRule="auto"/>
        <w:ind w:left="-23" w:leftChars="-11" w:right="-214" w:rightChars="-102" w:firstLine="21" w:firstLineChars="10"/>
        <w:jc w:val="left"/>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6.投标人应当谨慎填写并提供本表。</w:t>
      </w:r>
    </w:p>
    <w:p>
      <w:pPr>
        <w:snapToGrid w:val="0"/>
        <w:spacing w:before="50" w:after="50" w:line="360" w:lineRule="auto"/>
        <w:ind w:left="-23" w:leftChars="-11" w:right="-214" w:rightChars="-102" w:firstLine="21" w:firstLineChars="10"/>
        <w:jc w:val="left"/>
        <w:rPr>
          <w:rFonts w:asciiTheme="minorEastAsia" w:hAnsiTheme="minorEastAsia" w:eastAsiaTheme="minorEastAsia"/>
          <w:b/>
          <w:color w:val="auto"/>
          <w:highlight w:val="none"/>
        </w:rPr>
      </w:pPr>
    </w:p>
    <w:p>
      <w:pPr>
        <w:widowControl/>
        <w:ind w:firstLine="422"/>
        <w:jc w:val="left"/>
        <w:rPr>
          <w:rFonts w:cs="宋体" w:asciiTheme="minorEastAsia" w:hAnsiTheme="minorEastAsia" w:eastAsiaTheme="minorEastAsia"/>
          <w:b/>
          <w:color w:val="auto"/>
          <w:szCs w:val="21"/>
          <w:highlight w:val="none"/>
        </w:rPr>
      </w:pPr>
      <w:r>
        <w:rPr>
          <w:rFonts w:cs="宋体" w:asciiTheme="minorEastAsia" w:hAnsiTheme="minorEastAsia" w:eastAsiaTheme="minorEastAsia"/>
          <w:b/>
          <w:color w:val="auto"/>
          <w:szCs w:val="21"/>
          <w:highlight w:val="none"/>
        </w:rPr>
        <w:br w:type="page"/>
      </w:r>
    </w:p>
    <w:p>
      <w:pPr>
        <w:snapToGrid w:val="0"/>
        <w:spacing w:line="360" w:lineRule="auto"/>
        <w:ind w:left="-23" w:leftChars="-11" w:right="-214" w:rightChars="-102" w:firstLine="21" w:firstLineChars="10"/>
        <w:jc w:val="center"/>
        <w:rPr>
          <w:rFonts w:asciiTheme="minorEastAsia" w:hAnsiTheme="minorEastAsia" w:eastAsiaTheme="minorEastAsia"/>
          <w:color w:val="auto"/>
          <w:highlight w:val="none"/>
        </w:rPr>
      </w:pPr>
      <w:r>
        <w:rPr>
          <w:rFonts w:cs="宋体" w:asciiTheme="minorEastAsia" w:hAnsiTheme="minorEastAsia" w:eastAsiaTheme="minorEastAsia"/>
          <w:b/>
          <w:color w:val="auto"/>
          <w:szCs w:val="21"/>
          <w:highlight w:val="none"/>
        </w:rPr>
        <w:t>中小企业声明函</w:t>
      </w:r>
      <w:r>
        <w:rPr>
          <w:rFonts w:hint="eastAsia" w:cs="宋体" w:asciiTheme="minorEastAsia" w:hAnsiTheme="minorEastAsia" w:eastAsiaTheme="minorEastAsia"/>
          <w:b/>
          <w:color w:val="auto"/>
          <w:szCs w:val="21"/>
          <w:highlight w:val="none"/>
        </w:rPr>
        <w:t>（标项六）</w:t>
      </w:r>
    </w:p>
    <w:p>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本公司（联合体）郑重声明，根据《政府采购促进中小企业发展管理办法》（财库﹝2020﹞46号）的规定，本公司（联合体）参加</w:t>
      </w:r>
      <w:r>
        <w:rPr>
          <w:rFonts w:hint="eastAsia" w:asciiTheme="minorEastAsia" w:hAnsiTheme="minorEastAsia" w:eastAsiaTheme="minorEastAsia"/>
          <w:b/>
          <w:color w:val="auto"/>
          <w:highlight w:val="none"/>
          <w:u w:val="single"/>
        </w:rPr>
        <w:t>宁波工程学院</w:t>
      </w:r>
      <w:r>
        <w:rPr>
          <w:rFonts w:asciiTheme="minorEastAsia" w:hAnsiTheme="minorEastAsia" w:eastAsiaTheme="minorEastAsia"/>
          <w:color w:val="auto"/>
          <w:highlight w:val="none"/>
        </w:rPr>
        <w:t>的</w:t>
      </w:r>
      <w:r>
        <w:rPr>
          <w:rFonts w:hint="eastAsia" w:asciiTheme="minorEastAsia" w:hAnsiTheme="minorEastAsia" w:eastAsiaTheme="minorEastAsia"/>
          <w:b/>
          <w:color w:val="auto"/>
          <w:szCs w:val="21"/>
          <w:highlight w:val="none"/>
          <w:u w:val="single"/>
        </w:rPr>
        <w:t>宁波工程学院新能源产业技术创新实践基地进口设备采购项目</w:t>
      </w:r>
      <w:r>
        <w:rPr>
          <w:rFonts w:asciiTheme="minorEastAsia" w:hAnsiTheme="minorEastAsia" w:eastAsiaTheme="minorEastAsia"/>
          <w:color w:val="auto"/>
          <w:highlight w:val="none"/>
        </w:rPr>
        <w:t>采购活动，提供的货物全部由符合政策要求的中小企业制造。相关企业（含联合体中的中小企业、签订分包意向协议的中小企业）的具体情况如下：</w:t>
      </w:r>
    </w:p>
    <w:p>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1.</w:t>
      </w:r>
      <w:r>
        <w:rPr>
          <w:rFonts w:hint="eastAsia" w:asciiTheme="minorEastAsia" w:hAnsiTheme="minorEastAsia" w:eastAsiaTheme="minorEastAsia"/>
          <w:b/>
          <w:color w:val="auto"/>
          <w:highlight w:val="none"/>
          <w:u w:val="single"/>
        </w:rPr>
        <w:t xml:space="preserve">  高精度阻抗测试系统  </w:t>
      </w:r>
      <w:r>
        <w:rPr>
          <w:rFonts w:asciiTheme="minorEastAsia" w:hAnsiTheme="minorEastAsia" w:eastAsiaTheme="minorEastAsia"/>
          <w:color w:val="auto"/>
          <w:highlight w:val="none"/>
        </w:rPr>
        <w:t>，属于</w:t>
      </w:r>
      <w:r>
        <w:rPr>
          <w:rFonts w:asciiTheme="minorEastAsia" w:hAnsiTheme="minorEastAsia" w:eastAsiaTheme="minorEastAsia"/>
          <w:b/>
          <w:color w:val="auto"/>
          <w:highlight w:val="none"/>
          <w:u w:val="single"/>
        </w:rPr>
        <w:t xml:space="preserve">  </w:t>
      </w:r>
      <w:r>
        <w:rPr>
          <w:rFonts w:hint="eastAsia" w:asciiTheme="minorEastAsia" w:hAnsiTheme="minorEastAsia" w:eastAsiaTheme="minorEastAsia"/>
          <w:b/>
          <w:color w:val="auto"/>
          <w:highlight w:val="none"/>
          <w:u w:val="single"/>
        </w:rPr>
        <w:t>工业</w:t>
      </w:r>
      <w:r>
        <w:rPr>
          <w:rFonts w:asciiTheme="minorEastAsia" w:hAnsiTheme="minorEastAsia" w:eastAsiaTheme="minorEastAsia"/>
          <w:b/>
          <w:color w:val="auto"/>
          <w:highlight w:val="none"/>
          <w:u w:val="single"/>
        </w:rPr>
        <w:t xml:space="preserve">  </w:t>
      </w:r>
      <w:r>
        <w:rPr>
          <w:rFonts w:asciiTheme="minorEastAsia" w:hAnsiTheme="minorEastAsia" w:eastAsiaTheme="minorEastAsia"/>
          <w:color w:val="auto"/>
          <w:highlight w:val="none"/>
        </w:rPr>
        <w:t>；制造商为</w:t>
      </w:r>
      <w:r>
        <w:rPr>
          <w:rFonts w:asciiTheme="minorEastAsia" w:hAnsiTheme="minorEastAsia" w:eastAsiaTheme="minorEastAsia"/>
          <w:color w:val="auto"/>
          <w:highlight w:val="none"/>
          <w:u w:val="single"/>
        </w:rPr>
        <w:t xml:space="preserve">    （企业名称）</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u w:val="single"/>
        </w:rPr>
        <w:t xml:space="preserve">     （中型企业、小型企业、微型企业）</w:t>
      </w:r>
      <w:r>
        <w:rPr>
          <w:rFonts w:asciiTheme="minorEastAsia" w:hAnsiTheme="minorEastAsia" w:eastAsiaTheme="minorEastAsia"/>
          <w:color w:val="auto"/>
          <w:highlight w:val="none"/>
        </w:rPr>
        <w:t>；</w:t>
      </w:r>
    </w:p>
    <w:p>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w:t>
      </w:r>
      <w:r>
        <w:rPr>
          <w:rFonts w:asciiTheme="minorEastAsia" w:hAnsiTheme="minorEastAsia" w:eastAsiaTheme="minorEastAsia"/>
          <w:color w:val="auto"/>
          <w:highlight w:val="none"/>
        </w:rPr>
        <w:t>.</w:t>
      </w:r>
      <w:r>
        <w:rPr>
          <w:rFonts w:hint="eastAsia" w:asciiTheme="minorEastAsia" w:hAnsiTheme="minorEastAsia" w:eastAsiaTheme="minorEastAsia"/>
          <w:b/>
          <w:color w:val="auto"/>
          <w:highlight w:val="none"/>
          <w:u w:val="single"/>
        </w:rPr>
        <w:t xml:space="preserve">  环形聚焦单模微波合成仪 </w:t>
      </w:r>
      <w:r>
        <w:rPr>
          <w:rFonts w:asciiTheme="minorEastAsia" w:hAnsiTheme="minorEastAsia" w:eastAsiaTheme="minorEastAsia"/>
          <w:b/>
          <w:color w:val="auto"/>
          <w:highlight w:val="none"/>
          <w:u w:val="single"/>
        </w:rPr>
        <w:t xml:space="preserve"> </w:t>
      </w:r>
      <w:r>
        <w:rPr>
          <w:rFonts w:asciiTheme="minorEastAsia" w:hAnsiTheme="minorEastAsia" w:eastAsiaTheme="minorEastAsia"/>
          <w:color w:val="auto"/>
          <w:highlight w:val="none"/>
        </w:rPr>
        <w:t>，属于</w:t>
      </w:r>
      <w:r>
        <w:rPr>
          <w:rFonts w:asciiTheme="minorEastAsia" w:hAnsiTheme="minorEastAsia" w:eastAsiaTheme="minorEastAsia"/>
          <w:b/>
          <w:color w:val="auto"/>
          <w:highlight w:val="none"/>
          <w:u w:val="single"/>
        </w:rPr>
        <w:t xml:space="preserve">  </w:t>
      </w:r>
      <w:r>
        <w:rPr>
          <w:rFonts w:hint="eastAsia" w:asciiTheme="minorEastAsia" w:hAnsiTheme="minorEastAsia" w:eastAsiaTheme="minorEastAsia"/>
          <w:b/>
          <w:color w:val="auto"/>
          <w:highlight w:val="none"/>
          <w:u w:val="single"/>
        </w:rPr>
        <w:t>工业</w:t>
      </w:r>
      <w:r>
        <w:rPr>
          <w:rFonts w:asciiTheme="minorEastAsia" w:hAnsiTheme="minorEastAsia" w:eastAsiaTheme="minorEastAsia"/>
          <w:b/>
          <w:color w:val="auto"/>
          <w:highlight w:val="none"/>
          <w:u w:val="single"/>
        </w:rPr>
        <w:t xml:space="preserve">  </w:t>
      </w:r>
      <w:r>
        <w:rPr>
          <w:rFonts w:asciiTheme="minorEastAsia" w:hAnsiTheme="minorEastAsia" w:eastAsiaTheme="minorEastAsia"/>
          <w:color w:val="auto"/>
          <w:highlight w:val="none"/>
        </w:rPr>
        <w:t>；制造商为</w:t>
      </w:r>
      <w:r>
        <w:rPr>
          <w:rFonts w:asciiTheme="minorEastAsia" w:hAnsiTheme="minorEastAsia" w:eastAsiaTheme="minorEastAsia"/>
          <w:color w:val="auto"/>
          <w:highlight w:val="none"/>
          <w:u w:val="single"/>
        </w:rPr>
        <w:t xml:space="preserve">    （企业名称）</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u w:val="single"/>
        </w:rPr>
        <w:t xml:space="preserve">     （中型企业、小型企业、微型企业）</w:t>
      </w:r>
      <w:r>
        <w:rPr>
          <w:rFonts w:asciiTheme="minorEastAsia" w:hAnsiTheme="minorEastAsia" w:eastAsiaTheme="minorEastAsia"/>
          <w:color w:val="auto"/>
          <w:highlight w:val="none"/>
        </w:rPr>
        <w:t>；</w:t>
      </w:r>
    </w:p>
    <w:p>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w:t>
      </w:r>
      <w:r>
        <w:rPr>
          <w:rFonts w:asciiTheme="minorEastAsia" w:hAnsiTheme="minorEastAsia" w:eastAsiaTheme="minorEastAsia"/>
          <w:color w:val="auto"/>
          <w:highlight w:val="none"/>
        </w:rPr>
        <w:t>.</w:t>
      </w:r>
      <w:r>
        <w:rPr>
          <w:rFonts w:hint="eastAsia" w:asciiTheme="minorEastAsia" w:hAnsiTheme="minorEastAsia" w:eastAsiaTheme="minorEastAsia"/>
          <w:b/>
          <w:color w:val="auto"/>
          <w:highlight w:val="none"/>
          <w:u w:val="single"/>
        </w:rPr>
        <w:t xml:space="preserve">  高能球磨仪 </w:t>
      </w:r>
      <w:r>
        <w:rPr>
          <w:rFonts w:asciiTheme="minorEastAsia" w:hAnsiTheme="minorEastAsia" w:eastAsiaTheme="minorEastAsia"/>
          <w:b/>
          <w:color w:val="auto"/>
          <w:highlight w:val="none"/>
          <w:u w:val="single"/>
        </w:rPr>
        <w:t xml:space="preserve"> </w:t>
      </w:r>
      <w:r>
        <w:rPr>
          <w:rFonts w:asciiTheme="minorEastAsia" w:hAnsiTheme="minorEastAsia" w:eastAsiaTheme="minorEastAsia"/>
          <w:color w:val="auto"/>
          <w:highlight w:val="none"/>
        </w:rPr>
        <w:t>，属于</w:t>
      </w:r>
      <w:r>
        <w:rPr>
          <w:rFonts w:asciiTheme="minorEastAsia" w:hAnsiTheme="minorEastAsia" w:eastAsiaTheme="minorEastAsia"/>
          <w:b/>
          <w:color w:val="auto"/>
          <w:highlight w:val="none"/>
          <w:u w:val="single"/>
        </w:rPr>
        <w:t xml:space="preserve">  </w:t>
      </w:r>
      <w:r>
        <w:rPr>
          <w:rFonts w:hint="eastAsia" w:asciiTheme="minorEastAsia" w:hAnsiTheme="minorEastAsia" w:eastAsiaTheme="minorEastAsia"/>
          <w:b/>
          <w:color w:val="auto"/>
          <w:highlight w:val="none"/>
          <w:u w:val="single"/>
        </w:rPr>
        <w:t>工业</w:t>
      </w:r>
      <w:r>
        <w:rPr>
          <w:rFonts w:asciiTheme="minorEastAsia" w:hAnsiTheme="minorEastAsia" w:eastAsiaTheme="minorEastAsia"/>
          <w:b/>
          <w:color w:val="auto"/>
          <w:highlight w:val="none"/>
          <w:u w:val="single"/>
        </w:rPr>
        <w:t xml:space="preserve">  </w:t>
      </w:r>
      <w:r>
        <w:rPr>
          <w:rFonts w:asciiTheme="minorEastAsia" w:hAnsiTheme="minorEastAsia" w:eastAsiaTheme="minorEastAsia"/>
          <w:color w:val="auto"/>
          <w:highlight w:val="none"/>
        </w:rPr>
        <w:t>；制造商为</w:t>
      </w:r>
      <w:r>
        <w:rPr>
          <w:rFonts w:asciiTheme="minorEastAsia" w:hAnsiTheme="minorEastAsia" w:eastAsiaTheme="minorEastAsia"/>
          <w:color w:val="auto"/>
          <w:highlight w:val="none"/>
          <w:u w:val="single"/>
        </w:rPr>
        <w:t xml:space="preserve">    （企业名称）</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u w:val="single"/>
        </w:rPr>
        <w:t xml:space="preserve">     （中型企业、小型企业、微型企业）</w:t>
      </w:r>
      <w:r>
        <w:rPr>
          <w:rFonts w:asciiTheme="minorEastAsia" w:hAnsiTheme="minorEastAsia" w:eastAsiaTheme="minorEastAsia"/>
          <w:color w:val="auto"/>
          <w:highlight w:val="none"/>
        </w:rPr>
        <w:t>；</w:t>
      </w:r>
    </w:p>
    <w:p>
      <w:pPr>
        <w:rPr>
          <w:color w:val="auto"/>
          <w:highlight w:val="none"/>
        </w:rPr>
      </w:pPr>
    </w:p>
    <w:p>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w:t>
      </w:r>
    </w:p>
    <w:p>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以上企业，不属于大企业的分支机构，不存在控股股东为大企业的情形，也不存在与大企业的负责人为同一人的情形。</w:t>
      </w:r>
    </w:p>
    <w:p>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本企业对上述声明内容的真实性负责。如有虚假，将依法承担相应责任。</w:t>
      </w:r>
    </w:p>
    <w:p>
      <w:pPr>
        <w:snapToGrid w:val="0"/>
        <w:spacing w:line="360" w:lineRule="auto"/>
        <w:ind w:left="-23" w:leftChars="-11" w:right="-214" w:rightChars="-102" w:firstLine="4416" w:firstLineChars="2103"/>
        <w:jc w:val="left"/>
        <w:rPr>
          <w:rFonts w:asciiTheme="minorEastAsia" w:hAnsiTheme="minorEastAsia" w:eastAsiaTheme="minorEastAsia"/>
          <w:color w:val="auto"/>
          <w:highlight w:val="none"/>
        </w:rPr>
      </w:pPr>
    </w:p>
    <w:p>
      <w:pPr>
        <w:snapToGrid w:val="0"/>
        <w:spacing w:line="360" w:lineRule="auto"/>
        <w:ind w:left="-23" w:leftChars="-11" w:right="-214" w:rightChars="-102" w:firstLine="4416" w:firstLineChars="2103"/>
        <w:jc w:val="left"/>
        <w:rPr>
          <w:rFonts w:asciiTheme="minorEastAsia" w:hAnsiTheme="minorEastAsia" w:eastAsiaTheme="minorEastAsia"/>
          <w:color w:val="auto"/>
          <w:highlight w:val="none"/>
        </w:rPr>
      </w:pPr>
    </w:p>
    <w:p>
      <w:pPr>
        <w:snapToGrid w:val="0"/>
        <w:spacing w:line="360" w:lineRule="auto"/>
        <w:ind w:left="-23" w:leftChars="-11" w:right="-214" w:rightChars="-102" w:firstLine="4416" w:firstLineChars="2103"/>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企业名称（盖章）：</w:t>
      </w:r>
    </w:p>
    <w:p>
      <w:pPr>
        <w:snapToGrid w:val="0"/>
        <w:spacing w:line="360" w:lineRule="auto"/>
        <w:ind w:left="-23" w:leftChars="-11" w:right="-214" w:rightChars="-102" w:firstLine="4416" w:firstLineChars="2103"/>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日 期：</w:t>
      </w:r>
    </w:p>
    <w:p>
      <w:pPr>
        <w:snapToGrid w:val="0"/>
        <w:spacing w:before="50" w:after="50" w:line="360" w:lineRule="auto"/>
        <w:ind w:left="-23" w:leftChars="-11" w:right="-214" w:rightChars="-102" w:firstLine="24" w:firstLineChars="10"/>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请投标人仔细阅读填写说明：</w:t>
      </w:r>
    </w:p>
    <w:p>
      <w:pPr>
        <w:snapToGrid w:val="0"/>
        <w:spacing w:before="50" w:after="50" w:line="360" w:lineRule="auto"/>
        <w:ind w:right="-214" w:rightChars="-102" w:firstLine="422"/>
        <w:jc w:val="left"/>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w:t>
      </w:r>
      <w:r>
        <w:rPr>
          <w:rFonts w:asciiTheme="minorEastAsia" w:hAnsiTheme="minorEastAsia" w:eastAsiaTheme="minorEastAsia"/>
          <w:b/>
          <w:color w:val="auto"/>
          <w:highlight w:val="none"/>
        </w:rPr>
        <w:t>.</w:t>
      </w:r>
      <w:r>
        <w:rPr>
          <w:rFonts w:hint="eastAsia" w:asciiTheme="minorEastAsia" w:hAnsiTheme="minorEastAsia" w:eastAsiaTheme="minorEastAsia"/>
          <w:b/>
          <w:color w:val="auto"/>
          <w:highlight w:val="none"/>
        </w:rPr>
        <w:t>本项目为货物采购项目，货物有中小企业制造，即货物由中小企业生产且使用该企业商号或者注册商标，确认符合的再提交本声明函。</w:t>
      </w:r>
    </w:p>
    <w:p>
      <w:pPr>
        <w:snapToGrid w:val="0"/>
        <w:spacing w:before="50" w:after="50" w:line="360" w:lineRule="auto"/>
        <w:ind w:right="-214" w:rightChars="-102" w:firstLine="422"/>
        <w:jc w:val="left"/>
        <w:rPr>
          <w:rFonts w:asciiTheme="minorEastAsia" w:hAnsiTheme="minorEastAsia" w:eastAsiaTheme="minorEastAsia"/>
          <w:b/>
          <w:color w:val="auto"/>
          <w:highlight w:val="none"/>
        </w:rPr>
      </w:pPr>
      <w:r>
        <w:rPr>
          <w:rFonts w:asciiTheme="minorEastAsia" w:hAnsiTheme="minorEastAsia" w:eastAsiaTheme="minorEastAsia"/>
          <w:b/>
          <w:color w:val="auto"/>
          <w:highlight w:val="none"/>
        </w:rPr>
        <w:t>2</w:t>
      </w:r>
      <w:r>
        <w:rPr>
          <w:rFonts w:hint="eastAsia" w:asciiTheme="minorEastAsia" w:hAnsiTheme="minorEastAsia" w:eastAsiaTheme="minorEastAsia"/>
          <w:b/>
          <w:color w:val="auto"/>
          <w:highlight w:val="none"/>
        </w:rPr>
        <w:t>.从业人员、营业收入、资产总额填报上一年度数据，无上一年度数据的新成立企业可不填报。</w:t>
      </w:r>
    </w:p>
    <w:p>
      <w:pPr>
        <w:snapToGrid w:val="0"/>
        <w:spacing w:before="50" w:after="50" w:line="360" w:lineRule="auto"/>
        <w:ind w:left="-23" w:leftChars="-11" w:right="-214" w:rightChars="-102" w:firstLine="21" w:firstLineChars="10"/>
        <w:jc w:val="left"/>
        <w:rPr>
          <w:rFonts w:asciiTheme="minorEastAsia" w:hAnsiTheme="minorEastAsia" w:eastAsiaTheme="minorEastAsia"/>
          <w:b/>
          <w:color w:val="auto"/>
          <w:highlight w:val="none"/>
        </w:rPr>
      </w:pPr>
      <w:r>
        <w:rPr>
          <w:rFonts w:asciiTheme="minorEastAsia" w:hAnsiTheme="minorEastAsia" w:eastAsiaTheme="minorEastAsia"/>
          <w:b/>
          <w:color w:val="auto"/>
          <w:highlight w:val="none"/>
        </w:rPr>
        <w:t>3</w:t>
      </w:r>
      <w:r>
        <w:rPr>
          <w:rFonts w:hint="eastAsia" w:asciiTheme="minorEastAsia" w:hAnsiTheme="minorEastAsia" w:eastAsiaTheme="minorEastAsia"/>
          <w:b/>
          <w:color w:val="auto"/>
          <w:highlight w:val="none"/>
        </w:rPr>
        <w:t>.投标人应当对其出具的《中小企业声明函》真实性负责，出具的《中小企业声明函》内容不实的，属于提供虚假材料。</w:t>
      </w:r>
    </w:p>
    <w:p>
      <w:pPr>
        <w:snapToGrid w:val="0"/>
        <w:spacing w:before="50" w:after="50" w:line="360" w:lineRule="auto"/>
        <w:ind w:left="-23" w:leftChars="-11" w:right="-214" w:rightChars="-102" w:firstLine="21" w:firstLineChars="10"/>
        <w:jc w:val="left"/>
        <w:rPr>
          <w:rFonts w:asciiTheme="minorEastAsia" w:hAnsiTheme="minorEastAsia" w:eastAsiaTheme="minorEastAsia"/>
          <w:b/>
          <w:color w:val="auto"/>
          <w:highlight w:val="none"/>
        </w:rPr>
      </w:pPr>
      <w:r>
        <w:rPr>
          <w:rFonts w:asciiTheme="minorEastAsia" w:hAnsiTheme="minorEastAsia" w:eastAsiaTheme="minorEastAsia"/>
          <w:b/>
          <w:color w:val="auto"/>
          <w:highlight w:val="none"/>
        </w:rPr>
        <w:t>4</w:t>
      </w:r>
      <w:r>
        <w:rPr>
          <w:rFonts w:hint="eastAsia" w:asciiTheme="minorEastAsia" w:hAnsiTheme="minorEastAsia" w:eastAsiaTheme="minorEastAsia"/>
          <w:b/>
          <w:color w:val="auto"/>
          <w:highlight w:val="none"/>
        </w:rPr>
        <w:t>.事业单位不属于企业不应提交本声明函，其他组织形式的供应商参与本项目并提交本声明函前请仔细阅读相关政策文件。</w:t>
      </w:r>
    </w:p>
    <w:p>
      <w:pPr>
        <w:snapToGrid w:val="0"/>
        <w:spacing w:before="50" w:after="50" w:line="360" w:lineRule="auto"/>
        <w:ind w:left="-23" w:leftChars="-11" w:right="-214" w:rightChars="-102" w:firstLine="21" w:firstLineChars="10"/>
        <w:jc w:val="left"/>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5</w:t>
      </w:r>
      <w:r>
        <w:rPr>
          <w:rFonts w:asciiTheme="minorEastAsia" w:hAnsiTheme="minorEastAsia" w:eastAsiaTheme="minorEastAsia"/>
          <w:b/>
          <w:color w:val="auto"/>
          <w:highlight w:val="none"/>
        </w:rPr>
        <w:t>.</w:t>
      </w:r>
      <w:r>
        <w:rPr>
          <w:rFonts w:hint="eastAsia" w:asciiTheme="minorEastAsia" w:hAnsiTheme="minorEastAsia" w:eastAsiaTheme="minorEastAsia"/>
          <w:b/>
          <w:color w:val="auto"/>
          <w:highlight w:val="none"/>
        </w:rPr>
        <w:t>投标产品为进口的，不享受政策优惠，投标人不应提供本表。</w:t>
      </w:r>
    </w:p>
    <w:p>
      <w:pPr>
        <w:snapToGrid w:val="0"/>
        <w:spacing w:before="50" w:after="50" w:line="360" w:lineRule="auto"/>
        <w:ind w:left="-23" w:leftChars="-11" w:right="-214" w:rightChars="-102" w:firstLine="21" w:firstLineChars="10"/>
        <w:jc w:val="left"/>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6.投标人应当谨慎填写并提供本表。</w:t>
      </w:r>
    </w:p>
    <w:p>
      <w:pPr>
        <w:widowControl/>
        <w:ind w:firstLine="422"/>
        <w:jc w:val="left"/>
        <w:rPr>
          <w:rFonts w:cs="宋体" w:asciiTheme="minorEastAsia" w:hAnsiTheme="minorEastAsia" w:eastAsiaTheme="minorEastAsia"/>
          <w:b/>
          <w:color w:val="auto"/>
          <w:szCs w:val="21"/>
          <w:highlight w:val="none"/>
        </w:rPr>
      </w:pPr>
      <w:r>
        <w:rPr>
          <w:rFonts w:cs="宋体" w:asciiTheme="minorEastAsia" w:hAnsiTheme="minorEastAsia" w:eastAsiaTheme="minorEastAsia"/>
          <w:b/>
          <w:color w:val="auto"/>
          <w:szCs w:val="21"/>
          <w:highlight w:val="none"/>
        </w:rPr>
        <w:br w:type="page"/>
      </w:r>
    </w:p>
    <w:p>
      <w:pPr>
        <w:snapToGrid w:val="0"/>
        <w:spacing w:line="360" w:lineRule="auto"/>
        <w:ind w:left="-23" w:leftChars="-11" w:right="-214" w:rightChars="-102" w:firstLine="21" w:firstLineChars="10"/>
        <w:jc w:val="center"/>
        <w:rPr>
          <w:rFonts w:asciiTheme="minorEastAsia" w:hAnsiTheme="minorEastAsia" w:eastAsiaTheme="minorEastAsia"/>
          <w:color w:val="auto"/>
          <w:highlight w:val="none"/>
        </w:rPr>
      </w:pPr>
      <w:r>
        <w:rPr>
          <w:rFonts w:cs="宋体" w:asciiTheme="minorEastAsia" w:hAnsiTheme="minorEastAsia" w:eastAsiaTheme="minorEastAsia"/>
          <w:b/>
          <w:color w:val="auto"/>
          <w:szCs w:val="21"/>
          <w:highlight w:val="none"/>
        </w:rPr>
        <w:t>中小企业声明函</w:t>
      </w:r>
      <w:r>
        <w:rPr>
          <w:rFonts w:hint="eastAsia" w:cs="宋体" w:asciiTheme="minorEastAsia" w:hAnsiTheme="minorEastAsia" w:eastAsiaTheme="minorEastAsia"/>
          <w:b/>
          <w:color w:val="auto"/>
          <w:szCs w:val="21"/>
          <w:highlight w:val="none"/>
        </w:rPr>
        <w:t>（标项七）</w:t>
      </w:r>
    </w:p>
    <w:p>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本公司（联合体）郑重声明，根据《政府采购促进中小企业发展管理办法》（财库﹝2020﹞46号）的规定，本公司（联合体）参加</w:t>
      </w:r>
      <w:r>
        <w:rPr>
          <w:rFonts w:hint="eastAsia" w:asciiTheme="minorEastAsia" w:hAnsiTheme="minorEastAsia" w:eastAsiaTheme="minorEastAsia"/>
          <w:b/>
          <w:color w:val="auto"/>
          <w:highlight w:val="none"/>
          <w:u w:val="single"/>
        </w:rPr>
        <w:t>宁波工程学院</w:t>
      </w:r>
      <w:r>
        <w:rPr>
          <w:rFonts w:asciiTheme="minorEastAsia" w:hAnsiTheme="minorEastAsia" w:eastAsiaTheme="minorEastAsia"/>
          <w:color w:val="auto"/>
          <w:highlight w:val="none"/>
        </w:rPr>
        <w:t>的</w:t>
      </w:r>
      <w:r>
        <w:rPr>
          <w:rFonts w:hint="eastAsia" w:asciiTheme="minorEastAsia" w:hAnsiTheme="minorEastAsia" w:eastAsiaTheme="minorEastAsia"/>
          <w:b/>
          <w:color w:val="auto"/>
          <w:szCs w:val="21"/>
          <w:highlight w:val="none"/>
          <w:u w:val="single"/>
        </w:rPr>
        <w:t>宁波工程学院新能源产业技术创新实践基地进口设备采购项目</w:t>
      </w:r>
      <w:r>
        <w:rPr>
          <w:rFonts w:asciiTheme="minorEastAsia" w:hAnsiTheme="minorEastAsia" w:eastAsiaTheme="minorEastAsia"/>
          <w:color w:val="auto"/>
          <w:highlight w:val="none"/>
        </w:rPr>
        <w:t>采购活动，提供的货物全部由符合政策要求的中小企业制造。相关企业（含联合体中的中小企业、签订分包意向协议的中小企业）的具体情况如下：</w:t>
      </w:r>
    </w:p>
    <w:p>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1.</w:t>
      </w:r>
      <w:r>
        <w:rPr>
          <w:rFonts w:hint="eastAsia" w:asciiTheme="minorEastAsia" w:hAnsiTheme="minorEastAsia" w:eastAsiaTheme="minorEastAsia"/>
          <w:b/>
          <w:color w:val="auto"/>
          <w:highlight w:val="none"/>
          <w:u w:val="single"/>
        </w:rPr>
        <w:t xml:space="preserve">  电感耦合等离子体发射光谱仪 </w:t>
      </w:r>
      <w:r>
        <w:rPr>
          <w:rFonts w:asciiTheme="minorEastAsia" w:hAnsiTheme="minorEastAsia" w:eastAsiaTheme="minorEastAsia"/>
          <w:b/>
          <w:color w:val="auto"/>
          <w:highlight w:val="none"/>
          <w:u w:val="single"/>
        </w:rPr>
        <w:t xml:space="preserve"> </w:t>
      </w:r>
      <w:r>
        <w:rPr>
          <w:rFonts w:asciiTheme="minorEastAsia" w:hAnsiTheme="minorEastAsia" w:eastAsiaTheme="minorEastAsia"/>
          <w:color w:val="auto"/>
          <w:highlight w:val="none"/>
        </w:rPr>
        <w:t>，属于</w:t>
      </w:r>
      <w:r>
        <w:rPr>
          <w:rFonts w:asciiTheme="minorEastAsia" w:hAnsiTheme="minorEastAsia" w:eastAsiaTheme="minorEastAsia"/>
          <w:b/>
          <w:color w:val="auto"/>
          <w:highlight w:val="none"/>
          <w:u w:val="single"/>
        </w:rPr>
        <w:t xml:space="preserve">  </w:t>
      </w:r>
      <w:r>
        <w:rPr>
          <w:rFonts w:hint="eastAsia" w:asciiTheme="minorEastAsia" w:hAnsiTheme="minorEastAsia" w:eastAsiaTheme="minorEastAsia"/>
          <w:b/>
          <w:color w:val="auto"/>
          <w:highlight w:val="none"/>
          <w:u w:val="single"/>
        </w:rPr>
        <w:t>工业</w:t>
      </w:r>
      <w:r>
        <w:rPr>
          <w:rFonts w:asciiTheme="minorEastAsia" w:hAnsiTheme="minorEastAsia" w:eastAsiaTheme="minorEastAsia"/>
          <w:b/>
          <w:color w:val="auto"/>
          <w:highlight w:val="none"/>
          <w:u w:val="single"/>
        </w:rPr>
        <w:t xml:space="preserve">  </w:t>
      </w:r>
      <w:r>
        <w:rPr>
          <w:rFonts w:asciiTheme="minorEastAsia" w:hAnsiTheme="minorEastAsia" w:eastAsiaTheme="minorEastAsia"/>
          <w:color w:val="auto"/>
          <w:highlight w:val="none"/>
        </w:rPr>
        <w:t>；制造商为</w:t>
      </w:r>
      <w:r>
        <w:rPr>
          <w:rFonts w:asciiTheme="minorEastAsia" w:hAnsiTheme="minorEastAsia" w:eastAsiaTheme="minorEastAsia"/>
          <w:color w:val="auto"/>
          <w:highlight w:val="none"/>
          <w:u w:val="single"/>
        </w:rPr>
        <w:t xml:space="preserve">    （企业名称）</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u w:val="single"/>
        </w:rPr>
        <w:t xml:space="preserve">     （中型企业、小型企业、微型企业）</w:t>
      </w:r>
      <w:r>
        <w:rPr>
          <w:rFonts w:asciiTheme="minorEastAsia" w:hAnsiTheme="minorEastAsia" w:eastAsiaTheme="minorEastAsia"/>
          <w:color w:val="auto"/>
          <w:highlight w:val="none"/>
        </w:rPr>
        <w:t>；</w:t>
      </w:r>
    </w:p>
    <w:p>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w:t>
      </w:r>
      <w:r>
        <w:rPr>
          <w:rFonts w:asciiTheme="minorEastAsia" w:hAnsiTheme="minorEastAsia" w:eastAsiaTheme="minorEastAsia"/>
          <w:color w:val="auto"/>
          <w:highlight w:val="none"/>
        </w:rPr>
        <w:t>.</w:t>
      </w:r>
      <w:r>
        <w:rPr>
          <w:rFonts w:hint="eastAsia" w:asciiTheme="minorEastAsia" w:hAnsiTheme="minorEastAsia" w:eastAsiaTheme="minorEastAsia"/>
          <w:b/>
          <w:color w:val="auto"/>
          <w:highlight w:val="none"/>
          <w:u w:val="single"/>
        </w:rPr>
        <w:t xml:space="preserve">  荧光分光光度计 </w:t>
      </w:r>
      <w:r>
        <w:rPr>
          <w:rFonts w:asciiTheme="minorEastAsia" w:hAnsiTheme="minorEastAsia" w:eastAsiaTheme="minorEastAsia"/>
          <w:b/>
          <w:color w:val="auto"/>
          <w:highlight w:val="none"/>
          <w:u w:val="single"/>
        </w:rPr>
        <w:t xml:space="preserve"> </w:t>
      </w:r>
      <w:r>
        <w:rPr>
          <w:rFonts w:asciiTheme="minorEastAsia" w:hAnsiTheme="minorEastAsia" w:eastAsiaTheme="minorEastAsia"/>
          <w:color w:val="auto"/>
          <w:highlight w:val="none"/>
        </w:rPr>
        <w:t>，属于</w:t>
      </w:r>
      <w:r>
        <w:rPr>
          <w:rFonts w:asciiTheme="minorEastAsia" w:hAnsiTheme="minorEastAsia" w:eastAsiaTheme="minorEastAsia"/>
          <w:b/>
          <w:color w:val="auto"/>
          <w:highlight w:val="none"/>
          <w:u w:val="single"/>
        </w:rPr>
        <w:t xml:space="preserve">  </w:t>
      </w:r>
      <w:r>
        <w:rPr>
          <w:rFonts w:hint="eastAsia" w:asciiTheme="minorEastAsia" w:hAnsiTheme="minorEastAsia" w:eastAsiaTheme="minorEastAsia"/>
          <w:b/>
          <w:color w:val="auto"/>
          <w:highlight w:val="none"/>
          <w:u w:val="single"/>
        </w:rPr>
        <w:t>工业</w:t>
      </w:r>
      <w:r>
        <w:rPr>
          <w:rFonts w:asciiTheme="minorEastAsia" w:hAnsiTheme="minorEastAsia" w:eastAsiaTheme="minorEastAsia"/>
          <w:b/>
          <w:color w:val="auto"/>
          <w:highlight w:val="none"/>
          <w:u w:val="single"/>
        </w:rPr>
        <w:t xml:space="preserve">  </w:t>
      </w:r>
      <w:r>
        <w:rPr>
          <w:rFonts w:asciiTheme="minorEastAsia" w:hAnsiTheme="minorEastAsia" w:eastAsiaTheme="minorEastAsia"/>
          <w:color w:val="auto"/>
          <w:highlight w:val="none"/>
        </w:rPr>
        <w:t>；制造商为</w:t>
      </w:r>
      <w:r>
        <w:rPr>
          <w:rFonts w:asciiTheme="minorEastAsia" w:hAnsiTheme="minorEastAsia" w:eastAsiaTheme="minorEastAsia"/>
          <w:color w:val="auto"/>
          <w:highlight w:val="none"/>
          <w:u w:val="single"/>
        </w:rPr>
        <w:t xml:space="preserve">    （企业名称）</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u w:val="single"/>
        </w:rPr>
        <w:t xml:space="preserve">     （中型企业、小型企业、微型企业）</w:t>
      </w:r>
      <w:r>
        <w:rPr>
          <w:rFonts w:asciiTheme="minorEastAsia" w:hAnsiTheme="minorEastAsia" w:eastAsiaTheme="minorEastAsia"/>
          <w:color w:val="auto"/>
          <w:highlight w:val="none"/>
        </w:rPr>
        <w:t>；</w:t>
      </w:r>
    </w:p>
    <w:p>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w:t>
      </w:r>
      <w:r>
        <w:rPr>
          <w:rFonts w:asciiTheme="minorEastAsia" w:hAnsiTheme="minorEastAsia" w:eastAsiaTheme="minorEastAsia"/>
          <w:color w:val="auto"/>
          <w:highlight w:val="none"/>
        </w:rPr>
        <w:t>.</w:t>
      </w:r>
      <w:r>
        <w:rPr>
          <w:rFonts w:hint="eastAsia" w:asciiTheme="minorEastAsia" w:hAnsiTheme="minorEastAsia" w:eastAsiaTheme="minorEastAsia"/>
          <w:b/>
          <w:color w:val="auto"/>
          <w:highlight w:val="none"/>
          <w:u w:val="single"/>
        </w:rPr>
        <w:t xml:space="preserve">  同步热分析仪 </w:t>
      </w:r>
      <w:r>
        <w:rPr>
          <w:rFonts w:asciiTheme="minorEastAsia" w:hAnsiTheme="minorEastAsia" w:eastAsiaTheme="minorEastAsia"/>
          <w:b/>
          <w:color w:val="auto"/>
          <w:highlight w:val="none"/>
          <w:u w:val="single"/>
        </w:rPr>
        <w:t xml:space="preserve"> </w:t>
      </w:r>
      <w:r>
        <w:rPr>
          <w:rFonts w:asciiTheme="minorEastAsia" w:hAnsiTheme="minorEastAsia" w:eastAsiaTheme="minorEastAsia"/>
          <w:color w:val="auto"/>
          <w:highlight w:val="none"/>
        </w:rPr>
        <w:t>，属于</w:t>
      </w:r>
      <w:r>
        <w:rPr>
          <w:rFonts w:asciiTheme="minorEastAsia" w:hAnsiTheme="minorEastAsia" w:eastAsiaTheme="minorEastAsia"/>
          <w:b/>
          <w:color w:val="auto"/>
          <w:highlight w:val="none"/>
          <w:u w:val="single"/>
        </w:rPr>
        <w:t xml:space="preserve">  </w:t>
      </w:r>
      <w:r>
        <w:rPr>
          <w:rFonts w:hint="eastAsia" w:asciiTheme="minorEastAsia" w:hAnsiTheme="minorEastAsia" w:eastAsiaTheme="minorEastAsia"/>
          <w:b/>
          <w:color w:val="auto"/>
          <w:highlight w:val="none"/>
          <w:u w:val="single"/>
        </w:rPr>
        <w:t>工业</w:t>
      </w:r>
      <w:r>
        <w:rPr>
          <w:rFonts w:asciiTheme="minorEastAsia" w:hAnsiTheme="minorEastAsia" w:eastAsiaTheme="minorEastAsia"/>
          <w:b/>
          <w:color w:val="auto"/>
          <w:highlight w:val="none"/>
          <w:u w:val="single"/>
        </w:rPr>
        <w:t xml:space="preserve">  </w:t>
      </w:r>
      <w:r>
        <w:rPr>
          <w:rFonts w:asciiTheme="minorEastAsia" w:hAnsiTheme="minorEastAsia" w:eastAsiaTheme="minorEastAsia"/>
          <w:color w:val="auto"/>
          <w:highlight w:val="none"/>
        </w:rPr>
        <w:t>；制造商为</w:t>
      </w:r>
      <w:r>
        <w:rPr>
          <w:rFonts w:asciiTheme="minorEastAsia" w:hAnsiTheme="minorEastAsia" w:eastAsiaTheme="minorEastAsia"/>
          <w:color w:val="auto"/>
          <w:highlight w:val="none"/>
          <w:u w:val="single"/>
        </w:rPr>
        <w:t xml:space="preserve">    （企业名称）</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u w:val="single"/>
        </w:rPr>
        <w:t xml:space="preserve">     （中型企业、小型企业、微型企业）</w:t>
      </w:r>
      <w:r>
        <w:rPr>
          <w:rFonts w:asciiTheme="minorEastAsia" w:hAnsiTheme="minorEastAsia" w:eastAsiaTheme="minorEastAsia"/>
          <w:color w:val="auto"/>
          <w:highlight w:val="none"/>
        </w:rPr>
        <w:t>；</w:t>
      </w:r>
    </w:p>
    <w:p>
      <w:pPr>
        <w:rPr>
          <w:color w:val="auto"/>
          <w:highlight w:val="none"/>
        </w:rPr>
      </w:pPr>
    </w:p>
    <w:p>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w:t>
      </w:r>
    </w:p>
    <w:p>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以上企业，不属于大企业的分支机构，不存在控股股东为大企业的情形，也不存在与大企业的负责人为同一人的情形。</w:t>
      </w:r>
    </w:p>
    <w:p>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本企业对上述声明内容的真实性负责。如有虚假，将依法承担相应责任。</w:t>
      </w:r>
    </w:p>
    <w:p>
      <w:pPr>
        <w:snapToGrid w:val="0"/>
        <w:spacing w:line="360" w:lineRule="auto"/>
        <w:ind w:left="-23" w:leftChars="-11" w:right="-214" w:rightChars="-102" w:firstLine="4416" w:firstLineChars="2103"/>
        <w:jc w:val="left"/>
        <w:rPr>
          <w:rFonts w:asciiTheme="minorEastAsia" w:hAnsiTheme="minorEastAsia" w:eastAsiaTheme="minorEastAsia"/>
          <w:color w:val="auto"/>
          <w:highlight w:val="none"/>
        </w:rPr>
      </w:pPr>
    </w:p>
    <w:p>
      <w:pPr>
        <w:snapToGrid w:val="0"/>
        <w:spacing w:line="360" w:lineRule="auto"/>
        <w:ind w:left="-23" w:leftChars="-11" w:right="-214" w:rightChars="-102" w:firstLine="4416" w:firstLineChars="2103"/>
        <w:jc w:val="left"/>
        <w:rPr>
          <w:rFonts w:asciiTheme="minorEastAsia" w:hAnsiTheme="minorEastAsia" w:eastAsiaTheme="minorEastAsia"/>
          <w:color w:val="auto"/>
          <w:highlight w:val="none"/>
        </w:rPr>
      </w:pPr>
    </w:p>
    <w:p>
      <w:pPr>
        <w:snapToGrid w:val="0"/>
        <w:spacing w:line="360" w:lineRule="auto"/>
        <w:ind w:left="-23" w:leftChars="-11" w:right="-214" w:rightChars="-102" w:firstLine="4416" w:firstLineChars="2103"/>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企业名称（盖章）：</w:t>
      </w:r>
    </w:p>
    <w:p>
      <w:pPr>
        <w:snapToGrid w:val="0"/>
        <w:spacing w:line="360" w:lineRule="auto"/>
        <w:ind w:left="-23" w:leftChars="-11" w:right="-214" w:rightChars="-102" w:firstLine="4416" w:firstLineChars="2103"/>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日 期：</w:t>
      </w:r>
    </w:p>
    <w:p>
      <w:pPr>
        <w:snapToGrid w:val="0"/>
        <w:spacing w:before="50" w:after="50" w:line="360" w:lineRule="auto"/>
        <w:ind w:left="-23" w:leftChars="-11" w:right="-214" w:rightChars="-102" w:firstLine="24" w:firstLineChars="10"/>
        <w:jc w:val="left"/>
        <w:rPr>
          <w:rFonts w:asciiTheme="minorEastAsia" w:hAnsiTheme="minorEastAsia" w:eastAsiaTheme="minorEastAsia"/>
          <w:b/>
          <w:color w:val="auto"/>
          <w:sz w:val="24"/>
          <w:highlight w:val="none"/>
        </w:rPr>
      </w:pPr>
    </w:p>
    <w:p>
      <w:pPr>
        <w:snapToGrid w:val="0"/>
        <w:spacing w:before="50" w:after="50" w:line="360" w:lineRule="auto"/>
        <w:ind w:left="-23" w:leftChars="-11" w:right="-214" w:rightChars="-102" w:firstLine="24" w:firstLineChars="10"/>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请投标人仔细阅读填写说明：</w:t>
      </w:r>
    </w:p>
    <w:p>
      <w:pPr>
        <w:snapToGrid w:val="0"/>
        <w:spacing w:before="50" w:after="50" w:line="360" w:lineRule="auto"/>
        <w:ind w:right="-214" w:rightChars="-102" w:firstLine="422"/>
        <w:jc w:val="left"/>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w:t>
      </w:r>
      <w:r>
        <w:rPr>
          <w:rFonts w:asciiTheme="minorEastAsia" w:hAnsiTheme="minorEastAsia" w:eastAsiaTheme="minorEastAsia"/>
          <w:b/>
          <w:color w:val="auto"/>
          <w:highlight w:val="none"/>
        </w:rPr>
        <w:t>.</w:t>
      </w:r>
      <w:r>
        <w:rPr>
          <w:rFonts w:hint="eastAsia" w:asciiTheme="minorEastAsia" w:hAnsiTheme="minorEastAsia" w:eastAsiaTheme="minorEastAsia"/>
          <w:b/>
          <w:color w:val="auto"/>
          <w:highlight w:val="none"/>
        </w:rPr>
        <w:t>本项目为货物采购项目，货物有中小企业制造，即货物由中小企业生产且使用该企业商号或者注册商标，确认符合的再提交本声明函。</w:t>
      </w:r>
    </w:p>
    <w:p>
      <w:pPr>
        <w:snapToGrid w:val="0"/>
        <w:spacing w:before="50" w:after="50" w:line="360" w:lineRule="auto"/>
        <w:ind w:right="-214" w:rightChars="-102" w:firstLine="422"/>
        <w:jc w:val="left"/>
        <w:rPr>
          <w:rFonts w:asciiTheme="minorEastAsia" w:hAnsiTheme="minorEastAsia" w:eastAsiaTheme="minorEastAsia"/>
          <w:b/>
          <w:color w:val="auto"/>
          <w:highlight w:val="none"/>
        </w:rPr>
      </w:pPr>
      <w:r>
        <w:rPr>
          <w:rFonts w:asciiTheme="minorEastAsia" w:hAnsiTheme="minorEastAsia" w:eastAsiaTheme="minorEastAsia"/>
          <w:b/>
          <w:color w:val="auto"/>
          <w:highlight w:val="none"/>
        </w:rPr>
        <w:t>2</w:t>
      </w:r>
      <w:r>
        <w:rPr>
          <w:rFonts w:hint="eastAsia" w:asciiTheme="minorEastAsia" w:hAnsiTheme="minorEastAsia" w:eastAsiaTheme="minorEastAsia"/>
          <w:b/>
          <w:color w:val="auto"/>
          <w:highlight w:val="none"/>
        </w:rPr>
        <w:t>.从业人员、营业收入、资产总额填报上一年度数据，无上一年度数据的新成立企业可不填报。</w:t>
      </w:r>
    </w:p>
    <w:p>
      <w:pPr>
        <w:snapToGrid w:val="0"/>
        <w:spacing w:before="50" w:after="50" w:line="360" w:lineRule="auto"/>
        <w:ind w:left="-23" w:leftChars="-11" w:right="-214" w:rightChars="-102" w:firstLine="21" w:firstLineChars="10"/>
        <w:jc w:val="left"/>
        <w:rPr>
          <w:rFonts w:asciiTheme="minorEastAsia" w:hAnsiTheme="minorEastAsia" w:eastAsiaTheme="minorEastAsia"/>
          <w:b/>
          <w:color w:val="auto"/>
          <w:highlight w:val="none"/>
        </w:rPr>
      </w:pPr>
      <w:r>
        <w:rPr>
          <w:rFonts w:asciiTheme="minorEastAsia" w:hAnsiTheme="minorEastAsia" w:eastAsiaTheme="minorEastAsia"/>
          <w:b/>
          <w:color w:val="auto"/>
          <w:highlight w:val="none"/>
        </w:rPr>
        <w:t>3</w:t>
      </w:r>
      <w:r>
        <w:rPr>
          <w:rFonts w:hint="eastAsia" w:asciiTheme="minorEastAsia" w:hAnsiTheme="minorEastAsia" w:eastAsiaTheme="minorEastAsia"/>
          <w:b/>
          <w:color w:val="auto"/>
          <w:highlight w:val="none"/>
        </w:rPr>
        <w:t>.投标人应当对其出具的《中小企业声明函》真实性负责，出具的《中小企业声明函》内容不实的，属于提供虚假材料。</w:t>
      </w:r>
    </w:p>
    <w:p>
      <w:pPr>
        <w:snapToGrid w:val="0"/>
        <w:spacing w:before="50" w:after="50" w:line="360" w:lineRule="auto"/>
        <w:ind w:left="-23" w:leftChars="-11" w:right="-214" w:rightChars="-102" w:firstLine="21" w:firstLineChars="10"/>
        <w:jc w:val="left"/>
        <w:rPr>
          <w:rFonts w:asciiTheme="minorEastAsia" w:hAnsiTheme="minorEastAsia" w:eastAsiaTheme="minorEastAsia"/>
          <w:b/>
          <w:color w:val="auto"/>
          <w:highlight w:val="none"/>
        </w:rPr>
      </w:pPr>
      <w:r>
        <w:rPr>
          <w:rFonts w:asciiTheme="minorEastAsia" w:hAnsiTheme="minorEastAsia" w:eastAsiaTheme="minorEastAsia"/>
          <w:b/>
          <w:color w:val="auto"/>
          <w:highlight w:val="none"/>
        </w:rPr>
        <w:t>4</w:t>
      </w:r>
      <w:r>
        <w:rPr>
          <w:rFonts w:hint="eastAsia" w:asciiTheme="minorEastAsia" w:hAnsiTheme="minorEastAsia" w:eastAsiaTheme="minorEastAsia"/>
          <w:b/>
          <w:color w:val="auto"/>
          <w:highlight w:val="none"/>
        </w:rPr>
        <w:t>.事业单位不属于企业不应提交本声明函，其他组织形式的供应商参与本项目并提交本声明函前请仔细阅读相关政策文件。</w:t>
      </w:r>
    </w:p>
    <w:p>
      <w:pPr>
        <w:snapToGrid w:val="0"/>
        <w:spacing w:before="50" w:after="50" w:line="360" w:lineRule="auto"/>
        <w:ind w:left="-23" w:leftChars="-11" w:right="-214" w:rightChars="-102" w:firstLine="21" w:firstLineChars="10"/>
        <w:jc w:val="left"/>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5</w:t>
      </w:r>
      <w:r>
        <w:rPr>
          <w:rFonts w:asciiTheme="minorEastAsia" w:hAnsiTheme="minorEastAsia" w:eastAsiaTheme="minorEastAsia"/>
          <w:b/>
          <w:color w:val="auto"/>
          <w:highlight w:val="none"/>
        </w:rPr>
        <w:t>.</w:t>
      </w:r>
      <w:r>
        <w:rPr>
          <w:rFonts w:hint="eastAsia" w:asciiTheme="minorEastAsia" w:hAnsiTheme="minorEastAsia" w:eastAsiaTheme="minorEastAsia"/>
          <w:b/>
          <w:color w:val="auto"/>
          <w:highlight w:val="none"/>
        </w:rPr>
        <w:t>投标产品为进口的，不享受政策优惠，投标人不应提供本表。</w:t>
      </w:r>
    </w:p>
    <w:p>
      <w:pPr>
        <w:snapToGrid w:val="0"/>
        <w:spacing w:before="50" w:after="50" w:line="360" w:lineRule="auto"/>
        <w:ind w:left="-23" w:leftChars="-11" w:right="-214" w:rightChars="-102" w:firstLine="21" w:firstLineChars="10"/>
        <w:jc w:val="left"/>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6.投标人应当谨慎填写并提供本表。</w:t>
      </w:r>
    </w:p>
    <w:p>
      <w:pPr>
        <w:widowControl/>
        <w:ind w:firstLine="422"/>
        <w:jc w:val="left"/>
        <w:rPr>
          <w:rFonts w:asciiTheme="minorEastAsia" w:hAnsiTheme="minorEastAsia" w:eastAsiaTheme="minorEastAsia"/>
          <w:b/>
          <w:color w:val="auto"/>
          <w:highlight w:val="none"/>
        </w:rPr>
      </w:pPr>
      <w:r>
        <w:rPr>
          <w:rFonts w:asciiTheme="minorEastAsia" w:hAnsiTheme="minorEastAsia" w:eastAsiaTheme="minorEastAsia"/>
          <w:b/>
          <w:color w:val="auto"/>
          <w:highlight w:val="none"/>
        </w:rPr>
        <w:br w:type="page"/>
      </w:r>
    </w:p>
    <w:p>
      <w:pPr>
        <w:pStyle w:val="20"/>
        <w:spacing w:line="360" w:lineRule="auto"/>
        <w:ind w:left="460" w:leftChars="0" w:firstLine="422"/>
        <w:jc w:val="center"/>
        <w:rPr>
          <w:rFonts w:asciiTheme="minorEastAsia" w:hAnsiTheme="minorEastAsia" w:eastAsiaTheme="minorEastAsia"/>
          <w:b/>
          <w:color w:val="auto"/>
          <w:spacing w:val="6"/>
          <w:szCs w:val="21"/>
          <w:highlight w:val="none"/>
        </w:rPr>
      </w:pPr>
      <w:r>
        <w:rPr>
          <w:rFonts w:hint="eastAsia" w:cs="宋体" w:asciiTheme="minorEastAsia" w:hAnsiTheme="minorEastAsia" w:eastAsiaTheme="minorEastAsia"/>
          <w:b/>
          <w:color w:val="auto"/>
          <w:sz w:val="21"/>
          <w:szCs w:val="21"/>
          <w:highlight w:val="none"/>
        </w:rPr>
        <w:t>（4）残疾人福利性单位声明函</w:t>
      </w:r>
    </w:p>
    <w:p>
      <w:pPr>
        <w:spacing w:line="360" w:lineRule="auto"/>
        <w:ind w:firstLine="444" w:firstLineChars="200"/>
        <w:rPr>
          <w:rFonts w:asciiTheme="minorEastAsia" w:hAnsiTheme="minorEastAsia" w:eastAsiaTheme="minorEastAsia"/>
          <w:color w:val="auto"/>
          <w:spacing w:val="6"/>
          <w:highlight w:val="none"/>
        </w:rPr>
      </w:pPr>
      <w:r>
        <w:rPr>
          <w:rFonts w:hint="eastAsia" w:asciiTheme="minorEastAsia" w:hAnsiTheme="minorEastAsia" w:eastAsiaTheme="minorEastAsia"/>
          <w:color w:val="auto"/>
          <w:spacing w:val="6"/>
          <w:highlight w:val="none"/>
        </w:rPr>
        <w:t>本单位郑重声明，根据《财政部 民政部 中国残疾人联合会关于促进残疾人就业政府采购政策的通知》（财库</w:t>
      </w:r>
      <w:r>
        <w:rPr>
          <w:rFonts w:hint="eastAsia" w:asciiTheme="minorEastAsia" w:hAnsiTheme="minorEastAsia" w:eastAsiaTheme="minorEastAsia"/>
          <w:color w:val="auto"/>
          <w:highlight w:val="none"/>
        </w:rPr>
        <w:t>〔2017〕 141</w:t>
      </w:r>
      <w:r>
        <w:rPr>
          <w:rFonts w:hint="eastAsia" w:asciiTheme="minorEastAsia" w:hAnsiTheme="minorEastAsia" w:eastAsiaTheme="minorEastAsia"/>
          <w:color w:val="auto"/>
          <w:spacing w:val="6"/>
          <w:highlight w:val="none"/>
        </w:rPr>
        <w:t>号）的规定，本单位为符合条件的残疾人福利性单位，且本单位参加</w:t>
      </w:r>
      <w:r>
        <w:rPr>
          <w:rFonts w:hint="eastAsia" w:asciiTheme="minorEastAsia" w:hAnsiTheme="minorEastAsia" w:eastAsiaTheme="minorEastAsia"/>
          <w:color w:val="auto"/>
          <w:spacing w:val="6"/>
          <w:highlight w:val="none"/>
          <w:u w:val="single"/>
        </w:rPr>
        <w:t xml:space="preserve"> </w:t>
      </w:r>
      <w:r>
        <w:rPr>
          <w:rFonts w:asciiTheme="minorEastAsia" w:hAnsiTheme="minorEastAsia" w:eastAsiaTheme="minorEastAsia"/>
          <w:color w:val="auto"/>
          <w:spacing w:val="6"/>
          <w:highlight w:val="none"/>
          <w:u w:val="single"/>
        </w:rPr>
        <w:t xml:space="preserve">     </w:t>
      </w:r>
      <w:r>
        <w:rPr>
          <w:rFonts w:hint="eastAsia" w:asciiTheme="minorEastAsia" w:hAnsiTheme="minorEastAsia" w:eastAsiaTheme="minorEastAsia"/>
          <w:color w:val="auto"/>
          <w:spacing w:val="6"/>
          <w:highlight w:val="none"/>
          <w:u w:val="single"/>
        </w:rPr>
        <w:t xml:space="preserve">（填采购人名称）    </w:t>
      </w:r>
      <w:r>
        <w:rPr>
          <w:rFonts w:hint="eastAsia" w:asciiTheme="minorEastAsia" w:hAnsiTheme="minorEastAsia" w:eastAsiaTheme="minorEastAsia"/>
          <w:color w:val="auto"/>
          <w:spacing w:val="6"/>
          <w:highlight w:val="none"/>
        </w:rPr>
        <w:t>单位的</w:t>
      </w:r>
      <w:r>
        <w:rPr>
          <w:rFonts w:hint="eastAsia" w:asciiTheme="minorEastAsia" w:hAnsiTheme="minorEastAsia" w:eastAsiaTheme="minorEastAsia"/>
          <w:color w:val="auto"/>
          <w:spacing w:val="6"/>
          <w:highlight w:val="none"/>
          <w:u w:val="single"/>
        </w:rPr>
        <w:t xml:space="preserve"> </w:t>
      </w:r>
      <w:r>
        <w:rPr>
          <w:rFonts w:asciiTheme="minorEastAsia" w:hAnsiTheme="minorEastAsia" w:eastAsiaTheme="minorEastAsia"/>
          <w:color w:val="auto"/>
          <w:spacing w:val="6"/>
          <w:highlight w:val="none"/>
          <w:u w:val="single"/>
        </w:rPr>
        <w:t xml:space="preserve"> </w:t>
      </w:r>
      <w:r>
        <w:rPr>
          <w:rFonts w:hint="eastAsia" w:asciiTheme="minorEastAsia" w:hAnsiTheme="minorEastAsia" w:eastAsiaTheme="minorEastAsia"/>
          <w:color w:val="auto"/>
          <w:spacing w:val="6"/>
          <w:highlight w:val="none"/>
          <w:u w:val="single"/>
        </w:rPr>
        <w:t xml:space="preserve">（填项目名称）  </w:t>
      </w:r>
      <w:r>
        <w:rPr>
          <w:rFonts w:hint="eastAsia" w:asciiTheme="minorEastAsia" w:hAnsiTheme="minorEastAsia" w:eastAsiaTheme="minorEastAsia"/>
          <w:color w:val="auto"/>
          <w:spacing w:val="6"/>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asciiTheme="minorEastAsia" w:hAnsiTheme="minorEastAsia" w:eastAsiaTheme="minorEastAsia"/>
          <w:color w:val="auto"/>
          <w:spacing w:val="6"/>
          <w:highlight w:val="none"/>
        </w:rPr>
      </w:pPr>
      <w:r>
        <w:rPr>
          <w:rFonts w:hint="eastAsia" w:asciiTheme="minorEastAsia" w:hAnsiTheme="minorEastAsia" w:eastAsiaTheme="minorEastAsia"/>
          <w:color w:val="auto"/>
          <w:spacing w:val="6"/>
          <w:highlight w:val="none"/>
        </w:rPr>
        <w:t>本单位对上述声明的真实性负责。如有虚假，将依法承担相应责任。</w:t>
      </w:r>
    </w:p>
    <w:p>
      <w:pPr>
        <w:spacing w:line="360" w:lineRule="auto"/>
        <w:ind w:firstLine="444" w:firstLineChars="200"/>
        <w:rPr>
          <w:rFonts w:asciiTheme="minorEastAsia" w:hAnsiTheme="minorEastAsia" w:eastAsiaTheme="minorEastAsia"/>
          <w:color w:val="auto"/>
          <w:spacing w:val="6"/>
          <w:highlight w:val="none"/>
        </w:rPr>
      </w:pPr>
    </w:p>
    <w:p>
      <w:pPr>
        <w:spacing w:line="360" w:lineRule="auto"/>
        <w:ind w:firstLine="444" w:firstLineChars="200"/>
        <w:rPr>
          <w:rFonts w:asciiTheme="minorEastAsia" w:hAnsiTheme="minorEastAsia" w:eastAsiaTheme="minorEastAsia"/>
          <w:color w:val="auto"/>
          <w:spacing w:val="6"/>
          <w:highlight w:val="none"/>
        </w:rPr>
      </w:pPr>
    </w:p>
    <w:p>
      <w:pPr>
        <w:tabs>
          <w:tab w:val="left" w:pos="4860"/>
        </w:tabs>
        <w:spacing w:line="360" w:lineRule="auto"/>
        <w:ind w:right="1560" w:firstLine="444" w:firstLineChars="200"/>
        <w:jc w:val="center"/>
        <w:rPr>
          <w:rFonts w:asciiTheme="minorEastAsia" w:hAnsiTheme="minorEastAsia" w:eastAsiaTheme="minorEastAsia"/>
          <w:color w:val="auto"/>
          <w:spacing w:val="6"/>
          <w:highlight w:val="none"/>
        </w:rPr>
      </w:pPr>
      <w:r>
        <w:rPr>
          <w:rFonts w:hint="eastAsia" w:asciiTheme="minorEastAsia" w:hAnsiTheme="minorEastAsia" w:eastAsiaTheme="minorEastAsia"/>
          <w:color w:val="auto"/>
          <w:spacing w:val="6"/>
          <w:highlight w:val="none"/>
        </w:rPr>
        <w:t>单位名称（盖章）：</w:t>
      </w:r>
    </w:p>
    <w:p>
      <w:pPr>
        <w:tabs>
          <w:tab w:val="left" w:pos="4860"/>
        </w:tabs>
        <w:spacing w:line="360" w:lineRule="auto"/>
        <w:ind w:right="1560" w:firstLine="444" w:firstLineChars="200"/>
        <w:jc w:val="center"/>
        <w:rPr>
          <w:rFonts w:asciiTheme="minorEastAsia" w:hAnsiTheme="minorEastAsia" w:eastAsiaTheme="minorEastAsia"/>
          <w:color w:val="auto"/>
          <w:spacing w:val="6"/>
          <w:highlight w:val="none"/>
        </w:rPr>
      </w:pPr>
      <w:r>
        <w:rPr>
          <w:rFonts w:hint="eastAsia" w:asciiTheme="minorEastAsia" w:hAnsiTheme="minorEastAsia" w:eastAsiaTheme="minorEastAsia"/>
          <w:color w:val="auto"/>
          <w:spacing w:val="6"/>
          <w:highlight w:val="none"/>
        </w:rPr>
        <w:t>日  期：</w:t>
      </w:r>
    </w:p>
    <w:p>
      <w:pPr>
        <w:pStyle w:val="20"/>
        <w:snapToGrid w:val="0"/>
        <w:spacing w:line="360" w:lineRule="auto"/>
        <w:ind w:firstLine="437" w:firstLineChars="196"/>
        <w:rPr>
          <w:rFonts w:cs="宋体" w:asciiTheme="minorEastAsia" w:hAnsiTheme="minorEastAsia" w:eastAsiaTheme="minorEastAsia"/>
          <w:b/>
          <w:color w:val="auto"/>
          <w:spacing w:val="6"/>
          <w:sz w:val="21"/>
          <w:szCs w:val="21"/>
          <w:highlight w:val="none"/>
        </w:rPr>
      </w:pPr>
    </w:p>
    <w:p>
      <w:pPr>
        <w:pStyle w:val="20"/>
        <w:snapToGrid w:val="0"/>
        <w:spacing w:line="360" w:lineRule="auto"/>
        <w:ind w:firstLine="437" w:firstLineChars="196"/>
        <w:rPr>
          <w:rFonts w:cs="宋体" w:asciiTheme="minorEastAsia" w:hAnsiTheme="minorEastAsia" w:eastAsiaTheme="minorEastAsia"/>
          <w:b/>
          <w:color w:val="auto"/>
          <w:spacing w:val="6"/>
          <w:sz w:val="21"/>
          <w:szCs w:val="21"/>
          <w:highlight w:val="none"/>
        </w:rPr>
      </w:pPr>
    </w:p>
    <w:p>
      <w:pPr>
        <w:pStyle w:val="20"/>
        <w:snapToGrid w:val="0"/>
        <w:spacing w:line="360" w:lineRule="auto"/>
        <w:ind w:firstLine="437" w:firstLineChars="196"/>
        <w:rPr>
          <w:rFonts w:cs="宋体" w:asciiTheme="minorEastAsia" w:hAnsiTheme="minorEastAsia" w:eastAsiaTheme="minorEastAsia"/>
          <w:b/>
          <w:color w:val="auto"/>
          <w:spacing w:val="6"/>
          <w:sz w:val="21"/>
          <w:szCs w:val="21"/>
          <w:highlight w:val="none"/>
        </w:rPr>
      </w:pPr>
    </w:p>
    <w:p>
      <w:pPr>
        <w:pStyle w:val="20"/>
        <w:snapToGrid w:val="0"/>
        <w:spacing w:line="360" w:lineRule="auto"/>
        <w:ind w:firstLine="437" w:firstLineChars="196"/>
        <w:rPr>
          <w:rFonts w:cs="宋体" w:asciiTheme="minorEastAsia" w:hAnsiTheme="minorEastAsia" w:eastAsiaTheme="minorEastAsia"/>
          <w:b/>
          <w:color w:val="auto"/>
          <w:spacing w:val="6"/>
          <w:sz w:val="21"/>
          <w:szCs w:val="21"/>
          <w:highlight w:val="none"/>
        </w:rPr>
      </w:pPr>
    </w:p>
    <w:p>
      <w:pPr>
        <w:spacing w:line="360" w:lineRule="auto"/>
        <w:ind w:firstLine="422"/>
        <w:rPr>
          <w:rFonts w:asciiTheme="minorEastAsia" w:hAnsiTheme="minorEastAsia" w:eastAsiaTheme="minorEastAsia"/>
          <w:b/>
          <w:color w:val="auto"/>
          <w:szCs w:val="21"/>
          <w:highlight w:val="none"/>
        </w:rPr>
      </w:pPr>
    </w:p>
    <w:p>
      <w:pPr>
        <w:snapToGrid w:val="0"/>
        <w:spacing w:before="50" w:after="50" w:line="360" w:lineRule="auto"/>
        <w:ind w:left="-23" w:leftChars="-11" w:right="-214" w:rightChars="-102" w:firstLine="21" w:firstLineChars="10"/>
        <w:jc w:val="left"/>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填写说明：</w:t>
      </w:r>
      <w:r>
        <w:rPr>
          <w:rFonts w:hint="eastAsia" w:asciiTheme="minorEastAsia" w:hAnsiTheme="minorEastAsia" w:eastAsiaTheme="minorEastAsia"/>
          <w:b/>
          <w:color w:val="auto"/>
          <w:szCs w:val="21"/>
          <w:highlight w:val="none"/>
        </w:rPr>
        <w:t>投标人不属于残疾人福利性单位无需且不应当提供本声明函，否则自行承担相应的责任。</w:t>
      </w:r>
    </w:p>
    <w:p>
      <w:pPr>
        <w:widowControl/>
        <w:ind w:firstLine="402"/>
        <w:jc w:val="left"/>
        <w:rPr>
          <w:rFonts w:asciiTheme="minorEastAsia" w:hAnsiTheme="minorEastAsia" w:eastAsiaTheme="minorEastAsia"/>
          <w:b/>
          <w:color w:val="auto"/>
          <w:kern w:val="0"/>
          <w:sz w:val="20"/>
          <w:highlight w:val="none"/>
        </w:rPr>
      </w:pPr>
    </w:p>
    <w:p>
      <w:pPr>
        <w:widowControl/>
        <w:ind w:firstLine="422"/>
        <w:jc w:val="left"/>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br w:type="page"/>
      </w:r>
    </w:p>
    <w:p>
      <w:pPr>
        <w:pStyle w:val="4"/>
        <w:ind w:firstLine="482"/>
        <w:rPr>
          <w:rFonts w:asciiTheme="minorEastAsia" w:hAnsiTheme="minorEastAsia" w:eastAsiaTheme="minorEastAsia"/>
          <w:color w:val="auto"/>
          <w:sz w:val="44"/>
          <w:highlight w:val="none"/>
        </w:rPr>
      </w:pPr>
      <w:bookmarkStart w:id="64" w:name="_Toc60582631"/>
      <w:bookmarkStart w:id="65" w:name="_Toc118452539"/>
      <w:r>
        <w:rPr>
          <w:rFonts w:hint="eastAsia" w:asciiTheme="minorEastAsia" w:hAnsiTheme="minorEastAsia" w:eastAsiaTheme="minorEastAsia"/>
          <w:color w:val="auto"/>
          <w:highlight w:val="none"/>
        </w:rPr>
        <w:t>第七章  政府采购供应商质疑函及投诉书</w:t>
      </w:r>
      <w:bookmarkEnd w:id="64"/>
      <w:r>
        <w:rPr>
          <w:rFonts w:hint="eastAsia" w:asciiTheme="minorEastAsia" w:hAnsiTheme="minorEastAsia" w:eastAsiaTheme="minorEastAsia"/>
          <w:color w:val="auto"/>
          <w:highlight w:val="none"/>
        </w:rPr>
        <w:t>范本</w:t>
      </w:r>
      <w:bookmarkEnd w:id="65"/>
    </w:p>
    <w:p>
      <w:pPr>
        <w:ind w:firstLine="562"/>
        <w:jc w:val="center"/>
        <w:rPr>
          <w:rFonts w:cs="宋体" w:asciiTheme="minorEastAsia" w:hAnsiTheme="minorEastAsia" w:eastAsiaTheme="minorEastAsia"/>
          <w:b/>
          <w:bCs/>
          <w:color w:val="auto"/>
          <w:sz w:val="28"/>
          <w:szCs w:val="44"/>
          <w:highlight w:val="none"/>
        </w:rPr>
      </w:pPr>
      <w:r>
        <w:rPr>
          <w:rFonts w:hint="eastAsia" w:cs="宋体" w:asciiTheme="minorEastAsia" w:hAnsiTheme="minorEastAsia" w:eastAsiaTheme="minorEastAsia"/>
          <w:b/>
          <w:bCs/>
          <w:color w:val="auto"/>
          <w:sz w:val="28"/>
          <w:szCs w:val="44"/>
          <w:highlight w:val="none"/>
        </w:rPr>
        <w:t>质疑函</w:t>
      </w:r>
    </w:p>
    <w:p>
      <w:pPr>
        <w:adjustRightInd w:val="0"/>
        <w:snapToGrid w:val="0"/>
        <w:spacing w:line="360" w:lineRule="auto"/>
        <w:ind w:firstLine="440"/>
        <w:rPr>
          <w:rFonts w:cs="仿宋" w:asciiTheme="minorEastAsia" w:hAnsiTheme="minorEastAsia" w:eastAsiaTheme="minorEastAsia"/>
          <w:bCs/>
          <w:color w:val="auto"/>
          <w:sz w:val="22"/>
          <w:highlight w:val="none"/>
        </w:rPr>
      </w:pPr>
      <w:r>
        <w:rPr>
          <w:rFonts w:hint="eastAsia" w:cs="仿宋" w:asciiTheme="minorEastAsia" w:hAnsiTheme="minorEastAsia" w:eastAsiaTheme="minorEastAsia"/>
          <w:bCs/>
          <w:color w:val="auto"/>
          <w:sz w:val="22"/>
          <w:highlight w:val="none"/>
        </w:rPr>
        <w:t>一、质疑供应商基本信息</w:t>
      </w:r>
    </w:p>
    <w:p>
      <w:pPr>
        <w:adjustRightInd w:val="0"/>
        <w:snapToGrid w:val="0"/>
        <w:spacing w:line="360" w:lineRule="auto"/>
        <w:ind w:firstLine="440"/>
        <w:rPr>
          <w:rFonts w:cs="仿宋" w:asciiTheme="minorEastAsia" w:hAnsiTheme="minorEastAsia" w:eastAsiaTheme="minorEastAsia"/>
          <w:color w:val="auto"/>
          <w:sz w:val="22"/>
          <w:highlight w:val="none"/>
          <w:u w:val="dotted"/>
        </w:rPr>
      </w:pPr>
      <w:r>
        <w:rPr>
          <w:rFonts w:hint="eastAsia" w:cs="仿宋" w:asciiTheme="minorEastAsia" w:hAnsiTheme="minorEastAsia" w:eastAsiaTheme="minorEastAsia"/>
          <w:color w:val="auto"/>
          <w:sz w:val="22"/>
          <w:highlight w:val="none"/>
        </w:rPr>
        <w:t>质疑供应商：</w:t>
      </w:r>
      <w:r>
        <w:rPr>
          <w:rFonts w:hint="eastAsia" w:cs="仿宋" w:asciiTheme="minorEastAsia" w:hAnsiTheme="minorEastAsia" w:eastAsiaTheme="minorEastAsia"/>
          <w:color w:val="auto"/>
          <w:sz w:val="22"/>
          <w:highlight w:val="none"/>
          <w:u w:val="dotted"/>
        </w:rPr>
        <w:t xml:space="preserve">                                        </w:t>
      </w:r>
    </w:p>
    <w:p>
      <w:pPr>
        <w:adjustRightInd w:val="0"/>
        <w:snapToGrid w:val="0"/>
        <w:spacing w:line="360" w:lineRule="auto"/>
        <w:ind w:firstLine="440"/>
        <w:rPr>
          <w:rFonts w:cs="仿宋" w:asciiTheme="minorEastAsia" w:hAnsiTheme="minorEastAsia" w:eastAsiaTheme="minorEastAsia"/>
          <w:color w:val="auto"/>
          <w:sz w:val="22"/>
          <w:highlight w:val="none"/>
        </w:rPr>
      </w:pPr>
      <w:r>
        <w:rPr>
          <w:rFonts w:hint="eastAsia" w:cs="仿宋" w:asciiTheme="minorEastAsia" w:hAnsiTheme="minorEastAsia" w:eastAsiaTheme="minorEastAsia"/>
          <w:color w:val="auto"/>
          <w:sz w:val="22"/>
          <w:highlight w:val="none"/>
        </w:rPr>
        <w:t>地址：</w:t>
      </w:r>
      <w:r>
        <w:rPr>
          <w:rFonts w:hint="eastAsia" w:cs="仿宋" w:asciiTheme="minorEastAsia" w:hAnsiTheme="minorEastAsia" w:eastAsiaTheme="minorEastAsia"/>
          <w:color w:val="auto"/>
          <w:sz w:val="22"/>
          <w:highlight w:val="none"/>
          <w:u w:val="dotted"/>
        </w:rPr>
        <w:t xml:space="preserve">                          </w:t>
      </w:r>
      <w:r>
        <w:rPr>
          <w:rFonts w:hint="eastAsia" w:cs="仿宋" w:asciiTheme="minorEastAsia" w:hAnsiTheme="minorEastAsia" w:eastAsiaTheme="minorEastAsia"/>
          <w:color w:val="auto"/>
          <w:sz w:val="22"/>
          <w:highlight w:val="none"/>
        </w:rPr>
        <w:t>邮编：</w:t>
      </w:r>
      <w:r>
        <w:rPr>
          <w:rFonts w:hint="eastAsia" w:cs="仿宋" w:asciiTheme="minorEastAsia" w:hAnsiTheme="minorEastAsia" w:eastAsiaTheme="minorEastAsia"/>
          <w:color w:val="auto"/>
          <w:sz w:val="22"/>
          <w:highlight w:val="none"/>
          <w:u w:val="dotted"/>
        </w:rPr>
        <w:t xml:space="preserve">                          </w:t>
      </w:r>
    </w:p>
    <w:p>
      <w:pPr>
        <w:adjustRightInd w:val="0"/>
        <w:snapToGrid w:val="0"/>
        <w:spacing w:line="360" w:lineRule="auto"/>
        <w:ind w:firstLine="440"/>
        <w:rPr>
          <w:rFonts w:cs="仿宋" w:asciiTheme="minorEastAsia" w:hAnsiTheme="minorEastAsia" w:eastAsiaTheme="minorEastAsia"/>
          <w:color w:val="auto"/>
          <w:sz w:val="22"/>
          <w:highlight w:val="none"/>
        </w:rPr>
      </w:pPr>
      <w:r>
        <w:rPr>
          <w:rFonts w:hint="eastAsia" w:cs="仿宋" w:asciiTheme="minorEastAsia" w:hAnsiTheme="minorEastAsia" w:eastAsiaTheme="minorEastAsia"/>
          <w:color w:val="auto"/>
          <w:sz w:val="22"/>
          <w:highlight w:val="none"/>
        </w:rPr>
        <w:t>联系人：</w:t>
      </w:r>
      <w:r>
        <w:rPr>
          <w:rFonts w:hint="eastAsia" w:cs="仿宋" w:asciiTheme="minorEastAsia" w:hAnsiTheme="minorEastAsia" w:eastAsiaTheme="minorEastAsia"/>
          <w:color w:val="auto"/>
          <w:sz w:val="22"/>
          <w:highlight w:val="none"/>
          <w:u w:val="dotted"/>
        </w:rPr>
        <w:t xml:space="preserve">                      </w:t>
      </w:r>
      <w:r>
        <w:rPr>
          <w:rFonts w:hint="eastAsia" w:cs="仿宋" w:asciiTheme="minorEastAsia" w:hAnsiTheme="minorEastAsia" w:eastAsiaTheme="minorEastAsia"/>
          <w:color w:val="auto"/>
          <w:sz w:val="22"/>
          <w:highlight w:val="none"/>
        </w:rPr>
        <w:t>联系电话：</w:t>
      </w:r>
      <w:r>
        <w:rPr>
          <w:rFonts w:hint="eastAsia" w:cs="仿宋" w:asciiTheme="minorEastAsia" w:hAnsiTheme="minorEastAsia" w:eastAsiaTheme="minorEastAsia"/>
          <w:color w:val="auto"/>
          <w:sz w:val="22"/>
          <w:highlight w:val="none"/>
          <w:u w:val="dotted"/>
        </w:rPr>
        <w:t xml:space="preserve">                        </w:t>
      </w:r>
    </w:p>
    <w:p>
      <w:pPr>
        <w:adjustRightInd w:val="0"/>
        <w:snapToGrid w:val="0"/>
        <w:spacing w:line="360" w:lineRule="auto"/>
        <w:ind w:firstLine="440"/>
        <w:rPr>
          <w:rFonts w:cs="仿宋" w:asciiTheme="minorEastAsia" w:hAnsiTheme="minorEastAsia" w:eastAsiaTheme="minorEastAsia"/>
          <w:color w:val="auto"/>
          <w:sz w:val="22"/>
          <w:highlight w:val="none"/>
          <w:u w:val="dotted"/>
        </w:rPr>
      </w:pPr>
      <w:r>
        <w:rPr>
          <w:rFonts w:hint="eastAsia" w:cs="仿宋" w:asciiTheme="minorEastAsia" w:hAnsiTheme="minorEastAsia" w:eastAsiaTheme="minorEastAsia"/>
          <w:color w:val="auto"/>
          <w:sz w:val="22"/>
          <w:highlight w:val="none"/>
        </w:rPr>
        <w:t>授权代表：</w:t>
      </w:r>
      <w:r>
        <w:rPr>
          <w:rFonts w:hint="eastAsia" w:cs="仿宋" w:asciiTheme="minorEastAsia" w:hAnsiTheme="minorEastAsia" w:eastAsiaTheme="minorEastAsia"/>
          <w:color w:val="auto"/>
          <w:sz w:val="22"/>
          <w:highlight w:val="none"/>
          <w:u w:val="dotted"/>
        </w:rPr>
        <w:t xml:space="preserve">                                          </w:t>
      </w:r>
    </w:p>
    <w:p>
      <w:pPr>
        <w:adjustRightInd w:val="0"/>
        <w:snapToGrid w:val="0"/>
        <w:spacing w:line="360" w:lineRule="auto"/>
        <w:ind w:firstLine="440"/>
        <w:rPr>
          <w:rFonts w:cs="仿宋" w:asciiTheme="minorEastAsia" w:hAnsiTheme="minorEastAsia" w:eastAsiaTheme="minorEastAsia"/>
          <w:color w:val="auto"/>
          <w:sz w:val="22"/>
          <w:highlight w:val="none"/>
        </w:rPr>
      </w:pPr>
      <w:r>
        <w:rPr>
          <w:rFonts w:hint="eastAsia" w:cs="仿宋" w:asciiTheme="minorEastAsia" w:hAnsiTheme="minorEastAsia" w:eastAsiaTheme="minorEastAsia"/>
          <w:color w:val="auto"/>
          <w:sz w:val="22"/>
          <w:highlight w:val="none"/>
        </w:rPr>
        <w:t>联系电话：</w:t>
      </w:r>
      <w:r>
        <w:rPr>
          <w:rFonts w:hint="eastAsia" w:cs="仿宋" w:asciiTheme="minorEastAsia" w:hAnsiTheme="minorEastAsia" w:eastAsiaTheme="minorEastAsia"/>
          <w:color w:val="auto"/>
          <w:sz w:val="22"/>
          <w:highlight w:val="none"/>
          <w:u w:val="dotted"/>
        </w:rPr>
        <w:t xml:space="preserve">                                           </w:t>
      </w:r>
      <w:r>
        <w:rPr>
          <w:rFonts w:cs="仿宋" w:asciiTheme="minorEastAsia" w:hAnsiTheme="minorEastAsia" w:eastAsiaTheme="minorEastAsia"/>
          <w:color w:val="auto"/>
          <w:sz w:val="22"/>
          <w:highlight w:val="none"/>
        </w:rPr>
        <w:t xml:space="preserve"> </w:t>
      </w:r>
    </w:p>
    <w:p>
      <w:pPr>
        <w:adjustRightInd w:val="0"/>
        <w:snapToGrid w:val="0"/>
        <w:spacing w:line="360" w:lineRule="auto"/>
        <w:ind w:firstLine="440"/>
        <w:rPr>
          <w:rFonts w:cs="仿宋" w:asciiTheme="minorEastAsia" w:hAnsiTheme="minorEastAsia" w:eastAsiaTheme="minorEastAsia"/>
          <w:color w:val="auto"/>
          <w:sz w:val="22"/>
          <w:highlight w:val="none"/>
          <w:u w:val="dotted"/>
        </w:rPr>
      </w:pPr>
      <w:r>
        <w:rPr>
          <w:rFonts w:hint="eastAsia" w:cs="仿宋" w:asciiTheme="minorEastAsia" w:hAnsiTheme="minorEastAsia" w:eastAsiaTheme="minorEastAsia"/>
          <w:color w:val="auto"/>
          <w:sz w:val="22"/>
          <w:highlight w:val="none"/>
        </w:rPr>
        <w:t>地址：</w:t>
      </w:r>
      <w:r>
        <w:rPr>
          <w:rFonts w:cs="仿宋" w:asciiTheme="minorEastAsia" w:hAnsiTheme="minorEastAsia" w:eastAsiaTheme="minorEastAsia"/>
          <w:color w:val="auto"/>
          <w:sz w:val="22"/>
          <w:highlight w:val="none"/>
        </w:rPr>
        <w:t xml:space="preserve"> </w:t>
      </w:r>
      <w:r>
        <w:rPr>
          <w:rFonts w:hint="eastAsia" w:cs="仿宋" w:asciiTheme="minorEastAsia" w:hAnsiTheme="minorEastAsia" w:eastAsiaTheme="minorEastAsia"/>
          <w:color w:val="auto"/>
          <w:sz w:val="22"/>
          <w:highlight w:val="none"/>
          <w:u w:val="dotted"/>
        </w:rPr>
        <w:t xml:space="preserve">                        </w:t>
      </w:r>
      <w:r>
        <w:rPr>
          <w:rFonts w:hint="eastAsia" w:cs="仿宋" w:asciiTheme="minorEastAsia" w:hAnsiTheme="minorEastAsia" w:eastAsiaTheme="minorEastAsia"/>
          <w:color w:val="auto"/>
          <w:sz w:val="22"/>
          <w:highlight w:val="none"/>
        </w:rPr>
        <w:t>邮编：</w:t>
      </w:r>
      <w:r>
        <w:rPr>
          <w:rFonts w:hint="eastAsia" w:cs="仿宋" w:asciiTheme="minorEastAsia" w:hAnsiTheme="minorEastAsia" w:eastAsiaTheme="minorEastAsia"/>
          <w:color w:val="auto"/>
          <w:sz w:val="22"/>
          <w:highlight w:val="none"/>
          <w:u w:val="dotted"/>
        </w:rPr>
        <w:t xml:space="preserve">                           </w:t>
      </w:r>
    </w:p>
    <w:p>
      <w:pPr>
        <w:adjustRightInd w:val="0"/>
        <w:snapToGrid w:val="0"/>
        <w:spacing w:line="360" w:lineRule="auto"/>
        <w:ind w:firstLine="442"/>
        <w:rPr>
          <w:rFonts w:cs="仿宋" w:asciiTheme="minorEastAsia" w:hAnsiTheme="minorEastAsia" w:eastAsiaTheme="minorEastAsia"/>
          <w:b/>
          <w:color w:val="auto"/>
          <w:sz w:val="22"/>
          <w:highlight w:val="none"/>
        </w:rPr>
      </w:pPr>
      <w:r>
        <w:rPr>
          <w:rFonts w:hint="eastAsia" w:cs="仿宋" w:asciiTheme="minorEastAsia" w:hAnsiTheme="minorEastAsia" w:eastAsiaTheme="minorEastAsia"/>
          <w:b/>
          <w:color w:val="auto"/>
          <w:sz w:val="22"/>
          <w:highlight w:val="none"/>
        </w:rPr>
        <w:t>质疑函补正文书、质疑回复送达方式确认，按质疑供应商确认的送达方式进行文书送达视同送达。</w:t>
      </w:r>
    </w:p>
    <w:p>
      <w:pPr>
        <w:adjustRightInd w:val="0"/>
        <w:snapToGrid w:val="0"/>
        <w:spacing w:line="360" w:lineRule="auto"/>
        <w:ind w:firstLine="440"/>
        <w:rPr>
          <w:rFonts w:cs="仿宋" w:asciiTheme="minorEastAsia" w:hAnsiTheme="minorEastAsia" w:eastAsiaTheme="minorEastAsia"/>
          <w:color w:val="auto"/>
          <w:sz w:val="22"/>
          <w:highlight w:val="none"/>
        </w:rPr>
      </w:pPr>
      <w:r>
        <w:rPr>
          <w:rFonts w:hint="eastAsia" w:cs="仿宋" w:asciiTheme="minorEastAsia" w:hAnsiTheme="minorEastAsia" w:eastAsiaTheme="minorEastAsia"/>
          <w:color w:val="auto"/>
          <w:sz w:val="22"/>
          <w:highlight w:val="none"/>
        </w:rPr>
        <w:t>确认电子邮件送达：</w:t>
      </w:r>
      <w:r>
        <w:rPr>
          <w:rFonts w:cs="仿宋" w:asciiTheme="minorEastAsia" w:hAnsiTheme="minorEastAsia" w:eastAsiaTheme="minorEastAsia"/>
          <w:color w:val="auto"/>
          <w:sz w:val="22"/>
          <w:highlight w:val="none"/>
        </w:rPr>
        <w:t xml:space="preserve"> </w:t>
      </w:r>
      <w:r>
        <w:rPr>
          <w:rFonts w:hint="eastAsia" w:cs="仿宋" w:asciiTheme="minorEastAsia" w:hAnsiTheme="minorEastAsia" w:eastAsiaTheme="minorEastAsia"/>
          <w:color w:val="auto"/>
          <w:sz w:val="22"/>
          <w:highlight w:val="none"/>
          <w:u w:val="dotted"/>
        </w:rPr>
        <w:t xml:space="preserve">                        </w:t>
      </w:r>
      <w:r>
        <w:rPr>
          <w:rFonts w:hint="eastAsia" w:cs="仿宋" w:asciiTheme="minorEastAsia" w:hAnsiTheme="minorEastAsia" w:eastAsiaTheme="minorEastAsia"/>
          <w:color w:val="auto"/>
          <w:sz w:val="22"/>
          <w:highlight w:val="none"/>
        </w:rPr>
        <w:t>或</w:t>
      </w:r>
    </w:p>
    <w:p>
      <w:pPr>
        <w:adjustRightInd w:val="0"/>
        <w:snapToGrid w:val="0"/>
        <w:spacing w:line="360" w:lineRule="auto"/>
        <w:ind w:firstLine="440"/>
        <w:rPr>
          <w:rFonts w:cs="仿宋" w:asciiTheme="minorEastAsia" w:hAnsiTheme="minorEastAsia" w:eastAsiaTheme="minorEastAsia"/>
          <w:color w:val="auto"/>
          <w:sz w:val="22"/>
          <w:highlight w:val="none"/>
          <w:u w:val="dotted"/>
        </w:rPr>
      </w:pPr>
      <w:r>
        <w:rPr>
          <w:rFonts w:hint="eastAsia" w:cs="仿宋" w:asciiTheme="minorEastAsia" w:hAnsiTheme="minorEastAsia" w:eastAsiaTheme="minorEastAsia"/>
          <w:color w:val="auto"/>
          <w:sz w:val="22"/>
          <w:highlight w:val="none"/>
        </w:rPr>
        <w:t>确认传真送达：</w:t>
      </w:r>
      <w:r>
        <w:rPr>
          <w:rFonts w:cs="仿宋" w:asciiTheme="minorEastAsia" w:hAnsiTheme="minorEastAsia" w:eastAsiaTheme="minorEastAsia"/>
          <w:color w:val="auto"/>
          <w:sz w:val="22"/>
          <w:highlight w:val="none"/>
        </w:rPr>
        <w:t xml:space="preserve"> </w:t>
      </w:r>
      <w:r>
        <w:rPr>
          <w:rFonts w:hint="eastAsia" w:cs="仿宋" w:asciiTheme="minorEastAsia" w:hAnsiTheme="minorEastAsia" w:eastAsiaTheme="minorEastAsia"/>
          <w:color w:val="auto"/>
          <w:sz w:val="22"/>
          <w:highlight w:val="none"/>
          <w:u w:val="dotted"/>
        </w:rPr>
        <w:t xml:space="preserve">                            </w:t>
      </w:r>
      <w:r>
        <w:rPr>
          <w:rFonts w:hint="eastAsia" w:cs="仿宋" w:asciiTheme="minorEastAsia" w:hAnsiTheme="minorEastAsia" w:eastAsiaTheme="minorEastAsia"/>
          <w:color w:val="auto"/>
          <w:sz w:val="22"/>
          <w:highlight w:val="none"/>
        </w:rPr>
        <w:t>或</w:t>
      </w:r>
    </w:p>
    <w:p>
      <w:pPr>
        <w:adjustRightInd w:val="0"/>
        <w:snapToGrid w:val="0"/>
        <w:spacing w:line="360" w:lineRule="auto"/>
        <w:ind w:firstLine="440"/>
        <w:rPr>
          <w:rFonts w:cs="仿宋" w:asciiTheme="minorEastAsia" w:hAnsiTheme="minorEastAsia" w:eastAsiaTheme="minorEastAsia"/>
          <w:color w:val="auto"/>
          <w:sz w:val="22"/>
          <w:highlight w:val="none"/>
        </w:rPr>
      </w:pPr>
      <w:r>
        <w:rPr>
          <w:rFonts w:hint="eastAsia" w:cs="仿宋" w:asciiTheme="minorEastAsia" w:hAnsiTheme="minorEastAsia" w:eastAsiaTheme="minorEastAsia"/>
          <w:color w:val="auto"/>
          <w:sz w:val="22"/>
          <w:highlight w:val="none"/>
        </w:rPr>
        <w:t>其他方式：</w:t>
      </w:r>
      <w:r>
        <w:rPr>
          <w:rFonts w:hint="eastAsia" w:cs="仿宋" w:asciiTheme="minorEastAsia" w:hAnsiTheme="minorEastAsia" w:eastAsiaTheme="minorEastAsia"/>
          <w:color w:val="auto"/>
          <w:sz w:val="22"/>
          <w:highlight w:val="none"/>
          <w:u w:val="dotted"/>
        </w:rPr>
        <w:t xml:space="preserve">                            </w:t>
      </w:r>
    </w:p>
    <w:p>
      <w:pPr>
        <w:adjustRightInd w:val="0"/>
        <w:snapToGrid w:val="0"/>
        <w:spacing w:line="360" w:lineRule="auto"/>
        <w:ind w:firstLine="440"/>
        <w:rPr>
          <w:rFonts w:cs="仿宋" w:asciiTheme="minorEastAsia" w:hAnsiTheme="minorEastAsia" w:eastAsiaTheme="minorEastAsia"/>
          <w:bCs/>
          <w:color w:val="auto"/>
          <w:sz w:val="22"/>
          <w:highlight w:val="none"/>
        </w:rPr>
      </w:pPr>
      <w:r>
        <w:rPr>
          <w:rFonts w:hint="eastAsia" w:cs="仿宋" w:asciiTheme="minorEastAsia" w:hAnsiTheme="minorEastAsia" w:eastAsiaTheme="minorEastAsia"/>
          <w:bCs/>
          <w:color w:val="auto"/>
          <w:sz w:val="22"/>
          <w:highlight w:val="none"/>
        </w:rPr>
        <w:t>二、质疑项目基本情况</w:t>
      </w:r>
    </w:p>
    <w:p>
      <w:pPr>
        <w:adjustRightInd w:val="0"/>
        <w:snapToGrid w:val="0"/>
        <w:spacing w:line="360" w:lineRule="auto"/>
        <w:ind w:firstLine="440"/>
        <w:rPr>
          <w:rFonts w:cs="仿宋" w:asciiTheme="minorEastAsia" w:hAnsiTheme="minorEastAsia" w:eastAsiaTheme="minorEastAsia"/>
          <w:color w:val="auto"/>
          <w:sz w:val="22"/>
          <w:highlight w:val="none"/>
        </w:rPr>
      </w:pPr>
      <w:r>
        <w:rPr>
          <w:rFonts w:hint="eastAsia" w:cs="仿宋" w:asciiTheme="minorEastAsia" w:hAnsiTheme="minorEastAsia" w:eastAsiaTheme="minorEastAsia"/>
          <w:color w:val="auto"/>
          <w:sz w:val="22"/>
          <w:highlight w:val="none"/>
        </w:rPr>
        <w:t>质疑项目的名称：</w:t>
      </w:r>
      <w:r>
        <w:rPr>
          <w:rFonts w:hint="eastAsia" w:cs="仿宋" w:asciiTheme="minorEastAsia" w:hAnsiTheme="minorEastAsia" w:eastAsiaTheme="minorEastAsia"/>
          <w:color w:val="auto"/>
          <w:sz w:val="22"/>
          <w:highlight w:val="none"/>
          <w:u w:val="dotted"/>
        </w:rPr>
        <w:t xml:space="preserve">                                      </w:t>
      </w:r>
    </w:p>
    <w:p>
      <w:pPr>
        <w:adjustRightInd w:val="0"/>
        <w:snapToGrid w:val="0"/>
        <w:spacing w:line="360" w:lineRule="auto"/>
        <w:ind w:firstLine="440"/>
        <w:rPr>
          <w:rFonts w:cs="仿宋" w:asciiTheme="minorEastAsia" w:hAnsiTheme="minorEastAsia" w:eastAsiaTheme="minorEastAsia"/>
          <w:color w:val="auto"/>
          <w:sz w:val="22"/>
          <w:highlight w:val="none"/>
        </w:rPr>
      </w:pPr>
      <w:r>
        <w:rPr>
          <w:rFonts w:hint="eastAsia" w:cs="仿宋" w:asciiTheme="minorEastAsia" w:hAnsiTheme="minorEastAsia" w:eastAsiaTheme="minorEastAsia"/>
          <w:color w:val="auto"/>
          <w:sz w:val="22"/>
          <w:highlight w:val="none"/>
        </w:rPr>
        <w:t>质疑项目的编号：</w:t>
      </w:r>
      <w:r>
        <w:rPr>
          <w:rFonts w:hint="eastAsia" w:cs="仿宋" w:asciiTheme="minorEastAsia" w:hAnsiTheme="minorEastAsia" w:eastAsiaTheme="minorEastAsia"/>
          <w:color w:val="auto"/>
          <w:sz w:val="22"/>
          <w:highlight w:val="none"/>
          <w:u w:val="dotted"/>
        </w:rPr>
        <w:t xml:space="preserve">               </w:t>
      </w:r>
      <w:r>
        <w:rPr>
          <w:rFonts w:hint="eastAsia" w:cs="仿宋" w:asciiTheme="minorEastAsia" w:hAnsiTheme="minorEastAsia" w:eastAsiaTheme="minorEastAsia"/>
          <w:color w:val="auto"/>
          <w:sz w:val="22"/>
          <w:highlight w:val="none"/>
        </w:rPr>
        <w:t>包号：</w:t>
      </w:r>
      <w:r>
        <w:rPr>
          <w:rFonts w:hint="eastAsia" w:cs="仿宋" w:asciiTheme="minorEastAsia" w:hAnsiTheme="minorEastAsia" w:eastAsiaTheme="minorEastAsia"/>
          <w:color w:val="auto"/>
          <w:sz w:val="22"/>
          <w:highlight w:val="none"/>
          <w:u w:val="dotted"/>
        </w:rPr>
        <w:t xml:space="preserve">                 </w:t>
      </w:r>
    </w:p>
    <w:p>
      <w:pPr>
        <w:adjustRightInd w:val="0"/>
        <w:snapToGrid w:val="0"/>
        <w:spacing w:line="360" w:lineRule="auto"/>
        <w:ind w:firstLine="440"/>
        <w:rPr>
          <w:rFonts w:cs="仿宋" w:asciiTheme="minorEastAsia" w:hAnsiTheme="minorEastAsia" w:eastAsiaTheme="minorEastAsia"/>
          <w:color w:val="auto"/>
          <w:sz w:val="22"/>
          <w:highlight w:val="none"/>
          <w:u w:val="dotted"/>
        </w:rPr>
      </w:pPr>
      <w:r>
        <w:rPr>
          <w:rFonts w:hint="eastAsia" w:cs="仿宋" w:asciiTheme="minorEastAsia" w:hAnsiTheme="minorEastAsia" w:eastAsiaTheme="minorEastAsia"/>
          <w:color w:val="auto"/>
          <w:sz w:val="22"/>
          <w:highlight w:val="none"/>
        </w:rPr>
        <w:t>采购人名称：</w:t>
      </w:r>
      <w:r>
        <w:rPr>
          <w:rFonts w:hint="eastAsia" w:cs="仿宋" w:asciiTheme="minorEastAsia" w:hAnsiTheme="minorEastAsia" w:eastAsiaTheme="minorEastAsia"/>
          <w:color w:val="auto"/>
          <w:sz w:val="22"/>
          <w:highlight w:val="none"/>
          <w:u w:val="dotted"/>
        </w:rPr>
        <w:t xml:space="preserve">                                         </w:t>
      </w:r>
    </w:p>
    <w:p>
      <w:pPr>
        <w:adjustRightInd w:val="0"/>
        <w:snapToGrid w:val="0"/>
        <w:spacing w:line="360" w:lineRule="auto"/>
        <w:ind w:firstLine="440"/>
        <w:rPr>
          <w:rFonts w:cs="仿宋" w:asciiTheme="minorEastAsia" w:hAnsiTheme="minorEastAsia" w:eastAsiaTheme="minorEastAsia"/>
          <w:color w:val="auto"/>
          <w:sz w:val="22"/>
          <w:highlight w:val="none"/>
        </w:rPr>
      </w:pPr>
      <w:r>
        <w:rPr>
          <w:rFonts w:hint="eastAsia" w:cs="仿宋" w:asciiTheme="minorEastAsia" w:hAnsiTheme="minorEastAsia" w:eastAsiaTheme="minorEastAsia"/>
          <w:color w:val="auto"/>
          <w:sz w:val="22"/>
          <w:highlight w:val="none"/>
        </w:rPr>
        <w:t>采购文件获取日期：</w:t>
      </w:r>
      <w:r>
        <w:rPr>
          <w:rFonts w:hint="eastAsia" w:cs="仿宋" w:asciiTheme="minorEastAsia" w:hAnsiTheme="minorEastAsia" w:eastAsiaTheme="minorEastAsia"/>
          <w:color w:val="auto"/>
          <w:sz w:val="22"/>
          <w:highlight w:val="none"/>
          <w:u w:val="dotted"/>
        </w:rPr>
        <w:t xml:space="preserve">                                           </w:t>
      </w:r>
    </w:p>
    <w:p>
      <w:pPr>
        <w:adjustRightInd w:val="0"/>
        <w:snapToGrid w:val="0"/>
        <w:spacing w:line="360" w:lineRule="auto"/>
        <w:ind w:firstLine="440"/>
        <w:rPr>
          <w:rFonts w:cs="仿宋" w:asciiTheme="minorEastAsia" w:hAnsiTheme="minorEastAsia" w:eastAsiaTheme="minorEastAsia"/>
          <w:bCs/>
          <w:color w:val="auto"/>
          <w:sz w:val="22"/>
          <w:highlight w:val="none"/>
        </w:rPr>
      </w:pPr>
      <w:r>
        <w:rPr>
          <w:rFonts w:hint="eastAsia" w:cs="仿宋" w:asciiTheme="minorEastAsia" w:hAnsiTheme="minorEastAsia" w:eastAsiaTheme="minorEastAsia"/>
          <w:bCs/>
          <w:color w:val="auto"/>
          <w:sz w:val="22"/>
          <w:highlight w:val="none"/>
        </w:rPr>
        <w:t>三、质疑事项具体内容</w:t>
      </w:r>
    </w:p>
    <w:p>
      <w:pPr>
        <w:adjustRightInd w:val="0"/>
        <w:snapToGrid w:val="0"/>
        <w:spacing w:line="360" w:lineRule="auto"/>
        <w:ind w:firstLine="440"/>
        <w:rPr>
          <w:rFonts w:cs="仿宋" w:asciiTheme="minorEastAsia" w:hAnsiTheme="minorEastAsia" w:eastAsiaTheme="minorEastAsia"/>
          <w:color w:val="auto"/>
          <w:sz w:val="22"/>
          <w:highlight w:val="none"/>
          <w:u w:val="dotted"/>
        </w:rPr>
      </w:pPr>
      <w:r>
        <w:rPr>
          <w:rFonts w:hint="eastAsia" w:cs="仿宋" w:asciiTheme="minorEastAsia" w:hAnsiTheme="minorEastAsia" w:eastAsiaTheme="minorEastAsia"/>
          <w:color w:val="auto"/>
          <w:sz w:val="22"/>
          <w:highlight w:val="none"/>
        </w:rPr>
        <w:t>质疑事项1：</w:t>
      </w:r>
      <w:r>
        <w:rPr>
          <w:rFonts w:hint="eastAsia" w:cs="仿宋" w:asciiTheme="minorEastAsia" w:hAnsiTheme="minorEastAsia" w:eastAsiaTheme="minorEastAsia"/>
          <w:color w:val="auto"/>
          <w:sz w:val="22"/>
          <w:highlight w:val="none"/>
          <w:u w:val="dotted"/>
        </w:rPr>
        <w:t xml:space="preserve">                                         </w:t>
      </w:r>
    </w:p>
    <w:p>
      <w:pPr>
        <w:adjustRightInd w:val="0"/>
        <w:snapToGrid w:val="0"/>
        <w:spacing w:line="360" w:lineRule="auto"/>
        <w:ind w:firstLine="440"/>
        <w:rPr>
          <w:rFonts w:cs="仿宋" w:asciiTheme="minorEastAsia" w:hAnsiTheme="minorEastAsia" w:eastAsiaTheme="minorEastAsia"/>
          <w:color w:val="auto"/>
          <w:sz w:val="22"/>
          <w:highlight w:val="none"/>
          <w:u w:val="dotted"/>
        </w:rPr>
      </w:pPr>
      <w:r>
        <w:rPr>
          <w:rFonts w:hint="eastAsia" w:cs="仿宋" w:asciiTheme="minorEastAsia" w:hAnsiTheme="minorEastAsia" w:eastAsiaTheme="minorEastAsia"/>
          <w:color w:val="auto"/>
          <w:sz w:val="22"/>
          <w:highlight w:val="none"/>
        </w:rPr>
        <w:t>事实依据：</w:t>
      </w:r>
      <w:r>
        <w:rPr>
          <w:rFonts w:hint="eastAsia" w:cs="仿宋" w:asciiTheme="minorEastAsia" w:hAnsiTheme="minorEastAsia" w:eastAsiaTheme="minorEastAsia"/>
          <w:color w:val="auto"/>
          <w:sz w:val="22"/>
          <w:highlight w:val="none"/>
          <w:u w:val="dotted"/>
        </w:rPr>
        <w:t xml:space="preserve">                                          </w:t>
      </w:r>
    </w:p>
    <w:p>
      <w:pPr>
        <w:adjustRightInd w:val="0"/>
        <w:snapToGrid w:val="0"/>
        <w:spacing w:line="360" w:lineRule="auto"/>
        <w:ind w:firstLine="440"/>
        <w:rPr>
          <w:rFonts w:cs="仿宋" w:asciiTheme="minorEastAsia" w:hAnsiTheme="minorEastAsia" w:eastAsiaTheme="minorEastAsia"/>
          <w:color w:val="auto"/>
          <w:sz w:val="22"/>
          <w:highlight w:val="none"/>
        </w:rPr>
      </w:pPr>
      <w:r>
        <w:rPr>
          <w:rFonts w:hint="eastAsia" w:cs="仿宋" w:asciiTheme="minorEastAsia" w:hAnsiTheme="minorEastAsia" w:eastAsiaTheme="minorEastAsia"/>
          <w:color w:val="auto"/>
          <w:sz w:val="22"/>
          <w:highlight w:val="none"/>
          <w:u w:val="dotted"/>
        </w:rPr>
        <w:t xml:space="preserve">                                                       </w:t>
      </w:r>
    </w:p>
    <w:p>
      <w:pPr>
        <w:adjustRightInd w:val="0"/>
        <w:snapToGrid w:val="0"/>
        <w:spacing w:line="360" w:lineRule="auto"/>
        <w:ind w:firstLine="440"/>
        <w:rPr>
          <w:rFonts w:cs="仿宋" w:asciiTheme="minorEastAsia" w:hAnsiTheme="minorEastAsia" w:eastAsiaTheme="minorEastAsia"/>
          <w:color w:val="auto"/>
          <w:sz w:val="22"/>
          <w:highlight w:val="none"/>
          <w:u w:val="dotted"/>
        </w:rPr>
      </w:pPr>
      <w:r>
        <w:rPr>
          <w:rFonts w:hint="eastAsia" w:cs="仿宋" w:asciiTheme="minorEastAsia" w:hAnsiTheme="minorEastAsia" w:eastAsiaTheme="minorEastAsia"/>
          <w:color w:val="auto"/>
          <w:sz w:val="22"/>
          <w:highlight w:val="none"/>
        </w:rPr>
        <w:t>法律依据：</w:t>
      </w:r>
      <w:r>
        <w:rPr>
          <w:rFonts w:hint="eastAsia" w:cs="仿宋" w:asciiTheme="minorEastAsia" w:hAnsiTheme="minorEastAsia" w:eastAsiaTheme="minorEastAsia"/>
          <w:color w:val="auto"/>
          <w:sz w:val="22"/>
          <w:highlight w:val="none"/>
          <w:u w:val="dotted"/>
        </w:rPr>
        <w:t xml:space="preserve">                                          </w:t>
      </w:r>
    </w:p>
    <w:p>
      <w:pPr>
        <w:adjustRightInd w:val="0"/>
        <w:snapToGrid w:val="0"/>
        <w:spacing w:line="360" w:lineRule="auto"/>
        <w:ind w:firstLine="440"/>
        <w:rPr>
          <w:rFonts w:cs="仿宋" w:asciiTheme="minorEastAsia" w:hAnsiTheme="minorEastAsia" w:eastAsiaTheme="minorEastAsia"/>
          <w:color w:val="auto"/>
          <w:sz w:val="22"/>
          <w:highlight w:val="none"/>
          <w:u w:val="dotted"/>
        </w:rPr>
      </w:pPr>
      <w:r>
        <w:rPr>
          <w:rFonts w:hint="eastAsia" w:cs="仿宋" w:asciiTheme="minorEastAsia" w:hAnsiTheme="minorEastAsia" w:eastAsiaTheme="minorEastAsia"/>
          <w:color w:val="auto"/>
          <w:sz w:val="22"/>
          <w:highlight w:val="none"/>
          <w:u w:val="dotted"/>
        </w:rPr>
        <w:t xml:space="preserve">                                                     </w:t>
      </w:r>
    </w:p>
    <w:p>
      <w:pPr>
        <w:adjustRightInd w:val="0"/>
        <w:snapToGrid w:val="0"/>
        <w:spacing w:line="360" w:lineRule="auto"/>
        <w:ind w:firstLine="440"/>
        <w:rPr>
          <w:rFonts w:cs="仿宋" w:asciiTheme="minorEastAsia" w:hAnsiTheme="minorEastAsia" w:eastAsiaTheme="minorEastAsia"/>
          <w:color w:val="auto"/>
          <w:sz w:val="22"/>
          <w:highlight w:val="none"/>
          <w:u w:val="dotted"/>
        </w:rPr>
      </w:pPr>
      <w:r>
        <w:rPr>
          <w:rFonts w:hint="eastAsia" w:cs="仿宋" w:asciiTheme="minorEastAsia" w:hAnsiTheme="minorEastAsia" w:eastAsiaTheme="minorEastAsia"/>
          <w:color w:val="auto"/>
          <w:sz w:val="22"/>
          <w:highlight w:val="none"/>
        </w:rPr>
        <w:t>质疑事项2</w:t>
      </w:r>
    </w:p>
    <w:p>
      <w:pPr>
        <w:adjustRightInd w:val="0"/>
        <w:snapToGrid w:val="0"/>
        <w:spacing w:line="360" w:lineRule="auto"/>
        <w:ind w:firstLine="440"/>
        <w:rPr>
          <w:rFonts w:cs="仿宋" w:asciiTheme="minorEastAsia" w:hAnsiTheme="minorEastAsia" w:eastAsiaTheme="minorEastAsia"/>
          <w:color w:val="auto"/>
          <w:sz w:val="22"/>
          <w:highlight w:val="none"/>
        </w:rPr>
      </w:pPr>
      <w:r>
        <w:rPr>
          <w:rFonts w:hint="eastAsia" w:cs="仿宋" w:asciiTheme="minorEastAsia" w:hAnsiTheme="minorEastAsia" w:eastAsiaTheme="minorEastAsia"/>
          <w:color w:val="auto"/>
          <w:sz w:val="22"/>
          <w:highlight w:val="none"/>
        </w:rPr>
        <w:t>……</w:t>
      </w:r>
    </w:p>
    <w:p>
      <w:pPr>
        <w:adjustRightInd w:val="0"/>
        <w:snapToGrid w:val="0"/>
        <w:spacing w:line="360" w:lineRule="auto"/>
        <w:ind w:firstLine="440"/>
        <w:rPr>
          <w:rFonts w:cs="仿宋" w:asciiTheme="minorEastAsia" w:hAnsiTheme="minorEastAsia" w:eastAsiaTheme="minorEastAsia"/>
          <w:bCs/>
          <w:color w:val="auto"/>
          <w:sz w:val="22"/>
          <w:highlight w:val="none"/>
        </w:rPr>
      </w:pPr>
    </w:p>
    <w:p>
      <w:pPr>
        <w:adjustRightInd w:val="0"/>
        <w:snapToGrid w:val="0"/>
        <w:spacing w:line="360" w:lineRule="auto"/>
        <w:ind w:firstLine="440"/>
        <w:rPr>
          <w:rFonts w:cs="仿宋" w:asciiTheme="minorEastAsia" w:hAnsiTheme="minorEastAsia" w:eastAsiaTheme="minorEastAsia"/>
          <w:bCs/>
          <w:color w:val="auto"/>
          <w:sz w:val="22"/>
          <w:highlight w:val="none"/>
        </w:rPr>
      </w:pPr>
      <w:r>
        <w:rPr>
          <w:rFonts w:hint="eastAsia" w:cs="仿宋" w:asciiTheme="minorEastAsia" w:hAnsiTheme="minorEastAsia" w:eastAsiaTheme="minorEastAsia"/>
          <w:bCs/>
          <w:color w:val="auto"/>
          <w:sz w:val="22"/>
          <w:highlight w:val="none"/>
        </w:rPr>
        <w:t>四、与质疑事项相关的质疑请求</w:t>
      </w:r>
    </w:p>
    <w:p>
      <w:pPr>
        <w:adjustRightInd w:val="0"/>
        <w:snapToGrid w:val="0"/>
        <w:spacing w:line="360" w:lineRule="auto"/>
        <w:ind w:firstLine="440"/>
        <w:rPr>
          <w:rFonts w:cs="仿宋" w:asciiTheme="minorEastAsia" w:hAnsiTheme="minorEastAsia" w:eastAsiaTheme="minorEastAsia"/>
          <w:color w:val="auto"/>
          <w:sz w:val="22"/>
          <w:highlight w:val="none"/>
          <w:u w:val="dotted"/>
        </w:rPr>
      </w:pPr>
      <w:r>
        <w:rPr>
          <w:rFonts w:hint="eastAsia" w:cs="仿宋" w:asciiTheme="minorEastAsia" w:hAnsiTheme="minorEastAsia" w:eastAsiaTheme="minorEastAsia"/>
          <w:color w:val="auto"/>
          <w:sz w:val="22"/>
          <w:highlight w:val="none"/>
        </w:rPr>
        <w:t>请求：</w:t>
      </w:r>
      <w:r>
        <w:rPr>
          <w:rFonts w:hint="eastAsia" w:cs="仿宋" w:asciiTheme="minorEastAsia" w:hAnsiTheme="minorEastAsia" w:eastAsiaTheme="minorEastAsia"/>
          <w:color w:val="auto"/>
          <w:sz w:val="22"/>
          <w:highlight w:val="none"/>
          <w:u w:val="dotted"/>
        </w:rPr>
        <w:t xml:space="preserve">                                               </w:t>
      </w:r>
    </w:p>
    <w:p>
      <w:pPr>
        <w:spacing w:line="360" w:lineRule="auto"/>
        <w:ind w:firstLine="440"/>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 xml:space="preserve">签字(签章)：                   公章：                      </w:t>
      </w:r>
    </w:p>
    <w:p>
      <w:pPr>
        <w:spacing w:line="360" w:lineRule="auto"/>
        <w:ind w:firstLine="440"/>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 xml:space="preserve">日期：    </w:t>
      </w:r>
    </w:p>
    <w:p>
      <w:pPr>
        <w:adjustRightInd w:val="0"/>
        <w:snapToGrid w:val="0"/>
        <w:spacing w:line="360" w:lineRule="auto"/>
        <w:ind w:firstLine="480"/>
        <w:rPr>
          <w:rFonts w:cs="仿宋" w:asciiTheme="minorEastAsia" w:hAnsiTheme="minorEastAsia" w:eastAsiaTheme="minorEastAsia"/>
          <w:color w:val="auto"/>
          <w:sz w:val="24"/>
          <w:highlight w:val="none"/>
        </w:rPr>
      </w:pPr>
    </w:p>
    <w:p>
      <w:pPr>
        <w:spacing w:line="360" w:lineRule="auto"/>
        <w:ind w:firstLine="422"/>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质疑函制作说明：</w:t>
      </w:r>
    </w:p>
    <w:p>
      <w:pPr>
        <w:widowControl/>
        <w:spacing w:line="360" w:lineRule="auto"/>
        <w:ind w:firstLine="420" w:firstLineChars="20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1.供应商提出质疑时，应提交质疑函及质疑函电子文档和必要的证明材料。</w:t>
      </w:r>
    </w:p>
    <w:p>
      <w:pPr>
        <w:widowControl/>
        <w:spacing w:line="360" w:lineRule="auto"/>
        <w:ind w:firstLine="420" w:firstLineChars="20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2.质疑供应商若委托代理人进行质疑的，质疑函应按要求列明“授权代表”的有关内容，并在附件中提交由质疑</w:t>
      </w:r>
      <w:r>
        <w:rPr>
          <w:rFonts w:hint="eastAsia" w:cs="宋体" w:asciiTheme="minorEastAsia" w:hAnsiTheme="minorEastAsia" w:eastAsiaTheme="minorEastAsia"/>
          <w:color w:val="auto"/>
          <w:kern w:val="0"/>
          <w:highlight w:val="none"/>
        </w:rPr>
        <w:t>供应商签署的授权委托书。授权委托书应载明代理人的姓名或者名称、代理事项、具体权限、期限和相关事项。</w:t>
      </w:r>
    </w:p>
    <w:p>
      <w:pPr>
        <w:widowControl/>
        <w:spacing w:line="360" w:lineRule="auto"/>
        <w:ind w:firstLine="420" w:firstLineChars="20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3.质疑供应商若对项目的某一分包进行质疑，质疑函中应列明具体分包号。</w:t>
      </w:r>
    </w:p>
    <w:p>
      <w:pPr>
        <w:widowControl/>
        <w:spacing w:line="360" w:lineRule="auto"/>
        <w:ind w:firstLine="420" w:firstLineChars="20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4.质疑函的质疑事项应具体、明确，并有必要的事实依据和法律依据。</w:t>
      </w:r>
    </w:p>
    <w:p>
      <w:pPr>
        <w:widowControl/>
        <w:spacing w:line="360" w:lineRule="auto"/>
        <w:ind w:firstLine="420" w:firstLineChars="20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5.质疑函的质疑请求应与质疑事项相关。</w:t>
      </w:r>
    </w:p>
    <w:p>
      <w:pPr>
        <w:widowControl/>
        <w:spacing w:line="360" w:lineRule="auto"/>
        <w:ind w:firstLine="420" w:firstLineChars="20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6.质疑供应商为自然人的，质疑函应由本人签字；质疑供应商为法人或者其他组织的，质疑函应由法定代表人、主要负责人，或者其授权代表签字或者盖章，并加盖公章。</w:t>
      </w:r>
    </w:p>
    <w:p>
      <w:pPr>
        <w:spacing w:line="360" w:lineRule="auto"/>
        <w:ind w:firstLine="422"/>
        <w:rPr>
          <w:rFonts w:asciiTheme="minorEastAsia" w:hAnsiTheme="minorEastAsia" w:eastAsiaTheme="minorEastAsia"/>
          <w:b/>
          <w:color w:val="auto"/>
          <w:szCs w:val="21"/>
          <w:highlight w:val="none"/>
        </w:rPr>
      </w:pPr>
    </w:p>
    <w:p>
      <w:pPr>
        <w:spacing w:line="360" w:lineRule="auto"/>
        <w:ind w:firstLine="422"/>
        <w:rPr>
          <w:rFonts w:asciiTheme="minorEastAsia" w:hAnsiTheme="minorEastAsia" w:eastAsiaTheme="minorEastAsia"/>
          <w:b/>
          <w:color w:val="auto"/>
          <w:szCs w:val="21"/>
          <w:highlight w:val="none"/>
        </w:rPr>
      </w:pPr>
    </w:p>
    <w:p>
      <w:pPr>
        <w:widowControl/>
        <w:ind w:firstLine="422"/>
        <w:jc w:val="left"/>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br w:type="page"/>
      </w:r>
    </w:p>
    <w:p>
      <w:pPr>
        <w:ind w:firstLine="562"/>
        <w:jc w:val="center"/>
        <w:rPr>
          <w:rFonts w:cs="宋体" w:asciiTheme="minorEastAsia" w:hAnsiTheme="minorEastAsia" w:eastAsiaTheme="minorEastAsia"/>
          <w:b/>
          <w:bCs/>
          <w:color w:val="auto"/>
          <w:sz w:val="28"/>
          <w:szCs w:val="44"/>
          <w:highlight w:val="none"/>
        </w:rPr>
      </w:pPr>
      <w:r>
        <w:rPr>
          <w:rFonts w:hint="eastAsia" w:cs="宋体" w:asciiTheme="minorEastAsia" w:hAnsiTheme="minorEastAsia" w:eastAsiaTheme="minorEastAsia"/>
          <w:b/>
          <w:bCs/>
          <w:color w:val="auto"/>
          <w:sz w:val="28"/>
          <w:szCs w:val="44"/>
          <w:highlight w:val="none"/>
        </w:rPr>
        <w:t>投诉书</w:t>
      </w:r>
    </w:p>
    <w:p>
      <w:pPr>
        <w:ind w:firstLine="440"/>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一、投诉相关主体基本情况</w:t>
      </w:r>
    </w:p>
    <w:p>
      <w:pPr>
        <w:ind w:firstLine="440"/>
        <w:rPr>
          <w:rFonts w:asciiTheme="minorEastAsia" w:hAnsiTheme="minorEastAsia" w:eastAsiaTheme="minorEastAsia"/>
          <w:color w:val="auto"/>
          <w:sz w:val="22"/>
          <w:highlight w:val="none"/>
          <w:u w:val="dotted"/>
        </w:rPr>
      </w:pPr>
      <w:r>
        <w:rPr>
          <w:rFonts w:hint="eastAsia" w:asciiTheme="minorEastAsia" w:hAnsiTheme="minorEastAsia" w:eastAsiaTheme="minorEastAsia"/>
          <w:color w:val="auto"/>
          <w:sz w:val="22"/>
          <w:highlight w:val="none"/>
        </w:rPr>
        <w:t>投诉人：</w:t>
      </w:r>
      <w:r>
        <w:rPr>
          <w:rFonts w:hint="eastAsia" w:asciiTheme="minorEastAsia" w:hAnsiTheme="minorEastAsia" w:eastAsiaTheme="minorEastAsia"/>
          <w:color w:val="auto"/>
          <w:sz w:val="22"/>
          <w:highlight w:val="none"/>
          <w:u w:val="dotted"/>
        </w:rPr>
        <w:t xml:space="preserve">                                              </w:t>
      </w:r>
    </w:p>
    <w:p>
      <w:pPr>
        <w:ind w:firstLine="440"/>
        <w:rPr>
          <w:rFonts w:asciiTheme="minorEastAsia" w:hAnsiTheme="minorEastAsia" w:eastAsiaTheme="minorEastAsia"/>
          <w:color w:val="auto"/>
          <w:sz w:val="22"/>
          <w:highlight w:val="none"/>
          <w:u w:val="single"/>
        </w:rPr>
      </w:pPr>
      <w:r>
        <w:rPr>
          <w:rFonts w:hint="eastAsia" w:asciiTheme="minorEastAsia" w:hAnsiTheme="minorEastAsia" w:eastAsiaTheme="minorEastAsia"/>
          <w:color w:val="auto"/>
          <w:sz w:val="22"/>
          <w:highlight w:val="none"/>
        </w:rPr>
        <w:t>地     址：</w:t>
      </w:r>
      <w:r>
        <w:rPr>
          <w:rFonts w:hint="eastAsia" w:asciiTheme="minorEastAsia" w:hAnsiTheme="minorEastAsia" w:eastAsiaTheme="minorEastAsia"/>
          <w:color w:val="auto"/>
          <w:sz w:val="22"/>
          <w:highlight w:val="none"/>
          <w:u w:val="dotted"/>
        </w:rPr>
        <w:t xml:space="preserve">                             </w:t>
      </w:r>
      <w:r>
        <w:rPr>
          <w:rFonts w:hint="eastAsia" w:asciiTheme="minorEastAsia" w:hAnsiTheme="minorEastAsia" w:eastAsiaTheme="minorEastAsia"/>
          <w:color w:val="auto"/>
          <w:sz w:val="22"/>
          <w:highlight w:val="none"/>
        </w:rPr>
        <w:t>邮编：</w:t>
      </w:r>
      <w:r>
        <w:rPr>
          <w:rFonts w:hint="eastAsia" w:asciiTheme="minorEastAsia" w:hAnsiTheme="minorEastAsia" w:eastAsiaTheme="minorEastAsia"/>
          <w:color w:val="auto"/>
          <w:sz w:val="22"/>
          <w:highlight w:val="none"/>
          <w:u w:val="dotted"/>
        </w:rPr>
        <w:t xml:space="preserve">        </w:t>
      </w:r>
    </w:p>
    <w:p>
      <w:pPr>
        <w:tabs>
          <w:tab w:val="left" w:pos="6510"/>
        </w:tabs>
        <w:ind w:firstLine="440"/>
        <w:jc w:val="lef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法定代表人/主要负责人：</w:t>
      </w:r>
      <w:r>
        <w:rPr>
          <w:rFonts w:hint="eastAsia" w:asciiTheme="minorEastAsia" w:hAnsiTheme="minorEastAsia" w:eastAsiaTheme="minorEastAsia"/>
          <w:color w:val="auto"/>
          <w:sz w:val="22"/>
          <w:highlight w:val="none"/>
          <w:u w:val="dotted"/>
        </w:rPr>
        <w:t xml:space="preserve">                               </w:t>
      </w:r>
    </w:p>
    <w:p>
      <w:pPr>
        <w:tabs>
          <w:tab w:val="left" w:pos="6510"/>
        </w:tabs>
        <w:ind w:firstLine="440"/>
        <w:rPr>
          <w:rFonts w:asciiTheme="minorEastAsia" w:hAnsiTheme="minorEastAsia" w:eastAsiaTheme="minorEastAsia"/>
          <w:color w:val="auto"/>
          <w:sz w:val="22"/>
          <w:highlight w:val="none"/>
          <w:u w:val="dotted"/>
        </w:rPr>
      </w:pPr>
      <w:r>
        <w:rPr>
          <w:rFonts w:hint="eastAsia" w:asciiTheme="minorEastAsia" w:hAnsiTheme="minorEastAsia" w:eastAsiaTheme="minorEastAsia"/>
          <w:color w:val="auto"/>
          <w:sz w:val="22"/>
          <w:highlight w:val="none"/>
        </w:rPr>
        <w:t>联系电话：</w:t>
      </w:r>
      <w:r>
        <w:rPr>
          <w:rFonts w:hint="eastAsia" w:asciiTheme="minorEastAsia" w:hAnsiTheme="minorEastAsia" w:eastAsiaTheme="minorEastAsia"/>
          <w:color w:val="auto"/>
          <w:sz w:val="22"/>
          <w:highlight w:val="none"/>
          <w:u w:val="dotted"/>
        </w:rPr>
        <w:t xml:space="preserve">                                            </w:t>
      </w:r>
    </w:p>
    <w:p>
      <w:pPr>
        <w:ind w:firstLine="440"/>
        <w:rPr>
          <w:rFonts w:asciiTheme="minorEastAsia" w:hAnsiTheme="minorEastAsia" w:eastAsiaTheme="minorEastAsia"/>
          <w:color w:val="auto"/>
          <w:sz w:val="22"/>
          <w:highlight w:val="none"/>
          <w:u w:val="dotted"/>
        </w:rPr>
      </w:pPr>
      <w:r>
        <w:rPr>
          <w:rFonts w:hint="eastAsia" w:asciiTheme="minorEastAsia" w:hAnsiTheme="minorEastAsia" w:eastAsiaTheme="minorEastAsia"/>
          <w:color w:val="auto"/>
          <w:sz w:val="22"/>
          <w:highlight w:val="none"/>
        </w:rPr>
        <w:t>授权代表：</w:t>
      </w:r>
      <w:r>
        <w:rPr>
          <w:rFonts w:hint="eastAsia" w:asciiTheme="minorEastAsia" w:hAnsiTheme="minorEastAsia" w:eastAsiaTheme="minorEastAsia"/>
          <w:color w:val="auto"/>
          <w:sz w:val="22"/>
          <w:highlight w:val="none"/>
          <w:u w:val="dotted"/>
        </w:rPr>
        <w:t xml:space="preserve">             </w:t>
      </w:r>
      <w:r>
        <w:rPr>
          <w:rFonts w:hint="eastAsia" w:asciiTheme="minorEastAsia" w:hAnsiTheme="minorEastAsia" w:eastAsiaTheme="minorEastAsia"/>
          <w:color w:val="auto"/>
          <w:sz w:val="22"/>
          <w:highlight w:val="none"/>
        </w:rPr>
        <w:t>联系电话</w:t>
      </w:r>
      <w:r>
        <w:rPr>
          <w:rFonts w:hint="eastAsia" w:asciiTheme="minorEastAsia" w:hAnsiTheme="minorEastAsia" w:eastAsiaTheme="minorEastAsia"/>
          <w:color w:val="auto"/>
          <w:sz w:val="22"/>
          <w:highlight w:val="none"/>
          <w:u w:val="dotted"/>
        </w:rPr>
        <w:t xml:space="preserve">：                  </w:t>
      </w:r>
    </w:p>
    <w:p>
      <w:pPr>
        <w:ind w:firstLine="440"/>
        <w:rPr>
          <w:rFonts w:asciiTheme="minorEastAsia" w:hAnsiTheme="minorEastAsia" w:eastAsiaTheme="minorEastAsia"/>
          <w:color w:val="auto"/>
          <w:sz w:val="22"/>
          <w:highlight w:val="none"/>
          <w:u w:val="dotted"/>
        </w:rPr>
      </w:pPr>
      <w:r>
        <w:rPr>
          <w:rFonts w:hint="eastAsia" w:asciiTheme="minorEastAsia" w:hAnsiTheme="minorEastAsia" w:eastAsiaTheme="minorEastAsia"/>
          <w:color w:val="auto"/>
          <w:sz w:val="22"/>
          <w:highlight w:val="none"/>
        </w:rPr>
        <w:t>地     址：</w:t>
      </w:r>
      <w:r>
        <w:rPr>
          <w:rFonts w:hint="eastAsia" w:asciiTheme="minorEastAsia" w:hAnsiTheme="minorEastAsia" w:eastAsiaTheme="minorEastAsia"/>
          <w:color w:val="auto"/>
          <w:sz w:val="22"/>
          <w:highlight w:val="none"/>
          <w:u w:val="dotted"/>
        </w:rPr>
        <w:t xml:space="preserve">                             </w:t>
      </w:r>
      <w:r>
        <w:rPr>
          <w:rFonts w:hint="eastAsia" w:asciiTheme="minorEastAsia" w:hAnsiTheme="minorEastAsia" w:eastAsiaTheme="minorEastAsia"/>
          <w:color w:val="auto"/>
          <w:sz w:val="22"/>
          <w:highlight w:val="none"/>
        </w:rPr>
        <w:t>邮编：</w:t>
      </w:r>
      <w:r>
        <w:rPr>
          <w:rFonts w:hint="eastAsia" w:asciiTheme="minorEastAsia" w:hAnsiTheme="minorEastAsia" w:eastAsiaTheme="minorEastAsia"/>
          <w:color w:val="auto"/>
          <w:sz w:val="22"/>
          <w:highlight w:val="none"/>
          <w:u w:val="dotted"/>
        </w:rPr>
        <w:t xml:space="preserve">         </w:t>
      </w:r>
      <w:r>
        <w:rPr>
          <w:rFonts w:hint="eastAsia" w:asciiTheme="minorEastAsia" w:hAnsiTheme="minorEastAsia" w:eastAsiaTheme="minorEastAsia"/>
          <w:color w:val="auto"/>
          <w:sz w:val="22"/>
          <w:highlight w:val="none"/>
          <w:u w:val="single"/>
        </w:rPr>
        <w:t xml:space="preserve"> </w:t>
      </w:r>
      <w:r>
        <w:rPr>
          <w:rFonts w:hint="eastAsia" w:asciiTheme="minorEastAsia" w:hAnsiTheme="minorEastAsia" w:eastAsiaTheme="minorEastAsia"/>
          <w:color w:val="auto"/>
          <w:sz w:val="22"/>
          <w:highlight w:val="none"/>
          <w:u w:val="dotted"/>
        </w:rPr>
        <w:t xml:space="preserve">      </w:t>
      </w:r>
    </w:p>
    <w:p>
      <w:pPr>
        <w:ind w:firstLine="442"/>
        <w:rPr>
          <w:rFonts w:cs="仿宋" w:asciiTheme="minorEastAsia" w:hAnsiTheme="minorEastAsia" w:eastAsiaTheme="minorEastAsia"/>
          <w:b/>
          <w:color w:val="auto"/>
          <w:sz w:val="22"/>
          <w:highlight w:val="none"/>
        </w:rPr>
      </w:pPr>
      <w:r>
        <w:rPr>
          <w:rFonts w:hint="eastAsia" w:asciiTheme="minorEastAsia" w:hAnsiTheme="minorEastAsia" w:eastAsiaTheme="minorEastAsia"/>
          <w:b/>
          <w:color w:val="auto"/>
          <w:sz w:val="22"/>
          <w:highlight w:val="none"/>
        </w:rPr>
        <w:t>投诉补正通知书、投诉受理通知书、投诉不予受理通知书、投诉调查函的送达方式确认，</w:t>
      </w:r>
      <w:r>
        <w:rPr>
          <w:rFonts w:hint="eastAsia" w:cs="仿宋" w:asciiTheme="minorEastAsia" w:hAnsiTheme="minorEastAsia" w:eastAsiaTheme="minorEastAsia"/>
          <w:b/>
          <w:color w:val="auto"/>
          <w:sz w:val="22"/>
          <w:highlight w:val="none"/>
        </w:rPr>
        <w:t>按投诉供应商确认的送达方式进行上述文书送达视同送达。</w:t>
      </w:r>
    </w:p>
    <w:p>
      <w:pPr>
        <w:adjustRightInd w:val="0"/>
        <w:snapToGrid w:val="0"/>
        <w:spacing w:line="360" w:lineRule="auto"/>
        <w:ind w:firstLine="440"/>
        <w:rPr>
          <w:rFonts w:cs="仿宋" w:asciiTheme="minorEastAsia" w:hAnsiTheme="minorEastAsia" w:eastAsiaTheme="minorEastAsia"/>
          <w:color w:val="auto"/>
          <w:sz w:val="22"/>
          <w:highlight w:val="none"/>
        </w:rPr>
      </w:pPr>
      <w:r>
        <w:rPr>
          <w:rFonts w:hint="eastAsia" w:cs="仿宋" w:asciiTheme="minorEastAsia" w:hAnsiTheme="minorEastAsia" w:eastAsiaTheme="minorEastAsia"/>
          <w:color w:val="auto"/>
          <w:sz w:val="22"/>
          <w:highlight w:val="none"/>
        </w:rPr>
        <w:t>确认电子邮件送达：</w:t>
      </w:r>
      <w:r>
        <w:rPr>
          <w:rFonts w:cs="仿宋" w:asciiTheme="minorEastAsia" w:hAnsiTheme="minorEastAsia" w:eastAsiaTheme="minorEastAsia"/>
          <w:color w:val="auto"/>
          <w:sz w:val="22"/>
          <w:highlight w:val="none"/>
        </w:rPr>
        <w:t xml:space="preserve"> </w:t>
      </w:r>
      <w:r>
        <w:rPr>
          <w:rFonts w:hint="eastAsia" w:cs="仿宋" w:asciiTheme="minorEastAsia" w:hAnsiTheme="minorEastAsia" w:eastAsiaTheme="minorEastAsia"/>
          <w:color w:val="auto"/>
          <w:sz w:val="22"/>
          <w:highlight w:val="none"/>
          <w:u w:val="dotted"/>
        </w:rPr>
        <w:t xml:space="preserve">                        </w:t>
      </w:r>
      <w:r>
        <w:rPr>
          <w:rFonts w:hint="eastAsia" w:cs="仿宋" w:asciiTheme="minorEastAsia" w:hAnsiTheme="minorEastAsia" w:eastAsiaTheme="minorEastAsia"/>
          <w:color w:val="auto"/>
          <w:sz w:val="22"/>
          <w:highlight w:val="none"/>
        </w:rPr>
        <w:t>或</w:t>
      </w:r>
    </w:p>
    <w:p>
      <w:pPr>
        <w:adjustRightInd w:val="0"/>
        <w:snapToGrid w:val="0"/>
        <w:spacing w:line="360" w:lineRule="auto"/>
        <w:ind w:firstLine="440"/>
        <w:rPr>
          <w:rFonts w:cs="仿宋" w:asciiTheme="minorEastAsia" w:hAnsiTheme="minorEastAsia" w:eastAsiaTheme="minorEastAsia"/>
          <w:color w:val="auto"/>
          <w:sz w:val="22"/>
          <w:highlight w:val="none"/>
          <w:u w:val="dotted"/>
        </w:rPr>
      </w:pPr>
      <w:r>
        <w:rPr>
          <w:rFonts w:hint="eastAsia" w:cs="仿宋" w:asciiTheme="minorEastAsia" w:hAnsiTheme="minorEastAsia" w:eastAsiaTheme="minorEastAsia"/>
          <w:color w:val="auto"/>
          <w:sz w:val="22"/>
          <w:highlight w:val="none"/>
        </w:rPr>
        <w:t>确认传真送达：</w:t>
      </w:r>
      <w:r>
        <w:rPr>
          <w:rFonts w:cs="仿宋" w:asciiTheme="minorEastAsia" w:hAnsiTheme="minorEastAsia" w:eastAsiaTheme="minorEastAsia"/>
          <w:color w:val="auto"/>
          <w:sz w:val="22"/>
          <w:highlight w:val="none"/>
        </w:rPr>
        <w:t xml:space="preserve"> </w:t>
      </w:r>
      <w:r>
        <w:rPr>
          <w:rFonts w:hint="eastAsia" w:cs="仿宋" w:asciiTheme="minorEastAsia" w:hAnsiTheme="minorEastAsia" w:eastAsiaTheme="minorEastAsia"/>
          <w:color w:val="auto"/>
          <w:sz w:val="22"/>
          <w:highlight w:val="none"/>
          <w:u w:val="dotted"/>
        </w:rPr>
        <w:t xml:space="preserve">                            </w:t>
      </w:r>
      <w:r>
        <w:rPr>
          <w:rFonts w:hint="eastAsia" w:cs="仿宋" w:asciiTheme="minorEastAsia" w:hAnsiTheme="minorEastAsia" w:eastAsiaTheme="minorEastAsia"/>
          <w:color w:val="auto"/>
          <w:sz w:val="22"/>
          <w:highlight w:val="none"/>
        </w:rPr>
        <w:t>或</w:t>
      </w:r>
    </w:p>
    <w:p>
      <w:pPr>
        <w:adjustRightInd w:val="0"/>
        <w:snapToGrid w:val="0"/>
        <w:spacing w:line="360" w:lineRule="auto"/>
        <w:ind w:firstLine="440"/>
        <w:rPr>
          <w:rFonts w:cs="仿宋" w:asciiTheme="minorEastAsia" w:hAnsiTheme="minorEastAsia" w:eastAsiaTheme="minorEastAsia"/>
          <w:color w:val="auto"/>
          <w:sz w:val="22"/>
          <w:highlight w:val="none"/>
        </w:rPr>
      </w:pPr>
      <w:r>
        <w:rPr>
          <w:rFonts w:hint="eastAsia" w:cs="仿宋" w:asciiTheme="minorEastAsia" w:hAnsiTheme="minorEastAsia" w:eastAsiaTheme="minorEastAsia"/>
          <w:color w:val="auto"/>
          <w:sz w:val="22"/>
          <w:highlight w:val="none"/>
        </w:rPr>
        <w:t>其他方式：</w:t>
      </w:r>
      <w:r>
        <w:rPr>
          <w:rFonts w:hint="eastAsia" w:cs="仿宋" w:asciiTheme="minorEastAsia" w:hAnsiTheme="minorEastAsia" w:eastAsiaTheme="minorEastAsia"/>
          <w:color w:val="auto"/>
          <w:sz w:val="22"/>
          <w:highlight w:val="none"/>
          <w:u w:val="dotted"/>
        </w:rPr>
        <w:t xml:space="preserve">                            </w:t>
      </w:r>
    </w:p>
    <w:p>
      <w:pPr>
        <w:ind w:firstLine="440"/>
        <w:rPr>
          <w:rFonts w:asciiTheme="minorEastAsia" w:hAnsiTheme="minorEastAsia" w:eastAsiaTheme="minorEastAsia"/>
          <w:color w:val="auto"/>
          <w:sz w:val="22"/>
          <w:highlight w:val="none"/>
        </w:rPr>
      </w:pPr>
    </w:p>
    <w:p>
      <w:pPr>
        <w:ind w:firstLine="440"/>
        <w:rPr>
          <w:rFonts w:asciiTheme="minorEastAsia" w:hAnsiTheme="minorEastAsia" w:eastAsiaTheme="minorEastAsia"/>
          <w:color w:val="auto"/>
          <w:sz w:val="22"/>
          <w:highlight w:val="none"/>
          <w:u w:val="single"/>
        </w:rPr>
      </w:pPr>
      <w:r>
        <w:rPr>
          <w:rFonts w:hint="eastAsia" w:asciiTheme="minorEastAsia" w:hAnsiTheme="minorEastAsia" w:eastAsiaTheme="minorEastAsia"/>
          <w:color w:val="auto"/>
          <w:sz w:val="22"/>
          <w:highlight w:val="none"/>
        </w:rPr>
        <w:t>被投诉人1：</w:t>
      </w:r>
      <w:r>
        <w:rPr>
          <w:rFonts w:hint="eastAsia" w:asciiTheme="minorEastAsia" w:hAnsiTheme="minorEastAsia" w:eastAsiaTheme="minorEastAsia"/>
          <w:color w:val="auto"/>
          <w:sz w:val="22"/>
          <w:highlight w:val="none"/>
          <w:u w:val="dotted"/>
        </w:rPr>
        <w:t xml:space="preserve">                                          </w:t>
      </w:r>
    </w:p>
    <w:p>
      <w:pPr>
        <w:ind w:firstLine="440"/>
        <w:rPr>
          <w:rFonts w:asciiTheme="minorEastAsia" w:hAnsiTheme="minorEastAsia" w:eastAsiaTheme="minorEastAsia"/>
          <w:color w:val="auto"/>
          <w:sz w:val="22"/>
          <w:highlight w:val="none"/>
          <w:u w:val="single"/>
        </w:rPr>
      </w:pPr>
      <w:r>
        <w:rPr>
          <w:rFonts w:hint="eastAsia" w:asciiTheme="minorEastAsia" w:hAnsiTheme="minorEastAsia" w:eastAsiaTheme="minorEastAsia"/>
          <w:color w:val="auto"/>
          <w:sz w:val="22"/>
          <w:highlight w:val="none"/>
        </w:rPr>
        <w:t>地     址：</w:t>
      </w:r>
      <w:r>
        <w:rPr>
          <w:rFonts w:hint="eastAsia" w:asciiTheme="minorEastAsia" w:hAnsiTheme="minorEastAsia" w:eastAsiaTheme="minorEastAsia"/>
          <w:color w:val="auto"/>
          <w:sz w:val="22"/>
          <w:highlight w:val="none"/>
          <w:u w:val="dotted"/>
        </w:rPr>
        <w:t xml:space="preserve">                             </w:t>
      </w:r>
      <w:r>
        <w:rPr>
          <w:rFonts w:hint="eastAsia" w:asciiTheme="minorEastAsia" w:hAnsiTheme="minorEastAsia" w:eastAsiaTheme="minorEastAsia"/>
          <w:color w:val="auto"/>
          <w:sz w:val="22"/>
          <w:highlight w:val="none"/>
        </w:rPr>
        <w:t>邮编：</w:t>
      </w:r>
      <w:r>
        <w:rPr>
          <w:rFonts w:hint="eastAsia" w:asciiTheme="minorEastAsia" w:hAnsiTheme="minorEastAsia" w:eastAsiaTheme="minorEastAsia"/>
          <w:color w:val="auto"/>
          <w:sz w:val="22"/>
          <w:highlight w:val="none"/>
          <w:u w:val="dotted"/>
        </w:rPr>
        <w:t xml:space="preserve">        </w:t>
      </w:r>
    </w:p>
    <w:p>
      <w:pPr>
        <w:ind w:firstLine="440"/>
        <w:rPr>
          <w:rFonts w:asciiTheme="minorEastAsia" w:hAnsiTheme="minorEastAsia" w:eastAsiaTheme="minorEastAsia"/>
          <w:color w:val="auto"/>
          <w:sz w:val="22"/>
          <w:highlight w:val="none"/>
          <w:u w:val="single"/>
        </w:rPr>
      </w:pPr>
      <w:r>
        <w:rPr>
          <w:rFonts w:hint="eastAsia" w:asciiTheme="minorEastAsia" w:hAnsiTheme="minorEastAsia" w:eastAsiaTheme="minorEastAsia"/>
          <w:color w:val="auto"/>
          <w:sz w:val="22"/>
          <w:highlight w:val="none"/>
        </w:rPr>
        <w:t>联系人：</w:t>
      </w:r>
      <w:r>
        <w:rPr>
          <w:rFonts w:hint="eastAsia" w:asciiTheme="minorEastAsia" w:hAnsiTheme="minorEastAsia" w:eastAsiaTheme="minorEastAsia"/>
          <w:color w:val="auto"/>
          <w:sz w:val="22"/>
          <w:highlight w:val="none"/>
          <w:u w:val="dotted"/>
        </w:rPr>
        <w:t xml:space="preserve">               </w:t>
      </w:r>
      <w:r>
        <w:rPr>
          <w:rFonts w:hint="eastAsia" w:asciiTheme="minorEastAsia" w:hAnsiTheme="minorEastAsia" w:eastAsiaTheme="minorEastAsia"/>
          <w:color w:val="auto"/>
          <w:sz w:val="22"/>
          <w:highlight w:val="none"/>
        </w:rPr>
        <w:t>联系电话：</w:t>
      </w:r>
      <w:r>
        <w:rPr>
          <w:rFonts w:hint="eastAsia" w:asciiTheme="minorEastAsia" w:hAnsiTheme="minorEastAsia" w:eastAsiaTheme="minorEastAsia"/>
          <w:color w:val="auto"/>
          <w:sz w:val="22"/>
          <w:highlight w:val="none"/>
          <w:u w:val="dotted"/>
        </w:rPr>
        <w:t xml:space="preserve">                     </w:t>
      </w:r>
    </w:p>
    <w:p>
      <w:pPr>
        <w:ind w:firstLine="440"/>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被投诉人2</w:t>
      </w:r>
    </w:p>
    <w:p>
      <w:pPr>
        <w:ind w:firstLine="440"/>
        <w:rPr>
          <w:rFonts w:asciiTheme="minorEastAsia" w:hAnsiTheme="minorEastAsia" w:eastAsiaTheme="minorEastAsia"/>
          <w:color w:val="auto"/>
          <w:sz w:val="22"/>
          <w:highlight w:val="none"/>
          <w:u w:val="dotted"/>
        </w:rPr>
      </w:pPr>
      <w:r>
        <w:rPr>
          <w:rFonts w:hint="eastAsia" w:asciiTheme="minorEastAsia" w:hAnsiTheme="minorEastAsia" w:eastAsiaTheme="minorEastAsia"/>
          <w:color w:val="auto"/>
          <w:sz w:val="22"/>
          <w:highlight w:val="none"/>
        </w:rPr>
        <w:t>……</w:t>
      </w:r>
    </w:p>
    <w:p>
      <w:pPr>
        <w:ind w:firstLine="440"/>
        <w:rPr>
          <w:rFonts w:asciiTheme="minorEastAsia" w:hAnsiTheme="minorEastAsia" w:eastAsiaTheme="minorEastAsia"/>
          <w:color w:val="auto"/>
          <w:sz w:val="22"/>
          <w:highlight w:val="none"/>
          <w:u w:val="single"/>
        </w:rPr>
      </w:pPr>
      <w:r>
        <w:rPr>
          <w:rFonts w:hint="eastAsia" w:asciiTheme="minorEastAsia" w:hAnsiTheme="minorEastAsia" w:eastAsiaTheme="minorEastAsia"/>
          <w:color w:val="auto"/>
          <w:sz w:val="22"/>
          <w:highlight w:val="none"/>
        </w:rPr>
        <w:t>相关供应商（或其他第三人）：</w:t>
      </w:r>
      <w:r>
        <w:rPr>
          <w:rFonts w:hint="eastAsia" w:asciiTheme="minorEastAsia" w:hAnsiTheme="minorEastAsia" w:eastAsiaTheme="minorEastAsia"/>
          <w:color w:val="auto"/>
          <w:sz w:val="22"/>
          <w:highlight w:val="none"/>
          <w:u w:val="dotted"/>
        </w:rPr>
        <w:t xml:space="preserve">                             </w:t>
      </w:r>
    </w:p>
    <w:p>
      <w:pPr>
        <w:ind w:firstLine="440"/>
        <w:rPr>
          <w:rFonts w:asciiTheme="minorEastAsia" w:hAnsiTheme="minorEastAsia" w:eastAsiaTheme="minorEastAsia"/>
          <w:color w:val="auto"/>
          <w:sz w:val="22"/>
          <w:highlight w:val="none"/>
          <w:u w:val="single"/>
        </w:rPr>
      </w:pPr>
      <w:r>
        <w:rPr>
          <w:rFonts w:hint="eastAsia" w:asciiTheme="minorEastAsia" w:hAnsiTheme="minorEastAsia" w:eastAsiaTheme="minorEastAsia"/>
          <w:color w:val="auto"/>
          <w:sz w:val="22"/>
          <w:highlight w:val="none"/>
        </w:rPr>
        <w:t>地     址：</w:t>
      </w:r>
      <w:r>
        <w:rPr>
          <w:rFonts w:hint="eastAsia" w:asciiTheme="minorEastAsia" w:hAnsiTheme="minorEastAsia" w:eastAsiaTheme="minorEastAsia"/>
          <w:color w:val="auto"/>
          <w:sz w:val="22"/>
          <w:highlight w:val="none"/>
          <w:u w:val="dotted"/>
        </w:rPr>
        <w:t xml:space="preserve">                             </w:t>
      </w:r>
      <w:r>
        <w:rPr>
          <w:rFonts w:hint="eastAsia" w:asciiTheme="minorEastAsia" w:hAnsiTheme="minorEastAsia" w:eastAsiaTheme="minorEastAsia"/>
          <w:color w:val="auto"/>
          <w:sz w:val="22"/>
          <w:highlight w:val="none"/>
        </w:rPr>
        <w:t>邮编：</w:t>
      </w:r>
      <w:r>
        <w:rPr>
          <w:rFonts w:hint="eastAsia" w:asciiTheme="minorEastAsia" w:hAnsiTheme="minorEastAsia" w:eastAsiaTheme="minorEastAsia"/>
          <w:color w:val="auto"/>
          <w:sz w:val="22"/>
          <w:highlight w:val="none"/>
          <w:u w:val="dotted"/>
        </w:rPr>
        <w:t xml:space="preserve">          </w:t>
      </w:r>
    </w:p>
    <w:p>
      <w:pPr>
        <w:ind w:firstLine="440"/>
        <w:rPr>
          <w:rFonts w:asciiTheme="minorEastAsia" w:hAnsiTheme="minorEastAsia" w:eastAsiaTheme="minorEastAsia"/>
          <w:color w:val="auto"/>
          <w:sz w:val="22"/>
          <w:highlight w:val="none"/>
          <w:u w:val="single"/>
        </w:rPr>
      </w:pPr>
      <w:r>
        <w:rPr>
          <w:rFonts w:hint="eastAsia" w:asciiTheme="minorEastAsia" w:hAnsiTheme="minorEastAsia" w:eastAsiaTheme="minorEastAsia"/>
          <w:color w:val="auto"/>
          <w:sz w:val="22"/>
          <w:highlight w:val="none"/>
        </w:rPr>
        <w:t>联系人：</w:t>
      </w:r>
      <w:r>
        <w:rPr>
          <w:rFonts w:hint="eastAsia" w:asciiTheme="minorEastAsia" w:hAnsiTheme="minorEastAsia" w:eastAsiaTheme="minorEastAsia"/>
          <w:color w:val="auto"/>
          <w:sz w:val="22"/>
          <w:highlight w:val="none"/>
          <w:u w:val="dotted"/>
        </w:rPr>
        <w:t xml:space="preserve">               </w:t>
      </w:r>
      <w:r>
        <w:rPr>
          <w:rFonts w:hint="eastAsia" w:asciiTheme="minorEastAsia" w:hAnsiTheme="minorEastAsia" w:eastAsiaTheme="minorEastAsia"/>
          <w:color w:val="auto"/>
          <w:sz w:val="22"/>
          <w:highlight w:val="none"/>
        </w:rPr>
        <w:t>联系电话：</w:t>
      </w:r>
      <w:r>
        <w:rPr>
          <w:rFonts w:hint="eastAsia" w:asciiTheme="minorEastAsia" w:hAnsiTheme="minorEastAsia" w:eastAsiaTheme="minorEastAsia"/>
          <w:color w:val="auto"/>
          <w:sz w:val="22"/>
          <w:highlight w:val="none"/>
          <w:u w:val="dotted"/>
        </w:rPr>
        <w:t xml:space="preserve">                     </w:t>
      </w:r>
    </w:p>
    <w:p>
      <w:pPr>
        <w:ind w:firstLine="440"/>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二、投诉项目基本情况</w:t>
      </w:r>
    </w:p>
    <w:p>
      <w:pPr>
        <w:ind w:firstLine="440"/>
        <w:rPr>
          <w:rFonts w:asciiTheme="minorEastAsia" w:hAnsiTheme="minorEastAsia" w:eastAsiaTheme="minorEastAsia"/>
          <w:color w:val="auto"/>
          <w:sz w:val="22"/>
          <w:highlight w:val="none"/>
          <w:u w:val="dotted"/>
        </w:rPr>
      </w:pPr>
      <w:r>
        <w:rPr>
          <w:rFonts w:hint="eastAsia" w:asciiTheme="minorEastAsia" w:hAnsiTheme="minorEastAsia" w:eastAsiaTheme="minorEastAsia"/>
          <w:color w:val="auto"/>
          <w:sz w:val="22"/>
          <w:highlight w:val="none"/>
        </w:rPr>
        <w:t>采购项目名称：</w:t>
      </w:r>
      <w:r>
        <w:rPr>
          <w:rFonts w:hint="eastAsia" w:asciiTheme="minorEastAsia" w:hAnsiTheme="minorEastAsia" w:eastAsiaTheme="minorEastAsia"/>
          <w:color w:val="auto"/>
          <w:sz w:val="22"/>
          <w:highlight w:val="none"/>
          <w:u w:val="dotted"/>
        </w:rPr>
        <w:t xml:space="preserve">                                        </w:t>
      </w:r>
    </w:p>
    <w:p>
      <w:pPr>
        <w:ind w:firstLine="440"/>
        <w:rPr>
          <w:rFonts w:asciiTheme="minorEastAsia" w:hAnsiTheme="minorEastAsia" w:eastAsiaTheme="minorEastAsia"/>
          <w:color w:val="auto"/>
          <w:sz w:val="22"/>
          <w:highlight w:val="none"/>
          <w:u w:val="single"/>
        </w:rPr>
      </w:pPr>
      <w:r>
        <w:rPr>
          <w:rFonts w:hint="eastAsia" w:asciiTheme="minorEastAsia" w:hAnsiTheme="minorEastAsia" w:eastAsiaTheme="minorEastAsia"/>
          <w:color w:val="auto"/>
          <w:sz w:val="22"/>
          <w:highlight w:val="none"/>
        </w:rPr>
        <w:t>采购项目编号：</w:t>
      </w:r>
      <w:r>
        <w:rPr>
          <w:rFonts w:hint="eastAsia" w:asciiTheme="minorEastAsia" w:hAnsiTheme="minorEastAsia" w:eastAsiaTheme="minorEastAsia"/>
          <w:color w:val="auto"/>
          <w:sz w:val="22"/>
          <w:highlight w:val="none"/>
          <w:u w:val="dotted"/>
        </w:rPr>
        <w:t xml:space="preserve">                 </w:t>
      </w:r>
      <w:r>
        <w:rPr>
          <w:rFonts w:hint="eastAsia" w:asciiTheme="minorEastAsia" w:hAnsiTheme="minorEastAsia" w:eastAsiaTheme="minorEastAsia"/>
          <w:color w:val="auto"/>
          <w:sz w:val="22"/>
          <w:highlight w:val="none"/>
        </w:rPr>
        <w:t>包号：</w:t>
      </w:r>
      <w:r>
        <w:rPr>
          <w:rFonts w:hint="eastAsia" w:asciiTheme="minorEastAsia" w:hAnsiTheme="minorEastAsia" w:eastAsiaTheme="minorEastAsia"/>
          <w:color w:val="auto"/>
          <w:sz w:val="22"/>
          <w:highlight w:val="none"/>
          <w:u w:val="dotted"/>
        </w:rPr>
        <w:t xml:space="preserve">              </w:t>
      </w:r>
    </w:p>
    <w:p>
      <w:pPr>
        <w:ind w:firstLine="440"/>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采购人名称：</w:t>
      </w:r>
      <w:r>
        <w:rPr>
          <w:rFonts w:hint="eastAsia" w:asciiTheme="minorEastAsia" w:hAnsiTheme="minorEastAsia" w:eastAsiaTheme="minorEastAsia"/>
          <w:color w:val="auto"/>
          <w:sz w:val="22"/>
          <w:highlight w:val="none"/>
          <w:u w:val="dotted"/>
        </w:rPr>
        <w:t xml:space="preserve">                                         </w:t>
      </w:r>
    </w:p>
    <w:p>
      <w:pPr>
        <w:ind w:firstLine="440"/>
        <w:rPr>
          <w:rFonts w:asciiTheme="minorEastAsia" w:hAnsiTheme="minorEastAsia" w:eastAsiaTheme="minorEastAsia"/>
          <w:color w:val="auto"/>
          <w:sz w:val="22"/>
          <w:highlight w:val="none"/>
          <w:u w:val="single"/>
        </w:rPr>
      </w:pPr>
      <w:r>
        <w:rPr>
          <w:rFonts w:hint="eastAsia" w:asciiTheme="minorEastAsia" w:hAnsiTheme="minorEastAsia" w:eastAsiaTheme="minorEastAsia"/>
          <w:color w:val="auto"/>
          <w:sz w:val="22"/>
          <w:highlight w:val="none"/>
        </w:rPr>
        <w:t>代理机构名称：</w:t>
      </w:r>
      <w:r>
        <w:rPr>
          <w:rFonts w:hint="eastAsia" w:asciiTheme="minorEastAsia" w:hAnsiTheme="minorEastAsia" w:eastAsiaTheme="minorEastAsia"/>
          <w:color w:val="auto"/>
          <w:sz w:val="22"/>
          <w:highlight w:val="none"/>
          <w:u w:val="dotted"/>
        </w:rPr>
        <w:t xml:space="preserve">                                       </w:t>
      </w:r>
    </w:p>
    <w:p>
      <w:pPr>
        <w:ind w:firstLine="440"/>
        <w:rPr>
          <w:rFonts w:asciiTheme="minorEastAsia" w:hAnsiTheme="minorEastAsia" w:eastAsiaTheme="minorEastAsia"/>
          <w:color w:val="auto"/>
          <w:sz w:val="22"/>
          <w:highlight w:val="none"/>
          <w:u w:val="dotted"/>
        </w:rPr>
      </w:pPr>
      <w:r>
        <w:rPr>
          <w:rFonts w:hint="eastAsia" w:asciiTheme="minorEastAsia" w:hAnsiTheme="minorEastAsia" w:eastAsiaTheme="minorEastAsia"/>
          <w:color w:val="auto"/>
          <w:sz w:val="22"/>
          <w:highlight w:val="none"/>
        </w:rPr>
        <w:t>采购文件公告：</w:t>
      </w:r>
      <w:r>
        <w:rPr>
          <w:rFonts w:hint="eastAsia" w:asciiTheme="minorEastAsia" w:hAnsiTheme="minorEastAsia" w:eastAsiaTheme="minorEastAsia"/>
          <w:color w:val="auto"/>
          <w:sz w:val="22"/>
          <w:highlight w:val="none"/>
          <w:u w:val="dotted"/>
        </w:rPr>
        <w:t xml:space="preserve">是/否 </w:t>
      </w:r>
      <w:r>
        <w:rPr>
          <w:rFonts w:hint="eastAsia" w:asciiTheme="minorEastAsia" w:hAnsiTheme="minorEastAsia" w:eastAsiaTheme="minorEastAsia"/>
          <w:color w:val="auto"/>
          <w:sz w:val="22"/>
          <w:highlight w:val="none"/>
        </w:rPr>
        <w:t>公告期限：</w:t>
      </w:r>
      <w:r>
        <w:rPr>
          <w:rFonts w:hint="eastAsia" w:asciiTheme="minorEastAsia" w:hAnsiTheme="minorEastAsia" w:eastAsiaTheme="minorEastAsia"/>
          <w:color w:val="auto"/>
          <w:sz w:val="22"/>
          <w:highlight w:val="none"/>
          <w:u w:val="dotted"/>
        </w:rPr>
        <w:t xml:space="preserve">                        </w:t>
      </w:r>
    </w:p>
    <w:p>
      <w:pPr>
        <w:ind w:firstLine="440"/>
        <w:rPr>
          <w:rFonts w:asciiTheme="minorEastAsia" w:hAnsiTheme="minorEastAsia" w:eastAsiaTheme="minorEastAsia"/>
          <w:color w:val="auto"/>
          <w:sz w:val="22"/>
          <w:highlight w:val="none"/>
          <w:u w:val="single"/>
        </w:rPr>
      </w:pPr>
      <w:r>
        <w:rPr>
          <w:rFonts w:hint="eastAsia" w:asciiTheme="minorEastAsia" w:hAnsiTheme="minorEastAsia" w:eastAsiaTheme="minorEastAsia"/>
          <w:color w:val="auto"/>
          <w:sz w:val="22"/>
          <w:highlight w:val="none"/>
        </w:rPr>
        <w:t>采购结果公告：</w:t>
      </w:r>
      <w:r>
        <w:rPr>
          <w:rFonts w:hint="eastAsia" w:asciiTheme="minorEastAsia" w:hAnsiTheme="minorEastAsia" w:eastAsiaTheme="minorEastAsia"/>
          <w:color w:val="auto"/>
          <w:sz w:val="22"/>
          <w:highlight w:val="none"/>
          <w:u w:val="dotted"/>
        </w:rPr>
        <w:t xml:space="preserve">是/否 </w:t>
      </w:r>
      <w:r>
        <w:rPr>
          <w:rFonts w:hint="eastAsia" w:asciiTheme="minorEastAsia" w:hAnsiTheme="minorEastAsia" w:eastAsiaTheme="minorEastAsia"/>
          <w:color w:val="auto"/>
          <w:sz w:val="22"/>
          <w:highlight w:val="none"/>
        </w:rPr>
        <w:t>公告期限：</w:t>
      </w:r>
      <w:r>
        <w:rPr>
          <w:rFonts w:hint="eastAsia" w:asciiTheme="minorEastAsia" w:hAnsiTheme="minorEastAsia" w:eastAsiaTheme="minorEastAsia"/>
          <w:color w:val="auto"/>
          <w:sz w:val="22"/>
          <w:highlight w:val="none"/>
          <w:u w:val="dotted"/>
        </w:rPr>
        <w:t xml:space="preserve">                        </w:t>
      </w:r>
    </w:p>
    <w:p>
      <w:pPr>
        <w:ind w:firstLine="440"/>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三、质疑基本情况</w:t>
      </w:r>
    </w:p>
    <w:p>
      <w:pPr>
        <w:ind w:firstLine="440" w:firstLineChars="200"/>
        <w:rPr>
          <w:rFonts w:asciiTheme="minorEastAsia" w:hAnsiTheme="minorEastAsia" w:eastAsiaTheme="minorEastAsia"/>
          <w:color w:val="auto"/>
          <w:sz w:val="22"/>
          <w:highlight w:val="none"/>
          <w:u w:val="dotted"/>
        </w:rPr>
      </w:pPr>
      <w:r>
        <w:rPr>
          <w:rFonts w:hint="eastAsia" w:asciiTheme="minorEastAsia" w:hAnsiTheme="minorEastAsia" w:eastAsiaTheme="minorEastAsia"/>
          <w:color w:val="auto"/>
          <w:sz w:val="22"/>
          <w:highlight w:val="none"/>
        </w:rPr>
        <w:t>投诉人于</w:t>
      </w:r>
      <w:r>
        <w:rPr>
          <w:rFonts w:hint="eastAsia" w:asciiTheme="minorEastAsia" w:hAnsiTheme="minorEastAsia" w:eastAsiaTheme="minorEastAsia"/>
          <w:color w:val="auto"/>
          <w:sz w:val="22"/>
          <w:highlight w:val="none"/>
          <w:u w:val="dotted"/>
        </w:rPr>
        <w:t xml:space="preserve">   </w:t>
      </w:r>
      <w:r>
        <w:rPr>
          <w:rFonts w:hint="eastAsia" w:asciiTheme="minorEastAsia" w:hAnsiTheme="minorEastAsia" w:eastAsiaTheme="minorEastAsia"/>
          <w:color w:val="auto"/>
          <w:sz w:val="22"/>
          <w:highlight w:val="none"/>
        </w:rPr>
        <w:t>年</w:t>
      </w:r>
      <w:r>
        <w:rPr>
          <w:rFonts w:hint="eastAsia" w:asciiTheme="minorEastAsia" w:hAnsiTheme="minorEastAsia" w:eastAsiaTheme="minorEastAsia"/>
          <w:color w:val="auto"/>
          <w:sz w:val="22"/>
          <w:highlight w:val="none"/>
          <w:u w:val="dotted"/>
        </w:rPr>
        <w:t xml:space="preserve">   </w:t>
      </w:r>
      <w:r>
        <w:rPr>
          <w:rFonts w:hint="eastAsia" w:asciiTheme="minorEastAsia" w:hAnsiTheme="minorEastAsia" w:eastAsiaTheme="minorEastAsia"/>
          <w:color w:val="auto"/>
          <w:sz w:val="22"/>
          <w:highlight w:val="none"/>
        </w:rPr>
        <w:t>月</w:t>
      </w:r>
      <w:r>
        <w:rPr>
          <w:rFonts w:hint="eastAsia" w:asciiTheme="minorEastAsia" w:hAnsiTheme="minorEastAsia" w:eastAsiaTheme="minorEastAsia"/>
          <w:color w:val="auto"/>
          <w:sz w:val="22"/>
          <w:highlight w:val="none"/>
          <w:u w:val="dotted"/>
        </w:rPr>
        <w:t xml:space="preserve">  </w:t>
      </w:r>
      <w:r>
        <w:rPr>
          <w:rFonts w:hint="eastAsia" w:asciiTheme="minorEastAsia" w:hAnsiTheme="minorEastAsia" w:eastAsiaTheme="minorEastAsia"/>
          <w:color w:val="auto"/>
          <w:sz w:val="22"/>
          <w:highlight w:val="none"/>
        </w:rPr>
        <w:t>日,向</w:t>
      </w:r>
      <w:r>
        <w:rPr>
          <w:rFonts w:hint="eastAsia" w:asciiTheme="minorEastAsia" w:hAnsiTheme="minorEastAsia" w:eastAsiaTheme="minorEastAsia"/>
          <w:color w:val="auto"/>
          <w:sz w:val="22"/>
          <w:highlight w:val="none"/>
          <w:u w:val="dotted"/>
        </w:rPr>
        <w:t xml:space="preserve">               </w:t>
      </w:r>
      <w:r>
        <w:rPr>
          <w:rFonts w:hint="eastAsia" w:asciiTheme="minorEastAsia" w:hAnsiTheme="minorEastAsia" w:eastAsiaTheme="minorEastAsia"/>
          <w:color w:val="auto"/>
          <w:sz w:val="22"/>
          <w:highlight w:val="none"/>
        </w:rPr>
        <w:t>提出质疑，质疑事项为：</w:t>
      </w:r>
      <w:r>
        <w:rPr>
          <w:rFonts w:hint="eastAsia" w:asciiTheme="minorEastAsia" w:hAnsiTheme="minorEastAsia" w:eastAsiaTheme="minorEastAsia"/>
          <w:color w:val="auto"/>
          <w:sz w:val="22"/>
          <w:highlight w:val="none"/>
          <w:u w:val="dotted"/>
        </w:rPr>
        <w:t xml:space="preserve">      </w:t>
      </w:r>
    </w:p>
    <w:p>
      <w:pPr>
        <w:ind w:firstLine="440"/>
        <w:rPr>
          <w:rFonts w:asciiTheme="minorEastAsia" w:hAnsiTheme="minorEastAsia" w:eastAsiaTheme="minorEastAsia"/>
          <w:color w:val="auto"/>
          <w:sz w:val="22"/>
          <w:highlight w:val="none"/>
          <w:u w:val="dotted"/>
        </w:rPr>
      </w:pPr>
      <w:r>
        <w:rPr>
          <w:rFonts w:hint="eastAsia" w:asciiTheme="minorEastAsia" w:hAnsiTheme="minorEastAsia" w:eastAsiaTheme="minorEastAsia"/>
          <w:color w:val="auto"/>
          <w:sz w:val="22"/>
          <w:highlight w:val="none"/>
          <w:u w:val="dotted"/>
        </w:rPr>
        <w:t xml:space="preserve">                                                     </w:t>
      </w:r>
      <w:r>
        <w:rPr>
          <w:rFonts w:hint="eastAsia" w:asciiTheme="minorEastAsia" w:hAnsiTheme="minorEastAsia" w:eastAsiaTheme="minorEastAsia"/>
          <w:color w:val="auto"/>
          <w:sz w:val="22"/>
          <w:highlight w:val="none"/>
        </w:rPr>
        <w:t xml:space="preserve">  </w:t>
      </w:r>
    </w:p>
    <w:p>
      <w:pPr>
        <w:ind w:firstLine="330" w:firstLineChars="150"/>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u w:val="dotted"/>
        </w:rPr>
        <w:t>采购人/代理机构</w:t>
      </w:r>
      <w:r>
        <w:rPr>
          <w:rFonts w:hint="eastAsia" w:asciiTheme="minorEastAsia" w:hAnsiTheme="minorEastAsia" w:eastAsiaTheme="minorEastAsia"/>
          <w:color w:val="auto"/>
          <w:sz w:val="22"/>
          <w:highlight w:val="none"/>
        </w:rPr>
        <w:t>于</w:t>
      </w:r>
      <w:r>
        <w:rPr>
          <w:rFonts w:hint="eastAsia" w:asciiTheme="minorEastAsia" w:hAnsiTheme="minorEastAsia" w:eastAsiaTheme="minorEastAsia"/>
          <w:color w:val="auto"/>
          <w:sz w:val="22"/>
          <w:highlight w:val="none"/>
          <w:u w:val="dotted"/>
        </w:rPr>
        <w:t xml:space="preserve">   </w:t>
      </w:r>
      <w:r>
        <w:rPr>
          <w:rFonts w:hint="eastAsia" w:asciiTheme="minorEastAsia" w:hAnsiTheme="minorEastAsia" w:eastAsiaTheme="minorEastAsia"/>
          <w:color w:val="auto"/>
          <w:sz w:val="22"/>
          <w:highlight w:val="none"/>
        </w:rPr>
        <w:t>年</w:t>
      </w:r>
      <w:r>
        <w:rPr>
          <w:rFonts w:hint="eastAsia" w:asciiTheme="minorEastAsia" w:hAnsiTheme="minorEastAsia" w:eastAsiaTheme="minorEastAsia"/>
          <w:color w:val="auto"/>
          <w:sz w:val="22"/>
          <w:highlight w:val="none"/>
          <w:u w:val="dotted"/>
        </w:rPr>
        <w:t xml:space="preserve">   </w:t>
      </w:r>
      <w:r>
        <w:rPr>
          <w:rFonts w:hint="eastAsia" w:asciiTheme="minorEastAsia" w:hAnsiTheme="minorEastAsia" w:eastAsiaTheme="minorEastAsia"/>
          <w:color w:val="auto"/>
          <w:sz w:val="22"/>
          <w:highlight w:val="none"/>
        </w:rPr>
        <w:t>月</w:t>
      </w:r>
      <w:r>
        <w:rPr>
          <w:rFonts w:hint="eastAsia" w:asciiTheme="minorEastAsia" w:hAnsiTheme="minorEastAsia" w:eastAsiaTheme="minorEastAsia"/>
          <w:color w:val="auto"/>
          <w:sz w:val="22"/>
          <w:highlight w:val="none"/>
          <w:u w:val="dotted"/>
        </w:rPr>
        <w:t xml:space="preserve">   </w:t>
      </w:r>
      <w:r>
        <w:rPr>
          <w:rFonts w:hint="eastAsia" w:asciiTheme="minorEastAsia" w:hAnsiTheme="minorEastAsia" w:eastAsiaTheme="minorEastAsia"/>
          <w:color w:val="auto"/>
          <w:sz w:val="22"/>
          <w:highlight w:val="none"/>
        </w:rPr>
        <w:t>日,就质疑事项作出了答复/没有在法定期限内作出答复。</w:t>
      </w:r>
    </w:p>
    <w:p>
      <w:pPr>
        <w:ind w:firstLine="440"/>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四、投诉事项具体内容</w:t>
      </w:r>
    </w:p>
    <w:p>
      <w:pPr>
        <w:ind w:firstLine="440"/>
        <w:rPr>
          <w:rFonts w:asciiTheme="minorEastAsia" w:hAnsiTheme="minorEastAsia" w:eastAsiaTheme="minorEastAsia"/>
          <w:color w:val="auto"/>
          <w:sz w:val="22"/>
          <w:highlight w:val="none"/>
          <w:u w:val="single"/>
        </w:rPr>
      </w:pPr>
      <w:r>
        <w:rPr>
          <w:rFonts w:hint="eastAsia" w:asciiTheme="minorEastAsia" w:hAnsiTheme="minorEastAsia" w:eastAsiaTheme="minorEastAsia"/>
          <w:color w:val="auto"/>
          <w:sz w:val="22"/>
          <w:highlight w:val="none"/>
        </w:rPr>
        <w:t>投诉事项 1：</w:t>
      </w:r>
      <w:r>
        <w:rPr>
          <w:rFonts w:hint="eastAsia" w:asciiTheme="minorEastAsia" w:hAnsiTheme="minorEastAsia" w:eastAsiaTheme="minorEastAsia"/>
          <w:color w:val="auto"/>
          <w:sz w:val="22"/>
          <w:highlight w:val="none"/>
          <w:u w:val="dotted"/>
        </w:rPr>
        <w:t xml:space="preserve">                                       </w:t>
      </w:r>
    </w:p>
    <w:p>
      <w:pPr>
        <w:ind w:firstLine="440"/>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事实依据：</w:t>
      </w:r>
      <w:r>
        <w:rPr>
          <w:rFonts w:hint="eastAsia" w:asciiTheme="minorEastAsia" w:hAnsiTheme="minorEastAsia" w:eastAsiaTheme="minorEastAsia"/>
          <w:color w:val="auto"/>
          <w:sz w:val="22"/>
          <w:highlight w:val="none"/>
          <w:u w:val="dotted"/>
        </w:rPr>
        <w:t xml:space="preserve">                                         </w:t>
      </w:r>
    </w:p>
    <w:p>
      <w:pPr>
        <w:ind w:firstLine="440"/>
        <w:rPr>
          <w:rFonts w:asciiTheme="minorEastAsia" w:hAnsiTheme="minorEastAsia" w:eastAsiaTheme="minorEastAsia"/>
          <w:color w:val="auto"/>
          <w:sz w:val="22"/>
          <w:highlight w:val="none"/>
          <w:u w:val="dotted"/>
        </w:rPr>
      </w:pPr>
      <w:r>
        <w:rPr>
          <w:rFonts w:hint="eastAsia" w:asciiTheme="minorEastAsia" w:hAnsiTheme="minorEastAsia" w:eastAsiaTheme="minorEastAsia"/>
          <w:color w:val="auto"/>
          <w:sz w:val="22"/>
          <w:highlight w:val="none"/>
          <w:u w:val="dotted"/>
        </w:rPr>
        <w:t xml:space="preserve">                                                      </w:t>
      </w:r>
    </w:p>
    <w:p>
      <w:pPr>
        <w:ind w:firstLine="440"/>
        <w:rPr>
          <w:rFonts w:asciiTheme="minorEastAsia" w:hAnsiTheme="minorEastAsia" w:eastAsiaTheme="minorEastAsia"/>
          <w:color w:val="auto"/>
          <w:sz w:val="22"/>
          <w:highlight w:val="none"/>
          <w:u w:val="single"/>
        </w:rPr>
      </w:pPr>
      <w:r>
        <w:rPr>
          <w:rFonts w:hint="eastAsia" w:asciiTheme="minorEastAsia" w:hAnsiTheme="minorEastAsia" w:eastAsiaTheme="minorEastAsia"/>
          <w:color w:val="auto"/>
          <w:sz w:val="22"/>
          <w:highlight w:val="none"/>
        </w:rPr>
        <w:t>法律依据：</w:t>
      </w:r>
      <w:r>
        <w:rPr>
          <w:rFonts w:hint="eastAsia" w:asciiTheme="minorEastAsia" w:hAnsiTheme="minorEastAsia" w:eastAsiaTheme="minorEastAsia"/>
          <w:color w:val="auto"/>
          <w:sz w:val="22"/>
          <w:highlight w:val="none"/>
          <w:u w:val="dotted"/>
        </w:rPr>
        <w:t xml:space="preserve">                                          </w:t>
      </w:r>
    </w:p>
    <w:p>
      <w:pPr>
        <w:ind w:firstLine="440"/>
        <w:rPr>
          <w:rFonts w:asciiTheme="minorEastAsia" w:hAnsiTheme="minorEastAsia" w:eastAsiaTheme="minorEastAsia"/>
          <w:color w:val="auto"/>
          <w:sz w:val="22"/>
          <w:highlight w:val="none"/>
          <w:u w:val="dotted"/>
        </w:rPr>
      </w:pPr>
      <w:r>
        <w:rPr>
          <w:rFonts w:hint="eastAsia" w:asciiTheme="minorEastAsia" w:hAnsiTheme="minorEastAsia" w:eastAsiaTheme="minorEastAsia"/>
          <w:color w:val="auto"/>
          <w:sz w:val="22"/>
          <w:highlight w:val="none"/>
          <w:u w:val="dotted"/>
        </w:rPr>
        <w:t xml:space="preserve">                                                      </w:t>
      </w:r>
    </w:p>
    <w:p>
      <w:pPr>
        <w:ind w:firstLine="440"/>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投诉事项2</w:t>
      </w:r>
    </w:p>
    <w:p>
      <w:pPr>
        <w:ind w:firstLine="440"/>
        <w:rPr>
          <w:rFonts w:asciiTheme="minorEastAsia" w:hAnsiTheme="minorEastAsia" w:eastAsiaTheme="minorEastAsia"/>
          <w:color w:val="auto"/>
          <w:sz w:val="22"/>
          <w:highlight w:val="none"/>
          <w:u w:val="dotted"/>
        </w:rPr>
      </w:pPr>
      <w:r>
        <w:rPr>
          <w:rFonts w:hint="eastAsia" w:asciiTheme="minorEastAsia" w:hAnsiTheme="minorEastAsia" w:eastAsiaTheme="minorEastAsia"/>
          <w:color w:val="auto"/>
          <w:sz w:val="22"/>
          <w:highlight w:val="none"/>
        </w:rPr>
        <w:t>……</w:t>
      </w:r>
    </w:p>
    <w:p>
      <w:pPr>
        <w:ind w:firstLine="440"/>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五、与投诉事项相关的投诉请求</w:t>
      </w:r>
    </w:p>
    <w:p>
      <w:pPr>
        <w:ind w:firstLine="440"/>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请求：</w:t>
      </w:r>
      <w:r>
        <w:rPr>
          <w:rFonts w:hint="eastAsia" w:asciiTheme="minorEastAsia" w:hAnsiTheme="minorEastAsia" w:eastAsiaTheme="minorEastAsia"/>
          <w:color w:val="auto"/>
          <w:sz w:val="22"/>
          <w:highlight w:val="none"/>
          <w:u w:val="dotted"/>
        </w:rPr>
        <w:t xml:space="preserve">                                              </w:t>
      </w:r>
      <w:r>
        <w:rPr>
          <w:rFonts w:hint="eastAsia" w:asciiTheme="minorEastAsia" w:hAnsiTheme="minorEastAsia" w:eastAsiaTheme="minorEastAsia"/>
          <w:color w:val="auto"/>
          <w:sz w:val="22"/>
          <w:highlight w:val="none"/>
        </w:rPr>
        <w:t xml:space="preserve"> </w:t>
      </w:r>
    </w:p>
    <w:p>
      <w:pPr>
        <w:ind w:firstLine="440"/>
        <w:rPr>
          <w:rFonts w:asciiTheme="minorEastAsia" w:hAnsiTheme="minorEastAsia" w:eastAsiaTheme="minorEastAsia"/>
          <w:color w:val="auto"/>
          <w:sz w:val="22"/>
          <w:highlight w:val="none"/>
          <w:u w:val="single"/>
        </w:rPr>
      </w:pPr>
      <w:r>
        <w:rPr>
          <w:rFonts w:hint="eastAsia" w:asciiTheme="minorEastAsia" w:hAnsiTheme="minorEastAsia" w:eastAsiaTheme="minorEastAsia"/>
          <w:color w:val="auto"/>
          <w:sz w:val="22"/>
          <w:highlight w:val="none"/>
        </w:rPr>
        <w:t xml:space="preserve">                                                   </w:t>
      </w:r>
    </w:p>
    <w:p>
      <w:pPr>
        <w:ind w:firstLine="440"/>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签字(签章)：                   公章：</w:t>
      </w:r>
    </w:p>
    <w:p>
      <w:pPr>
        <w:ind w:firstLine="440"/>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日期：</w:t>
      </w:r>
    </w:p>
    <w:p>
      <w:pPr>
        <w:ind w:firstLine="482"/>
        <w:rPr>
          <w:rFonts w:asciiTheme="minorEastAsia" w:hAnsiTheme="minorEastAsia" w:eastAsiaTheme="minorEastAsia"/>
          <w:b/>
          <w:color w:val="auto"/>
          <w:sz w:val="24"/>
          <w:highlight w:val="none"/>
        </w:rPr>
      </w:pPr>
    </w:p>
    <w:p>
      <w:pPr>
        <w:ind w:firstLine="482"/>
        <w:rPr>
          <w:rFonts w:asciiTheme="minorEastAsia" w:hAnsiTheme="minorEastAsia" w:eastAsiaTheme="minorEastAsia"/>
          <w:b/>
          <w:color w:val="auto"/>
          <w:sz w:val="24"/>
          <w:highlight w:val="none"/>
        </w:rPr>
      </w:pPr>
    </w:p>
    <w:p>
      <w:pPr>
        <w:spacing w:line="360" w:lineRule="auto"/>
        <w:ind w:firstLine="422"/>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投诉书制作说明：</w:t>
      </w:r>
    </w:p>
    <w:p>
      <w:pPr>
        <w:widowControl/>
        <w:spacing w:line="360" w:lineRule="auto"/>
        <w:ind w:firstLine="420" w:firstLineChars="200"/>
        <w:rPr>
          <w:rFonts w:cs="宋体" w:asciiTheme="minorEastAsia" w:hAnsiTheme="minorEastAsia" w:eastAsiaTheme="minorEastAsia"/>
          <w:color w:val="auto"/>
          <w:kern w:val="0"/>
          <w:highlight w:val="none"/>
        </w:rPr>
      </w:pPr>
      <w:r>
        <w:rPr>
          <w:rFonts w:hint="eastAsia" w:asciiTheme="minorEastAsia" w:hAnsiTheme="minorEastAsia" w:eastAsiaTheme="minorEastAsia"/>
          <w:color w:val="auto"/>
          <w:highlight w:val="none"/>
        </w:rPr>
        <w:t>1.投诉人提起投诉时，应当提交投诉书及投诉书电子文档和必要的证明材料，并按照被投诉人和与投诉事项有关的供应商数量提供投诉书副本。</w:t>
      </w:r>
    </w:p>
    <w:p>
      <w:pPr>
        <w:widowControl/>
        <w:spacing w:line="360" w:lineRule="auto"/>
        <w:ind w:firstLine="420" w:firstLineChars="200"/>
        <w:jc w:val="left"/>
        <w:rPr>
          <w:rFonts w:cs="宋体" w:asciiTheme="minorEastAsia" w:hAnsiTheme="minorEastAsia" w:eastAsiaTheme="minorEastAsia"/>
          <w:color w:val="auto"/>
          <w:kern w:val="0"/>
          <w:highlight w:val="none"/>
        </w:rPr>
      </w:pPr>
      <w:r>
        <w:rPr>
          <w:rFonts w:hint="eastAsia" w:asciiTheme="minorEastAsia" w:hAnsiTheme="minorEastAsia" w:eastAsiaTheme="minorEastAsia"/>
          <w:color w:val="auto"/>
          <w:highlight w:val="none"/>
        </w:rPr>
        <w:t>2.投诉人若委托代理人进行投诉的，投诉书应按照要求列明“授权代表”的有关内容，并在附件中提交由</w:t>
      </w:r>
      <w:r>
        <w:rPr>
          <w:rFonts w:hint="eastAsia" w:cs="宋体" w:asciiTheme="minorEastAsia" w:hAnsiTheme="minorEastAsia" w:eastAsiaTheme="minorEastAsia"/>
          <w:color w:val="auto"/>
          <w:kern w:val="0"/>
          <w:highlight w:val="none"/>
        </w:rPr>
        <w:t>投诉人签署的授权委托书。授权委托书应当载明代理人的姓名或者名称、代理事项、具体权限、期限和相关事项。</w:t>
      </w:r>
    </w:p>
    <w:p>
      <w:pPr>
        <w:widowControl/>
        <w:spacing w:line="360" w:lineRule="auto"/>
        <w:ind w:firstLine="420" w:firstLineChars="20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3.投诉人若对项目的某一分包进行投诉，投诉书应列明具体分包号。</w:t>
      </w:r>
    </w:p>
    <w:p>
      <w:pPr>
        <w:widowControl/>
        <w:spacing w:line="360" w:lineRule="auto"/>
        <w:ind w:firstLine="420" w:firstLineChars="20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4.投诉书应简要列明质疑事项，质疑函、质疑答复等作为附件材料提供。</w:t>
      </w:r>
    </w:p>
    <w:p>
      <w:pPr>
        <w:widowControl/>
        <w:spacing w:line="360" w:lineRule="auto"/>
        <w:ind w:firstLine="420" w:firstLineChars="20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5.投诉书的投诉事项应具体、明确，并有必要的事实依据和法律依据。</w:t>
      </w:r>
    </w:p>
    <w:p>
      <w:pPr>
        <w:widowControl/>
        <w:spacing w:line="360" w:lineRule="auto"/>
        <w:ind w:firstLine="420" w:firstLineChars="20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6.投诉书的投诉请求应与投诉事项相关。</w:t>
      </w:r>
    </w:p>
    <w:p>
      <w:pPr>
        <w:widowControl/>
        <w:spacing w:line="360" w:lineRule="auto"/>
        <w:ind w:firstLine="420" w:firstLineChars="200"/>
        <w:jc w:val="left"/>
        <w:rPr>
          <w:rFonts w:cs="宋体" w:asciiTheme="minorEastAsia" w:hAnsiTheme="minorEastAsia" w:eastAsiaTheme="minorEastAsia"/>
          <w:color w:val="auto"/>
          <w:kern w:val="0"/>
          <w:highlight w:val="none"/>
        </w:rPr>
      </w:pPr>
      <w:r>
        <w:rPr>
          <w:rFonts w:hint="eastAsia" w:asciiTheme="minorEastAsia" w:hAnsiTheme="minorEastAsia" w:eastAsiaTheme="minorEastAsia"/>
          <w:color w:val="auto"/>
          <w:highlight w:val="none"/>
        </w:rPr>
        <w:t>7.投诉人为自然人的，投诉书应当由本人签字；投诉人为法人或者其他组织的，投诉书应当由法定代表人、主要负责人，或者其授权代表签字或者盖章，并加盖公章。</w:t>
      </w:r>
    </w:p>
    <w:p>
      <w:pPr>
        <w:widowControl/>
        <w:ind w:firstLine="422"/>
        <w:jc w:val="left"/>
        <w:rPr>
          <w:rFonts w:asciiTheme="minorEastAsia" w:hAnsiTheme="minorEastAsia" w:eastAsiaTheme="minorEastAsia"/>
          <w:b/>
          <w:color w:val="auto"/>
          <w:szCs w:val="21"/>
          <w:highlight w:val="none"/>
        </w:rPr>
      </w:pPr>
    </w:p>
    <w:p>
      <w:pPr>
        <w:widowControl/>
        <w:ind w:firstLine="422"/>
        <w:jc w:val="left"/>
        <w:rPr>
          <w:rFonts w:asciiTheme="minorEastAsia" w:hAnsiTheme="minorEastAsia" w:eastAsiaTheme="minorEastAsia"/>
          <w:b/>
          <w:color w:val="auto"/>
          <w:szCs w:val="21"/>
          <w:highlight w:val="none"/>
        </w:rPr>
      </w:pPr>
    </w:p>
    <w:p>
      <w:pPr>
        <w:adjustRightInd w:val="0"/>
        <w:snapToGrid w:val="0"/>
        <w:spacing w:line="360" w:lineRule="auto"/>
        <w:ind w:firstLine="422"/>
        <w:rPr>
          <w:rFonts w:asciiTheme="minorEastAsia" w:hAnsiTheme="minorEastAsia" w:eastAsiaTheme="minorEastAsia"/>
          <w:b/>
          <w:color w:val="auto"/>
          <w:szCs w:val="21"/>
          <w:highlight w:val="none"/>
        </w:rPr>
      </w:pPr>
    </w:p>
    <w:p>
      <w:pPr>
        <w:rPr>
          <w:color w:val="auto"/>
          <w:highlight w:val="none"/>
        </w:rPr>
      </w:pPr>
    </w:p>
    <w:p>
      <w:pPr>
        <w:jc w:val="center"/>
        <w:rPr>
          <w:color w:val="auto"/>
          <w:highlight w:val="none"/>
        </w:rPr>
      </w:pPr>
    </w:p>
    <w:sectPr>
      <w:footerReference r:id="rId10" w:type="first"/>
      <w:headerReference r:id="rId7" w:type="default"/>
      <w:footerReference r:id="rId8" w:type="default"/>
      <w:footerReference r:id="rId9" w:type="even"/>
      <w:pgSz w:w="11906" w:h="16838"/>
      <w:pgMar w:top="1276" w:right="1416" w:bottom="1276" w:left="1610"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
    <w:altName w:val="Times New Roman"/>
    <w:panose1 w:val="00000000000000000000"/>
    <w:charset w:val="00"/>
    <w:family w:val="roman"/>
    <w:pitch w:val="default"/>
    <w:sig w:usb0="00000000" w:usb1="00000000" w:usb2="00000000" w:usb3="00000000" w:csb0="00000001" w:csb1="00000000"/>
  </w:font>
  <w:font w:name="Helvetica">
    <w:altName w:val="Arial"/>
    <w:panose1 w:val="020B0504020202020204"/>
    <w:charset w:val="00"/>
    <w:family w:val="swiss"/>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Arial Narrow">
    <w:altName w:val="Arial"/>
    <w:panose1 w:val="00000000000000000000"/>
    <w:charset w:val="00"/>
    <w:family w:val="swiss"/>
    <w:pitch w:val="default"/>
    <w:sig w:usb0="00000000" w:usb1="00000000" w:usb2="00000000" w:usb3="00000000" w:csb0="0000009F" w:csb1="00000000"/>
  </w:font>
  <w:font w:name="華康辦公用具篇">
    <w:altName w:val="Segoe Print"/>
    <w:panose1 w:val="00000000000000000000"/>
    <w:charset w:val="00"/>
    <w:family w:val="roman"/>
    <w:pitch w:val="default"/>
    <w:sig w:usb0="00000000" w:usb1="00000000" w:usb2="00000000" w:usb3="00000000" w:csb0="00000001" w:csb1="00000000"/>
  </w:font>
  <w:font w:name="Courier">
    <w:altName w:val="Courier New"/>
    <w:panose1 w:val="02070409020205020404"/>
    <w:charset w:val="00"/>
    <w:family w:val="moder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6pebnPAAAABQEAAA8AAAAAAAAAAQAgAAAAIgAAAGRycy9kb3du&#10;cmV2LnhtbFBLAQIUABQAAAAIAIdO4kDceVkaCAIAABIEAAAOAAAAAAAAAAEAIAAAAB4BAABkcnMv&#10;ZTJvRG9jLnhtbFBLBQYAAAAABgAGAFkBAACY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ascii="宋体" w:hAnsi="宋体"/>
        <w:sz w:val="21"/>
        <w:szCs w:val="21"/>
      </w:rPr>
    </w:pPr>
    <w:r>
      <w:rPr>
        <w:rFonts w:hint="eastAsia" w:ascii="宋体" w:hAnsi="宋体"/>
        <w:sz w:val="21"/>
        <w:szCs w:val="21"/>
      </w:rPr>
      <w:t>第</w:t>
    </w: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21</w:t>
    </w:r>
    <w:r>
      <w:rPr>
        <w:rFonts w:ascii="宋体" w:hAnsi="宋体"/>
        <w:sz w:val="21"/>
        <w:szCs w:val="21"/>
      </w:rPr>
      <w:fldChar w:fldCharType="end"/>
    </w:r>
    <w:r>
      <w:rPr>
        <w:rFonts w:hint="eastAsia" w:ascii="宋体" w:hAnsi="宋体"/>
        <w:sz w:val="21"/>
        <w:szCs w:val="21"/>
      </w:rPr>
      <w:t>页</w:t>
    </w: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outside" w:y="1"/>
      <w:ind w:firstLine="360"/>
      <w:rPr>
        <w:rStyle w:val="48"/>
      </w:rPr>
    </w:pPr>
    <w:r>
      <w:fldChar w:fldCharType="begin"/>
    </w:r>
    <w:r>
      <w:rPr>
        <w:rStyle w:val="48"/>
      </w:rPr>
      <w:instrText xml:space="preserve">PAGE  </w:instrText>
    </w:r>
    <w:r>
      <w:fldChar w:fldCharType="end"/>
    </w:r>
  </w:p>
  <w:p>
    <w:pPr>
      <w:pStyle w:val="29"/>
      <w:ind w:right="360" w:firstLine="360"/>
    </w:pPr>
  </w:p>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ind w:firstLine="360"/>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50647"/>
    <w:multiLevelType w:val="singleLevel"/>
    <w:tmpl w:val="CF050647"/>
    <w:lvl w:ilvl="0" w:tentative="0">
      <w:start w:val="5"/>
      <w:numFmt w:val="decimal"/>
      <w:suff w:val="nothing"/>
      <w:lvlText w:val="%1、"/>
      <w:lvlJc w:val="left"/>
    </w:lvl>
  </w:abstractNum>
  <w:abstractNum w:abstractNumId="1">
    <w:nsid w:val="00000005"/>
    <w:multiLevelType w:val="multilevel"/>
    <w:tmpl w:val="00000005"/>
    <w:lvl w:ilvl="0" w:tentative="0">
      <w:start w:val="1"/>
      <w:numFmt w:val="decimal"/>
      <w:pStyle w:val="14"/>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2">
    <w:nsid w:val="15DF5159"/>
    <w:multiLevelType w:val="multilevel"/>
    <w:tmpl w:val="15DF5159"/>
    <w:lvl w:ilvl="0" w:tentative="0">
      <w:start w:val="22"/>
      <w:numFmt w:val="decimal"/>
      <w:lvlText w:val="%1、"/>
      <w:lvlJc w:val="left"/>
      <w:pPr>
        <w:ind w:left="420" w:hanging="4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wYmQzMzE0NGM4NDg4MzZmNWMxMzI3OGJmMjdkODEifQ=="/>
  </w:docVars>
  <w:rsids>
    <w:rsidRoot w:val="009B248E"/>
    <w:rsid w:val="00001646"/>
    <w:rsid w:val="00001AFD"/>
    <w:rsid w:val="00002770"/>
    <w:rsid w:val="00002809"/>
    <w:rsid w:val="000050F1"/>
    <w:rsid w:val="00005170"/>
    <w:rsid w:val="000059CC"/>
    <w:rsid w:val="00006123"/>
    <w:rsid w:val="0000669E"/>
    <w:rsid w:val="00006F3F"/>
    <w:rsid w:val="00007B99"/>
    <w:rsid w:val="00011C74"/>
    <w:rsid w:val="0001268A"/>
    <w:rsid w:val="000143A0"/>
    <w:rsid w:val="00014CBB"/>
    <w:rsid w:val="000151BC"/>
    <w:rsid w:val="000159D9"/>
    <w:rsid w:val="000217BC"/>
    <w:rsid w:val="00022350"/>
    <w:rsid w:val="000241F2"/>
    <w:rsid w:val="00024809"/>
    <w:rsid w:val="00025868"/>
    <w:rsid w:val="00025BCB"/>
    <w:rsid w:val="000274BA"/>
    <w:rsid w:val="000319CB"/>
    <w:rsid w:val="00032880"/>
    <w:rsid w:val="000330B6"/>
    <w:rsid w:val="00034721"/>
    <w:rsid w:val="00035092"/>
    <w:rsid w:val="000354ED"/>
    <w:rsid w:val="00035F8B"/>
    <w:rsid w:val="00036849"/>
    <w:rsid w:val="00036CB3"/>
    <w:rsid w:val="000411B8"/>
    <w:rsid w:val="00041B98"/>
    <w:rsid w:val="00041CB0"/>
    <w:rsid w:val="00042094"/>
    <w:rsid w:val="000465D3"/>
    <w:rsid w:val="000470D7"/>
    <w:rsid w:val="00052D50"/>
    <w:rsid w:val="00055B0D"/>
    <w:rsid w:val="00056A0B"/>
    <w:rsid w:val="000615E9"/>
    <w:rsid w:val="00062ADC"/>
    <w:rsid w:val="00062F6A"/>
    <w:rsid w:val="00064238"/>
    <w:rsid w:val="00064D5C"/>
    <w:rsid w:val="000665E7"/>
    <w:rsid w:val="000667A5"/>
    <w:rsid w:val="000667BC"/>
    <w:rsid w:val="000674F7"/>
    <w:rsid w:val="00070FD7"/>
    <w:rsid w:val="00071666"/>
    <w:rsid w:val="00071A89"/>
    <w:rsid w:val="00075A8D"/>
    <w:rsid w:val="00076E4C"/>
    <w:rsid w:val="000772B9"/>
    <w:rsid w:val="0007777D"/>
    <w:rsid w:val="00077805"/>
    <w:rsid w:val="00080F6F"/>
    <w:rsid w:val="0008184D"/>
    <w:rsid w:val="00081F08"/>
    <w:rsid w:val="00082005"/>
    <w:rsid w:val="00082E35"/>
    <w:rsid w:val="000840AE"/>
    <w:rsid w:val="000857F8"/>
    <w:rsid w:val="0008605B"/>
    <w:rsid w:val="00092EFB"/>
    <w:rsid w:val="000930E2"/>
    <w:rsid w:val="00094AED"/>
    <w:rsid w:val="00097D7D"/>
    <w:rsid w:val="00097EF5"/>
    <w:rsid w:val="000A2482"/>
    <w:rsid w:val="000A2510"/>
    <w:rsid w:val="000A311C"/>
    <w:rsid w:val="000A416E"/>
    <w:rsid w:val="000A4FA1"/>
    <w:rsid w:val="000A6BE5"/>
    <w:rsid w:val="000A6D08"/>
    <w:rsid w:val="000A6E6B"/>
    <w:rsid w:val="000A6FAA"/>
    <w:rsid w:val="000B0C41"/>
    <w:rsid w:val="000B0FD2"/>
    <w:rsid w:val="000B1041"/>
    <w:rsid w:val="000B18F3"/>
    <w:rsid w:val="000B2B88"/>
    <w:rsid w:val="000B45C6"/>
    <w:rsid w:val="000B6DB4"/>
    <w:rsid w:val="000B78B0"/>
    <w:rsid w:val="000B7AFE"/>
    <w:rsid w:val="000C18D3"/>
    <w:rsid w:val="000C3014"/>
    <w:rsid w:val="000C6036"/>
    <w:rsid w:val="000C7DCC"/>
    <w:rsid w:val="000D0BFB"/>
    <w:rsid w:val="000D1D33"/>
    <w:rsid w:val="000D2875"/>
    <w:rsid w:val="000D2A67"/>
    <w:rsid w:val="000D37D5"/>
    <w:rsid w:val="000D431E"/>
    <w:rsid w:val="000D45A7"/>
    <w:rsid w:val="000D4FE0"/>
    <w:rsid w:val="000D6223"/>
    <w:rsid w:val="000D6512"/>
    <w:rsid w:val="000D7AB4"/>
    <w:rsid w:val="000D7CF8"/>
    <w:rsid w:val="000D7D6D"/>
    <w:rsid w:val="000E01FE"/>
    <w:rsid w:val="000E06A5"/>
    <w:rsid w:val="000E2018"/>
    <w:rsid w:val="000E2F47"/>
    <w:rsid w:val="000E309E"/>
    <w:rsid w:val="000E5DFF"/>
    <w:rsid w:val="000E6135"/>
    <w:rsid w:val="000E6C24"/>
    <w:rsid w:val="000E6D6A"/>
    <w:rsid w:val="000E7326"/>
    <w:rsid w:val="000E79A8"/>
    <w:rsid w:val="000E7F04"/>
    <w:rsid w:val="000F0255"/>
    <w:rsid w:val="000F1B07"/>
    <w:rsid w:val="000F1F1D"/>
    <w:rsid w:val="000F3304"/>
    <w:rsid w:val="000F42CE"/>
    <w:rsid w:val="000F582E"/>
    <w:rsid w:val="000F62E8"/>
    <w:rsid w:val="000F6942"/>
    <w:rsid w:val="000F7E13"/>
    <w:rsid w:val="001037B5"/>
    <w:rsid w:val="001049FD"/>
    <w:rsid w:val="00104AEB"/>
    <w:rsid w:val="00104D22"/>
    <w:rsid w:val="00104DC0"/>
    <w:rsid w:val="00105DE6"/>
    <w:rsid w:val="00106A12"/>
    <w:rsid w:val="00107112"/>
    <w:rsid w:val="00112A04"/>
    <w:rsid w:val="001140DD"/>
    <w:rsid w:val="00114A22"/>
    <w:rsid w:val="00116D84"/>
    <w:rsid w:val="00117212"/>
    <w:rsid w:val="00120A23"/>
    <w:rsid w:val="00121ABB"/>
    <w:rsid w:val="0012202B"/>
    <w:rsid w:val="00125347"/>
    <w:rsid w:val="00126B05"/>
    <w:rsid w:val="00127034"/>
    <w:rsid w:val="001307AA"/>
    <w:rsid w:val="001308CA"/>
    <w:rsid w:val="0013269C"/>
    <w:rsid w:val="00133223"/>
    <w:rsid w:val="001339C4"/>
    <w:rsid w:val="00133AB2"/>
    <w:rsid w:val="001349A4"/>
    <w:rsid w:val="00135067"/>
    <w:rsid w:val="00135ABE"/>
    <w:rsid w:val="00137360"/>
    <w:rsid w:val="00141B87"/>
    <w:rsid w:val="00141D9B"/>
    <w:rsid w:val="00142A5A"/>
    <w:rsid w:val="001440B0"/>
    <w:rsid w:val="0014489D"/>
    <w:rsid w:val="00144F76"/>
    <w:rsid w:val="00146BFB"/>
    <w:rsid w:val="00147C8B"/>
    <w:rsid w:val="001514E3"/>
    <w:rsid w:val="00153982"/>
    <w:rsid w:val="001542F1"/>
    <w:rsid w:val="001551CE"/>
    <w:rsid w:val="00155835"/>
    <w:rsid w:val="00155C93"/>
    <w:rsid w:val="0015613B"/>
    <w:rsid w:val="00157C22"/>
    <w:rsid w:val="00160A00"/>
    <w:rsid w:val="00160DC5"/>
    <w:rsid w:val="001612F2"/>
    <w:rsid w:val="00161F28"/>
    <w:rsid w:val="00162F14"/>
    <w:rsid w:val="001633DE"/>
    <w:rsid w:val="001640C8"/>
    <w:rsid w:val="00164591"/>
    <w:rsid w:val="001664D1"/>
    <w:rsid w:val="00166747"/>
    <w:rsid w:val="00166E1C"/>
    <w:rsid w:val="00167268"/>
    <w:rsid w:val="00170BA9"/>
    <w:rsid w:val="00171694"/>
    <w:rsid w:val="00173ACA"/>
    <w:rsid w:val="001762B3"/>
    <w:rsid w:val="00176995"/>
    <w:rsid w:val="00176B29"/>
    <w:rsid w:val="00176EEC"/>
    <w:rsid w:val="00177019"/>
    <w:rsid w:val="001775C8"/>
    <w:rsid w:val="0018019A"/>
    <w:rsid w:val="00181B11"/>
    <w:rsid w:val="001820B9"/>
    <w:rsid w:val="00183388"/>
    <w:rsid w:val="001833BD"/>
    <w:rsid w:val="00184375"/>
    <w:rsid w:val="00184B54"/>
    <w:rsid w:val="00184BEF"/>
    <w:rsid w:val="00185216"/>
    <w:rsid w:val="0018633C"/>
    <w:rsid w:val="00186C21"/>
    <w:rsid w:val="001909BB"/>
    <w:rsid w:val="00192034"/>
    <w:rsid w:val="00192AA9"/>
    <w:rsid w:val="001971A6"/>
    <w:rsid w:val="001A1866"/>
    <w:rsid w:val="001A340A"/>
    <w:rsid w:val="001A5381"/>
    <w:rsid w:val="001A54FC"/>
    <w:rsid w:val="001A624D"/>
    <w:rsid w:val="001A7CAD"/>
    <w:rsid w:val="001B1D62"/>
    <w:rsid w:val="001B2101"/>
    <w:rsid w:val="001B3642"/>
    <w:rsid w:val="001B5C63"/>
    <w:rsid w:val="001B5D66"/>
    <w:rsid w:val="001B600A"/>
    <w:rsid w:val="001B6288"/>
    <w:rsid w:val="001B653C"/>
    <w:rsid w:val="001B689C"/>
    <w:rsid w:val="001B6B35"/>
    <w:rsid w:val="001C065A"/>
    <w:rsid w:val="001C0773"/>
    <w:rsid w:val="001C3D25"/>
    <w:rsid w:val="001C4CF7"/>
    <w:rsid w:val="001C52FA"/>
    <w:rsid w:val="001C53CC"/>
    <w:rsid w:val="001D1005"/>
    <w:rsid w:val="001D2B6A"/>
    <w:rsid w:val="001D2BE5"/>
    <w:rsid w:val="001D4070"/>
    <w:rsid w:val="001D625D"/>
    <w:rsid w:val="001E01B4"/>
    <w:rsid w:val="001E0C7D"/>
    <w:rsid w:val="001E0D95"/>
    <w:rsid w:val="001E2609"/>
    <w:rsid w:val="001E2D5E"/>
    <w:rsid w:val="001E2FDA"/>
    <w:rsid w:val="001E3C53"/>
    <w:rsid w:val="001E3ED3"/>
    <w:rsid w:val="001E7886"/>
    <w:rsid w:val="001E7E80"/>
    <w:rsid w:val="001F076F"/>
    <w:rsid w:val="001F0B5F"/>
    <w:rsid w:val="001F0E41"/>
    <w:rsid w:val="001F2201"/>
    <w:rsid w:val="001F236D"/>
    <w:rsid w:val="001F2B33"/>
    <w:rsid w:val="001F3399"/>
    <w:rsid w:val="001F349E"/>
    <w:rsid w:val="001F3647"/>
    <w:rsid w:val="001F6CA6"/>
    <w:rsid w:val="001F7035"/>
    <w:rsid w:val="00202715"/>
    <w:rsid w:val="00204252"/>
    <w:rsid w:val="00204E75"/>
    <w:rsid w:val="0020604F"/>
    <w:rsid w:val="00207583"/>
    <w:rsid w:val="002104A1"/>
    <w:rsid w:val="002105FB"/>
    <w:rsid w:val="00210DA3"/>
    <w:rsid w:val="00210DE8"/>
    <w:rsid w:val="00210F43"/>
    <w:rsid w:val="0021139E"/>
    <w:rsid w:val="00213205"/>
    <w:rsid w:val="00215BC6"/>
    <w:rsid w:val="00215BEE"/>
    <w:rsid w:val="00216E41"/>
    <w:rsid w:val="002171F4"/>
    <w:rsid w:val="00217859"/>
    <w:rsid w:val="002206E5"/>
    <w:rsid w:val="00223A26"/>
    <w:rsid w:val="00225D00"/>
    <w:rsid w:val="0022620A"/>
    <w:rsid w:val="0022758D"/>
    <w:rsid w:val="00227F6F"/>
    <w:rsid w:val="00230148"/>
    <w:rsid w:val="002336BA"/>
    <w:rsid w:val="0023375B"/>
    <w:rsid w:val="00233BD6"/>
    <w:rsid w:val="00234767"/>
    <w:rsid w:val="002356F0"/>
    <w:rsid w:val="00236151"/>
    <w:rsid w:val="00236DC2"/>
    <w:rsid w:val="00237B00"/>
    <w:rsid w:val="00237E40"/>
    <w:rsid w:val="00240242"/>
    <w:rsid w:val="00240CBB"/>
    <w:rsid w:val="0024349F"/>
    <w:rsid w:val="002445C1"/>
    <w:rsid w:val="00245BF6"/>
    <w:rsid w:val="002467EC"/>
    <w:rsid w:val="00246A04"/>
    <w:rsid w:val="00247903"/>
    <w:rsid w:val="0025012E"/>
    <w:rsid w:val="0025023A"/>
    <w:rsid w:val="00254F89"/>
    <w:rsid w:val="00255ADE"/>
    <w:rsid w:val="00256526"/>
    <w:rsid w:val="00257EFD"/>
    <w:rsid w:val="0026104E"/>
    <w:rsid w:val="002619D8"/>
    <w:rsid w:val="00261A8A"/>
    <w:rsid w:val="002621DB"/>
    <w:rsid w:val="00264314"/>
    <w:rsid w:val="00265607"/>
    <w:rsid w:val="00266464"/>
    <w:rsid w:val="00266D09"/>
    <w:rsid w:val="00267761"/>
    <w:rsid w:val="00271889"/>
    <w:rsid w:val="00272664"/>
    <w:rsid w:val="002726D4"/>
    <w:rsid w:val="00272FD2"/>
    <w:rsid w:val="002738F6"/>
    <w:rsid w:val="00274357"/>
    <w:rsid w:val="002752CA"/>
    <w:rsid w:val="00276979"/>
    <w:rsid w:val="00280301"/>
    <w:rsid w:val="00280A60"/>
    <w:rsid w:val="00284583"/>
    <w:rsid w:val="00284AED"/>
    <w:rsid w:val="00284D29"/>
    <w:rsid w:val="00286627"/>
    <w:rsid w:val="00286C40"/>
    <w:rsid w:val="002912B4"/>
    <w:rsid w:val="0029158E"/>
    <w:rsid w:val="0029278D"/>
    <w:rsid w:val="002A1C1C"/>
    <w:rsid w:val="002A23CB"/>
    <w:rsid w:val="002A3C1C"/>
    <w:rsid w:val="002A46B3"/>
    <w:rsid w:val="002A4D98"/>
    <w:rsid w:val="002A5FF2"/>
    <w:rsid w:val="002A673D"/>
    <w:rsid w:val="002B179A"/>
    <w:rsid w:val="002B4ED5"/>
    <w:rsid w:val="002B59FF"/>
    <w:rsid w:val="002B5E7E"/>
    <w:rsid w:val="002B7104"/>
    <w:rsid w:val="002C06B7"/>
    <w:rsid w:val="002C1762"/>
    <w:rsid w:val="002C3347"/>
    <w:rsid w:val="002C3B3A"/>
    <w:rsid w:val="002C4024"/>
    <w:rsid w:val="002C5FB1"/>
    <w:rsid w:val="002C6120"/>
    <w:rsid w:val="002C6D30"/>
    <w:rsid w:val="002D045A"/>
    <w:rsid w:val="002D0597"/>
    <w:rsid w:val="002D1762"/>
    <w:rsid w:val="002D18CC"/>
    <w:rsid w:val="002D2995"/>
    <w:rsid w:val="002D6D1E"/>
    <w:rsid w:val="002D73B1"/>
    <w:rsid w:val="002D75C0"/>
    <w:rsid w:val="002E0CE8"/>
    <w:rsid w:val="002E0D87"/>
    <w:rsid w:val="002E1EF1"/>
    <w:rsid w:val="002E3F2D"/>
    <w:rsid w:val="002E4BCD"/>
    <w:rsid w:val="002E5581"/>
    <w:rsid w:val="002E6AFD"/>
    <w:rsid w:val="002F12E5"/>
    <w:rsid w:val="002F13F3"/>
    <w:rsid w:val="002F2B75"/>
    <w:rsid w:val="002F2C7B"/>
    <w:rsid w:val="002F2E38"/>
    <w:rsid w:val="002F4D6F"/>
    <w:rsid w:val="002F5832"/>
    <w:rsid w:val="0030043D"/>
    <w:rsid w:val="003004B2"/>
    <w:rsid w:val="003007F6"/>
    <w:rsid w:val="00304C57"/>
    <w:rsid w:val="00305536"/>
    <w:rsid w:val="0030590F"/>
    <w:rsid w:val="0030715E"/>
    <w:rsid w:val="00307E2D"/>
    <w:rsid w:val="00312190"/>
    <w:rsid w:val="003127B7"/>
    <w:rsid w:val="00313E7C"/>
    <w:rsid w:val="00313F02"/>
    <w:rsid w:val="00316029"/>
    <w:rsid w:val="00316B08"/>
    <w:rsid w:val="00317242"/>
    <w:rsid w:val="003247C6"/>
    <w:rsid w:val="003252F4"/>
    <w:rsid w:val="003259CF"/>
    <w:rsid w:val="00326E2E"/>
    <w:rsid w:val="0032725C"/>
    <w:rsid w:val="003276FE"/>
    <w:rsid w:val="0033117B"/>
    <w:rsid w:val="003318A1"/>
    <w:rsid w:val="003322A5"/>
    <w:rsid w:val="0033272B"/>
    <w:rsid w:val="0033282F"/>
    <w:rsid w:val="003344E6"/>
    <w:rsid w:val="00334DAB"/>
    <w:rsid w:val="00334F9E"/>
    <w:rsid w:val="00335B53"/>
    <w:rsid w:val="00336102"/>
    <w:rsid w:val="00336CED"/>
    <w:rsid w:val="00341584"/>
    <w:rsid w:val="00342629"/>
    <w:rsid w:val="00342CCB"/>
    <w:rsid w:val="00344379"/>
    <w:rsid w:val="00345080"/>
    <w:rsid w:val="003459C6"/>
    <w:rsid w:val="00345EB7"/>
    <w:rsid w:val="00346685"/>
    <w:rsid w:val="00350BF8"/>
    <w:rsid w:val="00350C39"/>
    <w:rsid w:val="003525E7"/>
    <w:rsid w:val="00357ABD"/>
    <w:rsid w:val="00360435"/>
    <w:rsid w:val="00361347"/>
    <w:rsid w:val="00361795"/>
    <w:rsid w:val="003619EF"/>
    <w:rsid w:val="00371C9F"/>
    <w:rsid w:val="003734DF"/>
    <w:rsid w:val="003765AA"/>
    <w:rsid w:val="003767B2"/>
    <w:rsid w:val="00380414"/>
    <w:rsid w:val="00380684"/>
    <w:rsid w:val="00380EDB"/>
    <w:rsid w:val="00381F65"/>
    <w:rsid w:val="003853A3"/>
    <w:rsid w:val="00385717"/>
    <w:rsid w:val="00387201"/>
    <w:rsid w:val="003875FA"/>
    <w:rsid w:val="00390AAB"/>
    <w:rsid w:val="0039169F"/>
    <w:rsid w:val="00391F3C"/>
    <w:rsid w:val="00393FBD"/>
    <w:rsid w:val="0039597F"/>
    <w:rsid w:val="00395E10"/>
    <w:rsid w:val="00396AFB"/>
    <w:rsid w:val="003A2B86"/>
    <w:rsid w:val="003A6FA9"/>
    <w:rsid w:val="003A7162"/>
    <w:rsid w:val="003B08E1"/>
    <w:rsid w:val="003B389A"/>
    <w:rsid w:val="003B3ACD"/>
    <w:rsid w:val="003C0385"/>
    <w:rsid w:val="003C049E"/>
    <w:rsid w:val="003C32BE"/>
    <w:rsid w:val="003C41C7"/>
    <w:rsid w:val="003C4A7C"/>
    <w:rsid w:val="003C61A5"/>
    <w:rsid w:val="003C661C"/>
    <w:rsid w:val="003C6EE5"/>
    <w:rsid w:val="003C7565"/>
    <w:rsid w:val="003C75C2"/>
    <w:rsid w:val="003D0350"/>
    <w:rsid w:val="003D12BA"/>
    <w:rsid w:val="003D3565"/>
    <w:rsid w:val="003D3E6D"/>
    <w:rsid w:val="003D4B0A"/>
    <w:rsid w:val="003D4D79"/>
    <w:rsid w:val="003D6293"/>
    <w:rsid w:val="003D66A3"/>
    <w:rsid w:val="003D6A06"/>
    <w:rsid w:val="003D755D"/>
    <w:rsid w:val="003E02EB"/>
    <w:rsid w:val="003E09C4"/>
    <w:rsid w:val="003E33AA"/>
    <w:rsid w:val="003E43B8"/>
    <w:rsid w:val="003E606B"/>
    <w:rsid w:val="003E66FE"/>
    <w:rsid w:val="003F39B9"/>
    <w:rsid w:val="003F53CE"/>
    <w:rsid w:val="003F55A5"/>
    <w:rsid w:val="003F63C9"/>
    <w:rsid w:val="003F7F3F"/>
    <w:rsid w:val="003F7F46"/>
    <w:rsid w:val="0040077D"/>
    <w:rsid w:val="00401E9B"/>
    <w:rsid w:val="004022FE"/>
    <w:rsid w:val="00402CD8"/>
    <w:rsid w:val="00402FFF"/>
    <w:rsid w:val="00403F45"/>
    <w:rsid w:val="0040404C"/>
    <w:rsid w:val="0040439F"/>
    <w:rsid w:val="00406657"/>
    <w:rsid w:val="00406835"/>
    <w:rsid w:val="00413405"/>
    <w:rsid w:val="00415128"/>
    <w:rsid w:val="004162CA"/>
    <w:rsid w:val="0041711F"/>
    <w:rsid w:val="004223D1"/>
    <w:rsid w:val="00422A93"/>
    <w:rsid w:val="00423719"/>
    <w:rsid w:val="00423BA8"/>
    <w:rsid w:val="00424704"/>
    <w:rsid w:val="0042488B"/>
    <w:rsid w:val="00424E93"/>
    <w:rsid w:val="00427198"/>
    <w:rsid w:val="004275E1"/>
    <w:rsid w:val="004301C2"/>
    <w:rsid w:val="0043045A"/>
    <w:rsid w:val="0043061B"/>
    <w:rsid w:val="00430D6B"/>
    <w:rsid w:val="00431B5E"/>
    <w:rsid w:val="00433157"/>
    <w:rsid w:val="00433957"/>
    <w:rsid w:val="0043395C"/>
    <w:rsid w:val="00433CBF"/>
    <w:rsid w:val="004341E1"/>
    <w:rsid w:val="004373F7"/>
    <w:rsid w:val="00441E4A"/>
    <w:rsid w:val="00443C60"/>
    <w:rsid w:val="004448F7"/>
    <w:rsid w:val="004452E2"/>
    <w:rsid w:val="00445AA3"/>
    <w:rsid w:val="004468B7"/>
    <w:rsid w:val="0044694D"/>
    <w:rsid w:val="0044714B"/>
    <w:rsid w:val="00447E8A"/>
    <w:rsid w:val="004538CF"/>
    <w:rsid w:val="00453B8B"/>
    <w:rsid w:val="00453DCC"/>
    <w:rsid w:val="00454933"/>
    <w:rsid w:val="0045595B"/>
    <w:rsid w:val="00455B81"/>
    <w:rsid w:val="00455D99"/>
    <w:rsid w:val="004579F2"/>
    <w:rsid w:val="004639F1"/>
    <w:rsid w:val="00463B94"/>
    <w:rsid w:val="00464C51"/>
    <w:rsid w:val="00465D7D"/>
    <w:rsid w:val="004663A5"/>
    <w:rsid w:val="0046653A"/>
    <w:rsid w:val="0046682D"/>
    <w:rsid w:val="00466DA6"/>
    <w:rsid w:val="0046713D"/>
    <w:rsid w:val="00467C13"/>
    <w:rsid w:val="004700EA"/>
    <w:rsid w:val="00471F94"/>
    <w:rsid w:val="004720DF"/>
    <w:rsid w:val="00476DDB"/>
    <w:rsid w:val="00477162"/>
    <w:rsid w:val="00477EF0"/>
    <w:rsid w:val="00483A70"/>
    <w:rsid w:val="00484E1D"/>
    <w:rsid w:val="00485283"/>
    <w:rsid w:val="00486B21"/>
    <w:rsid w:val="00490F30"/>
    <w:rsid w:val="00491774"/>
    <w:rsid w:val="004925B8"/>
    <w:rsid w:val="00493BD0"/>
    <w:rsid w:val="00494A40"/>
    <w:rsid w:val="00496DF1"/>
    <w:rsid w:val="00497557"/>
    <w:rsid w:val="004A057A"/>
    <w:rsid w:val="004A1B5D"/>
    <w:rsid w:val="004A21BE"/>
    <w:rsid w:val="004A3734"/>
    <w:rsid w:val="004A3AC3"/>
    <w:rsid w:val="004A3EA0"/>
    <w:rsid w:val="004A53B5"/>
    <w:rsid w:val="004A5AAF"/>
    <w:rsid w:val="004A6EBF"/>
    <w:rsid w:val="004B331D"/>
    <w:rsid w:val="004B339C"/>
    <w:rsid w:val="004B431C"/>
    <w:rsid w:val="004B520A"/>
    <w:rsid w:val="004B7715"/>
    <w:rsid w:val="004C15EF"/>
    <w:rsid w:val="004C1BCC"/>
    <w:rsid w:val="004C2BC4"/>
    <w:rsid w:val="004C3578"/>
    <w:rsid w:val="004C530C"/>
    <w:rsid w:val="004C5D6F"/>
    <w:rsid w:val="004C5DE1"/>
    <w:rsid w:val="004C6834"/>
    <w:rsid w:val="004C6B4E"/>
    <w:rsid w:val="004C766B"/>
    <w:rsid w:val="004C7A3E"/>
    <w:rsid w:val="004D1078"/>
    <w:rsid w:val="004D133F"/>
    <w:rsid w:val="004D2278"/>
    <w:rsid w:val="004D5A13"/>
    <w:rsid w:val="004E0251"/>
    <w:rsid w:val="004E02D6"/>
    <w:rsid w:val="004E2994"/>
    <w:rsid w:val="004E4EFF"/>
    <w:rsid w:val="004F163E"/>
    <w:rsid w:val="004F279D"/>
    <w:rsid w:val="004F31AD"/>
    <w:rsid w:val="004F426D"/>
    <w:rsid w:val="004F477D"/>
    <w:rsid w:val="004F4BDB"/>
    <w:rsid w:val="004F5076"/>
    <w:rsid w:val="004F53D2"/>
    <w:rsid w:val="004F57CE"/>
    <w:rsid w:val="004F6999"/>
    <w:rsid w:val="004F6CB5"/>
    <w:rsid w:val="004F6F69"/>
    <w:rsid w:val="0050028A"/>
    <w:rsid w:val="00500820"/>
    <w:rsid w:val="00501338"/>
    <w:rsid w:val="005016ED"/>
    <w:rsid w:val="00501A15"/>
    <w:rsid w:val="0050271D"/>
    <w:rsid w:val="00503166"/>
    <w:rsid w:val="00503331"/>
    <w:rsid w:val="005037C8"/>
    <w:rsid w:val="00504EDF"/>
    <w:rsid w:val="00505DA4"/>
    <w:rsid w:val="005078AA"/>
    <w:rsid w:val="00507964"/>
    <w:rsid w:val="00507A3A"/>
    <w:rsid w:val="00512570"/>
    <w:rsid w:val="005126D7"/>
    <w:rsid w:val="0051271E"/>
    <w:rsid w:val="00515A2F"/>
    <w:rsid w:val="00520A61"/>
    <w:rsid w:val="00522868"/>
    <w:rsid w:val="005230E0"/>
    <w:rsid w:val="00525360"/>
    <w:rsid w:val="005253DB"/>
    <w:rsid w:val="005300CB"/>
    <w:rsid w:val="005304BC"/>
    <w:rsid w:val="00532431"/>
    <w:rsid w:val="005343CE"/>
    <w:rsid w:val="00534A36"/>
    <w:rsid w:val="00535018"/>
    <w:rsid w:val="0054177B"/>
    <w:rsid w:val="00542827"/>
    <w:rsid w:val="00542FA8"/>
    <w:rsid w:val="00543447"/>
    <w:rsid w:val="00543C43"/>
    <w:rsid w:val="00544EE3"/>
    <w:rsid w:val="00545781"/>
    <w:rsid w:val="00545FD8"/>
    <w:rsid w:val="0054639C"/>
    <w:rsid w:val="00547594"/>
    <w:rsid w:val="00551585"/>
    <w:rsid w:val="00551D47"/>
    <w:rsid w:val="0055240B"/>
    <w:rsid w:val="00552D4C"/>
    <w:rsid w:val="00553251"/>
    <w:rsid w:val="005543DF"/>
    <w:rsid w:val="0055589E"/>
    <w:rsid w:val="00555CD5"/>
    <w:rsid w:val="00561065"/>
    <w:rsid w:val="00563859"/>
    <w:rsid w:val="00564FB3"/>
    <w:rsid w:val="005651DB"/>
    <w:rsid w:val="00565BF9"/>
    <w:rsid w:val="00565C4E"/>
    <w:rsid w:val="005663F9"/>
    <w:rsid w:val="005670B3"/>
    <w:rsid w:val="0056749E"/>
    <w:rsid w:val="00567891"/>
    <w:rsid w:val="005705D8"/>
    <w:rsid w:val="00570923"/>
    <w:rsid w:val="00570E98"/>
    <w:rsid w:val="00571382"/>
    <w:rsid w:val="00571E8B"/>
    <w:rsid w:val="00571F15"/>
    <w:rsid w:val="00572289"/>
    <w:rsid w:val="00572915"/>
    <w:rsid w:val="00573193"/>
    <w:rsid w:val="005732AB"/>
    <w:rsid w:val="005746CE"/>
    <w:rsid w:val="005748A4"/>
    <w:rsid w:val="0057558F"/>
    <w:rsid w:val="00576B49"/>
    <w:rsid w:val="00576C82"/>
    <w:rsid w:val="005772C5"/>
    <w:rsid w:val="00582229"/>
    <w:rsid w:val="005841F1"/>
    <w:rsid w:val="0058427B"/>
    <w:rsid w:val="0058466F"/>
    <w:rsid w:val="0058520D"/>
    <w:rsid w:val="0058567B"/>
    <w:rsid w:val="00586E0A"/>
    <w:rsid w:val="00591D68"/>
    <w:rsid w:val="00592B74"/>
    <w:rsid w:val="005930F4"/>
    <w:rsid w:val="005938CC"/>
    <w:rsid w:val="00593B42"/>
    <w:rsid w:val="00594DA3"/>
    <w:rsid w:val="00595268"/>
    <w:rsid w:val="005A07BE"/>
    <w:rsid w:val="005A1201"/>
    <w:rsid w:val="005A1898"/>
    <w:rsid w:val="005A2AC7"/>
    <w:rsid w:val="005A40F7"/>
    <w:rsid w:val="005A4F1A"/>
    <w:rsid w:val="005A5B36"/>
    <w:rsid w:val="005A6431"/>
    <w:rsid w:val="005A6DE4"/>
    <w:rsid w:val="005A79AD"/>
    <w:rsid w:val="005B0795"/>
    <w:rsid w:val="005B0EC4"/>
    <w:rsid w:val="005B334F"/>
    <w:rsid w:val="005B3DE7"/>
    <w:rsid w:val="005B5235"/>
    <w:rsid w:val="005B544E"/>
    <w:rsid w:val="005B6441"/>
    <w:rsid w:val="005B64AB"/>
    <w:rsid w:val="005B677D"/>
    <w:rsid w:val="005C13F4"/>
    <w:rsid w:val="005C16B8"/>
    <w:rsid w:val="005C2D1D"/>
    <w:rsid w:val="005C62ED"/>
    <w:rsid w:val="005C70AA"/>
    <w:rsid w:val="005C7688"/>
    <w:rsid w:val="005D0485"/>
    <w:rsid w:val="005D095A"/>
    <w:rsid w:val="005D126A"/>
    <w:rsid w:val="005D233B"/>
    <w:rsid w:val="005D33D6"/>
    <w:rsid w:val="005D34F5"/>
    <w:rsid w:val="005D4142"/>
    <w:rsid w:val="005D44F2"/>
    <w:rsid w:val="005D7B5E"/>
    <w:rsid w:val="005E089E"/>
    <w:rsid w:val="005E099A"/>
    <w:rsid w:val="005E35CF"/>
    <w:rsid w:val="005E516E"/>
    <w:rsid w:val="005E56B7"/>
    <w:rsid w:val="005E5E16"/>
    <w:rsid w:val="005E7015"/>
    <w:rsid w:val="005F0150"/>
    <w:rsid w:val="005F1E86"/>
    <w:rsid w:val="005F3CA5"/>
    <w:rsid w:val="005F5199"/>
    <w:rsid w:val="005F6DCD"/>
    <w:rsid w:val="0060021A"/>
    <w:rsid w:val="0060037C"/>
    <w:rsid w:val="00600A6D"/>
    <w:rsid w:val="00600A7E"/>
    <w:rsid w:val="00605D2B"/>
    <w:rsid w:val="00606529"/>
    <w:rsid w:val="00607686"/>
    <w:rsid w:val="00610158"/>
    <w:rsid w:val="00612F48"/>
    <w:rsid w:val="00615389"/>
    <w:rsid w:val="006154C0"/>
    <w:rsid w:val="006157C6"/>
    <w:rsid w:val="00616894"/>
    <w:rsid w:val="00617179"/>
    <w:rsid w:val="00617FCF"/>
    <w:rsid w:val="00622560"/>
    <w:rsid w:val="00625BEE"/>
    <w:rsid w:val="00627A4E"/>
    <w:rsid w:val="006301EB"/>
    <w:rsid w:val="00632148"/>
    <w:rsid w:val="00633158"/>
    <w:rsid w:val="006334D8"/>
    <w:rsid w:val="00635D06"/>
    <w:rsid w:val="00636445"/>
    <w:rsid w:val="00636579"/>
    <w:rsid w:val="006420D3"/>
    <w:rsid w:val="006441DB"/>
    <w:rsid w:val="00644610"/>
    <w:rsid w:val="0064483F"/>
    <w:rsid w:val="00644BFF"/>
    <w:rsid w:val="00644CB6"/>
    <w:rsid w:val="0064627A"/>
    <w:rsid w:val="00646EE5"/>
    <w:rsid w:val="006479B2"/>
    <w:rsid w:val="006538D0"/>
    <w:rsid w:val="00653EA0"/>
    <w:rsid w:val="00656328"/>
    <w:rsid w:val="00656DD8"/>
    <w:rsid w:val="00657CE9"/>
    <w:rsid w:val="00661D27"/>
    <w:rsid w:val="00661EBF"/>
    <w:rsid w:val="00661EF1"/>
    <w:rsid w:val="006646D9"/>
    <w:rsid w:val="00670241"/>
    <w:rsid w:val="006703EB"/>
    <w:rsid w:val="00671C28"/>
    <w:rsid w:val="00672339"/>
    <w:rsid w:val="0067388D"/>
    <w:rsid w:val="00673EB6"/>
    <w:rsid w:val="00676EE1"/>
    <w:rsid w:val="00677F45"/>
    <w:rsid w:val="00677FAE"/>
    <w:rsid w:val="00683F75"/>
    <w:rsid w:val="00684772"/>
    <w:rsid w:val="00685ACE"/>
    <w:rsid w:val="00685FFA"/>
    <w:rsid w:val="00686EF2"/>
    <w:rsid w:val="00691248"/>
    <w:rsid w:val="006941C4"/>
    <w:rsid w:val="00694B6F"/>
    <w:rsid w:val="00694E66"/>
    <w:rsid w:val="006953C6"/>
    <w:rsid w:val="00695504"/>
    <w:rsid w:val="00695910"/>
    <w:rsid w:val="00695BDA"/>
    <w:rsid w:val="00695C50"/>
    <w:rsid w:val="00696E3A"/>
    <w:rsid w:val="006978CF"/>
    <w:rsid w:val="006A1628"/>
    <w:rsid w:val="006A3018"/>
    <w:rsid w:val="006A342B"/>
    <w:rsid w:val="006A3F1F"/>
    <w:rsid w:val="006A5700"/>
    <w:rsid w:val="006A657A"/>
    <w:rsid w:val="006B0687"/>
    <w:rsid w:val="006B0D6D"/>
    <w:rsid w:val="006B12E8"/>
    <w:rsid w:val="006B148C"/>
    <w:rsid w:val="006B1883"/>
    <w:rsid w:val="006B3047"/>
    <w:rsid w:val="006B40DA"/>
    <w:rsid w:val="006B462A"/>
    <w:rsid w:val="006B598E"/>
    <w:rsid w:val="006B7A2C"/>
    <w:rsid w:val="006C1CC5"/>
    <w:rsid w:val="006C1CE1"/>
    <w:rsid w:val="006C36E0"/>
    <w:rsid w:val="006C3E9B"/>
    <w:rsid w:val="006C42E0"/>
    <w:rsid w:val="006C4CFC"/>
    <w:rsid w:val="006C52E4"/>
    <w:rsid w:val="006C5716"/>
    <w:rsid w:val="006C6B55"/>
    <w:rsid w:val="006D20BB"/>
    <w:rsid w:val="006D23A1"/>
    <w:rsid w:val="006D2CC8"/>
    <w:rsid w:val="006D50DF"/>
    <w:rsid w:val="006D7C70"/>
    <w:rsid w:val="006E0536"/>
    <w:rsid w:val="006E05AD"/>
    <w:rsid w:val="006E102E"/>
    <w:rsid w:val="006E508D"/>
    <w:rsid w:val="006E58CB"/>
    <w:rsid w:val="006E5E21"/>
    <w:rsid w:val="006F0199"/>
    <w:rsid w:val="006F021D"/>
    <w:rsid w:val="006F11CC"/>
    <w:rsid w:val="006F11DC"/>
    <w:rsid w:val="006F2F48"/>
    <w:rsid w:val="006F3B1E"/>
    <w:rsid w:val="006F3BF1"/>
    <w:rsid w:val="006F3F3B"/>
    <w:rsid w:val="006F4468"/>
    <w:rsid w:val="006F73FD"/>
    <w:rsid w:val="006F7E7F"/>
    <w:rsid w:val="00704922"/>
    <w:rsid w:val="00706A5C"/>
    <w:rsid w:val="0071238D"/>
    <w:rsid w:val="007126AB"/>
    <w:rsid w:val="00713503"/>
    <w:rsid w:val="007136A4"/>
    <w:rsid w:val="00715A2B"/>
    <w:rsid w:val="00715EBD"/>
    <w:rsid w:val="00716075"/>
    <w:rsid w:val="007201F4"/>
    <w:rsid w:val="007202E8"/>
    <w:rsid w:val="0072039A"/>
    <w:rsid w:val="007205C6"/>
    <w:rsid w:val="007205E7"/>
    <w:rsid w:val="00723D31"/>
    <w:rsid w:val="007240E0"/>
    <w:rsid w:val="00724206"/>
    <w:rsid w:val="0072485A"/>
    <w:rsid w:val="007259CB"/>
    <w:rsid w:val="00725A20"/>
    <w:rsid w:val="00725B47"/>
    <w:rsid w:val="00725DE6"/>
    <w:rsid w:val="00727356"/>
    <w:rsid w:val="00730C21"/>
    <w:rsid w:val="00730E09"/>
    <w:rsid w:val="00732D54"/>
    <w:rsid w:val="00733D73"/>
    <w:rsid w:val="00734684"/>
    <w:rsid w:val="00741A71"/>
    <w:rsid w:val="00742081"/>
    <w:rsid w:val="007430E8"/>
    <w:rsid w:val="0074442A"/>
    <w:rsid w:val="007457FF"/>
    <w:rsid w:val="00745C23"/>
    <w:rsid w:val="00745CC6"/>
    <w:rsid w:val="00746B35"/>
    <w:rsid w:val="00747137"/>
    <w:rsid w:val="007477C1"/>
    <w:rsid w:val="00750586"/>
    <w:rsid w:val="00750C3F"/>
    <w:rsid w:val="00752272"/>
    <w:rsid w:val="00753E30"/>
    <w:rsid w:val="007559F8"/>
    <w:rsid w:val="00756153"/>
    <w:rsid w:val="00756D1B"/>
    <w:rsid w:val="00762DB8"/>
    <w:rsid w:val="00763D07"/>
    <w:rsid w:val="00765B71"/>
    <w:rsid w:val="007701CB"/>
    <w:rsid w:val="00770316"/>
    <w:rsid w:val="00772415"/>
    <w:rsid w:val="00774155"/>
    <w:rsid w:val="00775903"/>
    <w:rsid w:val="0077659A"/>
    <w:rsid w:val="00777505"/>
    <w:rsid w:val="00777CD0"/>
    <w:rsid w:val="007844DA"/>
    <w:rsid w:val="00784E3B"/>
    <w:rsid w:val="00787293"/>
    <w:rsid w:val="00787399"/>
    <w:rsid w:val="0079054D"/>
    <w:rsid w:val="00790B61"/>
    <w:rsid w:val="00793A69"/>
    <w:rsid w:val="007952F7"/>
    <w:rsid w:val="0079739D"/>
    <w:rsid w:val="00797716"/>
    <w:rsid w:val="007A1309"/>
    <w:rsid w:val="007A1C99"/>
    <w:rsid w:val="007A20A6"/>
    <w:rsid w:val="007A2636"/>
    <w:rsid w:val="007A2BC9"/>
    <w:rsid w:val="007A374F"/>
    <w:rsid w:val="007A4FA8"/>
    <w:rsid w:val="007A5D98"/>
    <w:rsid w:val="007A6DB8"/>
    <w:rsid w:val="007B1228"/>
    <w:rsid w:val="007B29FB"/>
    <w:rsid w:val="007B2A83"/>
    <w:rsid w:val="007B693B"/>
    <w:rsid w:val="007B746F"/>
    <w:rsid w:val="007B7D89"/>
    <w:rsid w:val="007C0691"/>
    <w:rsid w:val="007C0EA8"/>
    <w:rsid w:val="007C13F0"/>
    <w:rsid w:val="007C24C8"/>
    <w:rsid w:val="007C31F3"/>
    <w:rsid w:val="007C3261"/>
    <w:rsid w:val="007C3FED"/>
    <w:rsid w:val="007C6A12"/>
    <w:rsid w:val="007C7179"/>
    <w:rsid w:val="007D52E2"/>
    <w:rsid w:val="007D55E6"/>
    <w:rsid w:val="007D71CD"/>
    <w:rsid w:val="007E0784"/>
    <w:rsid w:val="007E0FEC"/>
    <w:rsid w:val="007E32C8"/>
    <w:rsid w:val="007E50AD"/>
    <w:rsid w:val="007E5468"/>
    <w:rsid w:val="007E76AF"/>
    <w:rsid w:val="007F0651"/>
    <w:rsid w:val="007F2C22"/>
    <w:rsid w:val="007F3899"/>
    <w:rsid w:val="007F3AA9"/>
    <w:rsid w:val="00801084"/>
    <w:rsid w:val="00802D47"/>
    <w:rsid w:val="00804534"/>
    <w:rsid w:val="008064C7"/>
    <w:rsid w:val="0080675C"/>
    <w:rsid w:val="00806CF1"/>
    <w:rsid w:val="00806F61"/>
    <w:rsid w:val="00810764"/>
    <w:rsid w:val="00811277"/>
    <w:rsid w:val="00811C47"/>
    <w:rsid w:val="00812E61"/>
    <w:rsid w:val="00814F43"/>
    <w:rsid w:val="008161FF"/>
    <w:rsid w:val="008166A7"/>
    <w:rsid w:val="00817103"/>
    <w:rsid w:val="00820392"/>
    <w:rsid w:val="008207C9"/>
    <w:rsid w:val="00820CF7"/>
    <w:rsid w:val="00821476"/>
    <w:rsid w:val="00822F7B"/>
    <w:rsid w:val="00824003"/>
    <w:rsid w:val="00830C98"/>
    <w:rsid w:val="00830E2A"/>
    <w:rsid w:val="0083303C"/>
    <w:rsid w:val="00833427"/>
    <w:rsid w:val="00834844"/>
    <w:rsid w:val="00834E95"/>
    <w:rsid w:val="00835881"/>
    <w:rsid w:val="00836DDF"/>
    <w:rsid w:val="00840016"/>
    <w:rsid w:val="008410E1"/>
    <w:rsid w:val="00842232"/>
    <w:rsid w:val="00842A37"/>
    <w:rsid w:val="0084408D"/>
    <w:rsid w:val="008465FA"/>
    <w:rsid w:val="00847697"/>
    <w:rsid w:val="00852EEF"/>
    <w:rsid w:val="00853A1B"/>
    <w:rsid w:val="008546EF"/>
    <w:rsid w:val="00855F82"/>
    <w:rsid w:val="0085761B"/>
    <w:rsid w:val="008608BF"/>
    <w:rsid w:val="00862BA6"/>
    <w:rsid w:val="00862DC3"/>
    <w:rsid w:val="008669F9"/>
    <w:rsid w:val="00867BFD"/>
    <w:rsid w:val="00881950"/>
    <w:rsid w:val="00882437"/>
    <w:rsid w:val="008841CD"/>
    <w:rsid w:val="00886910"/>
    <w:rsid w:val="00887634"/>
    <w:rsid w:val="00887814"/>
    <w:rsid w:val="00887CAF"/>
    <w:rsid w:val="00892A87"/>
    <w:rsid w:val="00892E33"/>
    <w:rsid w:val="00893903"/>
    <w:rsid w:val="00893ACD"/>
    <w:rsid w:val="0089469C"/>
    <w:rsid w:val="008956FA"/>
    <w:rsid w:val="008A1B1D"/>
    <w:rsid w:val="008A4271"/>
    <w:rsid w:val="008A4C08"/>
    <w:rsid w:val="008A505F"/>
    <w:rsid w:val="008A53C5"/>
    <w:rsid w:val="008A68C4"/>
    <w:rsid w:val="008B141F"/>
    <w:rsid w:val="008B2F32"/>
    <w:rsid w:val="008B4E3C"/>
    <w:rsid w:val="008B4E76"/>
    <w:rsid w:val="008B6DF9"/>
    <w:rsid w:val="008B6F48"/>
    <w:rsid w:val="008B798E"/>
    <w:rsid w:val="008B7BDE"/>
    <w:rsid w:val="008B7EF3"/>
    <w:rsid w:val="008C0074"/>
    <w:rsid w:val="008C0983"/>
    <w:rsid w:val="008C341F"/>
    <w:rsid w:val="008C3EF5"/>
    <w:rsid w:val="008C7076"/>
    <w:rsid w:val="008D0C7E"/>
    <w:rsid w:val="008D1EA7"/>
    <w:rsid w:val="008D34A8"/>
    <w:rsid w:val="008D3971"/>
    <w:rsid w:val="008D4540"/>
    <w:rsid w:val="008D4E33"/>
    <w:rsid w:val="008E03AA"/>
    <w:rsid w:val="008E0719"/>
    <w:rsid w:val="008E103C"/>
    <w:rsid w:val="008E146E"/>
    <w:rsid w:val="008E183F"/>
    <w:rsid w:val="008E3CDC"/>
    <w:rsid w:val="008E3EF3"/>
    <w:rsid w:val="008E5342"/>
    <w:rsid w:val="008E57B6"/>
    <w:rsid w:val="008E5B61"/>
    <w:rsid w:val="008E6C48"/>
    <w:rsid w:val="008E7E4A"/>
    <w:rsid w:val="008F0A15"/>
    <w:rsid w:val="008F0B1E"/>
    <w:rsid w:val="008F1A28"/>
    <w:rsid w:val="008F46D0"/>
    <w:rsid w:val="008F5180"/>
    <w:rsid w:val="008F5F2F"/>
    <w:rsid w:val="008F707F"/>
    <w:rsid w:val="008F70DC"/>
    <w:rsid w:val="008F7ECC"/>
    <w:rsid w:val="0090120B"/>
    <w:rsid w:val="009052AC"/>
    <w:rsid w:val="009056BF"/>
    <w:rsid w:val="009059E2"/>
    <w:rsid w:val="00905AED"/>
    <w:rsid w:val="00905F69"/>
    <w:rsid w:val="0090638C"/>
    <w:rsid w:val="00906920"/>
    <w:rsid w:val="00906F16"/>
    <w:rsid w:val="00907487"/>
    <w:rsid w:val="00907AC8"/>
    <w:rsid w:val="009106DB"/>
    <w:rsid w:val="009127A4"/>
    <w:rsid w:val="00912B0C"/>
    <w:rsid w:val="0091383A"/>
    <w:rsid w:val="0091479F"/>
    <w:rsid w:val="0091489A"/>
    <w:rsid w:val="00915885"/>
    <w:rsid w:val="009162E4"/>
    <w:rsid w:val="00921025"/>
    <w:rsid w:val="00923FDB"/>
    <w:rsid w:val="00924D75"/>
    <w:rsid w:val="0092629F"/>
    <w:rsid w:val="00926436"/>
    <w:rsid w:val="009265DB"/>
    <w:rsid w:val="009274FE"/>
    <w:rsid w:val="00927B0F"/>
    <w:rsid w:val="009300F7"/>
    <w:rsid w:val="00930D15"/>
    <w:rsid w:val="00933908"/>
    <w:rsid w:val="00934260"/>
    <w:rsid w:val="0093474C"/>
    <w:rsid w:val="0093486A"/>
    <w:rsid w:val="00934B5C"/>
    <w:rsid w:val="009365C7"/>
    <w:rsid w:val="00936B13"/>
    <w:rsid w:val="00937663"/>
    <w:rsid w:val="00941208"/>
    <w:rsid w:val="009431E3"/>
    <w:rsid w:val="0094340F"/>
    <w:rsid w:val="00943E48"/>
    <w:rsid w:val="009440D4"/>
    <w:rsid w:val="009441C3"/>
    <w:rsid w:val="00944EC5"/>
    <w:rsid w:val="0094574E"/>
    <w:rsid w:val="00945A9C"/>
    <w:rsid w:val="009468D8"/>
    <w:rsid w:val="00947268"/>
    <w:rsid w:val="009472F2"/>
    <w:rsid w:val="00947539"/>
    <w:rsid w:val="00951AC1"/>
    <w:rsid w:val="00952295"/>
    <w:rsid w:val="009522B8"/>
    <w:rsid w:val="00952AC3"/>
    <w:rsid w:val="009531D1"/>
    <w:rsid w:val="00955AE6"/>
    <w:rsid w:val="00955C19"/>
    <w:rsid w:val="00955CDC"/>
    <w:rsid w:val="009573EC"/>
    <w:rsid w:val="009578F4"/>
    <w:rsid w:val="00960589"/>
    <w:rsid w:val="00960E53"/>
    <w:rsid w:val="00961782"/>
    <w:rsid w:val="009633A4"/>
    <w:rsid w:val="00963B21"/>
    <w:rsid w:val="00966535"/>
    <w:rsid w:val="00966934"/>
    <w:rsid w:val="00966A43"/>
    <w:rsid w:val="00967700"/>
    <w:rsid w:val="00967DBB"/>
    <w:rsid w:val="00970C82"/>
    <w:rsid w:val="009725F1"/>
    <w:rsid w:val="00972C82"/>
    <w:rsid w:val="00973214"/>
    <w:rsid w:val="00974790"/>
    <w:rsid w:val="009755F5"/>
    <w:rsid w:val="009768C4"/>
    <w:rsid w:val="0097695C"/>
    <w:rsid w:val="00981CD3"/>
    <w:rsid w:val="00981E6A"/>
    <w:rsid w:val="00982B03"/>
    <w:rsid w:val="00983389"/>
    <w:rsid w:val="00985B4B"/>
    <w:rsid w:val="00986EBD"/>
    <w:rsid w:val="009870E2"/>
    <w:rsid w:val="009878FB"/>
    <w:rsid w:val="009902E2"/>
    <w:rsid w:val="009944AA"/>
    <w:rsid w:val="00994DCC"/>
    <w:rsid w:val="009953EA"/>
    <w:rsid w:val="009958C6"/>
    <w:rsid w:val="00995BA4"/>
    <w:rsid w:val="009960CF"/>
    <w:rsid w:val="0099650A"/>
    <w:rsid w:val="009A0544"/>
    <w:rsid w:val="009A11BB"/>
    <w:rsid w:val="009A14DC"/>
    <w:rsid w:val="009A29F0"/>
    <w:rsid w:val="009A2A9F"/>
    <w:rsid w:val="009A35E5"/>
    <w:rsid w:val="009A3DBF"/>
    <w:rsid w:val="009A6DD0"/>
    <w:rsid w:val="009A7B80"/>
    <w:rsid w:val="009B07C4"/>
    <w:rsid w:val="009B0F6C"/>
    <w:rsid w:val="009B1569"/>
    <w:rsid w:val="009B248E"/>
    <w:rsid w:val="009B2FFA"/>
    <w:rsid w:val="009B3E84"/>
    <w:rsid w:val="009B601A"/>
    <w:rsid w:val="009B6A93"/>
    <w:rsid w:val="009B71B5"/>
    <w:rsid w:val="009B7BBF"/>
    <w:rsid w:val="009C1089"/>
    <w:rsid w:val="009C1BF1"/>
    <w:rsid w:val="009C31A5"/>
    <w:rsid w:val="009C44B7"/>
    <w:rsid w:val="009C4C52"/>
    <w:rsid w:val="009C5CCF"/>
    <w:rsid w:val="009C5D74"/>
    <w:rsid w:val="009C61D6"/>
    <w:rsid w:val="009C6C50"/>
    <w:rsid w:val="009C787A"/>
    <w:rsid w:val="009C7AA5"/>
    <w:rsid w:val="009C7E29"/>
    <w:rsid w:val="009D0E16"/>
    <w:rsid w:val="009D141C"/>
    <w:rsid w:val="009D180C"/>
    <w:rsid w:val="009D4356"/>
    <w:rsid w:val="009D5769"/>
    <w:rsid w:val="009D69ED"/>
    <w:rsid w:val="009D7625"/>
    <w:rsid w:val="009D7797"/>
    <w:rsid w:val="009E053D"/>
    <w:rsid w:val="009E0570"/>
    <w:rsid w:val="009E1194"/>
    <w:rsid w:val="009E1260"/>
    <w:rsid w:val="009E220D"/>
    <w:rsid w:val="009E23F3"/>
    <w:rsid w:val="009E59C5"/>
    <w:rsid w:val="009E5C82"/>
    <w:rsid w:val="009E627B"/>
    <w:rsid w:val="009E62DD"/>
    <w:rsid w:val="009E70B1"/>
    <w:rsid w:val="009E73FD"/>
    <w:rsid w:val="009F0466"/>
    <w:rsid w:val="009F0EA0"/>
    <w:rsid w:val="009F100B"/>
    <w:rsid w:val="009F2933"/>
    <w:rsid w:val="009F39D8"/>
    <w:rsid w:val="009F4CEE"/>
    <w:rsid w:val="009F5621"/>
    <w:rsid w:val="009F649E"/>
    <w:rsid w:val="00A007FA"/>
    <w:rsid w:val="00A02153"/>
    <w:rsid w:val="00A02652"/>
    <w:rsid w:val="00A02AD6"/>
    <w:rsid w:val="00A0358F"/>
    <w:rsid w:val="00A038BA"/>
    <w:rsid w:val="00A042EC"/>
    <w:rsid w:val="00A0458F"/>
    <w:rsid w:val="00A054F2"/>
    <w:rsid w:val="00A05901"/>
    <w:rsid w:val="00A06398"/>
    <w:rsid w:val="00A069C3"/>
    <w:rsid w:val="00A06B3D"/>
    <w:rsid w:val="00A07C65"/>
    <w:rsid w:val="00A1427A"/>
    <w:rsid w:val="00A1493C"/>
    <w:rsid w:val="00A16A08"/>
    <w:rsid w:val="00A177DA"/>
    <w:rsid w:val="00A2047C"/>
    <w:rsid w:val="00A2106F"/>
    <w:rsid w:val="00A22D2C"/>
    <w:rsid w:val="00A24628"/>
    <w:rsid w:val="00A24891"/>
    <w:rsid w:val="00A25BCC"/>
    <w:rsid w:val="00A31BBD"/>
    <w:rsid w:val="00A32636"/>
    <w:rsid w:val="00A3273D"/>
    <w:rsid w:val="00A331AC"/>
    <w:rsid w:val="00A334E0"/>
    <w:rsid w:val="00A33A43"/>
    <w:rsid w:val="00A33B5C"/>
    <w:rsid w:val="00A340A0"/>
    <w:rsid w:val="00A35F13"/>
    <w:rsid w:val="00A43888"/>
    <w:rsid w:val="00A44180"/>
    <w:rsid w:val="00A4603F"/>
    <w:rsid w:val="00A46FA5"/>
    <w:rsid w:val="00A53007"/>
    <w:rsid w:val="00A60957"/>
    <w:rsid w:val="00A6152B"/>
    <w:rsid w:val="00A61A22"/>
    <w:rsid w:val="00A62023"/>
    <w:rsid w:val="00A62C20"/>
    <w:rsid w:val="00A63BEE"/>
    <w:rsid w:val="00A63C4C"/>
    <w:rsid w:val="00A64D90"/>
    <w:rsid w:val="00A653B6"/>
    <w:rsid w:val="00A66F2D"/>
    <w:rsid w:val="00A67AD5"/>
    <w:rsid w:val="00A737E9"/>
    <w:rsid w:val="00A73F94"/>
    <w:rsid w:val="00A74075"/>
    <w:rsid w:val="00A75B67"/>
    <w:rsid w:val="00A81721"/>
    <w:rsid w:val="00A82A46"/>
    <w:rsid w:val="00A84546"/>
    <w:rsid w:val="00A84A72"/>
    <w:rsid w:val="00A84C64"/>
    <w:rsid w:val="00A87084"/>
    <w:rsid w:val="00A91F6F"/>
    <w:rsid w:val="00AA0120"/>
    <w:rsid w:val="00AA14F3"/>
    <w:rsid w:val="00AA1811"/>
    <w:rsid w:val="00AA233B"/>
    <w:rsid w:val="00AA285C"/>
    <w:rsid w:val="00AA480C"/>
    <w:rsid w:val="00AA597F"/>
    <w:rsid w:val="00AB0C8B"/>
    <w:rsid w:val="00AB0E82"/>
    <w:rsid w:val="00AB2E80"/>
    <w:rsid w:val="00AB2EAF"/>
    <w:rsid w:val="00AB3A61"/>
    <w:rsid w:val="00AB4774"/>
    <w:rsid w:val="00AB52DB"/>
    <w:rsid w:val="00AB54CB"/>
    <w:rsid w:val="00AB5E30"/>
    <w:rsid w:val="00AB7EF2"/>
    <w:rsid w:val="00AC0AE1"/>
    <w:rsid w:val="00AC10BB"/>
    <w:rsid w:val="00AC3BD7"/>
    <w:rsid w:val="00AC40E1"/>
    <w:rsid w:val="00AC50E3"/>
    <w:rsid w:val="00AC61EB"/>
    <w:rsid w:val="00AC68EE"/>
    <w:rsid w:val="00AC7395"/>
    <w:rsid w:val="00AC7DF6"/>
    <w:rsid w:val="00AD1141"/>
    <w:rsid w:val="00AD36A4"/>
    <w:rsid w:val="00AD3F9F"/>
    <w:rsid w:val="00AD4168"/>
    <w:rsid w:val="00AD4F9D"/>
    <w:rsid w:val="00AD56AA"/>
    <w:rsid w:val="00AD6E58"/>
    <w:rsid w:val="00AD74EB"/>
    <w:rsid w:val="00AE4318"/>
    <w:rsid w:val="00AE61EA"/>
    <w:rsid w:val="00AE634C"/>
    <w:rsid w:val="00AE763D"/>
    <w:rsid w:val="00AF10F6"/>
    <w:rsid w:val="00AF16F5"/>
    <w:rsid w:val="00AF3233"/>
    <w:rsid w:val="00AF3540"/>
    <w:rsid w:val="00AF4F53"/>
    <w:rsid w:val="00AF51A1"/>
    <w:rsid w:val="00AF5504"/>
    <w:rsid w:val="00B0075F"/>
    <w:rsid w:val="00B02643"/>
    <w:rsid w:val="00B0345A"/>
    <w:rsid w:val="00B05188"/>
    <w:rsid w:val="00B07044"/>
    <w:rsid w:val="00B1059E"/>
    <w:rsid w:val="00B11049"/>
    <w:rsid w:val="00B1486E"/>
    <w:rsid w:val="00B16EB3"/>
    <w:rsid w:val="00B17603"/>
    <w:rsid w:val="00B21F54"/>
    <w:rsid w:val="00B23F0C"/>
    <w:rsid w:val="00B241D6"/>
    <w:rsid w:val="00B262DA"/>
    <w:rsid w:val="00B30BC6"/>
    <w:rsid w:val="00B30DFF"/>
    <w:rsid w:val="00B31F73"/>
    <w:rsid w:val="00B32B1A"/>
    <w:rsid w:val="00B34881"/>
    <w:rsid w:val="00B3508F"/>
    <w:rsid w:val="00B354B5"/>
    <w:rsid w:val="00B36056"/>
    <w:rsid w:val="00B3744C"/>
    <w:rsid w:val="00B37579"/>
    <w:rsid w:val="00B3780F"/>
    <w:rsid w:val="00B40CDB"/>
    <w:rsid w:val="00B40E9C"/>
    <w:rsid w:val="00B40F3F"/>
    <w:rsid w:val="00B40F52"/>
    <w:rsid w:val="00B4181E"/>
    <w:rsid w:val="00B44130"/>
    <w:rsid w:val="00B44C76"/>
    <w:rsid w:val="00B44DFF"/>
    <w:rsid w:val="00B451F4"/>
    <w:rsid w:val="00B45CA0"/>
    <w:rsid w:val="00B471EF"/>
    <w:rsid w:val="00B47309"/>
    <w:rsid w:val="00B50253"/>
    <w:rsid w:val="00B50447"/>
    <w:rsid w:val="00B50C41"/>
    <w:rsid w:val="00B548B4"/>
    <w:rsid w:val="00B553C3"/>
    <w:rsid w:val="00B56AAF"/>
    <w:rsid w:val="00B571B7"/>
    <w:rsid w:val="00B60DEF"/>
    <w:rsid w:val="00B628FA"/>
    <w:rsid w:val="00B62B83"/>
    <w:rsid w:val="00B62F51"/>
    <w:rsid w:val="00B63AF1"/>
    <w:rsid w:val="00B65151"/>
    <w:rsid w:val="00B65844"/>
    <w:rsid w:val="00B66E12"/>
    <w:rsid w:val="00B67BDD"/>
    <w:rsid w:val="00B71B86"/>
    <w:rsid w:val="00B72B3F"/>
    <w:rsid w:val="00B738C2"/>
    <w:rsid w:val="00B74501"/>
    <w:rsid w:val="00B74ADC"/>
    <w:rsid w:val="00B822E2"/>
    <w:rsid w:val="00B82B14"/>
    <w:rsid w:val="00B82CA9"/>
    <w:rsid w:val="00B82E59"/>
    <w:rsid w:val="00B83035"/>
    <w:rsid w:val="00B84A2C"/>
    <w:rsid w:val="00B85472"/>
    <w:rsid w:val="00B85C9D"/>
    <w:rsid w:val="00B903FD"/>
    <w:rsid w:val="00B937F5"/>
    <w:rsid w:val="00B93E50"/>
    <w:rsid w:val="00B93E58"/>
    <w:rsid w:val="00B9477B"/>
    <w:rsid w:val="00B94AD4"/>
    <w:rsid w:val="00B95EA5"/>
    <w:rsid w:val="00B9668E"/>
    <w:rsid w:val="00B97569"/>
    <w:rsid w:val="00B97769"/>
    <w:rsid w:val="00BA21DC"/>
    <w:rsid w:val="00BA25E6"/>
    <w:rsid w:val="00BA29A3"/>
    <w:rsid w:val="00BA2EA3"/>
    <w:rsid w:val="00BA35D9"/>
    <w:rsid w:val="00BA418C"/>
    <w:rsid w:val="00BA5EFC"/>
    <w:rsid w:val="00BA5FBA"/>
    <w:rsid w:val="00BB22FF"/>
    <w:rsid w:val="00BB314C"/>
    <w:rsid w:val="00BB3BD8"/>
    <w:rsid w:val="00BC02A6"/>
    <w:rsid w:val="00BC1278"/>
    <w:rsid w:val="00BC149E"/>
    <w:rsid w:val="00BC19D2"/>
    <w:rsid w:val="00BC4941"/>
    <w:rsid w:val="00BC72D4"/>
    <w:rsid w:val="00BD2067"/>
    <w:rsid w:val="00BD2CA4"/>
    <w:rsid w:val="00BD3765"/>
    <w:rsid w:val="00BD45AF"/>
    <w:rsid w:val="00BD50DE"/>
    <w:rsid w:val="00BD5734"/>
    <w:rsid w:val="00BD6214"/>
    <w:rsid w:val="00BD64A7"/>
    <w:rsid w:val="00BD71D0"/>
    <w:rsid w:val="00BE1121"/>
    <w:rsid w:val="00BE1B5C"/>
    <w:rsid w:val="00BE35D6"/>
    <w:rsid w:val="00BE6714"/>
    <w:rsid w:val="00BE6EEA"/>
    <w:rsid w:val="00BE774A"/>
    <w:rsid w:val="00BE78BB"/>
    <w:rsid w:val="00BE7EC2"/>
    <w:rsid w:val="00BF0915"/>
    <w:rsid w:val="00BF2ECD"/>
    <w:rsid w:val="00BF2F89"/>
    <w:rsid w:val="00BF3497"/>
    <w:rsid w:val="00BF501B"/>
    <w:rsid w:val="00BF67FA"/>
    <w:rsid w:val="00BF6F60"/>
    <w:rsid w:val="00BF7731"/>
    <w:rsid w:val="00BF7E8B"/>
    <w:rsid w:val="00C00817"/>
    <w:rsid w:val="00C020E6"/>
    <w:rsid w:val="00C03803"/>
    <w:rsid w:val="00C05A0D"/>
    <w:rsid w:val="00C066BD"/>
    <w:rsid w:val="00C067D5"/>
    <w:rsid w:val="00C06ACE"/>
    <w:rsid w:val="00C07221"/>
    <w:rsid w:val="00C07702"/>
    <w:rsid w:val="00C1251D"/>
    <w:rsid w:val="00C130C6"/>
    <w:rsid w:val="00C132B1"/>
    <w:rsid w:val="00C14970"/>
    <w:rsid w:val="00C17127"/>
    <w:rsid w:val="00C21F68"/>
    <w:rsid w:val="00C2263D"/>
    <w:rsid w:val="00C236C6"/>
    <w:rsid w:val="00C2383A"/>
    <w:rsid w:val="00C23969"/>
    <w:rsid w:val="00C26B3C"/>
    <w:rsid w:val="00C30C34"/>
    <w:rsid w:val="00C32344"/>
    <w:rsid w:val="00C33D51"/>
    <w:rsid w:val="00C34A14"/>
    <w:rsid w:val="00C3554D"/>
    <w:rsid w:val="00C41BE7"/>
    <w:rsid w:val="00C41D1B"/>
    <w:rsid w:val="00C42D2E"/>
    <w:rsid w:val="00C43034"/>
    <w:rsid w:val="00C449E0"/>
    <w:rsid w:val="00C45929"/>
    <w:rsid w:val="00C47841"/>
    <w:rsid w:val="00C47B15"/>
    <w:rsid w:val="00C47D1E"/>
    <w:rsid w:val="00C50AD1"/>
    <w:rsid w:val="00C54787"/>
    <w:rsid w:val="00C54D32"/>
    <w:rsid w:val="00C55BC6"/>
    <w:rsid w:val="00C55E79"/>
    <w:rsid w:val="00C57084"/>
    <w:rsid w:val="00C6057A"/>
    <w:rsid w:val="00C61468"/>
    <w:rsid w:val="00C61784"/>
    <w:rsid w:val="00C625B3"/>
    <w:rsid w:val="00C646A6"/>
    <w:rsid w:val="00C660F6"/>
    <w:rsid w:val="00C66E4F"/>
    <w:rsid w:val="00C70813"/>
    <w:rsid w:val="00C71B2C"/>
    <w:rsid w:val="00C72FB9"/>
    <w:rsid w:val="00C7437D"/>
    <w:rsid w:val="00C74CA6"/>
    <w:rsid w:val="00C760CA"/>
    <w:rsid w:val="00C76BAE"/>
    <w:rsid w:val="00C7704A"/>
    <w:rsid w:val="00C806E9"/>
    <w:rsid w:val="00C810CD"/>
    <w:rsid w:val="00C83162"/>
    <w:rsid w:val="00C870F1"/>
    <w:rsid w:val="00C93C3F"/>
    <w:rsid w:val="00C9478B"/>
    <w:rsid w:val="00CA2FEE"/>
    <w:rsid w:val="00CA3874"/>
    <w:rsid w:val="00CA3C98"/>
    <w:rsid w:val="00CA3CF6"/>
    <w:rsid w:val="00CA4A13"/>
    <w:rsid w:val="00CA711D"/>
    <w:rsid w:val="00CB043C"/>
    <w:rsid w:val="00CB1860"/>
    <w:rsid w:val="00CB2DCE"/>
    <w:rsid w:val="00CB50E8"/>
    <w:rsid w:val="00CB79D3"/>
    <w:rsid w:val="00CB7AE9"/>
    <w:rsid w:val="00CB7B60"/>
    <w:rsid w:val="00CB7BD6"/>
    <w:rsid w:val="00CC418C"/>
    <w:rsid w:val="00CC4482"/>
    <w:rsid w:val="00CC4FAE"/>
    <w:rsid w:val="00CC7445"/>
    <w:rsid w:val="00CC7E9C"/>
    <w:rsid w:val="00CC7F54"/>
    <w:rsid w:val="00CD1760"/>
    <w:rsid w:val="00CD19A3"/>
    <w:rsid w:val="00CD3D0D"/>
    <w:rsid w:val="00CD6996"/>
    <w:rsid w:val="00CD6A31"/>
    <w:rsid w:val="00CD71B0"/>
    <w:rsid w:val="00CE085A"/>
    <w:rsid w:val="00CE0FC8"/>
    <w:rsid w:val="00CE117A"/>
    <w:rsid w:val="00CE16BC"/>
    <w:rsid w:val="00CE2281"/>
    <w:rsid w:val="00CE2BC2"/>
    <w:rsid w:val="00CE5072"/>
    <w:rsid w:val="00CE5DDD"/>
    <w:rsid w:val="00CF0AB3"/>
    <w:rsid w:val="00CF1253"/>
    <w:rsid w:val="00CF15E0"/>
    <w:rsid w:val="00CF29DB"/>
    <w:rsid w:val="00CF2F56"/>
    <w:rsid w:val="00CF43DA"/>
    <w:rsid w:val="00CF7127"/>
    <w:rsid w:val="00CF73A2"/>
    <w:rsid w:val="00D00660"/>
    <w:rsid w:val="00D00821"/>
    <w:rsid w:val="00D024A4"/>
    <w:rsid w:val="00D027C2"/>
    <w:rsid w:val="00D040F8"/>
    <w:rsid w:val="00D0473D"/>
    <w:rsid w:val="00D049D4"/>
    <w:rsid w:val="00D05AC3"/>
    <w:rsid w:val="00D06559"/>
    <w:rsid w:val="00D06A53"/>
    <w:rsid w:val="00D07F45"/>
    <w:rsid w:val="00D10D06"/>
    <w:rsid w:val="00D12878"/>
    <w:rsid w:val="00D12C78"/>
    <w:rsid w:val="00D1550D"/>
    <w:rsid w:val="00D20C71"/>
    <w:rsid w:val="00D22D24"/>
    <w:rsid w:val="00D2396E"/>
    <w:rsid w:val="00D25097"/>
    <w:rsid w:val="00D257F8"/>
    <w:rsid w:val="00D25C89"/>
    <w:rsid w:val="00D26ACF"/>
    <w:rsid w:val="00D27F0C"/>
    <w:rsid w:val="00D33541"/>
    <w:rsid w:val="00D340A3"/>
    <w:rsid w:val="00D340C1"/>
    <w:rsid w:val="00D35C30"/>
    <w:rsid w:val="00D36693"/>
    <w:rsid w:val="00D36A12"/>
    <w:rsid w:val="00D409D3"/>
    <w:rsid w:val="00D4157E"/>
    <w:rsid w:val="00D41C4A"/>
    <w:rsid w:val="00D471C0"/>
    <w:rsid w:val="00D4781D"/>
    <w:rsid w:val="00D47AA3"/>
    <w:rsid w:val="00D5026F"/>
    <w:rsid w:val="00D5028A"/>
    <w:rsid w:val="00D51AC3"/>
    <w:rsid w:val="00D526C2"/>
    <w:rsid w:val="00D5367D"/>
    <w:rsid w:val="00D5380A"/>
    <w:rsid w:val="00D54B18"/>
    <w:rsid w:val="00D5628E"/>
    <w:rsid w:val="00D57F1C"/>
    <w:rsid w:val="00D634CC"/>
    <w:rsid w:val="00D63990"/>
    <w:rsid w:val="00D65B3F"/>
    <w:rsid w:val="00D66E69"/>
    <w:rsid w:val="00D70A0E"/>
    <w:rsid w:val="00D71E61"/>
    <w:rsid w:val="00D721DD"/>
    <w:rsid w:val="00D72235"/>
    <w:rsid w:val="00D7277E"/>
    <w:rsid w:val="00D72991"/>
    <w:rsid w:val="00D74F5B"/>
    <w:rsid w:val="00D768F2"/>
    <w:rsid w:val="00D77B5A"/>
    <w:rsid w:val="00D80A85"/>
    <w:rsid w:val="00D83097"/>
    <w:rsid w:val="00D83D31"/>
    <w:rsid w:val="00D85517"/>
    <w:rsid w:val="00D90469"/>
    <w:rsid w:val="00D905E0"/>
    <w:rsid w:val="00D912EC"/>
    <w:rsid w:val="00D92D36"/>
    <w:rsid w:val="00D9395E"/>
    <w:rsid w:val="00D95538"/>
    <w:rsid w:val="00D95EA7"/>
    <w:rsid w:val="00D9778F"/>
    <w:rsid w:val="00DA029C"/>
    <w:rsid w:val="00DA2048"/>
    <w:rsid w:val="00DA3159"/>
    <w:rsid w:val="00DA5F07"/>
    <w:rsid w:val="00DA716E"/>
    <w:rsid w:val="00DB05B9"/>
    <w:rsid w:val="00DB0705"/>
    <w:rsid w:val="00DB344F"/>
    <w:rsid w:val="00DB361B"/>
    <w:rsid w:val="00DB4701"/>
    <w:rsid w:val="00DB4C7D"/>
    <w:rsid w:val="00DB6DBC"/>
    <w:rsid w:val="00DB7703"/>
    <w:rsid w:val="00DC0C41"/>
    <w:rsid w:val="00DC3D7F"/>
    <w:rsid w:val="00DC46D0"/>
    <w:rsid w:val="00DC6B81"/>
    <w:rsid w:val="00DC6FBD"/>
    <w:rsid w:val="00DC7272"/>
    <w:rsid w:val="00DD1F00"/>
    <w:rsid w:val="00DD41E8"/>
    <w:rsid w:val="00DD5605"/>
    <w:rsid w:val="00DD5A86"/>
    <w:rsid w:val="00DD63C8"/>
    <w:rsid w:val="00DD63F6"/>
    <w:rsid w:val="00DD6A0E"/>
    <w:rsid w:val="00DD7D4C"/>
    <w:rsid w:val="00DE155C"/>
    <w:rsid w:val="00DE1689"/>
    <w:rsid w:val="00DE1E27"/>
    <w:rsid w:val="00DE1E53"/>
    <w:rsid w:val="00DE2511"/>
    <w:rsid w:val="00DE324D"/>
    <w:rsid w:val="00DE428C"/>
    <w:rsid w:val="00DE51E2"/>
    <w:rsid w:val="00DE5BE6"/>
    <w:rsid w:val="00DE6021"/>
    <w:rsid w:val="00DE6911"/>
    <w:rsid w:val="00DE7CBB"/>
    <w:rsid w:val="00DF0D15"/>
    <w:rsid w:val="00DF0FC9"/>
    <w:rsid w:val="00DF2ADE"/>
    <w:rsid w:val="00DF32AF"/>
    <w:rsid w:val="00DF3613"/>
    <w:rsid w:val="00DF36B5"/>
    <w:rsid w:val="00DF5345"/>
    <w:rsid w:val="00DF5D38"/>
    <w:rsid w:val="00DF6B69"/>
    <w:rsid w:val="00DF70CC"/>
    <w:rsid w:val="00DF7245"/>
    <w:rsid w:val="00DF7B29"/>
    <w:rsid w:val="00DF7E5E"/>
    <w:rsid w:val="00E00633"/>
    <w:rsid w:val="00E009CE"/>
    <w:rsid w:val="00E0281E"/>
    <w:rsid w:val="00E03765"/>
    <w:rsid w:val="00E040BF"/>
    <w:rsid w:val="00E06F66"/>
    <w:rsid w:val="00E11A06"/>
    <w:rsid w:val="00E11D4A"/>
    <w:rsid w:val="00E150B0"/>
    <w:rsid w:val="00E22A4A"/>
    <w:rsid w:val="00E248A9"/>
    <w:rsid w:val="00E24D17"/>
    <w:rsid w:val="00E2587E"/>
    <w:rsid w:val="00E25A48"/>
    <w:rsid w:val="00E25ADE"/>
    <w:rsid w:val="00E26D8E"/>
    <w:rsid w:val="00E31560"/>
    <w:rsid w:val="00E323BB"/>
    <w:rsid w:val="00E371EB"/>
    <w:rsid w:val="00E3750E"/>
    <w:rsid w:val="00E408FD"/>
    <w:rsid w:val="00E417C5"/>
    <w:rsid w:val="00E41EF6"/>
    <w:rsid w:val="00E426CF"/>
    <w:rsid w:val="00E4358F"/>
    <w:rsid w:val="00E43E98"/>
    <w:rsid w:val="00E44F1F"/>
    <w:rsid w:val="00E47194"/>
    <w:rsid w:val="00E47E11"/>
    <w:rsid w:val="00E50EAE"/>
    <w:rsid w:val="00E50EC6"/>
    <w:rsid w:val="00E5216C"/>
    <w:rsid w:val="00E5326C"/>
    <w:rsid w:val="00E578EA"/>
    <w:rsid w:val="00E57D40"/>
    <w:rsid w:val="00E57DC9"/>
    <w:rsid w:val="00E612D3"/>
    <w:rsid w:val="00E616FF"/>
    <w:rsid w:val="00E63A70"/>
    <w:rsid w:val="00E64ECF"/>
    <w:rsid w:val="00E650CC"/>
    <w:rsid w:val="00E659C7"/>
    <w:rsid w:val="00E65BFD"/>
    <w:rsid w:val="00E66938"/>
    <w:rsid w:val="00E673A3"/>
    <w:rsid w:val="00E74414"/>
    <w:rsid w:val="00E74E5D"/>
    <w:rsid w:val="00E75EA1"/>
    <w:rsid w:val="00E7791C"/>
    <w:rsid w:val="00E77A13"/>
    <w:rsid w:val="00E80522"/>
    <w:rsid w:val="00E80C1E"/>
    <w:rsid w:val="00E81D33"/>
    <w:rsid w:val="00E825B5"/>
    <w:rsid w:val="00E837A0"/>
    <w:rsid w:val="00E83D5F"/>
    <w:rsid w:val="00E864A4"/>
    <w:rsid w:val="00E86CF7"/>
    <w:rsid w:val="00E87F40"/>
    <w:rsid w:val="00E915E7"/>
    <w:rsid w:val="00E91C03"/>
    <w:rsid w:val="00E93B56"/>
    <w:rsid w:val="00E9425A"/>
    <w:rsid w:val="00E942F2"/>
    <w:rsid w:val="00E95E9C"/>
    <w:rsid w:val="00E96F11"/>
    <w:rsid w:val="00E97121"/>
    <w:rsid w:val="00E97C5F"/>
    <w:rsid w:val="00EA0043"/>
    <w:rsid w:val="00EA1D2D"/>
    <w:rsid w:val="00EA2AE4"/>
    <w:rsid w:val="00EA3A4F"/>
    <w:rsid w:val="00EA3DE0"/>
    <w:rsid w:val="00EA44C1"/>
    <w:rsid w:val="00EA454F"/>
    <w:rsid w:val="00EA4B8F"/>
    <w:rsid w:val="00EA4FFC"/>
    <w:rsid w:val="00EA5297"/>
    <w:rsid w:val="00EA5B1A"/>
    <w:rsid w:val="00EA707F"/>
    <w:rsid w:val="00EB06C4"/>
    <w:rsid w:val="00EB098B"/>
    <w:rsid w:val="00EB2000"/>
    <w:rsid w:val="00EB3821"/>
    <w:rsid w:val="00EB45EE"/>
    <w:rsid w:val="00EB7FC3"/>
    <w:rsid w:val="00EC2959"/>
    <w:rsid w:val="00EC2CAF"/>
    <w:rsid w:val="00EC308E"/>
    <w:rsid w:val="00EC3BDA"/>
    <w:rsid w:val="00EC4B34"/>
    <w:rsid w:val="00EC6F54"/>
    <w:rsid w:val="00EC73AE"/>
    <w:rsid w:val="00ED0893"/>
    <w:rsid w:val="00ED1A05"/>
    <w:rsid w:val="00ED25DA"/>
    <w:rsid w:val="00ED296F"/>
    <w:rsid w:val="00ED3AB0"/>
    <w:rsid w:val="00ED51B9"/>
    <w:rsid w:val="00ED6F62"/>
    <w:rsid w:val="00ED7DFD"/>
    <w:rsid w:val="00EE097E"/>
    <w:rsid w:val="00EE09E0"/>
    <w:rsid w:val="00EE1F06"/>
    <w:rsid w:val="00EE2947"/>
    <w:rsid w:val="00EE3ABE"/>
    <w:rsid w:val="00EE407A"/>
    <w:rsid w:val="00EE4BD8"/>
    <w:rsid w:val="00EE51FA"/>
    <w:rsid w:val="00EE7702"/>
    <w:rsid w:val="00EF03E9"/>
    <w:rsid w:val="00EF1488"/>
    <w:rsid w:val="00EF1631"/>
    <w:rsid w:val="00EF2C51"/>
    <w:rsid w:val="00EF4637"/>
    <w:rsid w:val="00EF4E6C"/>
    <w:rsid w:val="00EF7684"/>
    <w:rsid w:val="00F00BAD"/>
    <w:rsid w:val="00F017B7"/>
    <w:rsid w:val="00F020D1"/>
    <w:rsid w:val="00F02313"/>
    <w:rsid w:val="00F02BF8"/>
    <w:rsid w:val="00F02DAE"/>
    <w:rsid w:val="00F02F4E"/>
    <w:rsid w:val="00F034FC"/>
    <w:rsid w:val="00F0463B"/>
    <w:rsid w:val="00F1659A"/>
    <w:rsid w:val="00F167F1"/>
    <w:rsid w:val="00F1725D"/>
    <w:rsid w:val="00F20CB2"/>
    <w:rsid w:val="00F214C2"/>
    <w:rsid w:val="00F21600"/>
    <w:rsid w:val="00F2163E"/>
    <w:rsid w:val="00F218FB"/>
    <w:rsid w:val="00F2222D"/>
    <w:rsid w:val="00F22815"/>
    <w:rsid w:val="00F231C5"/>
    <w:rsid w:val="00F24B9B"/>
    <w:rsid w:val="00F27E67"/>
    <w:rsid w:val="00F30523"/>
    <w:rsid w:val="00F33422"/>
    <w:rsid w:val="00F3380E"/>
    <w:rsid w:val="00F346B1"/>
    <w:rsid w:val="00F37471"/>
    <w:rsid w:val="00F4189E"/>
    <w:rsid w:val="00F418EC"/>
    <w:rsid w:val="00F42C5F"/>
    <w:rsid w:val="00F43B48"/>
    <w:rsid w:val="00F445BC"/>
    <w:rsid w:val="00F452BE"/>
    <w:rsid w:val="00F5127A"/>
    <w:rsid w:val="00F51E20"/>
    <w:rsid w:val="00F53B5B"/>
    <w:rsid w:val="00F62D82"/>
    <w:rsid w:val="00F63D1D"/>
    <w:rsid w:val="00F63FB0"/>
    <w:rsid w:val="00F64417"/>
    <w:rsid w:val="00F64A59"/>
    <w:rsid w:val="00F656C4"/>
    <w:rsid w:val="00F65DC1"/>
    <w:rsid w:val="00F66161"/>
    <w:rsid w:val="00F66988"/>
    <w:rsid w:val="00F66CBF"/>
    <w:rsid w:val="00F7062C"/>
    <w:rsid w:val="00F744F6"/>
    <w:rsid w:val="00F750DF"/>
    <w:rsid w:val="00F75CCD"/>
    <w:rsid w:val="00F75EBD"/>
    <w:rsid w:val="00F77889"/>
    <w:rsid w:val="00F80CD4"/>
    <w:rsid w:val="00F82A3A"/>
    <w:rsid w:val="00F83376"/>
    <w:rsid w:val="00F8363B"/>
    <w:rsid w:val="00F836EC"/>
    <w:rsid w:val="00F84ED6"/>
    <w:rsid w:val="00F86778"/>
    <w:rsid w:val="00F879B6"/>
    <w:rsid w:val="00F87B20"/>
    <w:rsid w:val="00F911AA"/>
    <w:rsid w:val="00F92B63"/>
    <w:rsid w:val="00F93E74"/>
    <w:rsid w:val="00F93ED6"/>
    <w:rsid w:val="00F94368"/>
    <w:rsid w:val="00F946A9"/>
    <w:rsid w:val="00F95D34"/>
    <w:rsid w:val="00F96CED"/>
    <w:rsid w:val="00F96EBD"/>
    <w:rsid w:val="00FA14BD"/>
    <w:rsid w:val="00FA2B45"/>
    <w:rsid w:val="00FA32C6"/>
    <w:rsid w:val="00FA335E"/>
    <w:rsid w:val="00FA37E5"/>
    <w:rsid w:val="00FA3E50"/>
    <w:rsid w:val="00FA7A74"/>
    <w:rsid w:val="00FB0122"/>
    <w:rsid w:val="00FB3749"/>
    <w:rsid w:val="00FB37D9"/>
    <w:rsid w:val="00FB3D7D"/>
    <w:rsid w:val="00FB4AB5"/>
    <w:rsid w:val="00FB6D5F"/>
    <w:rsid w:val="00FB6E02"/>
    <w:rsid w:val="00FB7E4D"/>
    <w:rsid w:val="00FC0399"/>
    <w:rsid w:val="00FC185A"/>
    <w:rsid w:val="00FC2694"/>
    <w:rsid w:val="00FC37BF"/>
    <w:rsid w:val="00FC3A1F"/>
    <w:rsid w:val="00FC486C"/>
    <w:rsid w:val="00FC51D9"/>
    <w:rsid w:val="00FD06DA"/>
    <w:rsid w:val="00FD16B3"/>
    <w:rsid w:val="00FD1759"/>
    <w:rsid w:val="00FD19D4"/>
    <w:rsid w:val="00FD1CF8"/>
    <w:rsid w:val="00FD635D"/>
    <w:rsid w:val="00FD6BE8"/>
    <w:rsid w:val="00FE1197"/>
    <w:rsid w:val="00FE1276"/>
    <w:rsid w:val="00FE17A3"/>
    <w:rsid w:val="00FE1912"/>
    <w:rsid w:val="00FE1AED"/>
    <w:rsid w:val="00FE3134"/>
    <w:rsid w:val="00FE348B"/>
    <w:rsid w:val="00FE3AD8"/>
    <w:rsid w:val="00FE4ADF"/>
    <w:rsid w:val="00FE5EB2"/>
    <w:rsid w:val="00FE6FE2"/>
    <w:rsid w:val="00FE7843"/>
    <w:rsid w:val="00FF0D76"/>
    <w:rsid w:val="00FF0FE8"/>
    <w:rsid w:val="00FF16D9"/>
    <w:rsid w:val="00FF1FCE"/>
    <w:rsid w:val="00FF23D5"/>
    <w:rsid w:val="00FF2BC2"/>
    <w:rsid w:val="00FF30B4"/>
    <w:rsid w:val="00FF467F"/>
    <w:rsid w:val="00FF5516"/>
    <w:rsid w:val="00FF553A"/>
    <w:rsid w:val="00FF5B0C"/>
    <w:rsid w:val="00FF5E35"/>
    <w:rsid w:val="00FF62FB"/>
    <w:rsid w:val="00FF7FCC"/>
    <w:rsid w:val="035937A7"/>
    <w:rsid w:val="04D23811"/>
    <w:rsid w:val="075C3866"/>
    <w:rsid w:val="08000695"/>
    <w:rsid w:val="08AB6853"/>
    <w:rsid w:val="09CB4CD3"/>
    <w:rsid w:val="09FB1114"/>
    <w:rsid w:val="0A8A5906"/>
    <w:rsid w:val="0D2C5A88"/>
    <w:rsid w:val="0EEA5BFB"/>
    <w:rsid w:val="10D821AF"/>
    <w:rsid w:val="11E903EC"/>
    <w:rsid w:val="12B427A8"/>
    <w:rsid w:val="14DE1D5E"/>
    <w:rsid w:val="165A77DB"/>
    <w:rsid w:val="17575DF8"/>
    <w:rsid w:val="188E5849"/>
    <w:rsid w:val="1A8D618B"/>
    <w:rsid w:val="1B5508A0"/>
    <w:rsid w:val="1CE1063D"/>
    <w:rsid w:val="1D8F0099"/>
    <w:rsid w:val="1E4D4DBA"/>
    <w:rsid w:val="1EC83C70"/>
    <w:rsid w:val="1F66307C"/>
    <w:rsid w:val="1FCB7383"/>
    <w:rsid w:val="209854B7"/>
    <w:rsid w:val="221E7C3E"/>
    <w:rsid w:val="224F7DF7"/>
    <w:rsid w:val="23865A9B"/>
    <w:rsid w:val="263C4B36"/>
    <w:rsid w:val="26722306"/>
    <w:rsid w:val="27DB683D"/>
    <w:rsid w:val="28397580"/>
    <w:rsid w:val="285C326E"/>
    <w:rsid w:val="288D78CB"/>
    <w:rsid w:val="29325D7D"/>
    <w:rsid w:val="29C4731D"/>
    <w:rsid w:val="2A7F1496"/>
    <w:rsid w:val="2AA9206F"/>
    <w:rsid w:val="2AB23619"/>
    <w:rsid w:val="2C0B1233"/>
    <w:rsid w:val="2C6721E1"/>
    <w:rsid w:val="2D7223A4"/>
    <w:rsid w:val="2EF44200"/>
    <w:rsid w:val="30136908"/>
    <w:rsid w:val="320A3D3B"/>
    <w:rsid w:val="34F52A80"/>
    <w:rsid w:val="371D62BE"/>
    <w:rsid w:val="380B25BB"/>
    <w:rsid w:val="38A722E3"/>
    <w:rsid w:val="38DD7AB3"/>
    <w:rsid w:val="38E76B84"/>
    <w:rsid w:val="3A1E65D5"/>
    <w:rsid w:val="3A691CF0"/>
    <w:rsid w:val="3A993EAE"/>
    <w:rsid w:val="3E7C1B1C"/>
    <w:rsid w:val="40224945"/>
    <w:rsid w:val="403F1758"/>
    <w:rsid w:val="407F3B46"/>
    <w:rsid w:val="40B3559D"/>
    <w:rsid w:val="40C16825"/>
    <w:rsid w:val="41990C37"/>
    <w:rsid w:val="42276243"/>
    <w:rsid w:val="43CE2E1A"/>
    <w:rsid w:val="47411B55"/>
    <w:rsid w:val="484F02A2"/>
    <w:rsid w:val="487E3CA0"/>
    <w:rsid w:val="49C15EE2"/>
    <w:rsid w:val="49C8030C"/>
    <w:rsid w:val="4A02381D"/>
    <w:rsid w:val="4B8244EA"/>
    <w:rsid w:val="4E3E6DEE"/>
    <w:rsid w:val="4FAD5FDA"/>
    <w:rsid w:val="510C6D30"/>
    <w:rsid w:val="514318D7"/>
    <w:rsid w:val="51B15B29"/>
    <w:rsid w:val="51C21AE4"/>
    <w:rsid w:val="52FA445B"/>
    <w:rsid w:val="53C04396"/>
    <w:rsid w:val="54E51D72"/>
    <w:rsid w:val="55DB13C7"/>
    <w:rsid w:val="56327239"/>
    <w:rsid w:val="563D798B"/>
    <w:rsid w:val="5BC85F49"/>
    <w:rsid w:val="5CC42BB4"/>
    <w:rsid w:val="5D557CB0"/>
    <w:rsid w:val="5D6879E4"/>
    <w:rsid w:val="5F8737FD"/>
    <w:rsid w:val="607D37A6"/>
    <w:rsid w:val="617A1A94"/>
    <w:rsid w:val="65B70105"/>
    <w:rsid w:val="67191D4F"/>
    <w:rsid w:val="67742A45"/>
    <w:rsid w:val="685A261F"/>
    <w:rsid w:val="68790CF7"/>
    <w:rsid w:val="69674FF3"/>
    <w:rsid w:val="6A615EE7"/>
    <w:rsid w:val="6E7A7577"/>
    <w:rsid w:val="6FEE2D2D"/>
    <w:rsid w:val="719C5A56"/>
    <w:rsid w:val="724C122A"/>
    <w:rsid w:val="752244C4"/>
    <w:rsid w:val="759F0683"/>
    <w:rsid w:val="75F419BD"/>
    <w:rsid w:val="764D37C3"/>
    <w:rsid w:val="76A038F3"/>
    <w:rsid w:val="76CA7D6E"/>
    <w:rsid w:val="78393FFF"/>
    <w:rsid w:val="785B21C7"/>
    <w:rsid w:val="7B3F7B7E"/>
    <w:rsid w:val="7BCD518A"/>
    <w:rsid w:val="7C852CA7"/>
    <w:rsid w:val="7DE920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47"/>
    <w:qFormat/>
    <w:uiPriority w:val="9"/>
    <w:pPr>
      <w:keepNext/>
      <w:keepLines/>
      <w:spacing w:before="20" w:after="20" w:line="360" w:lineRule="auto"/>
      <w:jc w:val="center"/>
      <w:outlineLvl w:val="0"/>
    </w:pPr>
    <w:rPr>
      <w:b/>
      <w:bCs/>
      <w:color w:val="000000" w:themeColor="text1"/>
      <w:kern w:val="44"/>
      <w:sz w:val="24"/>
      <w:szCs w:val="44"/>
      <w14:textFill>
        <w14:solidFill>
          <w14:schemeClr w14:val="tx1"/>
        </w14:solidFill>
      </w14:textFill>
    </w:rPr>
  </w:style>
  <w:style w:type="paragraph" w:styleId="5">
    <w:name w:val="heading 2"/>
    <w:basedOn w:val="1"/>
    <w:next w:val="1"/>
    <w:link w:val="257"/>
    <w:autoRedefine/>
    <w:qFormat/>
    <w:uiPriority w:val="9"/>
    <w:pPr>
      <w:keepNext/>
      <w:keepLines/>
      <w:spacing w:before="260" w:after="260" w:line="415" w:lineRule="auto"/>
      <w:outlineLvl w:val="1"/>
    </w:pPr>
    <w:rPr>
      <w:rFonts w:ascii="Arial" w:hAnsi="Arial" w:eastAsia="黑体" w:cstheme="majorBidi"/>
      <w:b/>
      <w:bCs/>
      <w:kern w:val="0"/>
      <w:sz w:val="32"/>
      <w:szCs w:val="32"/>
    </w:rPr>
  </w:style>
  <w:style w:type="paragraph" w:styleId="6">
    <w:name w:val="heading 3"/>
    <w:basedOn w:val="1"/>
    <w:next w:val="1"/>
    <w:link w:val="159"/>
    <w:autoRedefine/>
    <w:qFormat/>
    <w:uiPriority w:val="9"/>
    <w:pPr>
      <w:keepNext/>
      <w:keepLines/>
      <w:tabs>
        <w:tab w:val="left" w:pos="1740"/>
      </w:tabs>
      <w:spacing w:before="260" w:line="413" w:lineRule="auto"/>
      <w:ind w:left="1740"/>
      <w:outlineLvl w:val="2"/>
    </w:pPr>
    <w:rPr>
      <w:b/>
      <w:bCs/>
      <w:kern w:val="0"/>
      <w:sz w:val="32"/>
      <w:szCs w:val="32"/>
    </w:rPr>
  </w:style>
  <w:style w:type="paragraph" w:styleId="7">
    <w:name w:val="heading 4"/>
    <w:basedOn w:val="1"/>
    <w:next w:val="1"/>
    <w:link w:val="227"/>
    <w:autoRedefine/>
    <w:qFormat/>
    <w:uiPriority w:val="0"/>
    <w:pPr>
      <w:keepNext/>
      <w:keepLines/>
      <w:spacing w:before="280" w:after="290" w:line="376" w:lineRule="auto"/>
      <w:outlineLvl w:val="3"/>
    </w:pPr>
    <w:rPr>
      <w:rFonts w:ascii="Cambria" w:hAnsi="Cambria" w:cstheme="majorBidi"/>
      <w:b/>
      <w:bCs/>
      <w:kern w:val="0"/>
      <w:sz w:val="28"/>
      <w:szCs w:val="28"/>
    </w:rPr>
  </w:style>
  <w:style w:type="paragraph" w:styleId="8">
    <w:name w:val="heading 5"/>
    <w:basedOn w:val="1"/>
    <w:next w:val="1"/>
    <w:link w:val="171"/>
    <w:autoRedefine/>
    <w:qFormat/>
    <w:uiPriority w:val="0"/>
    <w:pPr>
      <w:keepNext/>
      <w:keepLines/>
      <w:tabs>
        <w:tab w:val="left" w:pos="2580"/>
      </w:tabs>
      <w:spacing w:before="280" w:line="372" w:lineRule="auto"/>
      <w:outlineLvl w:val="4"/>
    </w:pPr>
    <w:rPr>
      <w:b/>
      <w:bCs/>
      <w:kern w:val="0"/>
      <w:sz w:val="28"/>
      <w:szCs w:val="28"/>
    </w:rPr>
  </w:style>
  <w:style w:type="paragraph" w:styleId="9">
    <w:name w:val="heading 6"/>
    <w:basedOn w:val="1"/>
    <w:next w:val="1"/>
    <w:link w:val="150"/>
    <w:qFormat/>
    <w:uiPriority w:val="0"/>
    <w:pPr>
      <w:keepNext/>
      <w:keepLines/>
      <w:tabs>
        <w:tab w:val="left" w:pos="3000"/>
      </w:tabs>
      <w:spacing w:before="240" w:line="317" w:lineRule="auto"/>
      <w:ind w:left="3000" w:hanging="420" w:firstLineChars="200"/>
      <w:outlineLvl w:val="5"/>
    </w:pPr>
    <w:rPr>
      <w:rFonts w:ascii="Arial" w:hAnsi="Arial" w:eastAsia="黑体" w:cstheme="majorBidi"/>
      <w:b/>
      <w:bCs/>
      <w:kern w:val="0"/>
      <w:sz w:val="24"/>
    </w:rPr>
  </w:style>
  <w:style w:type="paragraph" w:styleId="10">
    <w:name w:val="heading 7"/>
    <w:basedOn w:val="1"/>
    <w:next w:val="11"/>
    <w:link w:val="385"/>
    <w:autoRedefine/>
    <w:qFormat/>
    <w:uiPriority w:val="0"/>
    <w:pPr>
      <w:keepNext/>
      <w:keepLines/>
      <w:tabs>
        <w:tab w:val="left" w:pos="3420"/>
      </w:tabs>
      <w:adjustRightInd w:val="0"/>
      <w:spacing w:before="120" w:line="360" w:lineRule="atLeast"/>
      <w:ind w:left="3420"/>
      <w:textAlignment w:val="baseline"/>
      <w:outlineLvl w:val="6"/>
    </w:pPr>
    <w:rPr>
      <w:b/>
      <w:bCs/>
      <w:kern w:val="0"/>
      <w:sz w:val="24"/>
    </w:rPr>
  </w:style>
  <w:style w:type="paragraph" w:styleId="12">
    <w:name w:val="heading 8"/>
    <w:basedOn w:val="1"/>
    <w:next w:val="1"/>
    <w:link w:val="386"/>
    <w:qFormat/>
    <w:uiPriority w:val="0"/>
    <w:pPr>
      <w:keepNext/>
      <w:keepLines/>
      <w:tabs>
        <w:tab w:val="left" w:pos="3840"/>
      </w:tabs>
      <w:adjustRightInd w:val="0"/>
      <w:spacing w:before="240" w:line="320" w:lineRule="atLeast"/>
      <w:ind w:left="3840"/>
      <w:textAlignment w:val="baseline"/>
      <w:outlineLvl w:val="7"/>
    </w:pPr>
    <w:rPr>
      <w:rFonts w:ascii="Arial" w:hAnsi="Arial" w:eastAsia="黑体"/>
      <w:kern w:val="0"/>
      <w:sz w:val="24"/>
    </w:rPr>
  </w:style>
  <w:style w:type="paragraph" w:styleId="13">
    <w:name w:val="heading 9"/>
    <w:basedOn w:val="1"/>
    <w:next w:val="1"/>
    <w:link w:val="387"/>
    <w:autoRedefine/>
    <w:qFormat/>
    <w:uiPriority w:val="0"/>
    <w:pPr>
      <w:keepNext/>
      <w:keepLines/>
      <w:tabs>
        <w:tab w:val="left" w:pos="4260"/>
      </w:tabs>
      <w:spacing w:before="240" w:line="317" w:lineRule="auto"/>
      <w:ind w:left="4260" w:hanging="420" w:firstLineChars="200"/>
      <w:outlineLvl w:val="8"/>
    </w:pPr>
    <w:rPr>
      <w:rFonts w:ascii="Arial" w:hAnsi="Arial" w:eastAsia="黑体"/>
      <w:kern w:val="0"/>
      <w:sz w:val="20"/>
      <w:szCs w:val="21"/>
    </w:rPr>
  </w:style>
  <w:style w:type="character" w:default="1" w:styleId="46">
    <w:name w:val="Default Paragraph Font"/>
    <w:autoRedefine/>
    <w:semiHidden/>
    <w:unhideWhenUsed/>
    <w:qFormat/>
    <w:uiPriority w:val="1"/>
  </w:style>
  <w:style w:type="table" w:default="1" w:styleId="4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384"/>
    <w:autoRedefine/>
    <w:qFormat/>
    <w:uiPriority w:val="0"/>
    <w:pPr>
      <w:spacing w:after="120"/>
    </w:pPr>
    <w:rPr>
      <w:rFonts w:ascii="Calibri" w:hAnsi="Calibri"/>
      <w:kern w:val="0"/>
      <w:sz w:val="28"/>
    </w:rPr>
  </w:style>
  <w:style w:type="paragraph" w:styleId="3">
    <w:name w:val="Body Text First Indent"/>
    <w:basedOn w:val="2"/>
    <w:next w:val="1"/>
    <w:link w:val="394"/>
    <w:autoRedefine/>
    <w:unhideWhenUsed/>
    <w:qFormat/>
    <w:uiPriority w:val="0"/>
    <w:pPr>
      <w:ind w:firstLine="420" w:firstLineChars="100"/>
    </w:pPr>
  </w:style>
  <w:style w:type="paragraph" w:customStyle="1" w:styleId="11">
    <w:name w:val="文档正文"/>
    <w:basedOn w:val="1"/>
    <w:autoRedefine/>
    <w:qFormat/>
    <w:uiPriority w:val="0"/>
    <w:pPr>
      <w:adjustRightInd w:val="0"/>
      <w:spacing w:before="60" w:line="360" w:lineRule="atLeast"/>
      <w:ind w:firstLine="482"/>
      <w:textAlignment w:val="baseline"/>
    </w:pPr>
    <w:rPr>
      <w:sz w:val="24"/>
    </w:rPr>
  </w:style>
  <w:style w:type="paragraph" w:styleId="14">
    <w:name w:val="List Number"/>
    <w:basedOn w:val="1"/>
    <w:autoRedefine/>
    <w:qFormat/>
    <w:uiPriority w:val="0"/>
    <w:pPr>
      <w:widowControl/>
      <w:numPr>
        <w:ilvl w:val="0"/>
        <w:numId w:val="1"/>
      </w:numPr>
      <w:tabs>
        <w:tab w:val="left" w:pos="454"/>
        <w:tab w:val="left" w:pos="720"/>
      </w:tabs>
      <w:spacing w:afterLines="50"/>
      <w:jc w:val="left"/>
    </w:pPr>
    <w:rPr>
      <w:kern w:val="0"/>
      <w:sz w:val="24"/>
      <w:szCs w:val="20"/>
    </w:rPr>
  </w:style>
  <w:style w:type="paragraph" w:styleId="15">
    <w:name w:val="Normal Indent"/>
    <w:basedOn w:val="1"/>
    <w:link w:val="388"/>
    <w:autoRedefine/>
    <w:qFormat/>
    <w:uiPriority w:val="0"/>
    <w:pPr>
      <w:ind w:firstLine="420"/>
    </w:pPr>
    <w:rPr>
      <w:rFonts w:ascii="Calibri" w:hAnsi="Calibri"/>
      <w:kern w:val="0"/>
      <w:sz w:val="20"/>
      <w:szCs w:val="20"/>
    </w:rPr>
  </w:style>
  <w:style w:type="paragraph" w:styleId="16">
    <w:name w:val="caption"/>
    <w:basedOn w:val="1"/>
    <w:next w:val="1"/>
    <w:link w:val="392"/>
    <w:autoRedefine/>
    <w:qFormat/>
    <w:uiPriority w:val="35"/>
    <w:pPr>
      <w:spacing w:before="152" w:after="160"/>
    </w:pPr>
    <w:rPr>
      <w:rFonts w:ascii="Arial" w:hAnsi="Arial" w:eastAsia="黑体" w:cs="Arial"/>
      <w:sz w:val="20"/>
      <w:szCs w:val="20"/>
    </w:rPr>
  </w:style>
  <w:style w:type="paragraph" w:styleId="17">
    <w:name w:val="Document Map"/>
    <w:basedOn w:val="1"/>
    <w:link w:val="145"/>
    <w:autoRedefine/>
    <w:semiHidden/>
    <w:qFormat/>
    <w:uiPriority w:val="0"/>
    <w:pPr>
      <w:shd w:val="clear" w:color="auto" w:fill="000080"/>
      <w:spacing w:afterLines="100" w:line="360" w:lineRule="auto"/>
      <w:ind w:firstLine="200" w:firstLineChars="200"/>
    </w:pPr>
    <w:rPr>
      <w:rFonts w:ascii="Calibri" w:hAnsi="Calibri"/>
      <w:kern w:val="0"/>
      <w:sz w:val="24"/>
    </w:rPr>
  </w:style>
  <w:style w:type="paragraph" w:styleId="18">
    <w:name w:val="annotation text"/>
    <w:basedOn w:val="1"/>
    <w:link w:val="390"/>
    <w:autoRedefine/>
    <w:qFormat/>
    <w:uiPriority w:val="99"/>
    <w:pPr>
      <w:spacing w:afterLines="100" w:line="360" w:lineRule="auto"/>
      <w:ind w:firstLine="200" w:firstLineChars="200"/>
      <w:jc w:val="left"/>
    </w:pPr>
    <w:rPr>
      <w:rFonts w:ascii="Calibri" w:hAnsi="Calibri"/>
      <w:kern w:val="0"/>
      <w:sz w:val="24"/>
    </w:rPr>
  </w:style>
  <w:style w:type="paragraph" w:styleId="19">
    <w:name w:val="Body Text 3"/>
    <w:basedOn w:val="1"/>
    <w:link w:val="398"/>
    <w:autoRedefine/>
    <w:qFormat/>
    <w:uiPriority w:val="0"/>
    <w:pPr>
      <w:snapToGrid w:val="0"/>
      <w:spacing w:before="50" w:after="50"/>
    </w:pPr>
    <w:rPr>
      <w:rFonts w:ascii="Calibri" w:hAnsi="宋体" w:eastAsia="仿宋_GB2312"/>
      <w:b/>
      <w:bCs/>
      <w:kern w:val="0"/>
      <w:sz w:val="24"/>
      <w:szCs w:val="20"/>
    </w:rPr>
  </w:style>
  <w:style w:type="paragraph" w:styleId="20">
    <w:name w:val="Body Text Indent"/>
    <w:basedOn w:val="1"/>
    <w:link w:val="261"/>
    <w:autoRedefine/>
    <w:unhideWhenUsed/>
    <w:qFormat/>
    <w:uiPriority w:val="0"/>
    <w:pPr>
      <w:spacing w:after="120"/>
      <w:ind w:left="420" w:leftChars="200"/>
    </w:pPr>
    <w:rPr>
      <w:kern w:val="0"/>
      <w:sz w:val="20"/>
    </w:rPr>
  </w:style>
  <w:style w:type="paragraph" w:styleId="21">
    <w:name w:val="List Number 3"/>
    <w:basedOn w:val="1"/>
    <w:autoRedefine/>
    <w:qFormat/>
    <w:uiPriority w:val="0"/>
    <w:pPr>
      <w:tabs>
        <w:tab w:val="left" w:pos="1200"/>
      </w:tabs>
      <w:ind w:left="1200" w:hanging="360"/>
    </w:pPr>
  </w:style>
  <w:style w:type="paragraph" w:styleId="22">
    <w:name w:val="List 2"/>
    <w:basedOn w:val="1"/>
    <w:autoRedefine/>
    <w:qFormat/>
    <w:uiPriority w:val="0"/>
    <w:pPr>
      <w:ind w:left="100" w:leftChars="200" w:hanging="200" w:hangingChars="200"/>
    </w:pPr>
    <w:rPr>
      <w:sz w:val="28"/>
    </w:rPr>
  </w:style>
  <w:style w:type="paragraph" w:styleId="23">
    <w:name w:val="index 4"/>
    <w:basedOn w:val="1"/>
    <w:next w:val="1"/>
    <w:autoRedefine/>
    <w:unhideWhenUsed/>
    <w:qFormat/>
    <w:uiPriority w:val="99"/>
    <w:pPr>
      <w:ind w:left="600" w:leftChars="600"/>
    </w:pPr>
  </w:style>
  <w:style w:type="paragraph" w:styleId="24">
    <w:name w:val="toc 3"/>
    <w:basedOn w:val="1"/>
    <w:next w:val="1"/>
    <w:autoRedefine/>
    <w:qFormat/>
    <w:uiPriority w:val="39"/>
    <w:pPr>
      <w:spacing w:line="360" w:lineRule="auto"/>
      <w:ind w:left="480" w:firstLine="200" w:firstLineChars="200"/>
      <w:jc w:val="left"/>
    </w:pPr>
    <w:rPr>
      <w:i/>
      <w:iCs/>
      <w:sz w:val="20"/>
      <w:szCs w:val="20"/>
    </w:rPr>
  </w:style>
  <w:style w:type="paragraph" w:styleId="25">
    <w:name w:val="Plain Text"/>
    <w:basedOn w:val="1"/>
    <w:link w:val="290"/>
    <w:autoRedefine/>
    <w:qFormat/>
    <w:uiPriority w:val="0"/>
    <w:pPr>
      <w:spacing w:beforeLines="50" w:afterLines="50" w:line="400" w:lineRule="exact"/>
    </w:pPr>
    <w:rPr>
      <w:rFonts w:ascii="宋体" w:hAnsi="Courier New" w:cs="Courier New"/>
      <w:kern w:val="0"/>
      <w:sz w:val="24"/>
    </w:rPr>
  </w:style>
  <w:style w:type="paragraph" w:styleId="26">
    <w:name w:val="Date"/>
    <w:basedOn w:val="1"/>
    <w:next w:val="1"/>
    <w:link w:val="396"/>
    <w:autoRedefine/>
    <w:qFormat/>
    <w:uiPriority w:val="0"/>
    <w:pPr>
      <w:ind w:left="2500" w:leftChars="2500"/>
    </w:pPr>
    <w:rPr>
      <w:rFonts w:ascii="Calibri" w:hAnsi="Calibri" w:eastAsia="楷体_GB2312"/>
      <w:kern w:val="0"/>
      <w:sz w:val="32"/>
      <w:szCs w:val="20"/>
    </w:rPr>
  </w:style>
  <w:style w:type="paragraph" w:styleId="27">
    <w:name w:val="Body Text Indent 2"/>
    <w:basedOn w:val="1"/>
    <w:link w:val="399"/>
    <w:autoRedefine/>
    <w:qFormat/>
    <w:uiPriority w:val="0"/>
    <w:pPr>
      <w:snapToGrid w:val="0"/>
      <w:ind w:firstLine="542" w:firstLineChars="225"/>
    </w:pPr>
    <w:rPr>
      <w:rFonts w:ascii="仿宋_GB2312" w:hAnsi="宋体" w:cs="Arial"/>
      <w:b/>
      <w:bCs/>
      <w:color w:val="000000"/>
      <w:kern w:val="0"/>
      <w:sz w:val="24"/>
    </w:rPr>
  </w:style>
  <w:style w:type="paragraph" w:styleId="28">
    <w:name w:val="Balloon Text"/>
    <w:basedOn w:val="1"/>
    <w:link w:val="404"/>
    <w:autoRedefine/>
    <w:unhideWhenUsed/>
    <w:qFormat/>
    <w:uiPriority w:val="99"/>
    <w:rPr>
      <w:rFonts w:ascii="Calibri" w:hAnsi="Calibri"/>
      <w:kern w:val="0"/>
      <w:sz w:val="16"/>
      <w:szCs w:val="16"/>
    </w:rPr>
  </w:style>
  <w:style w:type="paragraph" w:styleId="29">
    <w:name w:val="footer"/>
    <w:basedOn w:val="1"/>
    <w:link w:val="391"/>
    <w:autoRedefine/>
    <w:unhideWhenUsed/>
    <w:qFormat/>
    <w:uiPriority w:val="99"/>
    <w:pPr>
      <w:tabs>
        <w:tab w:val="center" w:pos="4153"/>
        <w:tab w:val="right" w:pos="8306"/>
      </w:tabs>
      <w:snapToGrid w:val="0"/>
      <w:jc w:val="left"/>
    </w:pPr>
    <w:rPr>
      <w:rFonts w:ascii="Calibri" w:hAnsi="Calibri"/>
      <w:kern w:val="0"/>
      <w:sz w:val="18"/>
      <w:szCs w:val="18"/>
    </w:rPr>
  </w:style>
  <w:style w:type="paragraph" w:styleId="30">
    <w:name w:val="header"/>
    <w:basedOn w:val="1"/>
    <w:link w:val="366"/>
    <w:autoRedefine/>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1">
    <w:name w:val="toc 1"/>
    <w:basedOn w:val="1"/>
    <w:next w:val="1"/>
    <w:autoRedefine/>
    <w:qFormat/>
    <w:uiPriority w:val="39"/>
  </w:style>
  <w:style w:type="paragraph" w:styleId="32">
    <w:name w:val="Subtitle"/>
    <w:basedOn w:val="1"/>
    <w:next w:val="1"/>
    <w:link w:val="395"/>
    <w:autoRedefine/>
    <w:qFormat/>
    <w:uiPriority w:val="11"/>
    <w:pPr>
      <w:spacing w:before="240" w:after="60" w:line="312" w:lineRule="auto"/>
      <w:jc w:val="center"/>
      <w:outlineLvl w:val="1"/>
    </w:pPr>
    <w:rPr>
      <w:rFonts w:ascii="Cambria" w:hAnsi="Cambria"/>
      <w:b/>
      <w:bCs/>
      <w:kern w:val="28"/>
      <w:sz w:val="32"/>
      <w:szCs w:val="32"/>
    </w:rPr>
  </w:style>
  <w:style w:type="paragraph" w:styleId="33">
    <w:name w:val="List"/>
    <w:basedOn w:val="1"/>
    <w:autoRedefine/>
    <w:qFormat/>
    <w:uiPriority w:val="0"/>
    <w:pPr>
      <w:ind w:left="200" w:hanging="200" w:hangingChars="200"/>
    </w:pPr>
    <w:rPr>
      <w:sz w:val="28"/>
    </w:rPr>
  </w:style>
  <w:style w:type="paragraph" w:styleId="34">
    <w:name w:val="footnote text"/>
    <w:basedOn w:val="1"/>
    <w:link w:val="389"/>
    <w:autoRedefine/>
    <w:semiHidden/>
    <w:qFormat/>
    <w:uiPriority w:val="0"/>
    <w:pPr>
      <w:adjustRightInd w:val="0"/>
      <w:snapToGrid w:val="0"/>
      <w:spacing w:before="60" w:line="360" w:lineRule="atLeast"/>
      <w:ind w:firstLine="482"/>
      <w:jc w:val="left"/>
      <w:textAlignment w:val="baseline"/>
    </w:pPr>
    <w:rPr>
      <w:rFonts w:ascii="Calibri" w:hAnsi="Calibri"/>
      <w:kern w:val="0"/>
      <w:sz w:val="18"/>
    </w:rPr>
  </w:style>
  <w:style w:type="paragraph" w:styleId="35">
    <w:name w:val="Body Text Indent 3"/>
    <w:basedOn w:val="1"/>
    <w:link w:val="400"/>
    <w:autoRedefine/>
    <w:qFormat/>
    <w:uiPriority w:val="0"/>
    <w:pPr>
      <w:snapToGrid w:val="0"/>
      <w:ind w:firstLine="480" w:firstLineChars="200"/>
      <w:jc w:val="left"/>
    </w:pPr>
    <w:rPr>
      <w:rFonts w:ascii="仿宋_GB2312" w:hAnsi="宋体" w:eastAsia="仿宋_GB2312"/>
      <w:color w:val="000000"/>
      <w:kern w:val="0"/>
      <w:sz w:val="24"/>
    </w:rPr>
  </w:style>
  <w:style w:type="paragraph" w:styleId="36">
    <w:name w:val="toc 2"/>
    <w:basedOn w:val="1"/>
    <w:next w:val="1"/>
    <w:autoRedefine/>
    <w:unhideWhenUsed/>
    <w:qFormat/>
    <w:uiPriority w:val="39"/>
    <w:pPr>
      <w:ind w:left="420" w:leftChars="200"/>
    </w:pPr>
  </w:style>
  <w:style w:type="paragraph" w:styleId="37">
    <w:name w:val="Body Text 2"/>
    <w:basedOn w:val="1"/>
    <w:link w:val="397"/>
    <w:autoRedefine/>
    <w:qFormat/>
    <w:uiPriority w:val="0"/>
    <w:pPr>
      <w:widowControl/>
      <w:snapToGrid w:val="0"/>
      <w:spacing w:before="50" w:afterLines="50" w:line="400" w:lineRule="exact"/>
      <w:jc w:val="left"/>
    </w:pPr>
    <w:rPr>
      <w:rFonts w:ascii="宋体" w:hAnsi="宋体"/>
      <w:color w:val="000000"/>
      <w:kern w:val="0"/>
      <w:sz w:val="24"/>
    </w:rPr>
  </w:style>
  <w:style w:type="paragraph" w:styleId="38">
    <w:name w:val="HTML Preformatted"/>
    <w:basedOn w:val="1"/>
    <w:link w:val="402"/>
    <w:autoRedefine/>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9">
    <w:name w:val="Normal (Web)"/>
    <w:basedOn w:val="1"/>
    <w:link w:val="401"/>
    <w:autoRedefine/>
    <w:qFormat/>
    <w:uiPriority w:val="99"/>
    <w:pPr>
      <w:widowControl/>
      <w:spacing w:before="100" w:beforeAutospacing="1" w:after="100" w:afterAutospacing="1"/>
      <w:jc w:val="left"/>
    </w:pPr>
    <w:rPr>
      <w:rFonts w:ascii="Calibri" w:hAnsi="Calibri"/>
      <w:kern w:val="0"/>
      <w:sz w:val="24"/>
    </w:rPr>
  </w:style>
  <w:style w:type="paragraph" w:styleId="40">
    <w:name w:val="index 1"/>
    <w:basedOn w:val="1"/>
    <w:next w:val="1"/>
    <w:autoRedefine/>
    <w:qFormat/>
    <w:uiPriority w:val="0"/>
    <w:pPr>
      <w:jc w:val="center"/>
    </w:pPr>
    <w:rPr>
      <w:rFonts w:ascii="Arial" w:hAnsi="Arial" w:eastAsia="Arial" w:cs="Arial"/>
      <w:b/>
      <w:bCs/>
      <w:sz w:val="28"/>
      <w:szCs w:val="20"/>
    </w:rPr>
  </w:style>
  <w:style w:type="paragraph" w:styleId="41">
    <w:name w:val="Title"/>
    <w:basedOn w:val="1"/>
    <w:link w:val="393"/>
    <w:autoRedefine/>
    <w:qFormat/>
    <w:uiPriority w:val="0"/>
    <w:pPr>
      <w:spacing w:before="240" w:after="60"/>
      <w:jc w:val="center"/>
      <w:outlineLvl w:val="0"/>
    </w:pPr>
    <w:rPr>
      <w:rFonts w:ascii="Arial" w:hAnsi="Arial" w:eastAsia="仿宋_GB2312"/>
      <w:b/>
      <w:bCs/>
      <w:kern w:val="0"/>
      <w:sz w:val="36"/>
      <w:szCs w:val="32"/>
    </w:rPr>
  </w:style>
  <w:style w:type="paragraph" w:styleId="42">
    <w:name w:val="annotation subject"/>
    <w:basedOn w:val="18"/>
    <w:next w:val="18"/>
    <w:link w:val="403"/>
    <w:autoRedefine/>
    <w:qFormat/>
    <w:uiPriority w:val="99"/>
    <w:rPr>
      <w:b/>
      <w:bCs/>
    </w:rPr>
  </w:style>
  <w:style w:type="paragraph" w:styleId="43">
    <w:name w:val="Body Text First Indent 2"/>
    <w:basedOn w:val="20"/>
    <w:link w:val="262"/>
    <w:autoRedefine/>
    <w:semiHidden/>
    <w:qFormat/>
    <w:uiPriority w:val="0"/>
    <w:pPr>
      <w:spacing w:line="360" w:lineRule="auto"/>
      <w:ind w:firstLine="420" w:firstLineChars="200"/>
    </w:pPr>
    <w:rPr>
      <w:rFonts w:ascii="宋体" w:hAnsi="Courier New"/>
      <w:spacing w:val="-4"/>
      <w:sz w:val="24"/>
    </w:rPr>
  </w:style>
  <w:style w:type="table" w:styleId="45">
    <w:name w:val="Table Grid"/>
    <w:basedOn w:val="44"/>
    <w:autoRedefine/>
    <w:qFormat/>
    <w:uiPriority w:val="3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7">
    <w:name w:val="Strong"/>
    <w:autoRedefine/>
    <w:qFormat/>
    <w:uiPriority w:val="22"/>
    <w:rPr>
      <w:b/>
      <w:bCs/>
    </w:rPr>
  </w:style>
  <w:style w:type="character" w:styleId="48">
    <w:name w:val="page number"/>
    <w:basedOn w:val="46"/>
    <w:autoRedefine/>
    <w:qFormat/>
    <w:uiPriority w:val="0"/>
  </w:style>
  <w:style w:type="character" w:styleId="49">
    <w:name w:val="FollowedHyperlink"/>
    <w:autoRedefine/>
    <w:unhideWhenUsed/>
    <w:qFormat/>
    <w:uiPriority w:val="99"/>
    <w:rPr>
      <w:color w:val="800080"/>
      <w:u w:val="single"/>
    </w:rPr>
  </w:style>
  <w:style w:type="character" w:styleId="50">
    <w:name w:val="Emphasis"/>
    <w:autoRedefine/>
    <w:qFormat/>
    <w:uiPriority w:val="20"/>
    <w:rPr>
      <w:i/>
    </w:rPr>
  </w:style>
  <w:style w:type="character" w:styleId="51">
    <w:name w:val="Hyperlink"/>
    <w:autoRedefine/>
    <w:qFormat/>
    <w:uiPriority w:val="99"/>
    <w:rPr>
      <w:color w:val="0000FF"/>
      <w:u w:val="single"/>
    </w:rPr>
  </w:style>
  <w:style w:type="character" w:styleId="52">
    <w:name w:val="annotation reference"/>
    <w:autoRedefine/>
    <w:qFormat/>
    <w:uiPriority w:val="99"/>
    <w:rPr>
      <w:sz w:val="21"/>
      <w:szCs w:val="21"/>
    </w:rPr>
  </w:style>
  <w:style w:type="paragraph" w:customStyle="1" w:styleId="53">
    <w:name w:val="_Style 29"/>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54">
    <w:name w:val="Char Char4"/>
    <w:autoRedefine/>
    <w:qFormat/>
    <w:uiPriority w:val="0"/>
    <w:rPr>
      <w:rFonts w:eastAsia="宋体"/>
      <w:kern w:val="2"/>
      <w:sz w:val="24"/>
      <w:lang w:val="en-US" w:eastAsia="zh-CN" w:bidi="ar-SA"/>
    </w:rPr>
  </w:style>
  <w:style w:type="character" w:customStyle="1" w:styleId="55">
    <w:name w:val="批注框文本 Char1"/>
    <w:autoRedefine/>
    <w:semiHidden/>
    <w:qFormat/>
    <w:uiPriority w:val="99"/>
    <w:rPr>
      <w:rFonts w:ascii="Times New Roman" w:hAnsi="Times New Roman" w:eastAsia="宋体" w:cs="Times New Roman"/>
      <w:sz w:val="18"/>
      <w:szCs w:val="18"/>
    </w:rPr>
  </w:style>
  <w:style w:type="character" w:customStyle="1" w:styleId="56">
    <w:name w:val="正文首行缩进 2 Char1"/>
    <w:autoRedefine/>
    <w:semiHidden/>
    <w:qFormat/>
    <w:uiPriority w:val="99"/>
    <w:rPr>
      <w:rFonts w:ascii="Times New Roman" w:hAnsi="Times New Roman" w:eastAsia="宋体" w:cs="Times New Roman"/>
      <w:szCs w:val="24"/>
    </w:rPr>
  </w:style>
  <w:style w:type="character" w:customStyle="1" w:styleId="57">
    <w:name w:val="投标文件 正文首行缩进 Char"/>
    <w:autoRedefine/>
    <w:qFormat/>
    <w:uiPriority w:val="0"/>
    <w:rPr>
      <w:rFonts w:ascii="Arial" w:hAnsi="Arial" w:eastAsia="宋体"/>
      <w:kern w:val="2"/>
      <w:sz w:val="21"/>
      <w:szCs w:val="24"/>
      <w:lang w:val="en-US" w:eastAsia="zh-CN" w:bidi="ar-SA"/>
    </w:rPr>
  </w:style>
  <w:style w:type="character" w:customStyle="1" w:styleId="58">
    <w:name w:val="_正文段落 Char"/>
    <w:autoRedefine/>
    <w:qFormat/>
    <w:uiPriority w:val="0"/>
    <w:rPr>
      <w:rFonts w:eastAsia="宋体"/>
      <w:kern w:val="2"/>
      <w:sz w:val="21"/>
      <w:szCs w:val="24"/>
      <w:lang w:val="en-US" w:eastAsia="zh-CN" w:bidi="ar-SA"/>
    </w:rPr>
  </w:style>
  <w:style w:type="character" w:customStyle="1" w:styleId="59">
    <w:name w:val="Char Char17"/>
    <w:autoRedefine/>
    <w:qFormat/>
    <w:uiPriority w:val="0"/>
    <w:rPr>
      <w:rFonts w:ascii="Arial" w:hAnsi="Arial" w:eastAsia="黑体"/>
      <w:b/>
      <w:bCs/>
      <w:kern w:val="2"/>
      <w:sz w:val="32"/>
      <w:szCs w:val="32"/>
      <w:lang w:val="en-US" w:eastAsia="zh-CN" w:bidi="ar-SA"/>
    </w:rPr>
  </w:style>
  <w:style w:type="character" w:customStyle="1" w:styleId="60">
    <w:name w:val="Char Char14"/>
    <w:autoRedefine/>
    <w:qFormat/>
    <w:uiPriority w:val="0"/>
    <w:rPr>
      <w:rFonts w:eastAsia="宋体"/>
      <w:b/>
      <w:bCs/>
      <w:kern w:val="2"/>
      <w:sz w:val="28"/>
      <w:szCs w:val="28"/>
      <w:lang w:val="en-US" w:eastAsia="zh-CN" w:bidi="ar-SA"/>
    </w:rPr>
  </w:style>
  <w:style w:type="character" w:customStyle="1" w:styleId="61">
    <w:name w:val="ptt1"/>
    <w:autoRedefine/>
    <w:qFormat/>
    <w:uiPriority w:val="0"/>
    <w:rPr>
      <w:rFonts w:hint="eastAsia" w:ascii="宋体" w:hAnsi="宋体" w:eastAsia="宋体"/>
      <w:sz w:val="18"/>
      <w:szCs w:val="18"/>
    </w:rPr>
  </w:style>
  <w:style w:type="character" w:customStyle="1" w:styleId="62">
    <w:name w:val="脚注文本 Char1"/>
    <w:autoRedefine/>
    <w:semiHidden/>
    <w:qFormat/>
    <w:uiPriority w:val="99"/>
    <w:rPr>
      <w:rFonts w:ascii="Times New Roman" w:hAnsi="Times New Roman" w:eastAsia="宋体" w:cs="Times New Roman"/>
      <w:sz w:val="18"/>
      <w:szCs w:val="18"/>
    </w:rPr>
  </w:style>
  <w:style w:type="character" w:customStyle="1" w:styleId="63">
    <w:name w:val="Char Char18"/>
    <w:autoRedefine/>
    <w:qFormat/>
    <w:uiPriority w:val="0"/>
    <w:rPr>
      <w:rFonts w:eastAsia="宋体"/>
      <w:b/>
      <w:bCs/>
      <w:kern w:val="44"/>
      <w:sz w:val="44"/>
      <w:szCs w:val="44"/>
      <w:lang w:val="en-US" w:eastAsia="zh-CN" w:bidi="ar-SA"/>
    </w:rPr>
  </w:style>
  <w:style w:type="character" w:customStyle="1" w:styleId="64">
    <w:name w:val="font2"/>
    <w:autoRedefine/>
    <w:qFormat/>
    <w:uiPriority w:val="0"/>
  </w:style>
  <w:style w:type="character" w:customStyle="1" w:styleId="65">
    <w:name w:val="缺省文本 Char"/>
    <w:autoRedefine/>
    <w:qFormat/>
    <w:uiPriority w:val="0"/>
    <w:rPr>
      <w:rFonts w:eastAsia="宋体"/>
      <w:sz w:val="24"/>
      <w:lang w:val="en-US" w:eastAsia="zh-CN" w:bidi="ar-SA"/>
    </w:rPr>
  </w:style>
  <w:style w:type="character" w:customStyle="1" w:styleId="66">
    <w:name w:val="HTML 预设格式 Char1"/>
    <w:autoRedefine/>
    <w:semiHidden/>
    <w:qFormat/>
    <w:uiPriority w:val="99"/>
    <w:rPr>
      <w:rFonts w:ascii="Courier New" w:hAnsi="Courier New"/>
      <w:kern w:val="2"/>
    </w:rPr>
  </w:style>
  <w:style w:type="character" w:customStyle="1" w:styleId="67">
    <w:name w:val="Char Char8"/>
    <w:autoRedefine/>
    <w:qFormat/>
    <w:uiPriority w:val="0"/>
    <w:rPr>
      <w:sz w:val="24"/>
    </w:rPr>
  </w:style>
  <w:style w:type="character" w:customStyle="1" w:styleId="68">
    <w:name w:val="Char Char9"/>
    <w:autoRedefine/>
    <w:qFormat/>
    <w:uiPriority w:val="0"/>
    <w:rPr>
      <w:rFonts w:ascii="Arial" w:hAnsi="Arial" w:cs="Arial"/>
      <w:vanish/>
      <w:sz w:val="16"/>
      <w:szCs w:val="16"/>
    </w:rPr>
  </w:style>
  <w:style w:type="character" w:customStyle="1" w:styleId="69">
    <w:name w:val="font31"/>
    <w:autoRedefine/>
    <w:qFormat/>
    <w:uiPriority w:val="0"/>
    <w:rPr>
      <w:rFonts w:hint="default" w:ascii="Times New Roman" w:hAnsi="Times New Roman" w:cs="Times New Roman"/>
      <w:color w:val="FF0000"/>
      <w:sz w:val="24"/>
      <w:szCs w:val="24"/>
      <w:u w:val="none"/>
    </w:rPr>
  </w:style>
  <w:style w:type="character" w:customStyle="1" w:styleId="70">
    <w:name w:val="_标题3 Char"/>
    <w:autoRedefine/>
    <w:qFormat/>
    <w:uiPriority w:val="0"/>
    <w:rPr>
      <w:rFonts w:ascii="Arial" w:hAnsi="Arial" w:eastAsia="黑体"/>
      <w:bCs/>
      <w:kern w:val="2"/>
      <w:sz w:val="30"/>
      <w:szCs w:val="32"/>
      <w:lang w:val="en-US" w:eastAsia="zh-CN" w:bidi="ar-SA"/>
    </w:rPr>
  </w:style>
  <w:style w:type="character" w:customStyle="1" w:styleId="71">
    <w:name w:val="_正文段落加粗 Char"/>
    <w:autoRedefine/>
    <w:qFormat/>
    <w:uiPriority w:val="0"/>
    <w:rPr>
      <w:rFonts w:eastAsia="宋体"/>
      <w:b/>
      <w:kern w:val="2"/>
      <w:sz w:val="21"/>
      <w:szCs w:val="24"/>
      <w:lang w:val="en-US" w:eastAsia="zh-CN" w:bidi="ar-SA"/>
    </w:rPr>
  </w:style>
  <w:style w:type="character" w:customStyle="1" w:styleId="72">
    <w:name w:val="Char Char"/>
    <w:autoRedefine/>
    <w:qFormat/>
    <w:uiPriority w:val="0"/>
    <w:rPr>
      <w:rFonts w:ascii="宋体" w:hAnsi="Courier New"/>
      <w:kern w:val="2"/>
      <w:sz w:val="21"/>
    </w:rPr>
  </w:style>
  <w:style w:type="character" w:customStyle="1" w:styleId="73">
    <w:name w:val="p2"/>
    <w:autoRedefine/>
    <w:qFormat/>
    <w:uiPriority w:val="0"/>
  </w:style>
  <w:style w:type="character" w:customStyle="1" w:styleId="74">
    <w:name w:val="_题注 Char"/>
    <w:autoRedefine/>
    <w:qFormat/>
    <w:uiPriority w:val="0"/>
    <w:rPr>
      <w:rFonts w:ascii="Arial" w:hAnsi="Arial" w:eastAsia="黑体" w:cs="Arial"/>
      <w:kern w:val="2"/>
      <w:sz w:val="21"/>
      <w:lang w:val="en-US" w:eastAsia="zh-CN" w:bidi="ar-SA"/>
    </w:rPr>
  </w:style>
  <w:style w:type="character" w:customStyle="1" w:styleId="75">
    <w:name w:val="正文文本 Char1"/>
    <w:autoRedefine/>
    <w:semiHidden/>
    <w:qFormat/>
    <w:uiPriority w:val="99"/>
    <w:rPr>
      <w:rFonts w:ascii="Times New Roman" w:hAnsi="Times New Roman" w:eastAsia="宋体" w:cs="Times New Roman"/>
      <w:szCs w:val="24"/>
    </w:rPr>
  </w:style>
  <w:style w:type="character" w:customStyle="1" w:styleId="76">
    <w:name w:val="正文首行缩进 Char1"/>
    <w:autoRedefine/>
    <w:semiHidden/>
    <w:qFormat/>
    <w:uiPriority w:val="99"/>
    <w:rPr>
      <w:rFonts w:ascii="Times New Roman" w:hAnsi="Times New Roman" w:eastAsia="宋体" w:cs="Times New Roman"/>
      <w:szCs w:val="24"/>
    </w:rPr>
  </w:style>
  <w:style w:type="paragraph" w:customStyle="1" w:styleId="77">
    <w:name w:val="样式1"/>
    <w:basedOn w:val="1"/>
    <w:link w:val="78"/>
    <w:autoRedefine/>
    <w:qFormat/>
    <w:uiPriority w:val="0"/>
    <w:pPr>
      <w:spacing w:line="360" w:lineRule="exact"/>
      <w:ind w:firstLine="200" w:firstLineChars="200"/>
    </w:pPr>
    <w:rPr>
      <w:rFonts w:ascii="Arial" w:hAnsi="Arial"/>
      <w:kern w:val="0"/>
      <w:sz w:val="20"/>
    </w:rPr>
  </w:style>
  <w:style w:type="character" w:customStyle="1" w:styleId="78">
    <w:name w:val="样式1 Char Char"/>
    <w:link w:val="77"/>
    <w:autoRedefine/>
    <w:qFormat/>
    <w:uiPriority w:val="0"/>
    <w:rPr>
      <w:rFonts w:ascii="Arial" w:hAnsi="Arial"/>
      <w:szCs w:val="24"/>
    </w:rPr>
  </w:style>
  <w:style w:type="paragraph" w:customStyle="1" w:styleId="79">
    <w:name w:val="z-窗体顶端1"/>
    <w:basedOn w:val="1"/>
    <w:next w:val="1"/>
    <w:link w:val="80"/>
    <w:autoRedefine/>
    <w:qFormat/>
    <w:uiPriority w:val="0"/>
    <w:pPr>
      <w:widowControl/>
      <w:pBdr>
        <w:bottom w:val="single" w:color="auto" w:sz="6" w:space="1"/>
      </w:pBdr>
      <w:jc w:val="center"/>
    </w:pPr>
    <w:rPr>
      <w:rFonts w:ascii="Arial" w:hAnsi="Arial" w:cs="Arial"/>
      <w:vanish/>
      <w:kern w:val="0"/>
      <w:sz w:val="16"/>
      <w:szCs w:val="16"/>
    </w:rPr>
  </w:style>
  <w:style w:type="character" w:customStyle="1" w:styleId="80">
    <w:name w:val="z-窗体顶端 Char"/>
    <w:link w:val="79"/>
    <w:autoRedefine/>
    <w:qFormat/>
    <w:uiPriority w:val="0"/>
    <w:rPr>
      <w:rFonts w:ascii="Arial" w:hAnsi="Arial" w:cs="Arial"/>
      <w:vanish/>
      <w:sz w:val="16"/>
      <w:szCs w:val="16"/>
    </w:rPr>
  </w:style>
  <w:style w:type="character" w:customStyle="1" w:styleId="81">
    <w:name w:val="z-窗体顶端 Char1"/>
    <w:autoRedefine/>
    <w:semiHidden/>
    <w:qFormat/>
    <w:uiPriority w:val="99"/>
    <w:rPr>
      <w:rFonts w:ascii="Arial" w:hAnsi="Arial" w:eastAsia="宋体" w:cs="Arial"/>
      <w:vanish/>
      <w:sz w:val="16"/>
      <w:szCs w:val="16"/>
    </w:rPr>
  </w:style>
  <w:style w:type="paragraph" w:customStyle="1" w:styleId="82">
    <w:name w:val="z-窗体底端1"/>
    <w:basedOn w:val="1"/>
    <w:next w:val="1"/>
    <w:link w:val="83"/>
    <w:autoRedefine/>
    <w:qFormat/>
    <w:uiPriority w:val="0"/>
    <w:pPr>
      <w:widowControl/>
      <w:pBdr>
        <w:top w:val="single" w:color="auto" w:sz="6" w:space="1"/>
      </w:pBdr>
      <w:jc w:val="center"/>
    </w:pPr>
    <w:rPr>
      <w:rFonts w:ascii="Arial" w:hAnsi="Arial" w:cs="Arial"/>
      <w:vanish/>
      <w:kern w:val="0"/>
      <w:sz w:val="16"/>
      <w:szCs w:val="16"/>
    </w:rPr>
  </w:style>
  <w:style w:type="character" w:customStyle="1" w:styleId="83">
    <w:name w:val="z-窗体底端 Char"/>
    <w:link w:val="82"/>
    <w:autoRedefine/>
    <w:qFormat/>
    <w:uiPriority w:val="0"/>
    <w:rPr>
      <w:rFonts w:ascii="Arial" w:hAnsi="Arial" w:cs="Arial"/>
      <w:vanish/>
      <w:sz w:val="16"/>
      <w:szCs w:val="16"/>
    </w:rPr>
  </w:style>
  <w:style w:type="character" w:customStyle="1" w:styleId="84">
    <w:name w:val="z-窗体底端 Char1"/>
    <w:autoRedefine/>
    <w:semiHidden/>
    <w:qFormat/>
    <w:uiPriority w:val="99"/>
    <w:rPr>
      <w:rFonts w:ascii="Arial" w:hAnsi="Arial" w:eastAsia="宋体" w:cs="Arial"/>
      <w:vanish/>
      <w:sz w:val="16"/>
      <w:szCs w:val="16"/>
    </w:rPr>
  </w:style>
  <w:style w:type="character" w:customStyle="1" w:styleId="85">
    <w:name w:val="正文首行缩进两字符 Char"/>
    <w:autoRedefine/>
    <w:qFormat/>
    <w:uiPriority w:val="0"/>
    <w:rPr>
      <w:rFonts w:ascii="Arial" w:hAnsi="Arial"/>
      <w:kern w:val="2"/>
      <w:sz w:val="24"/>
      <w:szCs w:val="24"/>
    </w:rPr>
  </w:style>
  <w:style w:type="character" w:customStyle="1" w:styleId="86">
    <w:name w:val="msonormal"/>
    <w:autoRedefine/>
    <w:qFormat/>
    <w:uiPriority w:val="0"/>
  </w:style>
  <w:style w:type="character" w:customStyle="1" w:styleId="87">
    <w:name w:val="Char Char2"/>
    <w:autoRedefine/>
    <w:qFormat/>
    <w:uiPriority w:val="0"/>
    <w:rPr>
      <w:sz w:val="24"/>
    </w:rPr>
  </w:style>
  <w:style w:type="character" w:customStyle="1" w:styleId="88">
    <w:name w:val="Char Char3"/>
    <w:autoRedefine/>
    <w:qFormat/>
    <w:uiPriority w:val="0"/>
    <w:rPr>
      <w:rFonts w:ascii="宋体" w:hAnsi="宋体" w:cs="宋体"/>
      <w:sz w:val="24"/>
      <w:szCs w:val="24"/>
    </w:rPr>
  </w:style>
  <w:style w:type="character" w:customStyle="1" w:styleId="89">
    <w:name w:val="Char Char5"/>
    <w:autoRedefine/>
    <w:qFormat/>
    <w:uiPriority w:val="0"/>
    <w:rPr>
      <w:rFonts w:ascii="Arial" w:hAnsi="Arial" w:eastAsia="黑体" w:cs="Arial"/>
    </w:rPr>
  </w:style>
  <w:style w:type="character" w:customStyle="1" w:styleId="90">
    <w:name w:val="副标题 Char1"/>
    <w:autoRedefine/>
    <w:qFormat/>
    <w:uiPriority w:val="11"/>
    <w:rPr>
      <w:rFonts w:ascii="Cambria" w:hAnsi="Cambria" w:eastAsia="宋体" w:cs="Times New Roman"/>
      <w:b/>
      <w:bCs/>
      <w:kern w:val="28"/>
      <w:sz w:val="32"/>
      <w:szCs w:val="32"/>
    </w:rPr>
  </w:style>
  <w:style w:type="character" w:customStyle="1" w:styleId="91">
    <w:name w:val="_标题2 Char"/>
    <w:autoRedefine/>
    <w:qFormat/>
    <w:uiPriority w:val="0"/>
    <w:rPr>
      <w:rFonts w:ascii="Tahoma" w:hAnsi="Tahoma" w:eastAsia="黑体"/>
      <w:bCs/>
      <w:kern w:val="2"/>
      <w:sz w:val="32"/>
      <w:szCs w:val="32"/>
      <w:lang w:val="en-US" w:eastAsia="zh-CN" w:bidi="ar-SA"/>
    </w:rPr>
  </w:style>
  <w:style w:type="character" w:customStyle="1" w:styleId="92">
    <w:name w:val="f14b1"/>
    <w:autoRedefine/>
    <w:qFormat/>
    <w:uiPriority w:val="0"/>
    <w:rPr>
      <w:rFonts w:hint="default" w:ascii="??" w:hAnsi="??"/>
      <w:b/>
      <w:bCs/>
      <w:color w:val="333333"/>
      <w:sz w:val="21"/>
      <w:szCs w:val="21"/>
    </w:rPr>
  </w:style>
  <w:style w:type="character" w:customStyle="1" w:styleId="93">
    <w:name w:val="首行缩进2字符 Char"/>
    <w:autoRedefine/>
    <w:qFormat/>
    <w:uiPriority w:val="0"/>
    <w:rPr>
      <w:rFonts w:eastAsia="宋体"/>
      <w:snapToGrid w:val="0"/>
      <w:sz w:val="21"/>
      <w:szCs w:val="21"/>
      <w:lang w:val="en-US" w:eastAsia="zh-CN" w:bidi="ar-SA"/>
    </w:rPr>
  </w:style>
  <w:style w:type="character" w:customStyle="1" w:styleId="94">
    <w:name w:val="Char Char6"/>
    <w:autoRedefine/>
    <w:qFormat/>
    <w:uiPriority w:val="0"/>
    <w:rPr>
      <w:rFonts w:ascii="Arial" w:hAnsi="Arial" w:cs="Arial"/>
      <w:vanish/>
      <w:sz w:val="16"/>
      <w:szCs w:val="16"/>
    </w:rPr>
  </w:style>
  <w:style w:type="character" w:customStyle="1" w:styleId="95">
    <w:name w:val="文档正文 Char"/>
    <w:autoRedefine/>
    <w:qFormat/>
    <w:uiPriority w:val="0"/>
    <w:rPr>
      <w:rFonts w:eastAsia="宋体"/>
      <w:sz w:val="24"/>
      <w:lang w:val="en-US" w:eastAsia="zh-CN" w:bidi="ar-SA"/>
    </w:rPr>
  </w:style>
  <w:style w:type="character" w:customStyle="1" w:styleId="96">
    <w:name w:val="Char Char11"/>
    <w:autoRedefine/>
    <w:qFormat/>
    <w:uiPriority w:val="0"/>
    <w:rPr>
      <w:rFonts w:ascii="Arial" w:hAnsi="Arial" w:eastAsia="黑体"/>
      <w:sz w:val="24"/>
      <w:szCs w:val="24"/>
      <w:lang w:val="en-US" w:eastAsia="zh-CN" w:bidi="ar-SA"/>
    </w:rPr>
  </w:style>
  <w:style w:type="character" w:customStyle="1" w:styleId="97">
    <w:name w:val="批注文字 Char1"/>
    <w:autoRedefine/>
    <w:semiHidden/>
    <w:qFormat/>
    <w:uiPriority w:val="99"/>
    <w:rPr>
      <w:rFonts w:ascii="Times New Roman" w:hAnsi="Times New Roman" w:eastAsia="宋体" w:cs="Times New Roman"/>
      <w:szCs w:val="24"/>
    </w:rPr>
  </w:style>
  <w:style w:type="character" w:customStyle="1" w:styleId="98">
    <w:name w:val="正文文本缩进 3 Char1"/>
    <w:autoRedefine/>
    <w:semiHidden/>
    <w:qFormat/>
    <w:uiPriority w:val="99"/>
    <w:rPr>
      <w:rFonts w:ascii="Times New Roman" w:hAnsi="Times New Roman" w:eastAsia="宋体" w:cs="Times New Roman"/>
      <w:sz w:val="16"/>
      <w:szCs w:val="16"/>
    </w:rPr>
  </w:style>
  <w:style w:type="character" w:customStyle="1" w:styleId="99">
    <w:name w:val="_表格文字 Char"/>
    <w:autoRedefine/>
    <w:qFormat/>
    <w:uiPriority w:val="0"/>
    <w:rPr>
      <w:rFonts w:eastAsia="宋体"/>
      <w:kern w:val="2"/>
      <w:sz w:val="21"/>
      <w:szCs w:val="24"/>
      <w:lang w:val="en-US" w:eastAsia="zh-CN" w:bidi="ar-SA"/>
    </w:rPr>
  </w:style>
  <w:style w:type="character" w:customStyle="1" w:styleId="100">
    <w:name w:val="正文文本缩进 2 Char1"/>
    <w:autoRedefine/>
    <w:semiHidden/>
    <w:qFormat/>
    <w:uiPriority w:val="99"/>
    <w:rPr>
      <w:rFonts w:ascii="Times New Roman" w:hAnsi="Times New Roman" w:eastAsia="宋体" w:cs="Times New Roman"/>
      <w:szCs w:val="24"/>
    </w:rPr>
  </w:style>
  <w:style w:type="character" w:customStyle="1" w:styleId="101">
    <w:name w:val="正文文本 2 Char1"/>
    <w:autoRedefine/>
    <w:semiHidden/>
    <w:qFormat/>
    <w:uiPriority w:val="99"/>
    <w:rPr>
      <w:rFonts w:ascii="Times New Roman" w:hAnsi="Times New Roman" w:eastAsia="宋体" w:cs="Times New Roman"/>
      <w:szCs w:val="24"/>
    </w:rPr>
  </w:style>
  <w:style w:type="character" w:customStyle="1" w:styleId="102">
    <w:name w:val="图 Char Char"/>
    <w:autoRedefine/>
    <w:qFormat/>
    <w:uiPriority w:val="0"/>
    <w:rPr>
      <w:rFonts w:eastAsia="黑体"/>
      <w:b/>
      <w:sz w:val="24"/>
    </w:rPr>
  </w:style>
  <w:style w:type="character" w:customStyle="1" w:styleId="103">
    <w:name w:val="普通文字1 Char"/>
    <w:autoRedefine/>
    <w:qFormat/>
    <w:uiPriority w:val="0"/>
    <w:rPr>
      <w:rFonts w:ascii="宋体" w:hAnsi="Courier New" w:eastAsia="宋体" w:cs="Courier New"/>
      <w:kern w:val="2"/>
      <w:sz w:val="21"/>
      <w:szCs w:val="21"/>
      <w:lang w:val="en-US" w:eastAsia="zh-CN" w:bidi="ar-SA"/>
    </w:rPr>
  </w:style>
  <w:style w:type="character" w:customStyle="1" w:styleId="104">
    <w:name w:val="日期 Char1"/>
    <w:autoRedefine/>
    <w:semiHidden/>
    <w:qFormat/>
    <w:uiPriority w:val="99"/>
    <w:rPr>
      <w:rFonts w:ascii="Times New Roman" w:hAnsi="Times New Roman" w:eastAsia="宋体" w:cs="Times New Roman"/>
      <w:szCs w:val="24"/>
    </w:rPr>
  </w:style>
  <w:style w:type="character" w:customStyle="1" w:styleId="105">
    <w:name w:val="mark13"/>
    <w:basedOn w:val="46"/>
    <w:autoRedefine/>
    <w:qFormat/>
    <w:uiPriority w:val="0"/>
  </w:style>
  <w:style w:type="character" w:customStyle="1" w:styleId="106">
    <w:name w:val="st1"/>
    <w:autoRedefine/>
    <w:qFormat/>
    <w:uiPriority w:val="0"/>
    <w:rPr>
      <w:spacing w:val="240"/>
    </w:rPr>
  </w:style>
  <w:style w:type="character" w:customStyle="1" w:styleId="107">
    <w:name w:val="HTML 预设格式 Char2"/>
    <w:autoRedefine/>
    <w:semiHidden/>
    <w:qFormat/>
    <w:uiPriority w:val="99"/>
    <w:rPr>
      <w:rFonts w:ascii="Courier New" w:hAnsi="Courier New" w:eastAsia="宋体" w:cs="Courier New"/>
      <w:sz w:val="20"/>
      <w:szCs w:val="20"/>
    </w:rPr>
  </w:style>
  <w:style w:type="character" w:customStyle="1" w:styleId="108">
    <w:name w:val="Char Char1"/>
    <w:autoRedefine/>
    <w:qFormat/>
    <w:uiPriority w:val="0"/>
    <w:rPr>
      <w:sz w:val="24"/>
    </w:rPr>
  </w:style>
  <w:style w:type="character" w:customStyle="1" w:styleId="109">
    <w:name w:val="图 Char"/>
    <w:autoRedefine/>
    <w:qFormat/>
    <w:uiPriority w:val="0"/>
    <w:rPr>
      <w:rFonts w:eastAsia="黑体"/>
      <w:b/>
      <w:sz w:val="24"/>
      <w:lang w:val="en-US" w:eastAsia="zh-CN" w:bidi="ar-SA"/>
    </w:rPr>
  </w:style>
  <w:style w:type="character" w:customStyle="1" w:styleId="110">
    <w:name w:val="font61"/>
    <w:autoRedefine/>
    <w:qFormat/>
    <w:uiPriority w:val="0"/>
    <w:rPr>
      <w:rFonts w:hint="eastAsia" w:ascii="宋体" w:hAnsi="宋体" w:eastAsia="宋体" w:cs="宋体"/>
      <w:color w:val="000000"/>
      <w:sz w:val="24"/>
      <w:szCs w:val="24"/>
      <w:u w:val="none"/>
    </w:rPr>
  </w:style>
  <w:style w:type="character" w:customStyle="1" w:styleId="111">
    <w:name w:val="a4red1"/>
    <w:autoRedefine/>
    <w:qFormat/>
    <w:uiPriority w:val="0"/>
    <w:rPr>
      <w:rFonts w:hint="default" w:ascii="Tahoma" w:hAnsi="Tahoma" w:cs="Tahoma"/>
      <w:color w:val="FF3300"/>
      <w:sz w:val="18"/>
      <w:szCs w:val="18"/>
      <w:u w:val="single"/>
    </w:rPr>
  </w:style>
  <w:style w:type="character" w:customStyle="1" w:styleId="112">
    <w:name w:val="Char Char12"/>
    <w:autoRedefine/>
    <w:qFormat/>
    <w:uiPriority w:val="0"/>
    <w:rPr>
      <w:rFonts w:eastAsia="宋体"/>
      <w:b/>
      <w:bCs/>
      <w:sz w:val="24"/>
      <w:szCs w:val="24"/>
      <w:lang w:val="en-US" w:eastAsia="zh-CN" w:bidi="ar-SA"/>
    </w:rPr>
  </w:style>
  <w:style w:type="character" w:customStyle="1" w:styleId="113">
    <w:name w:val="orange"/>
    <w:basedOn w:val="46"/>
    <w:autoRedefine/>
    <w:qFormat/>
    <w:uiPriority w:val="0"/>
  </w:style>
  <w:style w:type="character" w:customStyle="1" w:styleId="114">
    <w:name w:val="font01"/>
    <w:autoRedefine/>
    <w:qFormat/>
    <w:uiPriority w:val="0"/>
    <w:rPr>
      <w:rFonts w:hint="eastAsia" w:ascii="宋体" w:hAnsi="宋体" w:eastAsia="宋体" w:cs="宋体"/>
      <w:color w:val="FF0000"/>
      <w:sz w:val="24"/>
      <w:szCs w:val="24"/>
      <w:u w:val="none"/>
    </w:rPr>
  </w:style>
  <w:style w:type="character" w:customStyle="1" w:styleId="115">
    <w:name w:val="jianju1"/>
    <w:autoRedefine/>
    <w:qFormat/>
    <w:uiPriority w:val="0"/>
    <w:rPr>
      <w:color w:val="000000"/>
      <w:sz w:val="21"/>
      <w:szCs w:val="21"/>
      <w:u w:val="none"/>
    </w:rPr>
  </w:style>
  <w:style w:type="character" w:customStyle="1" w:styleId="116">
    <w:name w:val="fontb5"/>
    <w:basedOn w:val="46"/>
    <w:autoRedefine/>
    <w:qFormat/>
    <w:uiPriority w:val="0"/>
  </w:style>
  <w:style w:type="character" w:customStyle="1" w:styleId="117">
    <w:name w:val="_列表 Char"/>
    <w:autoRedefine/>
    <w:qFormat/>
    <w:uiPriority w:val="0"/>
    <w:rPr>
      <w:kern w:val="2"/>
      <w:sz w:val="24"/>
      <w:szCs w:val="24"/>
    </w:rPr>
  </w:style>
  <w:style w:type="character" w:customStyle="1" w:styleId="118">
    <w:name w:val="纯文本 Char1"/>
    <w:autoRedefine/>
    <w:semiHidden/>
    <w:qFormat/>
    <w:uiPriority w:val="0"/>
    <w:rPr>
      <w:rFonts w:ascii="宋体" w:hAnsi="Courier New" w:eastAsia="宋体" w:cs="Courier New"/>
      <w:szCs w:val="21"/>
    </w:rPr>
  </w:style>
  <w:style w:type="character" w:customStyle="1" w:styleId="119">
    <w:name w:val="Char Char15"/>
    <w:autoRedefine/>
    <w:qFormat/>
    <w:uiPriority w:val="0"/>
    <w:rPr>
      <w:rFonts w:ascii="Arial" w:hAnsi="Arial" w:eastAsia="黑体"/>
      <w:b/>
      <w:bCs/>
      <w:kern w:val="2"/>
      <w:sz w:val="28"/>
      <w:szCs w:val="28"/>
      <w:lang w:val="en-US" w:eastAsia="zh-CN" w:bidi="ar-SA"/>
    </w:rPr>
  </w:style>
  <w:style w:type="character" w:customStyle="1" w:styleId="120">
    <w:name w:val="正文文本 3 Char1"/>
    <w:autoRedefine/>
    <w:semiHidden/>
    <w:qFormat/>
    <w:uiPriority w:val="99"/>
    <w:rPr>
      <w:rFonts w:ascii="Times New Roman" w:hAnsi="Times New Roman" w:eastAsia="宋体" w:cs="Times New Roman"/>
      <w:sz w:val="16"/>
      <w:szCs w:val="16"/>
    </w:rPr>
  </w:style>
  <w:style w:type="character" w:customStyle="1" w:styleId="121">
    <w:name w:val="font11"/>
    <w:autoRedefine/>
    <w:qFormat/>
    <w:uiPriority w:val="0"/>
    <w:rPr>
      <w:rFonts w:hint="default" w:ascii="Times New Roman" w:hAnsi="Times New Roman" w:cs="Times New Roman"/>
      <w:color w:val="000000"/>
      <w:sz w:val="24"/>
      <w:szCs w:val="24"/>
      <w:u w:val="none"/>
    </w:rPr>
  </w:style>
  <w:style w:type="character" w:customStyle="1" w:styleId="122">
    <w:name w:val="文档结构图 Char1"/>
    <w:autoRedefine/>
    <w:semiHidden/>
    <w:qFormat/>
    <w:uiPriority w:val="99"/>
    <w:rPr>
      <w:rFonts w:ascii="宋体" w:hAnsi="Times New Roman" w:eastAsia="宋体" w:cs="Times New Roman"/>
      <w:sz w:val="18"/>
      <w:szCs w:val="18"/>
    </w:rPr>
  </w:style>
  <w:style w:type="character" w:customStyle="1" w:styleId="123">
    <w:name w:val="Char Char13"/>
    <w:autoRedefine/>
    <w:qFormat/>
    <w:uiPriority w:val="0"/>
    <w:rPr>
      <w:rFonts w:ascii="Arial" w:hAnsi="Arial" w:eastAsia="黑体"/>
      <w:b/>
      <w:bCs/>
      <w:kern w:val="2"/>
      <w:sz w:val="24"/>
      <w:szCs w:val="24"/>
      <w:lang w:val="en-US" w:eastAsia="zh-CN" w:bidi="ar-SA"/>
    </w:rPr>
  </w:style>
  <w:style w:type="character" w:customStyle="1" w:styleId="124">
    <w:name w:val="_标题4 Char"/>
    <w:autoRedefine/>
    <w:qFormat/>
    <w:uiPriority w:val="0"/>
    <w:rPr>
      <w:rFonts w:ascii="Tahoma" w:hAnsi="Tahoma" w:eastAsia="黑体"/>
      <w:bCs/>
      <w:kern w:val="2"/>
      <w:sz w:val="28"/>
      <w:szCs w:val="28"/>
      <w:lang w:val="en-US" w:eastAsia="zh-CN" w:bidi="ar-SA"/>
    </w:rPr>
  </w:style>
  <w:style w:type="character" w:customStyle="1" w:styleId="125">
    <w:name w:val="_表格标题 Char"/>
    <w:autoRedefine/>
    <w:qFormat/>
    <w:uiPriority w:val="0"/>
    <w:rPr>
      <w:rFonts w:eastAsia="宋体"/>
      <w:b/>
      <w:kern w:val="2"/>
      <w:sz w:val="24"/>
      <w:szCs w:val="24"/>
      <w:lang w:val="en-US" w:eastAsia="zh-CN" w:bidi="ar-SA"/>
    </w:rPr>
  </w:style>
  <w:style w:type="character" w:customStyle="1" w:styleId="126">
    <w:name w:val="批注主题 Char1"/>
    <w:autoRedefine/>
    <w:semiHidden/>
    <w:qFormat/>
    <w:uiPriority w:val="99"/>
    <w:rPr>
      <w:rFonts w:ascii="Times New Roman" w:hAnsi="Times New Roman" w:eastAsia="宋体" w:cs="Times New Roman"/>
      <w:b/>
      <w:bCs/>
      <w:szCs w:val="24"/>
    </w:rPr>
  </w:style>
  <w:style w:type="character" w:customStyle="1" w:styleId="127">
    <w:name w:val="普通正文 Char"/>
    <w:autoRedefine/>
    <w:qFormat/>
    <w:uiPriority w:val="0"/>
    <w:rPr>
      <w:rFonts w:ascii="Arial" w:hAnsi="Arial" w:eastAsia="宋体"/>
      <w:sz w:val="24"/>
      <w:lang w:val="en-US" w:eastAsia="zh-CN" w:bidi="ar-SA"/>
    </w:rPr>
  </w:style>
  <w:style w:type="character" w:customStyle="1" w:styleId="128">
    <w:name w:val="Char Char7"/>
    <w:autoRedefine/>
    <w:qFormat/>
    <w:uiPriority w:val="0"/>
    <w:rPr>
      <w:sz w:val="18"/>
    </w:rPr>
  </w:style>
  <w:style w:type="character" w:customStyle="1" w:styleId="129">
    <w:name w:val="tw4winMark"/>
    <w:autoRedefine/>
    <w:qFormat/>
    <w:uiPriority w:val="0"/>
    <w:rPr>
      <w:rFonts w:ascii="Courier New" w:hAnsi="Courier New" w:cs="Courier New"/>
      <w:vanish/>
      <w:color w:val="800080"/>
      <w:vertAlign w:val="subscript"/>
    </w:rPr>
  </w:style>
  <w:style w:type="character" w:customStyle="1" w:styleId="130">
    <w:name w:val="Char Char16"/>
    <w:autoRedefine/>
    <w:qFormat/>
    <w:uiPriority w:val="0"/>
    <w:rPr>
      <w:rFonts w:eastAsia="宋体"/>
      <w:b/>
      <w:bCs/>
      <w:kern w:val="2"/>
      <w:sz w:val="32"/>
      <w:szCs w:val="32"/>
      <w:lang w:val="en-US" w:eastAsia="zh-CN" w:bidi="ar-SA"/>
    </w:rPr>
  </w:style>
  <w:style w:type="paragraph" w:customStyle="1" w:styleId="131">
    <w:name w:val="font10"/>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132">
    <w:name w:val="缺省文本"/>
    <w:basedOn w:val="1"/>
    <w:autoRedefine/>
    <w:qFormat/>
    <w:uiPriority w:val="0"/>
    <w:pPr>
      <w:autoSpaceDE w:val="0"/>
      <w:autoSpaceDN w:val="0"/>
      <w:adjustRightInd w:val="0"/>
      <w:ind w:firstLine="454"/>
    </w:pPr>
    <w:rPr>
      <w:sz w:val="24"/>
    </w:rPr>
  </w:style>
  <w:style w:type="paragraph" w:customStyle="1" w:styleId="133">
    <w:name w:val="默认段落字体 Para Char Char Char Char Char Char Char Char Char1 Char Char Char Char"/>
    <w:basedOn w:val="1"/>
    <w:autoRedefine/>
    <w:qFormat/>
    <w:uiPriority w:val="0"/>
    <w:rPr>
      <w:rFonts w:ascii="Tahoma" w:hAnsi="Tahoma"/>
      <w:sz w:val="24"/>
      <w:szCs w:val="20"/>
    </w:rPr>
  </w:style>
  <w:style w:type="paragraph" w:customStyle="1" w:styleId="134">
    <w:name w:val="首行缩进2字符"/>
    <w:basedOn w:val="1"/>
    <w:autoRedefine/>
    <w:qFormat/>
    <w:uiPriority w:val="0"/>
    <w:pPr>
      <w:autoSpaceDE w:val="0"/>
      <w:autoSpaceDN w:val="0"/>
      <w:adjustRightInd w:val="0"/>
      <w:spacing w:line="360" w:lineRule="auto"/>
      <w:ind w:firstLine="420" w:firstLineChars="200"/>
      <w:jc w:val="left"/>
    </w:pPr>
    <w:rPr>
      <w:snapToGrid w:val="0"/>
      <w:szCs w:val="21"/>
    </w:rPr>
  </w:style>
  <w:style w:type="paragraph" w:customStyle="1" w:styleId="135">
    <w:name w:val="xl1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36">
    <w:name w:val="五级条标题"/>
    <w:basedOn w:val="137"/>
    <w:next w:val="1"/>
    <w:autoRedefine/>
    <w:qFormat/>
    <w:uiPriority w:val="0"/>
    <w:pPr>
      <w:tabs>
        <w:tab w:val="left" w:pos="360"/>
      </w:tabs>
      <w:outlineLvl w:val="6"/>
    </w:pPr>
  </w:style>
  <w:style w:type="paragraph" w:customStyle="1" w:styleId="137">
    <w:name w:val="四级条标题"/>
    <w:basedOn w:val="138"/>
    <w:next w:val="1"/>
    <w:autoRedefine/>
    <w:qFormat/>
    <w:uiPriority w:val="0"/>
    <w:pPr>
      <w:tabs>
        <w:tab w:val="left" w:pos="360"/>
      </w:tabs>
      <w:outlineLvl w:val="5"/>
    </w:pPr>
  </w:style>
  <w:style w:type="paragraph" w:customStyle="1" w:styleId="138">
    <w:name w:val="三级条标题"/>
    <w:basedOn w:val="139"/>
    <w:next w:val="1"/>
    <w:autoRedefine/>
    <w:qFormat/>
    <w:uiPriority w:val="0"/>
    <w:pPr>
      <w:tabs>
        <w:tab w:val="left" w:pos="360"/>
      </w:tabs>
      <w:outlineLvl w:val="4"/>
    </w:pPr>
  </w:style>
  <w:style w:type="paragraph" w:customStyle="1" w:styleId="139">
    <w:name w:val="二级条标题"/>
    <w:basedOn w:val="140"/>
    <w:next w:val="1"/>
    <w:autoRedefine/>
    <w:qFormat/>
    <w:uiPriority w:val="0"/>
    <w:pPr>
      <w:tabs>
        <w:tab w:val="left" w:pos="360"/>
      </w:tabs>
      <w:outlineLvl w:val="3"/>
    </w:pPr>
  </w:style>
  <w:style w:type="paragraph" w:customStyle="1" w:styleId="140">
    <w:name w:val="一级条标题"/>
    <w:basedOn w:val="141"/>
    <w:next w:val="1"/>
    <w:autoRedefine/>
    <w:qFormat/>
    <w:uiPriority w:val="0"/>
    <w:pPr>
      <w:tabs>
        <w:tab w:val="left" w:pos="360"/>
      </w:tabs>
      <w:spacing w:beforeLines="0" w:afterLines="0"/>
      <w:outlineLvl w:val="2"/>
    </w:pPr>
  </w:style>
  <w:style w:type="paragraph" w:customStyle="1" w:styleId="141">
    <w:name w:val="章标题"/>
    <w:next w:val="1"/>
    <w:autoRedefine/>
    <w:qFormat/>
    <w:uiPriority w:val="0"/>
    <w:pPr>
      <w:tabs>
        <w:tab w:val="left" w:pos="360"/>
      </w:tabs>
      <w:spacing w:beforeLines="50" w:afterLines="50" w:line="360" w:lineRule="auto"/>
      <w:jc w:val="both"/>
      <w:outlineLvl w:val="1"/>
    </w:pPr>
    <w:rPr>
      <w:rFonts w:ascii="黑体" w:hAnsi="Times New Roman" w:eastAsia="黑体" w:cs="Times New Roman"/>
      <w:sz w:val="21"/>
      <w:lang w:val="en-US" w:eastAsia="zh-CN" w:bidi="ar-SA"/>
    </w:rPr>
  </w:style>
  <w:style w:type="paragraph" w:customStyle="1" w:styleId="142">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43">
    <w:name w:val="Char Char Char"/>
    <w:basedOn w:val="1"/>
    <w:autoRedefine/>
    <w:qFormat/>
    <w:uiPriority w:val="0"/>
  </w:style>
  <w:style w:type="paragraph" w:customStyle="1" w:styleId="144">
    <w:name w:val="Char Char Char Char Char Char Char Char Char Char Char Char1 Char"/>
    <w:basedOn w:val="17"/>
    <w:autoRedefine/>
    <w:qFormat/>
    <w:uiPriority w:val="0"/>
    <w:pPr>
      <w:spacing w:afterLines="0" w:line="240" w:lineRule="auto"/>
      <w:ind w:firstLine="0" w:firstLineChars="0"/>
    </w:pPr>
    <w:rPr>
      <w:rFonts w:ascii="Tahoma" w:hAnsi="Tahoma"/>
    </w:rPr>
  </w:style>
  <w:style w:type="character" w:customStyle="1" w:styleId="145">
    <w:name w:val="文档结构图 字符"/>
    <w:link w:val="17"/>
    <w:autoRedefine/>
    <w:semiHidden/>
    <w:qFormat/>
    <w:uiPriority w:val="0"/>
    <w:rPr>
      <w:sz w:val="24"/>
      <w:szCs w:val="24"/>
      <w:shd w:val="clear" w:color="auto" w:fill="000080"/>
    </w:rPr>
  </w:style>
  <w:style w:type="paragraph" w:customStyle="1" w:styleId="146">
    <w:name w:val="font6"/>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147">
    <w:name w:val="样式2"/>
    <w:basedOn w:val="1"/>
    <w:autoRedefine/>
    <w:qFormat/>
    <w:uiPriority w:val="0"/>
    <w:pPr>
      <w:adjustRightInd w:val="0"/>
      <w:spacing w:before="60" w:line="360" w:lineRule="atLeast"/>
      <w:ind w:left="425" w:hanging="425"/>
      <w:textAlignment w:val="baseline"/>
    </w:pPr>
    <w:rPr>
      <w:kern w:val="0"/>
      <w:sz w:val="24"/>
      <w:szCs w:val="20"/>
    </w:rPr>
  </w:style>
  <w:style w:type="paragraph" w:customStyle="1" w:styleId="148">
    <w:name w:val="_标题6"/>
    <w:basedOn w:val="9"/>
    <w:next w:val="149"/>
    <w:autoRedefine/>
    <w:qFormat/>
    <w:uiPriority w:val="0"/>
    <w:pPr>
      <w:ind w:left="4820" w:hanging="4820" w:firstLineChars="0"/>
    </w:pPr>
    <w:rPr>
      <w:rFonts w:ascii="Tahoma" w:hAnsi="Tahoma" w:cs="Times New Roman"/>
      <w:b w:val="0"/>
    </w:rPr>
  </w:style>
  <w:style w:type="paragraph" w:customStyle="1" w:styleId="149">
    <w:name w:val="_正文段落"/>
    <w:basedOn w:val="1"/>
    <w:autoRedefine/>
    <w:qFormat/>
    <w:uiPriority w:val="0"/>
    <w:pPr>
      <w:spacing w:beforeLines="15" w:afterLines="15" w:line="360" w:lineRule="auto"/>
      <w:ind w:firstLine="200" w:firstLineChars="200"/>
    </w:pPr>
  </w:style>
  <w:style w:type="character" w:customStyle="1" w:styleId="150">
    <w:name w:val="标题 6 字符"/>
    <w:link w:val="9"/>
    <w:autoRedefine/>
    <w:qFormat/>
    <w:uiPriority w:val="0"/>
    <w:rPr>
      <w:rFonts w:ascii="Arial" w:hAnsi="Arial" w:eastAsia="黑体" w:cstheme="majorBidi"/>
      <w:b/>
      <w:bCs/>
      <w:sz w:val="24"/>
      <w:szCs w:val="24"/>
    </w:rPr>
  </w:style>
  <w:style w:type="paragraph" w:customStyle="1" w:styleId="151">
    <w:name w:val="总体设计正文样式"/>
    <w:basedOn w:val="1"/>
    <w:autoRedefine/>
    <w:qFormat/>
    <w:uiPriority w:val="0"/>
    <w:pPr>
      <w:spacing w:line="360" w:lineRule="auto"/>
      <w:ind w:firstLine="200" w:firstLineChars="200"/>
    </w:pPr>
    <w:rPr>
      <w:rFonts w:eastAsia="仿宋_GB2312" w:cs="宋体"/>
      <w:sz w:val="24"/>
      <w:szCs w:val="20"/>
    </w:rPr>
  </w:style>
  <w:style w:type="paragraph" w:customStyle="1" w:styleId="152">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53">
    <w:name w:val="Char Char1 Char Char Char Char Char Char"/>
    <w:basedOn w:val="1"/>
    <w:autoRedefine/>
    <w:qFormat/>
    <w:uiPriority w:val="0"/>
    <w:pPr>
      <w:widowControl/>
      <w:spacing w:line="240" w:lineRule="exact"/>
      <w:jc w:val="left"/>
    </w:pPr>
    <w:rPr>
      <w:rFonts w:ascii="Verdana" w:hAnsi="Verdana" w:eastAsia="仿宋_GB2312"/>
      <w:kern w:val="0"/>
      <w:sz w:val="24"/>
      <w:szCs w:val="20"/>
      <w:lang w:eastAsia="en-US"/>
    </w:rPr>
  </w:style>
  <w:style w:type="paragraph" w:customStyle="1" w:styleId="154">
    <w:name w:val="默认段落字体 Para Char Char Char Char Char Char Char"/>
    <w:basedOn w:val="1"/>
    <w:autoRedefine/>
    <w:qFormat/>
    <w:uiPriority w:val="0"/>
    <w:rPr>
      <w:rFonts w:ascii="Verdana" w:hAnsi="Verdana" w:eastAsia="楷体_GB2312"/>
      <w:b/>
      <w:i/>
      <w:iCs/>
      <w:color w:val="000000"/>
      <w:kern w:val="0"/>
      <w:sz w:val="20"/>
      <w:szCs w:val="20"/>
      <w:lang w:eastAsia="en-US"/>
    </w:rPr>
  </w:style>
  <w:style w:type="paragraph" w:customStyle="1" w:styleId="155">
    <w:name w:val="CM37"/>
    <w:basedOn w:val="156"/>
    <w:next w:val="156"/>
    <w:autoRedefine/>
    <w:qFormat/>
    <w:uiPriority w:val="0"/>
    <w:pPr>
      <w:spacing w:after="533"/>
    </w:pPr>
    <w:rPr>
      <w:rFonts w:ascii="宋体" w:hAnsi="Times New Roman"/>
      <w:color w:val="auto"/>
    </w:rPr>
  </w:style>
  <w:style w:type="paragraph" w:customStyle="1" w:styleId="156">
    <w:name w:val="Default"/>
    <w:autoRedefine/>
    <w:qFormat/>
    <w:uiPriority w:val="0"/>
    <w:pPr>
      <w:widowControl w:val="0"/>
      <w:autoSpaceDE w:val="0"/>
      <w:autoSpaceDN w:val="0"/>
      <w:adjustRightInd w:val="0"/>
      <w:spacing w:line="360" w:lineRule="auto"/>
      <w:ind w:firstLine="578"/>
    </w:pPr>
    <w:rPr>
      <w:rFonts w:ascii="Arial Unicode MS" w:hAnsi="Arial Unicode MS" w:eastAsia="宋体" w:cs="Times New Roman"/>
      <w:color w:val="000000"/>
      <w:sz w:val="24"/>
      <w:szCs w:val="24"/>
      <w:lang w:val="en-US" w:eastAsia="zh-CN" w:bidi="ar-SA"/>
    </w:rPr>
  </w:style>
  <w:style w:type="paragraph" w:customStyle="1" w:styleId="157">
    <w:name w:val="font8"/>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158">
    <w:name w:val="_标题3"/>
    <w:basedOn w:val="6"/>
    <w:next w:val="149"/>
    <w:autoRedefine/>
    <w:qFormat/>
    <w:uiPriority w:val="0"/>
    <w:pPr>
      <w:tabs>
        <w:tab w:val="left" w:pos="720"/>
      </w:tabs>
      <w:spacing w:beforeLines="50" w:afterLines="50"/>
      <w:ind w:left="720"/>
    </w:pPr>
    <w:rPr>
      <w:rFonts w:ascii="Arial" w:hAnsi="Arial" w:eastAsia="黑体"/>
      <w:sz w:val="30"/>
    </w:rPr>
  </w:style>
  <w:style w:type="character" w:customStyle="1" w:styleId="159">
    <w:name w:val="标题 3 字符"/>
    <w:link w:val="6"/>
    <w:autoRedefine/>
    <w:qFormat/>
    <w:uiPriority w:val="0"/>
    <w:rPr>
      <w:rFonts w:ascii="Times New Roman" w:hAnsi="Times New Roman"/>
      <w:b/>
      <w:bCs/>
      <w:sz w:val="32"/>
      <w:szCs w:val="32"/>
    </w:rPr>
  </w:style>
  <w:style w:type="paragraph" w:customStyle="1" w:styleId="160">
    <w:name w:val="正文文本 21"/>
    <w:basedOn w:val="1"/>
    <w:autoRedefine/>
    <w:qFormat/>
    <w:uiPriority w:val="0"/>
    <w:pPr>
      <w:adjustRightInd w:val="0"/>
      <w:spacing w:line="540" w:lineRule="exact"/>
      <w:ind w:firstLine="641"/>
      <w:jc w:val="left"/>
      <w:textAlignment w:val="baseline"/>
    </w:pPr>
    <w:rPr>
      <w:rFonts w:ascii="仿宋_GB2312" w:eastAsia="仿宋_GB2312"/>
      <w:kern w:val="0"/>
      <w:sz w:val="32"/>
      <w:szCs w:val="20"/>
    </w:rPr>
  </w:style>
  <w:style w:type="paragraph" w:customStyle="1" w:styleId="161">
    <w:name w:val="Main Title"/>
    <w:basedOn w:val="1"/>
    <w:autoRedefine/>
    <w:qFormat/>
    <w:uiPriority w:val="0"/>
    <w:pPr>
      <w:spacing w:before="480" w:afterLines="50"/>
      <w:jc w:val="center"/>
    </w:pPr>
    <w:rPr>
      <w:rFonts w:ascii="Arial" w:hAnsi="Arial"/>
      <w:b/>
      <w:kern w:val="28"/>
      <w:sz w:val="32"/>
      <w:szCs w:val="20"/>
      <w:lang w:eastAsia="en-US"/>
    </w:rPr>
  </w:style>
  <w:style w:type="paragraph" w:customStyle="1" w:styleId="162">
    <w:name w:val="xl57"/>
    <w:basedOn w:val="1"/>
    <w:autoRedefine/>
    <w:qFormat/>
    <w:uiPriority w:val="0"/>
    <w:pPr>
      <w:widowControl/>
      <w:pBdr>
        <w:bottom w:val="single" w:color="auto" w:sz="8" w:space="0"/>
      </w:pBdr>
      <w:spacing w:before="100" w:beforeAutospacing="1" w:afterAutospacing="1"/>
      <w:jc w:val="center"/>
    </w:pPr>
    <w:rPr>
      <w:rFonts w:ascii="宋体" w:hAnsi="宋体"/>
      <w:kern w:val="0"/>
      <w:sz w:val="28"/>
      <w:szCs w:val="28"/>
    </w:rPr>
  </w:style>
  <w:style w:type="paragraph" w:customStyle="1" w:styleId="163">
    <w:name w:val="xl55"/>
    <w:basedOn w:val="1"/>
    <w:autoRedefine/>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164">
    <w:name w:val="Char Char Char Char Char Char"/>
    <w:basedOn w:val="1"/>
    <w:autoRedefine/>
    <w:qFormat/>
    <w:uiPriority w:val="0"/>
    <w:rPr>
      <w:rFonts w:ascii="Tahoma" w:hAnsi="Tahoma"/>
      <w:sz w:val="24"/>
      <w:szCs w:val="20"/>
    </w:rPr>
  </w:style>
  <w:style w:type="paragraph" w:customStyle="1" w:styleId="165">
    <w:name w:val="列出段落1"/>
    <w:basedOn w:val="1"/>
    <w:autoRedefine/>
    <w:qFormat/>
    <w:uiPriority w:val="0"/>
    <w:pPr>
      <w:ind w:firstLine="420" w:firstLineChars="200"/>
    </w:pPr>
    <w:rPr>
      <w:rFonts w:ascii="Calibri" w:hAnsi="Calibri"/>
      <w:szCs w:val="22"/>
    </w:rPr>
  </w:style>
  <w:style w:type="paragraph" w:customStyle="1" w:styleId="166">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67">
    <w:name w:val="xl50"/>
    <w:basedOn w:val="1"/>
    <w:autoRedefine/>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168">
    <w:name w:val="xl77"/>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69">
    <w:name w:val="图名"/>
    <w:basedOn w:val="1"/>
    <w:autoRedefine/>
    <w:qFormat/>
    <w:uiPriority w:val="0"/>
    <w:pPr>
      <w:spacing w:line="360" w:lineRule="auto"/>
      <w:jc w:val="center"/>
    </w:pPr>
    <w:rPr>
      <w:rFonts w:ascii="黑体" w:eastAsia="黑体"/>
      <w:b/>
      <w:sz w:val="32"/>
      <w:szCs w:val="32"/>
    </w:rPr>
  </w:style>
  <w:style w:type="paragraph" w:customStyle="1" w:styleId="170">
    <w:name w:val="_标题5"/>
    <w:basedOn w:val="8"/>
    <w:next w:val="149"/>
    <w:autoRedefine/>
    <w:qFormat/>
    <w:uiPriority w:val="0"/>
    <w:pPr>
      <w:ind w:left="4253" w:hanging="4253"/>
    </w:pPr>
    <w:rPr>
      <w:rFonts w:ascii="Arial" w:hAnsi="Arial" w:eastAsia="黑体"/>
      <w:b w:val="0"/>
      <w:sz w:val="24"/>
    </w:rPr>
  </w:style>
  <w:style w:type="character" w:customStyle="1" w:styleId="171">
    <w:name w:val="标题 5 字符"/>
    <w:link w:val="8"/>
    <w:autoRedefine/>
    <w:qFormat/>
    <w:uiPriority w:val="0"/>
    <w:rPr>
      <w:rFonts w:ascii="Times New Roman" w:hAnsi="Times New Roman"/>
      <w:b/>
      <w:bCs/>
      <w:sz w:val="28"/>
      <w:szCs w:val="28"/>
    </w:rPr>
  </w:style>
  <w:style w:type="paragraph" w:customStyle="1" w:styleId="172">
    <w:name w:val="标题 21"/>
    <w:basedOn w:val="1"/>
    <w:autoRedefine/>
    <w:qFormat/>
    <w:uiPriority w:val="0"/>
    <w:pPr>
      <w:spacing w:afterLines="100" w:line="360" w:lineRule="auto"/>
    </w:pPr>
    <w:rPr>
      <w:sz w:val="24"/>
    </w:rPr>
  </w:style>
  <w:style w:type="paragraph" w:customStyle="1" w:styleId="173">
    <w:name w:val="xl45"/>
    <w:basedOn w:val="1"/>
    <w:autoRedefine/>
    <w:qFormat/>
    <w:uiPriority w:val="0"/>
    <w:pPr>
      <w:widowControl/>
      <w:pBdr>
        <w:top w:val="single" w:color="auto" w:sz="4" w:space="0"/>
      </w:pBdr>
      <w:spacing w:before="100" w:beforeAutospacing="1" w:afterAutospacing="1"/>
      <w:jc w:val="left"/>
    </w:pPr>
    <w:rPr>
      <w:kern w:val="0"/>
      <w:sz w:val="28"/>
      <w:szCs w:val="28"/>
    </w:rPr>
  </w:style>
  <w:style w:type="paragraph" w:customStyle="1" w:styleId="174">
    <w:name w:val="Char 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175">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76">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77">
    <w:name w:val="xl38"/>
    <w:basedOn w:val="1"/>
    <w:autoRedefine/>
    <w:qFormat/>
    <w:uiPriority w:val="0"/>
    <w:pPr>
      <w:widowControl/>
      <w:spacing w:before="100" w:beforeAutospacing="1" w:afterAutospacing="1"/>
      <w:jc w:val="center"/>
      <w:textAlignment w:val="center"/>
    </w:pPr>
    <w:rPr>
      <w:rFonts w:ascii="宋体" w:hAnsi="宋体"/>
      <w:kern w:val="0"/>
      <w:sz w:val="28"/>
      <w:szCs w:val="28"/>
    </w:rPr>
  </w:style>
  <w:style w:type="paragraph" w:customStyle="1" w:styleId="178">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7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180">
    <w:name w:val="xl48"/>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pPr>
    <w:rPr>
      <w:kern w:val="0"/>
      <w:sz w:val="28"/>
      <w:szCs w:val="28"/>
    </w:rPr>
  </w:style>
  <w:style w:type="paragraph" w:customStyle="1" w:styleId="181">
    <w:name w:val="xl94"/>
    <w:basedOn w:val="1"/>
    <w:autoRedefine/>
    <w:qFormat/>
    <w:uiPriority w:val="0"/>
    <w:pPr>
      <w:widowControl/>
      <w:spacing w:before="100" w:beforeAutospacing="1" w:afterAutospacing="1"/>
      <w:jc w:val="center"/>
      <w:textAlignment w:val="center"/>
    </w:pPr>
    <w:rPr>
      <w:rFonts w:ascii="宋体" w:hAnsi="宋体" w:cs="宋体"/>
      <w:b/>
      <w:bCs/>
      <w:kern w:val="0"/>
      <w:sz w:val="20"/>
      <w:szCs w:val="20"/>
    </w:rPr>
  </w:style>
  <w:style w:type="paragraph" w:customStyle="1" w:styleId="182">
    <w:name w:val="xl54"/>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Autospacing="1"/>
      <w:jc w:val="center"/>
    </w:pPr>
    <w:rPr>
      <w:kern w:val="0"/>
      <w:sz w:val="28"/>
      <w:szCs w:val="28"/>
    </w:rPr>
  </w:style>
  <w:style w:type="paragraph" w:customStyle="1" w:styleId="183">
    <w:name w:val="标题 12"/>
    <w:basedOn w:val="1"/>
    <w:autoRedefine/>
    <w:qFormat/>
    <w:uiPriority w:val="0"/>
    <w:pPr>
      <w:spacing w:afterLines="100" w:line="360" w:lineRule="auto"/>
    </w:pPr>
    <w:rPr>
      <w:sz w:val="24"/>
    </w:rPr>
  </w:style>
  <w:style w:type="paragraph" w:customStyle="1" w:styleId="184">
    <w:name w:val="font9"/>
    <w:basedOn w:val="1"/>
    <w:autoRedefine/>
    <w:qFormat/>
    <w:uiPriority w:val="0"/>
    <w:pPr>
      <w:widowControl/>
      <w:spacing w:before="100" w:beforeAutospacing="1" w:afterAutospacing="1"/>
      <w:jc w:val="left"/>
    </w:pPr>
    <w:rPr>
      <w:kern w:val="0"/>
      <w:sz w:val="20"/>
      <w:szCs w:val="20"/>
    </w:rPr>
  </w:style>
  <w:style w:type="paragraph" w:customStyle="1" w:styleId="185">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186">
    <w:name w:val="p15"/>
    <w:basedOn w:val="1"/>
    <w:autoRedefine/>
    <w:qFormat/>
    <w:uiPriority w:val="0"/>
    <w:pPr>
      <w:widowControl/>
    </w:pPr>
    <w:rPr>
      <w:kern w:val="0"/>
      <w:sz w:val="24"/>
    </w:rPr>
  </w:style>
  <w:style w:type="paragraph" w:customStyle="1" w:styleId="187">
    <w:name w:val="xl118"/>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88">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89">
    <w:name w:val="Char1"/>
    <w:basedOn w:val="1"/>
    <w:autoRedefine/>
    <w:qFormat/>
    <w:uiPriority w:val="0"/>
    <w:pPr>
      <w:widowControl/>
      <w:spacing w:line="240" w:lineRule="exact"/>
      <w:jc w:val="left"/>
    </w:pPr>
    <w:rPr>
      <w:rFonts w:ascii="Verdana" w:hAnsi="Verdana"/>
      <w:kern w:val="0"/>
      <w:szCs w:val="20"/>
      <w:lang w:eastAsia="en-US"/>
    </w:rPr>
  </w:style>
  <w:style w:type="paragraph" w:customStyle="1" w:styleId="190">
    <w:name w:val="xl56"/>
    <w:basedOn w:val="1"/>
    <w:autoRedefine/>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191">
    <w:name w:val="编写建议"/>
    <w:basedOn w:val="1"/>
    <w:autoRedefine/>
    <w:qFormat/>
    <w:uiPriority w:val="0"/>
    <w:pPr>
      <w:autoSpaceDE w:val="0"/>
      <w:autoSpaceDN w:val="0"/>
      <w:adjustRightInd w:val="0"/>
      <w:spacing w:line="360" w:lineRule="auto"/>
      <w:ind w:firstLine="420"/>
      <w:jc w:val="left"/>
    </w:pPr>
    <w:rPr>
      <w:rFonts w:ascii="Arial" w:hAnsi="Arial" w:cs="Arial"/>
      <w:i/>
      <w:snapToGrid w:val="0"/>
      <w:color w:val="0000FF"/>
      <w:kern w:val="0"/>
      <w:szCs w:val="21"/>
    </w:rPr>
  </w:style>
  <w:style w:type="paragraph" w:customStyle="1" w:styleId="192">
    <w:name w:val="style17"/>
    <w:basedOn w:val="1"/>
    <w:autoRedefine/>
    <w:qFormat/>
    <w:uiPriority w:val="0"/>
    <w:pPr>
      <w:widowControl/>
      <w:spacing w:before="100" w:beforeAutospacing="1" w:afterLines="100"/>
      <w:jc w:val="left"/>
    </w:pPr>
    <w:rPr>
      <w:rFonts w:ascii="宋体" w:hAnsi="宋体" w:cs="宋体"/>
      <w:kern w:val="0"/>
      <w:sz w:val="18"/>
      <w:szCs w:val="18"/>
    </w:rPr>
  </w:style>
  <w:style w:type="paragraph" w:customStyle="1" w:styleId="193">
    <w:name w:val="默认段落字体 Para Char"/>
    <w:basedOn w:val="1"/>
    <w:autoRedefine/>
    <w:qFormat/>
    <w:uiPriority w:val="0"/>
    <w:rPr>
      <w:rFonts w:ascii="Tahoma" w:hAnsi="Tahoma"/>
      <w:sz w:val="24"/>
      <w:szCs w:val="20"/>
    </w:rPr>
  </w:style>
  <w:style w:type="paragraph" w:customStyle="1" w:styleId="194">
    <w:name w:val="xl59"/>
    <w:basedOn w:val="1"/>
    <w:autoRedefine/>
    <w:qFormat/>
    <w:uiPriority w:val="0"/>
    <w:pPr>
      <w:widowControl/>
      <w:spacing w:before="100" w:beforeAutospacing="1" w:afterAutospacing="1"/>
      <w:jc w:val="left"/>
      <w:textAlignment w:val="center"/>
    </w:pPr>
    <w:rPr>
      <w:rFonts w:ascii="宋体" w:hAnsi="宋体"/>
      <w:kern w:val="0"/>
      <w:sz w:val="24"/>
    </w:rPr>
  </w:style>
  <w:style w:type="paragraph" w:customStyle="1" w:styleId="19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96">
    <w:name w:val="样式 标题 5口H5PIM 5h5Level 3 - iheading 51.1.1.1.1标题 5标ghfhg..."/>
    <w:basedOn w:val="8"/>
    <w:autoRedefine/>
    <w:qFormat/>
    <w:uiPriority w:val="0"/>
    <w:pPr>
      <w:adjustRightInd w:val="0"/>
      <w:spacing w:line="376" w:lineRule="atLeast"/>
      <w:ind w:left="992" w:hanging="420"/>
      <w:textAlignment w:val="baseline"/>
    </w:pPr>
    <w:rPr>
      <w:color w:val="000000"/>
      <w:sz w:val="24"/>
      <w:szCs w:val="20"/>
    </w:rPr>
  </w:style>
  <w:style w:type="paragraph" w:customStyle="1" w:styleId="197">
    <w:name w:val="列出段落2"/>
    <w:basedOn w:val="1"/>
    <w:autoRedefine/>
    <w:qFormat/>
    <w:uiPriority w:val="0"/>
    <w:pPr>
      <w:ind w:firstLine="420" w:firstLineChars="200"/>
    </w:pPr>
    <w:rPr>
      <w:rFonts w:ascii="Calibri" w:hAnsi="Calibri"/>
      <w:szCs w:val="22"/>
    </w:rPr>
  </w:style>
  <w:style w:type="paragraph" w:customStyle="1" w:styleId="198">
    <w:name w:val="xl113"/>
    <w:basedOn w:val="1"/>
    <w:autoRedefine/>
    <w:qFormat/>
    <w:uiPriority w:val="0"/>
    <w:pPr>
      <w:widowControl/>
      <w:spacing w:before="100" w:beforeAutospacing="1" w:afterAutospacing="1"/>
      <w:jc w:val="left"/>
      <w:textAlignment w:val="center"/>
    </w:pPr>
    <w:rPr>
      <w:rFonts w:ascii="宋体" w:hAnsi="宋体" w:cs="宋体"/>
      <w:kern w:val="0"/>
      <w:sz w:val="20"/>
      <w:szCs w:val="20"/>
    </w:rPr>
  </w:style>
  <w:style w:type="paragraph" w:customStyle="1" w:styleId="199">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00">
    <w:name w:val="标题 31"/>
    <w:basedOn w:val="1"/>
    <w:autoRedefine/>
    <w:qFormat/>
    <w:uiPriority w:val="0"/>
    <w:pPr>
      <w:spacing w:afterLines="100" w:line="360" w:lineRule="auto"/>
    </w:pPr>
    <w:rPr>
      <w:sz w:val="24"/>
    </w:rPr>
  </w:style>
  <w:style w:type="paragraph" w:customStyle="1" w:styleId="201">
    <w:name w:val="font5"/>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202">
    <w:name w:val="正文 + 宋体"/>
    <w:basedOn w:val="1"/>
    <w:autoRedefine/>
    <w:qFormat/>
    <w:uiPriority w:val="0"/>
    <w:pPr>
      <w:adjustRightInd w:val="0"/>
      <w:spacing w:line="360" w:lineRule="auto"/>
      <w:ind w:firstLine="200" w:firstLineChars="200"/>
      <w:textAlignment w:val="baseline"/>
    </w:pPr>
    <w:rPr>
      <w:rFonts w:ascii="宋体"/>
      <w:kern w:val="0"/>
      <w:szCs w:val="21"/>
    </w:rPr>
  </w:style>
  <w:style w:type="paragraph" w:customStyle="1" w:styleId="203">
    <w:name w:val="项目"/>
    <w:basedOn w:val="149"/>
    <w:autoRedefine/>
    <w:qFormat/>
    <w:uiPriority w:val="0"/>
    <w:pPr>
      <w:spacing w:beforeLines="0" w:afterLines="0"/>
      <w:ind w:firstLine="0" w:firstLineChars="0"/>
    </w:pPr>
    <w:rPr>
      <w:rFonts w:ascii="宋体" w:hAnsi="宋体"/>
      <w:sz w:val="24"/>
    </w:rPr>
  </w:style>
  <w:style w:type="paragraph" w:customStyle="1" w:styleId="204">
    <w:name w:val="_表格文字"/>
    <w:basedOn w:val="1"/>
    <w:autoRedefine/>
    <w:qFormat/>
    <w:uiPriority w:val="0"/>
    <w:pPr>
      <w:spacing w:beforeLines="10" w:afterLines="10"/>
    </w:pPr>
  </w:style>
  <w:style w:type="paragraph" w:customStyle="1" w:styleId="205">
    <w:name w:val="xl122"/>
    <w:basedOn w:val="1"/>
    <w:autoRedefine/>
    <w:qFormat/>
    <w:uiPriority w:val="0"/>
    <w:pPr>
      <w:widowControl/>
      <w:pBdr>
        <w:top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06">
    <w:name w:val="Char"/>
    <w:basedOn w:val="1"/>
    <w:autoRedefine/>
    <w:qFormat/>
    <w:uiPriority w:val="0"/>
    <w:rPr>
      <w:sz w:val="24"/>
    </w:rPr>
  </w:style>
  <w:style w:type="paragraph" w:customStyle="1" w:styleId="207">
    <w:name w:val="样式 标题 5 + 右侧:  -0.18 字符"/>
    <w:basedOn w:val="1"/>
    <w:autoRedefine/>
    <w:qFormat/>
    <w:uiPriority w:val="0"/>
    <w:pPr>
      <w:tabs>
        <w:tab w:val="left" w:pos="1008"/>
      </w:tabs>
      <w:ind w:left="1008" w:hanging="1008"/>
    </w:pPr>
  </w:style>
  <w:style w:type="paragraph" w:customStyle="1" w:styleId="208">
    <w:name w:val="Char Char1 Char"/>
    <w:basedOn w:val="1"/>
    <w:autoRedefine/>
    <w:qFormat/>
    <w:uiPriority w:val="0"/>
    <w:pPr>
      <w:spacing w:line="360" w:lineRule="auto"/>
    </w:pPr>
    <w:rPr>
      <w:rFonts w:ascii="Tahoma" w:hAnsi="Tahoma"/>
      <w:sz w:val="24"/>
      <w:szCs w:val="20"/>
    </w:rPr>
  </w:style>
  <w:style w:type="paragraph" w:customStyle="1" w:styleId="209">
    <w:name w:val="_正文段落加粗"/>
    <w:basedOn w:val="149"/>
    <w:autoRedefine/>
    <w:qFormat/>
    <w:uiPriority w:val="0"/>
    <w:pPr>
      <w:spacing w:beforeLines="0" w:afterLines="0"/>
      <w:ind w:firstLine="480"/>
    </w:pPr>
    <w:rPr>
      <w:b/>
    </w:rPr>
  </w:style>
  <w:style w:type="paragraph" w:customStyle="1" w:styleId="210">
    <w:name w:val="xl46"/>
    <w:basedOn w:val="1"/>
    <w:autoRedefine/>
    <w:qFormat/>
    <w:uiPriority w:val="0"/>
    <w:pPr>
      <w:widowControl/>
      <w:pBdr>
        <w:top w:val="single" w:color="auto" w:sz="4" w:space="0"/>
      </w:pBdr>
      <w:spacing w:before="100" w:beforeAutospacing="1" w:afterAutospacing="1"/>
      <w:jc w:val="left"/>
    </w:pPr>
    <w:rPr>
      <w:rFonts w:ascii="宋体" w:hAnsi="宋体"/>
      <w:kern w:val="0"/>
      <w:sz w:val="28"/>
      <w:szCs w:val="28"/>
    </w:rPr>
  </w:style>
  <w:style w:type="paragraph" w:customStyle="1" w:styleId="211">
    <w:name w:val="Char2 Char Char Char"/>
    <w:basedOn w:val="1"/>
    <w:autoRedefine/>
    <w:qFormat/>
    <w:uiPriority w:val="0"/>
    <w:pPr>
      <w:widowControl/>
      <w:spacing w:beforeLines="100" w:line="240" w:lineRule="exact"/>
      <w:jc w:val="left"/>
    </w:pPr>
    <w:rPr>
      <w:rFonts w:ascii="Verdana" w:hAnsi="Verdana"/>
      <w:kern w:val="0"/>
      <w:sz w:val="20"/>
      <w:szCs w:val="20"/>
      <w:lang w:eastAsia="en-US"/>
    </w:rPr>
  </w:style>
  <w:style w:type="paragraph" w:customStyle="1" w:styleId="212">
    <w:name w:val="xl30"/>
    <w:basedOn w:val="1"/>
    <w:autoRedefine/>
    <w:qFormat/>
    <w:uiPriority w:val="0"/>
    <w:pPr>
      <w:widowControl/>
      <w:spacing w:before="100" w:beforeAutospacing="1" w:afterAutospacing="1"/>
      <w:jc w:val="left"/>
    </w:pPr>
    <w:rPr>
      <w:rFonts w:ascii="宋体" w:hAnsi="宋体"/>
      <w:kern w:val="0"/>
      <w:sz w:val="28"/>
      <w:szCs w:val="28"/>
    </w:rPr>
  </w:style>
  <w:style w:type="paragraph" w:customStyle="1" w:styleId="213">
    <w:name w:val="xl75"/>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214">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15">
    <w:name w:val="postdate"/>
    <w:basedOn w:val="1"/>
    <w:autoRedefine/>
    <w:qFormat/>
    <w:uiPriority w:val="0"/>
    <w:pPr>
      <w:widowControl/>
      <w:spacing w:before="100" w:beforeAutospacing="1" w:afterLines="100"/>
      <w:jc w:val="left"/>
    </w:pPr>
    <w:rPr>
      <w:rFonts w:ascii="宋体" w:hAnsi="宋体" w:cs="宋体"/>
      <w:color w:val="777777"/>
      <w:kern w:val="0"/>
      <w:sz w:val="17"/>
      <w:szCs w:val="17"/>
    </w:rPr>
  </w:style>
  <w:style w:type="paragraph" w:customStyle="1" w:styleId="216">
    <w:name w:val="font13"/>
    <w:basedOn w:val="1"/>
    <w:autoRedefine/>
    <w:qFormat/>
    <w:uiPriority w:val="0"/>
    <w:pPr>
      <w:widowControl/>
      <w:spacing w:before="100" w:beforeAutospacing="1" w:afterAutospacing="1"/>
      <w:jc w:val="left"/>
    </w:pPr>
    <w:rPr>
      <w:rFonts w:hint="eastAsia" w:ascii="宋体" w:hAnsi="宋体"/>
      <w:color w:val="000000"/>
      <w:kern w:val="0"/>
      <w:sz w:val="28"/>
      <w:szCs w:val="28"/>
    </w:rPr>
  </w:style>
  <w:style w:type="paragraph" w:customStyle="1" w:styleId="217">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18">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19">
    <w:name w:val="pt105"/>
    <w:basedOn w:val="1"/>
    <w:autoRedefine/>
    <w:qFormat/>
    <w:uiPriority w:val="0"/>
    <w:pPr>
      <w:widowControl/>
      <w:spacing w:before="100" w:beforeAutospacing="1" w:afterLines="100"/>
      <w:jc w:val="left"/>
    </w:pPr>
    <w:rPr>
      <w:rFonts w:ascii="宋体" w:hAnsi="宋体" w:cs="宋体"/>
      <w:kern w:val="0"/>
      <w:sz w:val="24"/>
    </w:rPr>
  </w:style>
  <w:style w:type="paragraph" w:customStyle="1" w:styleId="220">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21">
    <w:name w:val="Char2"/>
    <w:basedOn w:val="1"/>
    <w:autoRedefine/>
    <w:qFormat/>
    <w:uiPriority w:val="0"/>
    <w:rPr>
      <w:rFonts w:ascii="Tahoma" w:hAnsi="Tahoma"/>
      <w:sz w:val="24"/>
      <w:szCs w:val="20"/>
    </w:rPr>
  </w:style>
  <w:style w:type="paragraph" w:customStyle="1" w:styleId="222">
    <w:name w:val="xl78"/>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23">
    <w:name w:val="xl125"/>
    <w:basedOn w:val="1"/>
    <w:autoRedefine/>
    <w:qFormat/>
    <w:uiPriority w:val="0"/>
    <w:pPr>
      <w:widowControl/>
      <w:pBdr>
        <w:top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24">
    <w:name w:val="列项·"/>
    <w:autoRedefine/>
    <w:qFormat/>
    <w:uiPriority w:val="0"/>
    <w:pPr>
      <w:tabs>
        <w:tab w:val="left" w:pos="360"/>
        <w:tab w:val="left" w:pos="840"/>
      </w:tabs>
      <w:spacing w:line="360" w:lineRule="auto"/>
      <w:ind w:firstLine="578"/>
      <w:jc w:val="both"/>
    </w:pPr>
    <w:rPr>
      <w:rFonts w:ascii="宋体" w:hAnsi="Times New Roman" w:eastAsia="宋体" w:cs="Times New Roman"/>
      <w:sz w:val="21"/>
      <w:lang w:val="en-US" w:eastAsia="zh-CN" w:bidi="ar-SA"/>
    </w:rPr>
  </w:style>
  <w:style w:type="paragraph" w:customStyle="1" w:styleId="225">
    <w:name w:val="FR正文1"/>
    <w:basedOn w:val="1"/>
    <w:autoRedefine/>
    <w:qFormat/>
    <w:uiPriority w:val="0"/>
    <w:pPr>
      <w:widowControl/>
      <w:adjustRightInd w:val="0"/>
      <w:snapToGrid w:val="0"/>
      <w:spacing w:line="360" w:lineRule="auto"/>
      <w:ind w:firstLine="425"/>
      <w:jc w:val="left"/>
    </w:pPr>
    <w:rPr>
      <w:rFonts w:eastAsia="仿宋_GB2312"/>
      <w:kern w:val="0"/>
      <w:szCs w:val="20"/>
    </w:rPr>
  </w:style>
  <w:style w:type="paragraph" w:customStyle="1" w:styleId="226">
    <w:name w:val="_标题4"/>
    <w:basedOn w:val="7"/>
    <w:next w:val="149"/>
    <w:autoRedefine/>
    <w:qFormat/>
    <w:uiPriority w:val="0"/>
    <w:pPr>
      <w:tabs>
        <w:tab w:val="left" w:pos="2160"/>
      </w:tabs>
      <w:spacing w:after="0" w:line="372" w:lineRule="auto"/>
      <w:ind w:left="3402" w:hanging="3402"/>
    </w:pPr>
    <w:rPr>
      <w:rFonts w:ascii="Tahoma" w:hAnsi="Tahoma" w:eastAsia="黑体" w:cs="Times New Roman"/>
    </w:rPr>
  </w:style>
  <w:style w:type="character" w:customStyle="1" w:styleId="227">
    <w:name w:val="标题 4 字符"/>
    <w:link w:val="7"/>
    <w:autoRedefine/>
    <w:qFormat/>
    <w:uiPriority w:val="0"/>
    <w:rPr>
      <w:rFonts w:ascii="Cambria" w:hAnsi="Cambria" w:cstheme="majorBidi"/>
      <w:b/>
      <w:bCs/>
      <w:sz w:val="28"/>
      <w:szCs w:val="28"/>
    </w:rPr>
  </w:style>
  <w:style w:type="paragraph" w:customStyle="1" w:styleId="22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229">
    <w:name w:val="表"/>
    <w:basedOn w:val="1"/>
    <w:next w:val="11"/>
    <w:autoRedefine/>
    <w:qFormat/>
    <w:uiPriority w:val="0"/>
    <w:pPr>
      <w:tabs>
        <w:tab w:val="left" w:pos="680"/>
      </w:tabs>
      <w:adjustRightInd w:val="0"/>
      <w:spacing w:before="60" w:line="360" w:lineRule="atLeast"/>
      <w:ind w:left="680" w:hanging="680"/>
      <w:jc w:val="center"/>
      <w:textAlignment w:val="baseline"/>
    </w:pPr>
    <w:rPr>
      <w:rFonts w:eastAsia="黑体"/>
      <w:b/>
      <w:kern w:val="0"/>
      <w:sz w:val="24"/>
      <w:szCs w:val="20"/>
    </w:rPr>
  </w:style>
  <w:style w:type="paragraph" w:customStyle="1" w:styleId="230">
    <w:name w:val="xl47"/>
    <w:basedOn w:val="1"/>
    <w:autoRedefine/>
    <w:qFormat/>
    <w:uiPriority w:val="0"/>
    <w:pPr>
      <w:widowControl/>
      <w:pBdr>
        <w:top w:val="single" w:color="auto" w:sz="4" w:space="0"/>
      </w:pBdr>
      <w:spacing w:before="100" w:beforeAutospacing="1" w:afterAutospacing="1"/>
      <w:jc w:val="center"/>
    </w:pPr>
    <w:rPr>
      <w:rFonts w:ascii="宋体" w:hAnsi="宋体"/>
      <w:kern w:val="0"/>
      <w:sz w:val="28"/>
      <w:szCs w:val="28"/>
    </w:rPr>
  </w:style>
  <w:style w:type="paragraph" w:customStyle="1" w:styleId="231">
    <w:name w:val="xl121"/>
    <w:basedOn w:val="1"/>
    <w:autoRedefine/>
    <w:qFormat/>
    <w:uiPriority w:val="0"/>
    <w:pPr>
      <w:widowControl/>
      <w:pBdr>
        <w:top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32">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33">
    <w:name w:val="公文行文"/>
    <w:basedOn w:val="1"/>
    <w:autoRedefine/>
    <w:qFormat/>
    <w:uiPriority w:val="0"/>
    <w:pPr>
      <w:spacing w:line="360" w:lineRule="auto"/>
      <w:ind w:firstLine="200" w:firstLineChars="200"/>
    </w:pPr>
    <w:rPr>
      <w:rFonts w:eastAsia="仿宋_GB2312"/>
      <w:sz w:val="28"/>
    </w:rPr>
  </w:style>
  <w:style w:type="paragraph" w:customStyle="1" w:styleId="234">
    <w:name w:val="正文首行缩进两字符"/>
    <w:basedOn w:val="1"/>
    <w:autoRedefine/>
    <w:qFormat/>
    <w:uiPriority w:val="0"/>
    <w:pPr>
      <w:spacing w:line="300" w:lineRule="auto"/>
      <w:ind w:firstLine="200" w:firstLineChars="200"/>
    </w:pPr>
    <w:rPr>
      <w:rFonts w:ascii="Arial" w:hAnsi="Arial"/>
      <w:sz w:val="24"/>
    </w:rPr>
  </w:style>
  <w:style w:type="paragraph" w:customStyle="1" w:styleId="235">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center"/>
      <w:textAlignment w:val="center"/>
    </w:pPr>
    <w:rPr>
      <w:rFonts w:ascii="宋体" w:hAnsi="宋体" w:cs="宋体"/>
      <w:b/>
      <w:bCs/>
      <w:kern w:val="0"/>
      <w:sz w:val="20"/>
      <w:szCs w:val="20"/>
    </w:rPr>
  </w:style>
  <w:style w:type="paragraph" w:customStyle="1" w:styleId="236">
    <w:name w:val="_题注"/>
    <w:basedOn w:val="16"/>
    <w:autoRedefine/>
    <w:qFormat/>
    <w:uiPriority w:val="0"/>
    <w:pPr>
      <w:spacing w:before="0" w:afterLines="100"/>
      <w:jc w:val="center"/>
    </w:pPr>
    <w:rPr>
      <w:sz w:val="21"/>
      <w:szCs w:val="24"/>
    </w:rPr>
  </w:style>
  <w:style w:type="paragraph" w:customStyle="1" w:styleId="237">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left"/>
      <w:textAlignment w:val="center"/>
    </w:pPr>
    <w:rPr>
      <w:rFonts w:ascii="宋体" w:hAnsi="宋体" w:cs="宋体"/>
      <w:kern w:val="0"/>
      <w:sz w:val="20"/>
      <w:szCs w:val="20"/>
    </w:rPr>
  </w:style>
  <w:style w:type="paragraph" w:customStyle="1" w:styleId="238">
    <w:name w:val="Char1 Char Char Char Char Char Char Char"/>
    <w:basedOn w:val="1"/>
    <w:autoRedefine/>
    <w:qFormat/>
    <w:uiPriority w:val="0"/>
    <w:pPr>
      <w:adjustRightInd w:val="0"/>
      <w:spacing w:before="60" w:line="360" w:lineRule="atLeast"/>
      <w:textAlignment w:val="baseline"/>
    </w:pPr>
    <w:rPr>
      <w:kern w:val="0"/>
      <w:sz w:val="24"/>
      <w:szCs w:val="20"/>
    </w:rPr>
  </w:style>
  <w:style w:type="paragraph" w:customStyle="1" w:styleId="239">
    <w:name w:val="xl53"/>
    <w:basedOn w:val="1"/>
    <w:autoRedefine/>
    <w:qFormat/>
    <w:uiPriority w:val="0"/>
    <w:pPr>
      <w:widowControl/>
      <w:pBdr>
        <w:top w:val="single" w:color="auto" w:sz="4" w:space="0"/>
        <w:left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240">
    <w:name w:val="正文(首行缩进)"/>
    <w:basedOn w:val="1"/>
    <w:autoRedefine/>
    <w:qFormat/>
    <w:uiPriority w:val="0"/>
    <w:pPr>
      <w:spacing w:line="360" w:lineRule="auto"/>
      <w:ind w:firstLine="200" w:firstLineChars="200"/>
    </w:pPr>
    <w:rPr>
      <w:rFonts w:ascii="Arial Narrow" w:hAnsi="Arial Narrow" w:eastAsia="楷体_GB2312"/>
      <w:sz w:val="24"/>
    </w:rPr>
  </w:style>
  <w:style w:type="paragraph" w:customStyle="1" w:styleId="241">
    <w:name w:val="_列表"/>
    <w:basedOn w:val="149"/>
    <w:autoRedefine/>
    <w:qFormat/>
    <w:uiPriority w:val="0"/>
    <w:pPr>
      <w:spacing w:beforeLines="0" w:afterLines="0"/>
    </w:pPr>
    <w:rPr>
      <w:sz w:val="24"/>
    </w:rPr>
  </w:style>
  <w:style w:type="paragraph" w:customStyle="1" w:styleId="242">
    <w:name w:val="xl116"/>
    <w:basedOn w:val="1"/>
    <w:autoRedefine/>
    <w:qFormat/>
    <w:uiPriority w:val="0"/>
    <w:pPr>
      <w:widowControl/>
      <w:pBdr>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43">
    <w:name w:val="标题 11"/>
    <w:basedOn w:val="1"/>
    <w:autoRedefine/>
    <w:qFormat/>
    <w:uiPriority w:val="0"/>
    <w:pPr>
      <w:spacing w:afterLines="100" w:line="360" w:lineRule="auto"/>
    </w:pPr>
    <w:rPr>
      <w:sz w:val="24"/>
    </w:rPr>
  </w:style>
  <w:style w:type="paragraph" w:customStyle="1" w:styleId="244">
    <w:name w:val="新华社正文"/>
    <w:basedOn w:val="1"/>
    <w:autoRedefine/>
    <w:qFormat/>
    <w:uiPriority w:val="0"/>
    <w:pPr>
      <w:snapToGrid w:val="0"/>
      <w:spacing w:line="360" w:lineRule="auto"/>
      <w:ind w:right="-36" w:firstLine="360" w:firstLineChars="150"/>
      <w:jc w:val="left"/>
    </w:pPr>
    <w:rPr>
      <w:rFonts w:ascii="Arial" w:hAnsi="Arial"/>
      <w:sz w:val="24"/>
    </w:rPr>
  </w:style>
  <w:style w:type="paragraph" w:customStyle="1" w:styleId="245">
    <w:name w:val="xl123"/>
    <w:basedOn w:val="1"/>
    <w:autoRedefine/>
    <w:qFormat/>
    <w:uiPriority w:val="0"/>
    <w:pPr>
      <w:widowControl/>
      <w:pBdr>
        <w:top w:val="single" w:color="auto" w:sz="4" w:space="0"/>
        <w:left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46">
    <w:name w:val="_标题1"/>
    <w:basedOn w:val="4"/>
    <w:next w:val="149"/>
    <w:autoRedefine/>
    <w:qFormat/>
    <w:uiPriority w:val="0"/>
    <w:pPr>
      <w:tabs>
        <w:tab w:val="left" w:pos="708"/>
        <w:tab w:val="left" w:pos="900"/>
      </w:tabs>
      <w:spacing w:after="0" w:line="576" w:lineRule="auto"/>
      <w:ind w:left="567" w:hanging="567"/>
    </w:pPr>
    <w:rPr>
      <w:rFonts w:ascii="Arial" w:hAnsi="Arial" w:eastAsia="黑体"/>
      <w:b w:val="0"/>
    </w:rPr>
  </w:style>
  <w:style w:type="character" w:customStyle="1" w:styleId="247">
    <w:name w:val="标题 1 字符"/>
    <w:link w:val="4"/>
    <w:autoRedefine/>
    <w:qFormat/>
    <w:uiPriority w:val="9"/>
    <w:rPr>
      <w:rFonts w:ascii="Times New Roman" w:hAnsi="Times New Roman"/>
      <w:b/>
      <w:bCs/>
      <w:color w:val="000000" w:themeColor="text1"/>
      <w:kern w:val="44"/>
      <w:sz w:val="24"/>
      <w:szCs w:val="44"/>
      <w14:textFill>
        <w14:solidFill>
          <w14:schemeClr w14:val="tx1"/>
        </w14:solidFill>
      </w14:textFill>
    </w:rPr>
  </w:style>
  <w:style w:type="paragraph" w:customStyle="1" w:styleId="248">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9">
    <w:name w:val="图题"/>
    <w:basedOn w:val="1"/>
    <w:next w:val="1"/>
    <w:autoRedefine/>
    <w:qFormat/>
    <w:uiPriority w:val="0"/>
    <w:pPr>
      <w:widowControl/>
      <w:tabs>
        <w:tab w:val="left" w:pos="0"/>
      </w:tabs>
      <w:autoSpaceDN w:val="0"/>
      <w:spacing w:line="300" w:lineRule="auto"/>
      <w:jc w:val="center"/>
    </w:pPr>
    <w:rPr>
      <w:rFonts w:ascii="宋体" w:hAnsi="宋体"/>
      <w:kern w:val="0"/>
      <w:sz w:val="24"/>
    </w:rPr>
  </w:style>
  <w:style w:type="paragraph" w:customStyle="1" w:styleId="250">
    <w:name w:val="TOC 标题1"/>
    <w:basedOn w:val="4"/>
    <w:next w:val="1"/>
    <w:autoRedefine/>
    <w:qFormat/>
    <w:uiPriority w:val="39"/>
    <w:pPr>
      <w:outlineLvl w:val="9"/>
    </w:pPr>
  </w:style>
  <w:style w:type="paragraph" w:customStyle="1" w:styleId="251">
    <w:name w:val="feeder"/>
    <w:basedOn w:val="1"/>
    <w:autoRedefine/>
    <w:qFormat/>
    <w:uiPriority w:val="0"/>
    <w:pPr>
      <w:widowControl/>
      <w:spacing w:before="100" w:beforeAutospacing="1" w:afterLines="100" w:line="347" w:lineRule="atLeast"/>
      <w:jc w:val="left"/>
      <w:textAlignment w:val="bottom"/>
    </w:pPr>
    <w:rPr>
      <w:rFonts w:ascii="Verdana" w:hAnsi="Verdana" w:eastAsia="Arial Unicode MS" w:cs="Arial Unicode MS"/>
      <w:color w:val="666666"/>
      <w:kern w:val="0"/>
      <w:sz w:val="19"/>
      <w:szCs w:val="19"/>
    </w:rPr>
  </w:style>
  <w:style w:type="paragraph" w:customStyle="1" w:styleId="252">
    <w:name w:val="font7"/>
    <w:basedOn w:val="1"/>
    <w:autoRedefine/>
    <w:qFormat/>
    <w:uiPriority w:val="0"/>
    <w:pPr>
      <w:widowControl/>
      <w:spacing w:before="100" w:beforeAutospacing="1" w:afterAutospacing="1"/>
      <w:jc w:val="left"/>
    </w:pPr>
    <w:rPr>
      <w:rFonts w:ascii="宋体" w:hAnsi="宋体" w:cs="宋体"/>
      <w:kern w:val="0"/>
      <w:sz w:val="20"/>
      <w:szCs w:val="20"/>
    </w:rPr>
  </w:style>
  <w:style w:type="paragraph" w:customStyle="1" w:styleId="253">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4">
    <w:name w:val="前言、引言标题"/>
    <w:next w:val="1"/>
    <w:autoRedefine/>
    <w:qFormat/>
    <w:uiPriority w:val="0"/>
    <w:pPr>
      <w:shd w:val="clear" w:color="FFFFFF" w:fill="FFFFFF"/>
      <w:tabs>
        <w:tab w:val="left" w:pos="360"/>
      </w:tabs>
      <w:spacing w:before="640" w:after="560" w:line="360" w:lineRule="auto"/>
      <w:jc w:val="center"/>
      <w:outlineLvl w:val="0"/>
    </w:pPr>
    <w:rPr>
      <w:rFonts w:ascii="黑体" w:hAnsi="Times New Roman" w:eastAsia="黑体" w:cs="Times New Roman"/>
      <w:sz w:val="32"/>
      <w:lang w:val="en-US" w:eastAsia="zh-CN" w:bidi="ar-SA"/>
    </w:rPr>
  </w:style>
  <w:style w:type="paragraph" w:customStyle="1" w:styleId="255">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center"/>
      <w:textAlignment w:val="center"/>
    </w:pPr>
    <w:rPr>
      <w:rFonts w:ascii="宋体" w:hAnsi="宋体" w:cs="宋体"/>
      <w:b/>
      <w:bCs/>
      <w:kern w:val="0"/>
      <w:sz w:val="20"/>
      <w:szCs w:val="20"/>
    </w:rPr>
  </w:style>
  <w:style w:type="paragraph" w:customStyle="1" w:styleId="256">
    <w:name w:val="_标题2"/>
    <w:basedOn w:val="5"/>
    <w:next w:val="149"/>
    <w:autoRedefine/>
    <w:qFormat/>
    <w:uiPriority w:val="0"/>
    <w:pPr>
      <w:tabs>
        <w:tab w:val="left" w:pos="860"/>
      </w:tabs>
      <w:spacing w:beforeLines="50" w:afterLines="50" w:line="413" w:lineRule="auto"/>
      <w:ind w:left="1418" w:hanging="1418"/>
    </w:pPr>
    <w:rPr>
      <w:rFonts w:ascii="Tahoma" w:hAnsi="Tahoma" w:cs="Times New Roman"/>
    </w:rPr>
  </w:style>
  <w:style w:type="character" w:customStyle="1" w:styleId="257">
    <w:name w:val="标题 2 字符"/>
    <w:link w:val="5"/>
    <w:autoRedefine/>
    <w:qFormat/>
    <w:uiPriority w:val="9"/>
    <w:rPr>
      <w:rFonts w:ascii="Arial" w:hAnsi="Arial" w:eastAsia="黑体" w:cstheme="majorBidi"/>
      <w:b/>
      <w:bCs/>
      <w:sz w:val="32"/>
      <w:szCs w:val="32"/>
    </w:rPr>
  </w:style>
  <w:style w:type="paragraph" w:customStyle="1" w:styleId="258">
    <w:name w:val="_Style 1"/>
    <w:basedOn w:val="1"/>
    <w:autoRedefine/>
    <w:qFormat/>
    <w:uiPriority w:val="0"/>
    <w:pPr>
      <w:widowControl/>
      <w:spacing w:before="200" w:after="200" w:line="276" w:lineRule="auto"/>
      <w:ind w:firstLine="420" w:firstLineChars="200"/>
      <w:jc w:val="left"/>
    </w:pPr>
    <w:rPr>
      <w:rFonts w:ascii="Calibri" w:hAnsi="Calibri"/>
      <w:kern w:val="0"/>
      <w:sz w:val="20"/>
      <w:szCs w:val="20"/>
      <w:lang w:eastAsia="en-US" w:bidi="en-US"/>
    </w:rPr>
  </w:style>
  <w:style w:type="paragraph" w:customStyle="1" w:styleId="259">
    <w:name w:val="_图片"/>
    <w:basedOn w:val="1"/>
    <w:next w:val="149"/>
    <w:autoRedefine/>
    <w:qFormat/>
    <w:uiPriority w:val="0"/>
    <w:pPr>
      <w:spacing w:before="46" w:line="360" w:lineRule="auto"/>
      <w:jc w:val="center"/>
    </w:pPr>
    <w:rPr>
      <w:sz w:val="18"/>
    </w:rPr>
  </w:style>
  <w:style w:type="paragraph" w:customStyle="1" w:styleId="260">
    <w:name w:val="投标文件 正文首行缩进"/>
    <w:basedOn w:val="43"/>
    <w:autoRedefine/>
    <w:qFormat/>
    <w:uiPriority w:val="0"/>
    <w:pPr>
      <w:spacing w:after="220"/>
      <w:ind w:left="0" w:leftChars="0" w:firstLine="200"/>
    </w:pPr>
    <w:rPr>
      <w:rFonts w:ascii="Arial" w:hAnsi="Arial"/>
      <w:sz w:val="21"/>
    </w:rPr>
  </w:style>
  <w:style w:type="character" w:customStyle="1" w:styleId="261">
    <w:name w:val="正文文本缩进 字符"/>
    <w:link w:val="20"/>
    <w:autoRedefine/>
    <w:qFormat/>
    <w:uiPriority w:val="0"/>
    <w:rPr>
      <w:rFonts w:ascii="Times New Roman" w:hAnsi="Times New Roman"/>
      <w:szCs w:val="24"/>
    </w:rPr>
  </w:style>
  <w:style w:type="character" w:customStyle="1" w:styleId="262">
    <w:name w:val="正文首行缩进 2 字符"/>
    <w:link w:val="43"/>
    <w:autoRedefine/>
    <w:semiHidden/>
    <w:qFormat/>
    <w:uiPriority w:val="0"/>
    <w:rPr>
      <w:rFonts w:ascii="宋体" w:hAnsi="Courier New"/>
      <w:spacing w:val="-4"/>
      <w:sz w:val="24"/>
      <w:szCs w:val="24"/>
    </w:rPr>
  </w:style>
  <w:style w:type="paragraph" w:customStyle="1" w:styleId="263">
    <w:name w:val="xl49"/>
    <w:basedOn w:val="1"/>
    <w:autoRedefine/>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264">
    <w:name w:val="图"/>
    <w:basedOn w:val="1"/>
    <w:next w:val="11"/>
    <w:autoRedefine/>
    <w:qFormat/>
    <w:uiPriority w:val="0"/>
    <w:pPr>
      <w:tabs>
        <w:tab w:val="left" w:pos="680"/>
      </w:tabs>
      <w:adjustRightInd w:val="0"/>
      <w:spacing w:before="60" w:line="360" w:lineRule="atLeast"/>
      <w:ind w:left="680" w:hanging="680"/>
      <w:jc w:val="center"/>
      <w:textAlignment w:val="baseline"/>
    </w:pPr>
    <w:rPr>
      <w:rFonts w:eastAsia="黑体"/>
      <w:b/>
      <w:sz w:val="24"/>
    </w:rPr>
  </w:style>
  <w:style w:type="paragraph" w:customStyle="1" w:styleId="265">
    <w:name w:val="indent"/>
    <w:basedOn w:val="1"/>
    <w:autoRedefine/>
    <w:qFormat/>
    <w:uiPriority w:val="0"/>
    <w:pPr>
      <w:widowControl/>
      <w:spacing w:before="60"/>
      <w:jc w:val="left"/>
    </w:pPr>
    <w:rPr>
      <w:rFonts w:ascii="Verdana" w:hAnsi="Verdana" w:cs="宋体"/>
      <w:color w:val="000000"/>
      <w:kern w:val="0"/>
      <w:sz w:val="18"/>
      <w:szCs w:val="18"/>
    </w:rPr>
  </w:style>
  <w:style w:type="paragraph" w:customStyle="1" w:styleId="266">
    <w:name w:val="正文段"/>
    <w:basedOn w:val="1"/>
    <w:autoRedefine/>
    <w:qFormat/>
    <w:uiPriority w:val="0"/>
    <w:pPr>
      <w:widowControl/>
      <w:snapToGrid w:val="0"/>
      <w:spacing w:afterLines="50"/>
      <w:ind w:firstLine="200" w:firstLineChars="200"/>
    </w:pPr>
    <w:rPr>
      <w:kern w:val="0"/>
      <w:sz w:val="24"/>
      <w:szCs w:val="20"/>
    </w:rPr>
  </w:style>
  <w:style w:type="paragraph" w:customStyle="1" w:styleId="267">
    <w:name w:val="普通正文"/>
    <w:basedOn w:val="1"/>
    <w:autoRedefine/>
    <w:qFormat/>
    <w:uiPriority w:val="0"/>
    <w:pPr>
      <w:adjustRightInd w:val="0"/>
      <w:spacing w:before="120" w:line="360" w:lineRule="auto"/>
      <w:ind w:firstLine="200" w:firstLineChars="200"/>
      <w:jc w:val="left"/>
      <w:textAlignment w:val="baseline"/>
    </w:pPr>
    <w:rPr>
      <w:rFonts w:ascii="Arial" w:hAnsi="Arial"/>
      <w:sz w:val="24"/>
    </w:rPr>
  </w:style>
  <w:style w:type="paragraph" w:customStyle="1" w:styleId="268">
    <w:name w:val="xl91"/>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69">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270">
    <w:name w:val="bodytext"/>
    <w:basedOn w:val="1"/>
    <w:autoRedefine/>
    <w:qFormat/>
    <w:uiPriority w:val="0"/>
    <w:pPr>
      <w:widowControl/>
      <w:spacing w:before="140" w:line="360" w:lineRule="auto"/>
      <w:ind w:firstLine="420"/>
      <w:jc w:val="left"/>
    </w:pPr>
    <w:rPr>
      <w:rFonts w:ascii="宋体" w:hAnsi="宋体"/>
      <w:kern w:val="0"/>
      <w:szCs w:val="21"/>
    </w:rPr>
  </w:style>
  <w:style w:type="paragraph" w:customStyle="1" w:styleId="271">
    <w:name w:val="表格文字"/>
    <w:basedOn w:val="1"/>
    <w:autoRedefine/>
    <w:qFormat/>
    <w:uiPriority w:val="0"/>
    <w:pPr>
      <w:spacing w:beforeLines="25" w:afterLines="25"/>
      <w:jc w:val="left"/>
    </w:pPr>
    <w:rPr>
      <w:spacing w:val="10"/>
      <w:sz w:val="24"/>
    </w:rPr>
  </w:style>
  <w:style w:type="paragraph" w:customStyle="1" w:styleId="272">
    <w:name w:val="标题 22"/>
    <w:basedOn w:val="1"/>
    <w:autoRedefine/>
    <w:qFormat/>
    <w:uiPriority w:val="0"/>
    <w:pPr>
      <w:spacing w:afterLines="100" w:line="360" w:lineRule="auto"/>
    </w:pPr>
    <w:rPr>
      <w:sz w:val="24"/>
    </w:rPr>
  </w:style>
  <w:style w:type="paragraph" w:customStyle="1" w:styleId="273">
    <w:name w:val="xl102"/>
    <w:basedOn w:val="1"/>
    <w:autoRedefine/>
    <w:qFormat/>
    <w:uiPriority w:val="0"/>
    <w:pPr>
      <w:widowControl/>
      <w:pBdr>
        <w:top w:val="single" w:color="auto" w:sz="4" w:space="0"/>
        <w:left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74">
    <w:name w:val="_表格标题"/>
    <w:basedOn w:val="204"/>
    <w:autoRedefine/>
    <w:qFormat/>
    <w:uiPriority w:val="0"/>
    <w:pPr>
      <w:spacing w:beforeLines="30" w:afterLines="30"/>
      <w:jc w:val="center"/>
    </w:pPr>
    <w:rPr>
      <w:b/>
      <w:sz w:val="24"/>
    </w:rPr>
  </w:style>
  <w:style w:type="paragraph" w:customStyle="1" w:styleId="275">
    <w:name w:val="Char Char Char Char Char Char Char Char Char Char Char Char Char Char Char Char"/>
    <w:basedOn w:val="1"/>
    <w:autoRedefine/>
    <w:qFormat/>
    <w:uiPriority w:val="0"/>
    <w:rPr>
      <w:sz w:val="24"/>
    </w:rPr>
  </w:style>
  <w:style w:type="paragraph" w:customStyle="1" w:styleId="276">
    <w:name w:val="xl26"/>
    <w:basedOn w:val="1"/>
    <w:autoRedefine/>
    <w:qFormat/>
    <w:uiPriority w:val="0"/>
    <w:pPr>
      <w:widowControl/>
      <w:spacing w:before="100" w:beforeAutospacing="1" w:afterAutospacing="1"/>
      <w:jc w:val="center"/>
    </w:pPr>
    <w:rPr>
      <w:rFonts w:ascii="宋体" w:hAnsi="宋体"/>
      <w:kern w:val="0"/>
      <w:sz w:val="24"/>
    </w:rPr>
  </w:style>
  <w:style w:type="paragraph" w:customStyle="1" w:styleId="277">
    <w:name w:val="CM13"/>
    <w:basedOn w:val="156"/>
    <w:next w:val="156"/>
    <w:autoRedefine/>
    <w:qFormat/>
    <w:uiPriority w:val="0"/>
    <w:pPr>
      <w:spacing w:line="468" w:lineRule="atLeast"/>
    </w:pPr>
    <w:rPr>
      <w:rFonts w:ascii="宋体" w:hAnsi="Times New Roman"/>
      <w:color w:val="auto"/>
    </w:rPr>
  </w:style>
  <w:style w:type="paragraph" w:customStyle="1" w:styleId="278">
    <w:name w:val="xl32"/>
    <w:basedOn w:val="1"/>
    <w:autoRedefine/>
    <w:qFormat/>
    <w:uiPriority w:val="0"/>
    <w:pPr>
      <w:widowControl/>
      <w:spacing w:before="100" w:beforeAutospacing="1" w:afterAutospacing="1"/>
      <w:jc w:val="left"/>
      <w:textAlignment w:val="center"/>
    </w:pPr>
    <w:rPr>
      <w:rFonts w:ascii="宋体" w:hAnsi="宋体"/>
      <w:kern w:val="0"/>
      <w:sz w:val="28"/>
      <w:szCs w:val="28"/>
    </w:rPr>
  </w:style>
  <w:style w:type="paragraph" w:customStyle="1" w:styleId="279">
    <w:name w:val="content"/>
    <w:basedOn w:val="1"/>
    <w:autoRedefine/>
    <w:qFormat/>
    <w:uiPriority w:val="0"/>
    <w:pPr>
      <w:widowControl/>
      <w:spacing w:before="100" w:beforeAutospacing="1" w:afterLines="100" w:line="300" w:lineRule="atLeast"/>
      <w:jc w:val="left"/>
    </w:pPr>
    <w:rPr>
      <w:rFonts w:ascii="宋体" w:hAnsi="宋体" w:cs="宋体"/>
      <w:color w:val="666666"/>
      <w:kern w:val="0"/>
      <w:sz w:val="24"/>
    </w:rPr>
  </w:style>
  <w:style w:type="paragraph" w:customStyle="1" w:styleId="280">
    <w:name w:val="标题 32"/>
    <w:basedOn w:val="1"/>
    <w:autoRedefine/>
    <w:qFormat/>
    <w:uiPriority w:val="0"/>
    <w:pPr>
      <w:spacing w:afterLines="100" w:line="360" w:lineRule="auto"/>
    </w:pPr>
    <w:rPr>
      <w:sz w:val="24"/>
    </w:rPr>
  </w:style>
  <w:style w:type="paragraph" w:customStyle="1" w:styleId="281">
    <w:name w:val="Char Char1 Char Char Char Char Char Char Char Char"/>
    <w:basedOn w:val="1"/>
    <w:autoRedefine/>
    <w:qFormat/>
    <w:uiPriority w:val="0"/>
    <w:pPr>
      <w:widowControl/>
      <w:spacing w:line="240" w:lineRule="exact"/>
      <w:jc w:val="left"/>
    </w:pPr>
    <w:rPr>
      <w:rFonts w:ascii="Verdana" w:hAnsi="Verdana"/>
      <w:kern w:val="0"/>
      <w:sz w:val="18"/>
      <w:szCs w:val="20"/>
      <w:lang w:eastAsia="en-US"/>
    </w:rPr>
  </w:style>
  <w:style w:type="paragraph" w:customStyle="1" w:styleId="282">
    <w:name w:val="ÕýÎÄÊ×ÐÐËõ½ø"/>
    <w:basedOn w:val="1"/>
    <w:autoRedefine/>
    <w:qFormat/>
    <w:uiPriority w:val="0"/>
    <w:pPr>
      <w:widowControl/>
      <w:overflowPunct w:val="0"/>
      <w:autoSpaceDE w:val="0"/>
      <w:autoSpaceDN w:val="0"/>
      <w:adjustRightInd w:val="0"/>
      <w:spacing w:line="360" w:lineRule="auto"/>
      <w:ind w:firstLine="425"/>
      <w:textAlignment w:val="baseline"/>
    </w:pPr>
    <w:rPr>
      <w:kern w:val="0"/>
      <w:szCs w:val="20"/>
    </w:rPr>
  </w:style>
  <w:style w:type="paragraph" w:customStyle="1" w:styleId="283">
    <w:name w:val="xl51"/>
    <w:basedOn w:val="1"/>
    <w:autoRedefine/>
    <w:qFormat/>
    <w:uiPriority w:val="0"/>
    <w:pPr>
      <w:widowControl/>
      <w:pBdr>
        <w:top w:val="single" w:color="auto" w:sz="4" w:space="0"/>
        <w:bottom w:val="single" w:color="auto" w:sz="4" w:space="0"/>
      </w:pBdr>
      <w:spacing w:before="100" w:beforeAutospacing="1" w:afterAutospacing="1"/>
      <w:jc w:val="center"/>
    </w:pPr>
    <w:rPr>
      <w:rFonts w:ascii="宋体" w:hAnsi="宋体"/>
      <w:kern w:val="0"/>
      <w:sz w:val="28"/>
      <w:szCs w:val="28"/>
    </w:rPr>
  </w:style>
  <w:style w:type="paragraph" w:customStyle="1" w:styleId="284">
    <w:name w:val="postmetadata"/>
    <w:basedOn w:val="1"/>
    <w:autoRedefine/>
    <w:qFormat/>
    <w:uiPriority w:val="0"/>
    <w:pPr>
      <w:widowControl/>
      <w:pBdr>
        <w:bottom w:val="single" w:color="DDDDDD" w:sz="6" w:space="12"/>
      </w:pBdr>
      <w:spacing w:before="153"/>
      <w:jc w:val="right"/>
    </w:pPr>
    <w:rPr>
      <w:rFonts w:ascii="宋体" w:hAnsi="宋体" w:cs="宋体"/>
      <w:kern w:val="0"/>
      <w:sz w:val="24"/>
    </w:rPr>
  </w:style>
  <w:style w:type="paragraph" w:customStyle="1" w:styleId="285">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86">
    <w:name w:val="Default Paragraph Font Para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287">
    <w:name w:val="文档标题"/>
    <w:next w:val="1"/>
    <w:autoRedefine/>
    <w:qFormat/>
    <w:uiPriority w:val="0"/>
    <w:pPr>
      <w:spacing w:beforeLines="50" w:afterLines="100" w:line="360" w:lineRule="auto"/>
      <w:ind w:firstLine="578"/>
      <w:jc w:val="center"/>
      <w:outlineLvl w:val="0"/>
    </w:pPr>
    <w:rPr>
      <w:rFonts w:ascii="Times New Roman" w:hAnsi="Times New Roman" w:eastAsia="黑体" w:cs="Times New Roman"/>
      <w:b/>
      <w:spacing w:val="10"/>
      <w:sz w:val="44"/>
      <w:lang w:val="en-US" w:eastAsia="zh-CN" w:bidi="ar-SA"/>
    </w:rPr>
  </w:style>
  <w:style w:type="paragraph" w:customStyle="1" w:styleId="288">
    <w:name w:val="代码表标题"/>
    <w:autoRedefine/>
    <w:qFormat/>
    <w:uiPriority w:val="0"/>
    <w:pPr>
      <w:spacing w:line="360" w:lineRule="auto"/>
      <w:ind w:left="1800" w:firstLine="578"/>
      <w:jc w:val="center"/>
    </w:pPr>
    <w:rPr>
      <w:rFonts w:ascii="Times New Roman" w:hAnsi="Times New Roman" w:eastAsia="黑体" w:cs="Times New Roman"/>
      <w:kern w:val="2"/>
      <w:sz w:val="21"/>
      <w:szCs w:val="24"/>
      <w:lang w:val="en-US" w:eastAsia="zh-CN" w:bidi="ar-SA"/>
    </w:rPr>
  </w:style>
  <w:style w:type="paragraph" w:customStyle="1" w:styleId="289">
    <w:name w:val="插图"/>
    <w:basedOn w:val="25"/>
    <w:autoRedefine/>
    <w:qFormat/>
    <w:uiPriority w:val="0"/>
    <w:pPr>
      <w:tabs>
        <w:tab w:val="left" w:pos="425"/>
      </w:tabs>
      <w:spacing w:beforeLines="0" w:afterLines="0" w:line="240" w:lineRule="auto"/>
      <w:jc w:val="center"/>
    </w:pPr>
    <w:rPr>
      <w:rFonts w:cs="Times New Roman"/>
      <w:sz w:val="21"/>
      <w:szCs w:val="21"/>
    </w:rPr>
  </w:style>
  <w:style w:type="character" w:customStyle="1" w:styleId="290">
    <w:name w:val="纯文本 字符1"/>
    <w:link w:val="25"/>
    <w:autoRedefine/>
    <w:qFormat/>
    <w:uiPriority w:val="0"/>
    <w:rPr>
      <w:rFonts w:ascii="宋体" w:hAnsi="Courier New" w:cs="Courier New"/>
      <w:sz w:val="24"/>
      <w:szCs w:val="24"/>
    </w:rPr>
  </w:style>
  <w:style w:type="paragraph" w:customStyle="1" w:styleId="291">
    <w:name w:val="模板普通正文"/>
    <w:basedOn w:val="20"/>
    <w:autoRedefine/>
    <w:qFormat/>
    <w:uiPriority w:val="0"/>
    <w:pPr>
      <w:spacing w:beforeLines="50" w:line="360" w:lineRule="auto"/>
      <w:ind w:left="0" w:leftChars="0" w:firstLine="490" w:firstLineChars="175"/>
      <w:jc w:val="left"/>
    </w:pPr>
    <w:rPr>
      <w:sz w:val="24"/>
    </w:rPr>
  </w:style>
  <w:style w:type="paragraph" w:customStyle="1" w:styleId="292">
    <w:name w:val="p0"/>
    <w:basedOn w:val="1"/>
    <w:autoRedefine/>
    <w:qFormat/>
    <w:uiPriority w:val="0"/>
    <w:pPr>
      <w:widowControl/>
    </w:pPr>
    <w:rPr>
      <w:rFonts w:ascii="華康辦公用具篇" w:hAnsi="華康辦公用具篇" w:cs="宋体"/>
      <w:kern w:val="0"/>
      <w:szCs w:val="21"/>
    </w:rPr>
  </w:style>
  <w:style w:type="paragraph" w:customStyle="1" w:styleId="293">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olor w:val="000000"/>
      <w:kern w:val="0"/>
      <w:sz w:val="28"/>
      <w:szCs w:val="28"/>
    </w:rPr>
  </w:style>
  <w:style w:type="paragraph" w:customStyle="1" w:styleId="294">
    <w:name w:val="xl29"/>
    <w:basedOn w:val="1"/>
    <w:autoRedefine/>
    <w:qFormat/>
    <w:uiPriority w:val="0"/>
    <w:pPr>
      <w:widowControl/>
      <w:spacing w:before="100" w:beforeAutospacing="1" w:afterAutospacing="1"/>
      <w:jc w:val="left"/>
    </w:pPr>
    <w:rPr>
      <w:rFonts w:ascii="宋体" w:hAnsi="宋体"/>
      <w:kern w:val="0"/>
      <w:sz w:val="28"/>
      <w:szCs w:val="28"/>
    </w:rPr>
  </w:style>
  <w:style w:type="paragraph" w:customStyle="1" w:styleId="295">
    <w:name w:val="Char Char1 Char Char Char Char"/>
    <w:basedOn w:val="17"/>
    <w:autoRedefine/>
    <w:qFormat/>
    <w:uiPriority w:val="0"/>
    <w:pPr>
      <w:spacing w:afterLines="0"/>
      <w:ind w:firstLine="540" w:firstLineChars="0"/>
    </w:pPr>
    <w:rPr>
      <w:rFonts w:eastAsia="仿宋_GB2312"/>
      <w:b/>
      <w:sz w:val="36"/>
      <w:szCs w:val="36"/>
    </w:rPr>
  </w:style>
  <w:style w:type="paragraph" w:customStyle="1" w:styleId="296">
    <w:name w:val="xl44"/>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kern w:val="0"/>
      <w:sz w:val="28"/>
      <w:szCs w:val="28"/>
    </w:rPr>
  </w:style>
  <w:style w:type="paragraph" w:customStyle="1" w:styleId="297">
    <w:name w:val="程序段"/>
    <w:basedOn w:val="1"/>
    <w:autoRedefine/>
    <w:qFormat/>
    <w:uiPriority w:val="0"/>
    <w:pPr>
      <w:ind w:firstLine="420" w:firstLineChars="200"/>
    </w:pPr>
    <w:rPr>
      <w:rFonts w:ascii="Courier" w:hAnsi="Courier"/>
    </w:rPr>
  </w:style>
  <w:style w:type="paragraph" w:customStyle="1" w:styleId="298">
    <w:name w:val="xl52"/>
    <w:basedOn w:val="1"/>
    <w:autoRedefine/>
    <w:qFormat/>
    <w:uiPriority w:val="0"/>
    <w:pPr>
      <w:widowControl/>
      <w:pBdr>
        <w:left w:val="single" w:color="auto" w:sz="8" w:space="0"/>
        <w:right w:val="single" w:color="auto" w:sz="4" w:space="0"/>
      </w:pBdr>
      <w:spacing w:before="100" w:beforeAutospacing="1" w:afterAutospacing="1"/>
      <w:jc w:val="center"/>
    </w:pPr>
    <w:rPr>
      <w:kern w:val="0"/>
      <w:sz w:val="28"/>
      <w:szCs w:val="28"/>
    </w:rPr>
  </w:style>
  <w:style w:type="paragraph" w:customStyle="1" w:styleId="299">
    <w:name w:val="Char Char Char Char Char Char Char Char Char Char 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300">
    <w:name w:val="xl124"/>
    <w:basedOn w:val="1"/>
    <w:autoRedefine/>
    <w:qFormat/>
    <w:uiPriority w:val="0"/>
    <w:pPr>
      <w:widowControl/>
      <w:pBdr>
        <w:top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01">
    <w:name w:val="xl31"/>
    <w:basedOn w:val="1"/>
    <w:autoRedefine/>
    <w:qFormat/>
    <w:uiPriority w:val="0"/>
    <w:pPr>
      <w:widowControl/>
      <w:spacing w:before="100" w:beforeAutospacing="1" w:afterAutospacing="1"/>
      <w:jc w:val="center"/>
    </w:pPr>
    <w:rPr>
      <w:rFonts w:ascii="宋体" w:hAnsi="宋体"/>
      <w:kern w:val="0"/>
      <w:sz w:val="28"/>
      <w:szCs w:val="28"/>
    </w:rPr>
  </w:style>
  <w:style w:type="paragraph" w:customStyle="1" w:styleId="302">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303">
    <w:name w:val="font12"/>
    <w:basedOn w:val="1"/>
    <w:autoRedefine/>
    <w:qFormat/>
    <w:uiPriority w:val="0"/>
    <w:pPr>
      <w:widowControl/>
      <w:spacing w:before="100" w:beforeAutospacing="1" w:afterAutospacing="1"/>
      <w:jc w:val="left"/>
    </w:pPr>
    <w:rPr>
      <w:color w:val="000000"/>
      <w:kern w:val="0"/>
      <w:sz w:val="28"/>
      <w:szCs w:val="28"/>
    </w:rPr>
  </w:style>
  <w:style w:type="paragraph" w:customStyle="1" w:styleId="304">
    <w:name w:val="列出段落3"/>
    <w:basedOn w:val="1"/>
    <w:autoRedefine/>
    <w:qFormat/>
    <w:uiPriority w:val="0"/>
    <w:pPr>
      <w:ind w:firstLine="420" w:firstLineChars="200"/>
    </w:pPr>
    <w:rPr>
      <w:rFonts w:ascii="Calibri" w:hAnsi="Calibri"/>
      <w:szCs w:val="22"/>
    </w:rPr>
  </w:style>
  <w:style w:type="paragraph" w:customStyle="1" w:styleId="305">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b/>
      <w:bCs/>
      <w:kern w:val="0"/>
      <w:sz w:val="20"/>
      <w:szCs w:val="20"/>
    </w:rPr>
  </w:style>
  <w:style w:type="paragraph" w:customStyle="1" w:styleId="306">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07">
    <w:name w:val="xl63"/>
    <w:basedOn w:val="1"/>
    <w:autoRedefine/>
    <w:qFormat/>
    <w:uiPriority w:val="0"/>
    <w:pPr>
      <w:widowControl/>
      <w:pBdr>
        <w:top w:val="single" w:color="auto" w:sz="4" w:space="0"/>
        <w:left w:val="single" w:color="auto" w:sz="4" w:space="0"/>
        <w:bottom w:val="single" w:color="auto" w:sz="4" w:space="0"/>
      </w:pBdr>
      <w:spacing w:before="100" w:beforeAutospacing="1" w:afterAutospacing="1"/>
      <w:jc w:val="right"/>
      <w:textAlignment w:val="center"/>
    </w:pPr>
    <w:rPr>
      <w:rFonts w:ascii="宋体" w:hAnsi="宋体"/>
      <w:kern w:val="0"/>
      <w:sz w:val="28"/>
      <w:szCs w:val="28"/>
    </w:rPr>
  </w:style>
  <w:style w:type="paragraph" w:customStyle="1" w:styleId="308">
    <w:name w:val="xl58"/>
    <w:basedOn w:val="1"/>
    <w:autoRedefine/>
    <w:qFormat/>
    <w:uiPriority w:val="0"/>
    <w:pPr>
      <w:widowControl/>
      <w:spacing w:before="100" w:beforeAutospacing="1" w:afterAutospacing="1"/>
      <w:jc w:val="left"/>
      <w:textAlignment w:val="center"/>
    </w:pPr>
    <w:rPr>
      <w:rFonts w:ascii="宋体" w:hAnsi="宋体"/>
      <w:b/>
      <w:bCs/>
      <w:kern w:val="0"/>
      <w:sz w:val="24"/>
    </w:rPr>
  </w:style>
  <w:style w:type="paragraph" w:customStyle="1" w:styleId="309">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310">
    <w:name w:val="xl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kern w:val="0"/>
      <w:sz w:val="20"/>
      <w:szCs w:val="20"/>
    </w:rPr>
  </w:style>
  <w:style w:type="paragraph" w:customStyle="1" w:styleId="311">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12">
    <w:name w:val="xl24"/>
    <w:basedOn w:val="1"/>
    <w:autoRedefine/>
    <w:qFormat/>
    <w:uiPriority w:val="0"/>
    <w:pPr>
      <w:widowControl/>
      <w:spacing w:before="100" w:beforeAutospacing="1" w:afterAutospacing="1"/>
      <w:jc w:val="center"/>
    </w:pPr>
    <w:rPr>
      <w:rFonts w:ascii="宋体" w:hAnsi="宋体"/>
      <w:kern w:val="0"/>
      <w:sz w:val="24"/>
    </w:rPr>
  </w:style>
  <w:style w:type="paragraph" w:customStyle="1" w:styleId="31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14">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15">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right"/>
      <w:textAlignment w:val="center"/>
    </w:pPr>
    <w:rPr>
      <w:rFonts w:ascii="宋体" w:hAnsi="宋体" w:cs="宋体"/>
      <w:kern w:val="0"/>
      <w:sz w:val="20"/>
      <w:szCs w:val="20"/>
    </w:rPr>
  </w:style>
  <w:style w:type="paragraph" w:customStyle="1" w:styleId="316">
    <w:name w:val="xl92"/>
    <w:basedOn w:val="1"/>
    <w:autoRedefine/>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317">
    <w:name w:val="xl27"/>
    <w:basedOn w:val="1"/>
    <w:autoRedefine/>
    <w:qFormat/>
    <w:uiPriority w:val="0"/>
    <w:pPr>
      <w:widowControl/>
      <w:spacing w:before="100" w:beforeAutospacing="1" w:afterAutospacing="1"/>
      <w:jc w:val="center"/>
    </w:pPr>
    <w:rPr>
      <w:rFonts w:ascii="宋体" w:hAnsi="宋体"/>
      <w:kern w:val="0"/>
      <w:sz w:val="24"/>
    </w:rPr>
  </w:style>
  <w:style w:type="paragraph" w:customStyle="1" w:styleId="318">
    <w:name w:val="xl101"/>
    <w:basedOn w:val="1"/>
    <w:autoRedefine/>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319">
    <w:name w:val="xl120"/>
    <w:basedOn w:val="1"/>
    <w:autoRedefine/>
    <w:qFormat/>
    <w:uiPriority w:val="0"/>
    <w:pPr>
      <w:widowControl/>
      <w:pBdr>
        <w:top w:val="single" w:color="auto" w:sz="4" w:space="0"/>
        <w:left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320">
    <w:name w:val="xl64"/>
    <w:basedOn w:val="1"/>
    <w:autoRedefine/>
    <w:qFormat/>
    <w:uiPriority w:val="0"/>
    <w:pPr>
      <w:widowControl/>
      <w:pBdr>
        <w:top w:val="single" w:color="auto" w:sz="4" w:space="0"/>
        <w:left w:val="single" w:color="auto" w:sz="4" w:space="0"/>
        <w:bottom w:val="single" w:color="auto" w:sz="4" w:space="0"/>
      </w:pBdr>
      <w:shd w:val="clear" w:color="auto" w:fill="FFFFFF"/>
      <w:spacing w:before="100" w:beforeAutospacing="1" w:afterAutospacing="1"/>
      <w:jc w:val="right"/>
      <w:textAlignment w:val="center"/>
    </w:pPr>
    <w:rPr>
      <w:rFonts w:ascii="宋体" w:hAnsi="宋体"/>
      <w:b/>
      <w:bCs/>
      <w:kern w:val="0"/>
      <w:sz w:val="28"/>
      <w:szCs w:val="28"/>
    </w:rPr>
  </w:style>
  <w:style w:type="paragraph" w:customStyle="1" w:styleId="321">
    <w:name w:val="xl99"/>
    <w:basedOn w:val="1"/>
    <w:autoRedefine/>
    <w:qFormat/>
    <w:uiPriority w:val="0"/>
    <w:pPr>
      <w:widowControl/>
      <w:pBdr>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22">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b/>
      <w:bCs/>
      <w:kern w:val="0"/>
      <w:sz w:val="20"/>
      <w:szCs w:val="20"/>
    </w:rPr>
  </w:style>
  <w:style w:type="paragraph" w:customStyle="1" w:styleId="323">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24">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25">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26">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327">
    <w:name w:val="xl28"/>
    <w:basedOn w:val="1"/>
    <w:autoRedefine/>
    <w:qFormat/>
    <w:uiPriority w:val="0"/>
    <w:pPr>
      <w:widowControl/>
      <w:spacing w:before="100" w:beforeAutospacing="1" w:afterAutospacing="1"/>
      <w:jc w:val="center"/>
    </w:pPr>
    <w:rPr>
      <w:kern w:val="0"/>
      <w:sz w:val="28"/>
      <w:szCs w:val="28"/>
    </w:rPr>
  </w:style>
  <w:style w:type="paragraph" w:customStyle="1" w:styleId="328">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29">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30">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31">
    <w:name w:val="xl87"/>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32">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33">
    <w:name w:val="xl115"/>
    <w:basedOn w:val="1"/>
    <w:autoRedefine/>
    <w:qFormat/>
    <w:uiPriority w:val="0"/>
    <w:pPr>
      <w:widowControl/>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334">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35">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36">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37">
    <w:name w:val="xl33"/>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338">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right"/>
      <w:textAlignment w:val="center"/>
    </w:pPr>
    <w:rPr>
      <w:rFonts w:ascii="宋体" w:hAnsi="宋体"/>
      <w:kern w:val="0"/>
      <w:sz w:val="28"/>
      <w:szCs w:val="28"/>
    </w:rPr>
  </w:style>
  <w:style w:type="paragraph" w:customStyle="1" w:styleId="339">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340">
    <w:name w:val="xl60"/>
    <w:basedOn w:val="1"/>
    <w:autoRedefine/>
    <w:qFormat/>
    <w:uiPriority w:val="0"/>
    <w:pPr>
      <w:widowControl/>
      <w:spacing w:before="100" w:beforeAutospacing="1" w:afterAutospacing="1"/>
      <w:jc w:val="center"/>
      <w:textAlignment w:val="center"/>
    </w:pPr>
    <w:rPr>
      <w:rFonts w:ascii="宋体" w:hAnsi="宋体"/>
      <w:kern w:val="0"/>
      <w:sz w:val="24"/>
    </w:rPr>
  </w:style>
  <w:style w:type="paragraph" w:customStyle="1" w:styleId="341">
    <w:name w:val="xl62"/>
    <w:basedOn w:val="1"/>
    <w:autoRedefine/>
    <w:qFormat/>
    <w:uiPriority w:val="0"/>
    <w:pPr>
      <w:widowControl/>
      <w:spacing w:before="100" w:beforeAutospacing="1" w:afterAutospacing="1"/>
      <w:jc w:val="left"/>
      <w:textAlignment w:val="center"/>
    </w:pPr>
    <w:rPr>
      <w:rFonts w:ascii="宋体" w:hAnsi="宋体"/>
      <w:kern w:val="0"/>
      <w:sz w:val="24"/>
    </w:rPr>
  </w:style>
  <w:style w:type="paragraph" w:customStyle="1" w:styleId="342">
    <w:name w:val="table_1stline"/>
    <w:basedOn w:val="1"/>
    <w:autoRedefine/>
    <w:qFormat/>
    <w:uiPriority w:val="0"/>
    <w:pPr>
      <w:widowControl/>
      <w:spacing w:before="120"/>
      <w:jc w:val="left"/>
    </w:pPr>
    <w:rPr>
      <w:rFonts w:eastAsia="MS Mincho"/>
      <w:bCs/>
      <w:kern w:val="0"/>
      <w:sz w:val="20"/>
      <w:szCs w:val="20"/>
      <w:lang w:val="de-DE" w:eastAsia="de-DE"/>
    </w:rPr>
  </w:style>
  <w:style w:type="paragraph" w:customStyle="1" w:styleId="343">
    <w:name w:val="table_lines"/>
    <w:basedOn w:val="1"/>
    <w:autoRedefine/>
    <w:qFormat/>
    <w:uiPriority w:val="0"/>
    <w:pPr>
      <w:widowControl/>
      <w:jc w:val="left"/>
    </w:pPr>
    <w:rPr>
      <w:rFonts w:eastAsia="MS Mincho"/>
      <w:kern w:val="0"/>
      <w:sz w:val="20"/>
      <w:szCs w:val="20"/>
      <w:lang w:val="de-DE" w:eastAsia="de-DE"/>
    </w:rPr>
  </w:style>
  <w:style w:type="character" w:customStyle="1" w:styleId="344">
    <w:name w:val="3zw1"/>
    <w:autoRedefine/>
    <w:qFormat/>
    <w:uiPriority w:val="0"/>
    <w:rPr>
      <w:color w:val="000000"/>
      <w:sz w:val="21"/>
      <w:szCs w:val="21"/>
    </w:rPr>
  </w:style>
  <w:style w:type="paragraph" w:customStyle="1" w:styleId="345">
    <w:name w:val="正文2"/>
    <w:basedOn w:val="1"/>
    <w:link w:val="346"/>
    <w:autoRedefine/>
    <w:qFormat/>
    <w:uiPriority w:val="0"/>
    <w:pPr>
      <w:spacing w:before="156" w:line="360" w:lineRule="auto"/>
      <w:ind w:firstLine="510" w:firstLineChars="200"/>
    </w:pPr>
    <w:rPr>
      <w:rFonts w:ascii="Calibri" w:hAnsi="Calibri"/>
      <w:kern w:val="0"/>
      <w:sz w:val="24"/>
      <w:szCs w:val="20"/>
    </w:rPr>
  </w:style>
  <w:style w:type="character" w:customStyle="1" w:styleId="346">
    <w:name w:val="正文2 Char Char"/>
    <w:link w:val="345"/>
    <w:autoRedefine/>
    <w:qFormat/>
    <w:uiPriority w:val="0"/>
    <w:rPr>
      <w:sz w:val="24"/>
    </w:rPr>
  </w:style>
  <w:style w:type="character" w:customStyle="1" w:styleId="347">
    <w:name w:val="标题 Char1"/>
    <w:autoRedefine/>
    <w:qFormat/>
    <w:uiPriority w:val="10"/>
    <w:rPr>
      <w:rFonts w:ascii="Cambria" w:hAnsi="Cambria" w:eastAsia="宋体" w:cs="Times New Roman"/>
      <w:b/>
      <w:bCs/>
      <w:sz w:val="32"/>
      <w:szCs w:val="32"/>
    </w:rPr>
  </w:style>
  <w:style w:type="character" w:customStyle="1" w:styleId="348">
    <w:name w:val="font101"/>
    <w:autoRedefine/>
    <w:qFormat/>
    <w:uiPriority w:val="0"/>
    <w:rPr>
      <w:rFonts w:hint="default" w:ascii="Times New Roman" w:hAnsi="Times New Roman" w:cs="Times New Roman"/>
      <w:color w:val="000000"/>
      <w:sz w:val="21"/>
      <w:szCs w:val="21"/>
      <w:u w:val="none"/>
    </w:rPr>
  </w:style>
  <w:style w:type="character" w:customStyle="1" w:styleId="349">
    <w:name w:val="页脚 字符"/>
    <w:autoRedefine/>
    <w:qFormat/>
    <w:uiPriority w:val="99"/>
  </w:style>
  <w:style w:type="character" w:customStyle="1" w:styleId="350">
    <w:name w:val="param-name1"/>
    <w:autoRedefine/>
    <w:qFormat/>
    <w:uiPriority w:val="0"/>
    <w:rPr>
      <w:rFonts w:cs="Times New Roman"/>
      <w:b/>
    </w:rPr>
  </w:style>
  <w:style w:type="character" w:customStyle="1" w:styleId="351">
    <w:name w:val="font91"/>
    <w:autoRedefine/>
    <w:qFormat/>
    <w:uiPriority w:val="0"/>
    <w:rPr>
      <w:rFonts w:hint="eastAsia" w:ascii="宋体" w:hAnsi="宋体" w:eastAsia="宋体" w:cs="宋体"/>
      <w:color w:val="000000"/>
      <w:sz w:val="21"/>
      <w:szCs w:val="21"/>
      <w:u w:val="none"/>
    </w:rPr>
  </w:style>
  <w:style w:type="character" w:customStyle="1" w:styleId="352">
    <w:name w:val="font71"/>
    <w:autoRedefine/>
    <w:qFormat/>
    <w:uiPriority w:val="0"/>
    <w:rPr>
      <w:rFonts w:hint="eastAsia" w:ascii="宋体" w:hAnsi="宋体" w:eastAsia="宋体" w:cs="宋体"/>
      <w:color w:val="000000"/>
      <w:sz w:val="21"/>
      <w:szCs w:val="21"/>
      <w:u w:val="none"/>
    </w:rPr>
  </w:style>
  <w:style w:type="character" w:customStyle="1" w:styleId="353">
    <w:name w:val="15"/>
    <w:autoRedefine/>
    <w:qFormat/>
    <w:uiPriority w:val="0"/>
    <w:rPr>
      <w:rFonts w:hint="eastAsia" w:ascii="宋体" w:hAnsi="宋体" w:eastAsia="宋体" w:cs="宋体"/>
      <w:color w:val="000000"/>
      <w:sz w:val="22"/>
      <w:szCs w:val="22"/>
    </w:rPr>
  </w:style>
  <w:style w:type="character" w:customStyle="1" w:styleId="354">
    <w:name w:val="font21"/>
    <w:autoRedefine/>
    <w:qFormat/>
    <w:uiPriority w:val="0"/>
    <w:rPr>
      <w:rFonts w:ascii="Arial" w:hAnsi="Arial" w:cs="Arial"/>
      <w:color w:val="000000"/>
      <w:sz w:val="21"/>
      <w:szCs w:val="21"/>
      <w:u w:val="none"/>
    </w:rPr>
  </w:style>
  <w:style w:type="character" w:customStyle="1" w:styleId="355">
    <w:name w:val="font161"/>
    <w:autoRedefine/>
    <w:qFormat/>
    <w:uiPriority w:val="0"/>
    <w:rPr>
      <w:rFonts w:hint="default" w:ascii="Times New Roman" w:hAnsi="Times New Roman" w:cs="Times New Roman"/>
      <w:color w:val="000000"/>
      <w:sz w:val="18"/>
      <w:szCs w:val="18"/>
      <w:u w:val="none"/>
    </w:rPr>
  </w:style>
  <w:style w:type="character" w:customStyle="1" w:styleId="356">
    <w:name w:val="font41"/>
    <w:autoRedefine/>
    <w:qFormat/>
    <w:uiPriority w:val="0"/>
    <w:rPr>
      <w:rFonts w:hint="eastAsia" w:ascii="宋体" w:hAnsi="宋体" w:eastAsia="宋体" w:cs="宋体"/>
      <w:color w:val="FF0000"/>
      <w:sz w:val="28"/>
      <w:szCs w:val="28"/>
      <w:u w:val="none"/>
    </w:rPr>
  </w:style>
  <w:style w:type="character" w:customStyle="1" w:styleId="357">
    <w:name w:val="apple-converted-space"/>
    <w:basedOn w:val="46"/>
    <w:autoRedefine/>
    <w:qFormat/>
    <w:uiPriority w:val="0"/>
  </w:style>
  <w:style w:type="character" w:customStyle="1" w:styleId="358">
    <w:name w:val="font151"/>
    <w:autoRedefine/>
    <w:qFormat/>
    <w:uiPriority w:val="0"/>
    <w:rPr>
      <w:rFonts w:hint="default" w:ascii="Times New Roman" w:hAnsi="Times New Roman" w:cs="Times New Roman"/>
      <w:color w:val="000000"/>
      <w:sz w:val="21"/>
      <w:szCs w:val="21"/>
      <w:u w:val="none"/>
    </w:rPr>
  </w:style>
  <w:style w:type="paragraph" w:customStyle="1" w:styleId="359">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0">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361">
    <w:name w:val="Body Text First Indent 21"/>
    <w:basedOn w:val="362"/>
    <w:autoRedefine/>
    <w:qFormat/>
    <w:uiPriority w:val="0"/>
    <w:pPr>
      <w:ind w:firstLine="420"/>
    </w:pPr>
    <w:rPr>
      <w:szCs w:val="21"/>
    </w:rPr>
  </w:style>
  <w:style w:type="paragraph" w:customStyle="1" w:styleId="362">
    <w:name w:val="Body Text Indent1"/>
    <w:basedOn w:val="1"/>
    <w:autoRedefine/>
    <w:qFormat/>
    <w:uiPriority w:val="0"/>
    <w:pPr>
      <w:ind w:left="420" w:leftChars="200"/>
    </w:pPr>
  </w:style>
  <w:style w:type="paragraph" w:customStyle="1" w:styleId="363">
    <w:name w:val="项目编号"/>
    <w:basedOn w:val="1"/>
    <w:autoRedefine/>
    <w:qFormat/>
    <w:uiPriority w:val="0"/>
    <w:pPr>
      <w:tabs>
        <w:tab w:val="left" w:pos="1440"/>
      </w:tabs>
      <w:spacing w:line="360" w:lineRule="auto"/>
      <w:ind w:left="735" w:firstLine="200" w:firstLineChars="200"/>
    </w:pPr>
    <w:rPr>
      <w:rFonts w:ascii="仿宋_GB2312" w:eastAsia="仿宋_GB2312"/>
      <w:sz w:val="24"/>
    </w:rPr>
  </w:style>
  <w:style w:type="character" w:customStyle="1" w:styleId="364">
    <w:name w:val="fontstyle01"/>
    <w:autoRedefine/>
    <w:qFormat/>
    <w:uiPriority w:val="0"/>
    <w:rPr>
      <w:rFonts w:hint="eastAsia" w:ascii="宋体" w:hAnsi="宋体" w:eastAsia="宋体"/>
      <w:color w:val="000000"/>
      <w:sz w:val="22"/>
      <w:szCs w:val="22"/>
    </w:rPr>
  </w:style>
  <w:style w:type="paragraph" w:customStyle="1" w:styleId="365">
    <w:name w:val="D&amp;L"/>
    <w:basedOn w:val="30"/>
    <w:autoRedefine/>
    <w:qFormat/>
    <w:uiPriority w:val="0"/>
    <w:pPr>
      <w:pBdr>
        <w:bottom w:val="thinThickSmallGap" w:color="auto" w:sz="18" w:space="1"/>
      </w:pBdr>
      <w:adjustRightInd w:val="0"/>
      <w:snapToGrid/>
      <w:spacing w:line="240" w:lineRule="atLeast"/>
      <w:textAlignment w:val="baseline"/>
    </w:pPr>
    <w:rPr>
      <w:rFonts w:ascii="@仿宋_GB2312" w:hAnsi="@仿宋_GB2312" w:eastAsia="@仿宋_GB2312" w:cs="@仿宋_GB2312"/>
      <w:sz w:val="24"/>
      <w:szCs w:val="20"/>
    </w:rPr>
  </w:style>
  <w:style w:type="character" w:customStyle="1" w:styleId="366">
    <w:name w:val="页眉 字符"/>
    <w:link w:val="30"/>
    <w:autoRedefine/>
    <w:qFormat/>
    <w:uiPriority w:val="99"/>
    <w:rPr>
      <w:sz w:val="18"/>
      <w:szCs w:val="18"/>
    </w:rPr>
  </w:style>
  <w:style w:type="paragraph" w:customStyle="1" w:styleId="367">
    <w:name w:val="Char Char Char Char Char Char Char1 Char"/>
    <w:basedOn w:val="1"/>
    <w:autoRedefine/>
    <w:qFormat/>
    <w:uiPriority w:val="0"/>
    <w:rPr>
      <w:rFonts w:ascii="Arial" w:hAnsi="Arial" w:cs="Arial"/>
      <w:sz w:val="24"/>
      <w:szCs w:val="20"/>
    </w:rPr>
  </w:style>
  <w:style w:type="paragraph" w:customStyle="1" w:styleId="368">
    <w:name w:val="_Style 13"/>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69">
    <w:name w:val="此正文"/>
    <w:basedOn w:val="1"/>
    <w:autoRedefine/>
    <w:qFormat/>
    <w:uiPriority w:val="0"/>
    <w:pPr>
      <w:spacing w:line="360" w:lineRule="auto"/>
      <w:ind w:firstLine="200" w:firstLineChars="200"/>
    </w:pPr>
    <w:rPr>
      <w:sz w:val="24"/>
    </w:rPr>
  </w:style>
  <w:style w:type="paragraph" w:customStyle="1" w:styleId="370">
    <w:name w:val="p20"/>
    <w:basedOn w:val="1"/>
    <w:autoRedefine/>
    <w:qFormat/>
    <w:uiPriority w:val="0"/>
    <w:pPr>
      <w:spacing w:line="360" w:lineRule="auto"/>
    </w:pPr>
    <w:rPr>
      <w:kern w:val="0"/>
      <w:szCs w:val="21"/>
    </w:rPr>
  </w:style>
  <w:style w:type="paragraph" w:customStyle="1" w:styleId="371">
    <w:name w:val="p16"/>
    <w:basedOn w:val="1"/>
    <w:autoRedefine/>
    <w:qFormat/>
    <w:uiPriority w:val="0"/>
    <w:rPr>
      <w:kern w:val="0"/>
      <w:szCs w:val="21"/>
    </w:rPr>
  </w:style>
  <w:style w:type="paragraph" w:customStyle="1" w:styleId="372">
    <w:name w:val="*正文"/>
    <w:basedOn w:val="1"/>
    <w:autoRedefine/>
    <w:qFormat/>
    <w:uiPriority w:val="0"/>
    <w:pPr>
      <w:widowControl/>
      <w:ind w:firstLine="200" w:firstLineChars="200"/>
    </w:pPr>
    <w:rPr>
      <w:rFonts w:ascii="仿宋_GB2312" w:eastAsia="仿宋_GB2312" w:cs="仿宋_GB2312"/>
      <w:sz w:val="24"/>
    </w:rPr>
  </w:style>
  <w:style w:type="paragraph" w:customStyle="1" w:styleId="373">
    <w:name w:val="正文（首行缩进2字符）"/>
    <w:basedOn w:val="1"/>
    <w:autoRedefine/>
    <w:qFormat/>
    <w:uiPriority w:val="0"/>
    <w:pPr>
      <w:snapToGrid w:val="0"/>
      <w:ind w:firstLine="461" w:firstLineChars="192"/>
    </w:pPr>
    <w:rPr>
      <w:kern w:val="0"/>
      <w:sz w:val="24"/>
      <w:szCs w:val="28"/>
    </w:rPr>
  </w:style>
  <w:style w:type="character" w:customStyle="1" w:styleId="374">
    <w:name w:val="列出段落 Char1"/>
    <w:autoRedefine/>
    <w:qFormat/>
    <w:locked/>
    <w:uiPriority w:val="34"/>
    <w:rPr>
      <w:rFonts w:ascii="Times New Roman" w:hAnsi="Times New Roman" w:cs="Times New Roman"/>
      <w:kern w:val="2"/>
      <w:sz w:val="21"/>
      <w:szCs w:val="24"/>
    </w:rPr>
  </w:style>
  <w:style w:type="character" w:customStyle="1" w:styleId="375">
    <w:name w:val="列出段落 字符"/>
    <w:autoRedefine/>
    <w:qFormat/>
    <w:locked/>
    <w:uiPriority w:val="34"/>
    <w:rPr>
      <w:rFonts w:ascii="Calibri" w:hAnsi="Calibri" w:eastAsia="宋体" w:cs="Times New Roman"/>
      <w:kern w:val="2"/>
      <w:sz w:val="21"/>
      <w:szCs w:val="22"/>
    </w:rPr>
  </w:style>
  <w:style w:type="character" w:customStyle="1" w:styleId="376">
    <w:name w:val="正文缩进 字符1"/>
    <w:autoRedefine/>
    <w:qFormat/>
    <w:uiPriority w:val="99"/>
    <w:rPr>
      <w:rFonts w:ascii="Arial" w:hAnsi="Arial" w:eastAsia="宋体" w:cs="Times New Roman"/>
      <w:kern w:val="2"/>
      <w:sz w:val="24"/>
    </w:rPr>
  </w:style>
  <w:style w:type="character" w:customStyle="1" w:styleId="377">
    <w:name w:val="Hyperlink.0"/>
    <w:autoRedefine/>
    <w:qFormat/>
    <w:uiPriority w:val="0"/>
    <w:rPr>
      <w:rFonts w:ascii="宋体" w:hAnsi="宋体" w:eastAsia="宋体" w:cs="宋体"/>
      <w:lang w:val="zh-TW" w:eastAsia="zh-TW"/>
    </w:rPr>
  </w:style>
  <w:style w:type="paragraph" w:customStyle="1" w:styleId="378">
    <w:name w:val="wgy正文"/>
    <w:basedOn w:val="1"/>
    <w:autoRedefine/>
    <w:qFormat/>
    <w:uiPriority w:val="0"/>
    <w:pPr>
      <w:spacing w:line="360" w:lineRule="auto"/>
      <w:ind w:firstLine="200" w:firstLineChars="200"/>
    </w:pPr>
    <w:rPr>
      <w:rFonts w:asciiTheme="minorHAnsi" w:hAnsiTheme="minorHAnsi" w:eastAsiaTheme="minorEastAsia" w:cstheme="minorBidi"/>
      <w:sz w:val="24"/>
      <w:szCs w:val="22"/>
    </w:rPr>
  </w:style>
  <w:style w:type="character" w:customStyle="1" w:styleId="379">
    <w:name w:val="bookmark-item"/>
    <w:basedOn w:val="46"/>
    <w:autoRedefine/>
    <w:qFormat/>
    <w:uiPriority w:val="0"/>
  </w:style>
  <w:style w:type="character" w:customStyle="1" w:styleId="380">
    <w:name w:val="标题 5 Char1"/>
    <w:autoRedefine/>
    <w:qFormat/>
    <w:uiPriority w:val="0"/>
    <w:rPr>
      <w:rFonts w:ascii="Times New Roman" w:hAnsi="Times New Roman" w:eastAsia="宋体" w:cs="Times New Roman"/>
      <w:b/>
      <w:bCs/>
      <w:sz w:val="28"/>
      <w:szCs w:val="28"/>
    </w:rPr>
  </w:style>
  <w:style w:type="character" w:customStyle="1" w:styleId="381">
    <w:name w:val="A2"/>
    <w:autoRedefine/>
    <w:qFormat/>
    <w:uiPriority w:val="0"/>
    <w:rPr>
      <w:rFonts w:cs="宋体"/>
      <w:color w:val="221E1F"/>
      <w:sz w:val="20"/>
      <w:szCs w:val="20"/>
    </w:rPr>
  </w:style>
  <w:style w:type="paragraph" w:customStyle="1" w:styleId="382">
    <w:name w:val="Pa0"/>
    <w:basedOn w:val="1"/>
    <w:next w:val="1"/>
    <w:autoRedefine/>
    <w:qFormat/>
    <w:uiPriority w:val="0"/>
    <w:pPr>
      <w:autoSpaceDE w:val="0"/>
      <w:autoSpaceDN w:val="0"/>
      <w:adjustRightInd w:val="0"/>
      <w:spacing w:line="241" w:lineRule="atLeast"/>
      <w:jc w:val="left"/>
    </w:pPr>
    <w:rPr>
      <w:rFonts w:ascii="宋体"/>
      <w:kern w:val="0"/>
      <w:sz w:val="24"/>
    </w:rPr>
  </w:style>
  <w:style w:type="paragraph" w:customStyle="1" w:styleId="383">
    <w:name w:val="Table Paragraph"/>
    <w:basedOn w:val="1"/>
    <w:autoRedefine/>
    <w:qFormat/>
    <w:uiPriority w:val="1"/>
    <w:pPr>
      <w:autoSpaceDE w:val="0"/>
      <w:autoSpaceDN w:val="0"/>
      <w:jc w:val="left"/>
    </w:pPr>
    <w:rPr>
      <w:rFonts w:ascii="宋体" w:hAnsi="宋体" w:cs="宋体"/>
      <w:kern w:val="0"/>
      <w:sz w:val="22"/>
      <w:szCs w:val="22"/>
      <w:lang w:val="zh-CN" w:bidi="zh-CN"/>
    </w:rPr>
  </w:style>
  <w:style w:type="character" w:customStyle="1" w:styleId="384">
    <w:name w:val="正文文本 字符"/>
    <w:link w:val="2"/>
    <w:autoRedefine/>
    <w:qFormat/>
    <w:uiPriority w:val="0"/>
    <w:rPr>
      <w:sz w:val="28"/>
      <w:szCs w:val="24"/>
    </w:rPr>
  </w:style>
  <w:style w:type="character" w:customStyle="1" w:styleId="385">
    <w:name w:val="标题 7 字符"/>
    <w:link w:val="10"/>
    <w:autoRedefine/>
    <w:qFormat/>
    <w:uiPriority w:val="0"/>
    <w:rPr>
      <w:rFonts w:ascii="Times New Roman" w:hAnsi="Times New Roman"/>
      <w:b/>
      <w:bCs/>
      <w:sz w:val="24"/>
      <w:szCs w:val="24"/>
    </w:rPr>
  </w:style>
  <w:style w:type="character" w:customStyle="1" w:styleId="386">
    <w:name w:val="标题 8 字符"/>
    <w:link w:val="12"/>
    <w:autoRedefine/>
    <w:qFormat/>
    <w:uiPriority w:val="0"/>
    <w:rPr>
      <w:rFonts w:ascii="Arial" w:hAnsi="Arial" w:eastAsia="黑体"/>
      <w:sz w:val="24"/>
      <w:szCs w:val="24"/>
    </w:rPr>
  </w:style>
  <w:style w:type="character" w:customStyle="1" w:styleId="387">
    <w:name w:val="标题 9 字符"/>
    <w:link w:val="13"/>
    <w:autoRedefine/>
    <w:qFormat/>
    <w:uiPriority w:val="0"/>
    <w:rPr>
      <w:rFonts w:ascii="Arial" w:hAnsi="Arial" w:eastAsia="黑体"/>
      <w:szCs w:val="21"/>
    </w:rPr>
  </w:style>
  <w:style w:type="character" w:customStyle="1" w:styleId="388">
    <w:name w:val="正文缩进 字符"/>
    <w:link w:val="15"/>
    <w:autoRedefine/>
    <w:qFormat/>
    <w:uiPriority w:val="0"/>
  </w:style>
  <w:style w:type="character" w:customStyle="1" w:styleId="389">
    <w:name w:val="脚注文本 字符"/>
    <w:link w:val="34"/>
    <w:autoRedefine/>
    <w:semiHidden/>
    <w:qFormat/>
    <w:uiPriority w:val="0"/>
    <w:rPr>
      <w:sz w:val="18"/>
      <w:szCs w:val="24"/>
    </w:rPr>
  </w:style>
  <w:style w:type="character" w:customStyle="1" w:styleId="390">
    <w:name w:val="批注文字 字符"/>
    <w:link w:val="18"/>
    <w:autoRedefine/>
    <w:qFormat/>
    <w:uiPriority w:val="99"/>
    <w:rPr>
      <w:sz w:val="24"/>
      <w:szCs w:val="24"/>
    </w:rPr>
  </w:style>
  <w:style w:type="character" w:customStyle="1" w:styleId="391">
    <w:name w:val="页脚 字符1"/>
    <w:link w:val="29"/>
    <w:autoRedefine/>
    <w:qFormat/>
    <w:uiPriority w:val="99"/>
    <w:rPr>
      <w:sz w:val="18"/>
      <w:szCs w:val="18"/>
    </w:rPr>
  </w:style>
  <w:style w:type="character" w:customStyle="1" w:styleId="392">
    <w:name w:val="题注 字符"/>
    <w:link w:val="16"/>
    <w:autoRedefine/>
    <w:qFormat/>
    <w:uiPriority w:val="35"/>
    <w:rPr>
      <w:rFonts w:ascii="Arial" w:hAnsi="Arial" w:eastAsia="黑体" w:cs="Arial"/>
      <w:kern w:val="2"/>
    </w:rPr>
  </w:style>
  <w:style w:type="character" w:customStyle="1" w:styleId="393">
    <w:name w:val="标题 字符"/>
    <w:link w:val="41"/>
    <w:autoRedefine/>
    <w:qFormat/>
    <w:uiPriority w:val="0"/>
    <w:rPr>
      <w:rFonts w:ascii="Arial" w:hAnsi="Arial" w:eastAsia="仿宋_GB2312"/>
      <w:b/>
      <w:bCs/>
      <w:sz w:val="36"/>
      <w:szCs w:val="32"/>
    </w:rPr>
  </w:style>
  <w:style w:type="character" w:customStyle="1" w:styleId="394">
    <w:name w:val="正文首行缩进 字符"/>
    <w:link w:val="3"/>
    <w:autoRedefine/>
    <w:qFormat/>
    <w:uiPriority w:val="0"/>
    <w:rPr>
      <w:sz w:val="28"/>
      <w:szCs w:val="24"/>
    </w:rPr>
  </w:style>
  <w:style w:type="character" w:customStyle="1" w:styleId="395">
    <w:name w:val="副标题 字符"/>
    <w:link w:val="32"/>
    <w:autoRedefine/>
    <w:qFormat/>
    <w:uiPriority w:val="11"/>
    <w:rPr>
      <w:rFonts w:ascii="Cambria" w:hAnsi="Cambria"/>
      <w:b/>
      <w:bCs/>
      <w:kern w:val="28"/>
      <w:sz w:val="32"/>
      <w:szCs w:val="32"/>
    </w:rPr>
  </w:style>
  <w:style w:type="character" w:customStyle="1" w:styleId="396">
    <w:name w:val="日期 字符"/>
    <w:link w:val="26"/>
    <w:autoRedefine/>
    <w:qFormat/>
    <w:uiPriority w:val="0"/>
    <w:rPr>
      <w:rFonts w:eastAsia="楷体_GB2312"/>
      <w:sz w:val="32"/>
    </w:rPr>
  </w:style>
  <w:style w:type="character" w:customStyle="1" w:styleId="397">
    <w:name w:val="正文文本 2 字符"/>
    <w:link w:val="37"/>
    <w:autoRedefine/>
    <w:qFormat/>
    <w:uiPriority w:val="0"/>
    <w:rPr>
      <w:rFonts w:ascii="宋体" w:hAnsi="宋体"/>
      <w:color w:val="000000"/>
      <w:sz w:val="24"/>
      <w:szCs w:val="24"/>
    </w:rPr>
  </w:style>
  <w:style w:type="character" w:customStyle="1" w:styleId="398">
    <w:name w:val="正文文本 3 字符"/>
    <w:link w:val="19"/>
    <w:autoRedefine/>
    <w:qFormat/>
    <w:uiPriority w:val="0"/>
    <w:rPr>
      <w:rFonts w:hAnsi="宋体" w:eastAsia="仿宋_GB2312"/>
      <w:b/>
      <w:bCs/>
      <w:sz w:val="24"/>
    </w:rPr>
  </w:style>
  <w:style w:type="character" w:customStyle="1" w:styleId="399">
    <w:name w:val="正文文本缩进 2 字符"/>
    <w:link w:val="27"/>
    <w:autoRedefine/>
    <w:qFormat/>
    <w:uiPriority w:val="0"/>
    <w:rPr>
      <w:rFonts w:ascii="仿宋_GB2312" w:hAnsi="宋体" w:cs="Arial"/>
      <w:b/>
      <w:bCs/>
      <w:color w:val="000000"/>
      <w:sz w:val="24"/>
      <w:szCs w:val="24"/>
    </w:rPr>
  </w:style>
  <w:style w:type="character" w:customStyle="1" w:styleId="400">
    <w:name w:val="正文文本缩进 3 字符"/>
    <w:link w:val="35"/>
    <w:autoRedefine/>
    <w:qFormat/>
    <w:uiPriority w:val="0"/>
    <w:rPr>
      <w:rFonts w:ascii="仿宋_GB2312" w:hAnsi="宋体" w:eastAsia="仿宋_GB2312"/>
      <w:color w:val="000000"/>
      <w:sz w:val="24"/>
      <w:szCs w:val="24"/>
    </w:rPr>
  </w:style>
  <w:style w:type="character" w:customStyle="1" w:styleId="401">
    <w:name w:val="普通(网站) 字符"/>
    <w:link w:val="39"/>
    <w:autoRedefine/>
    <w:qFormat/>
    <w:locked/>
    <w:uiPriority w:val="99"/>
    <w:rPr>
      <w:sz w:val="24"/>
      <w:szCs w:val="24"/>
    </w:rPr>
  </w:style>
  <w:style w:type="character" w:customStyle="1" w:styleId="402">
    <w:name w:val="HTML 预设格式 字符"/>
    <w:link w:val="38"/>
    <w:autoRedefine/>
    <w:semiHidden/>
    <w:qFormat/>
    <w:uiPriority w:val="0"/>
    <w:rPr>
      <w:rFonts w:ascii="宋体" w:hAnsi="宋体" w:cs="宋体"/>
      <w:sz w:val="24"/>
      <w:szCs w:val="24"/>
    </w:rPr>
  </w:style>
  <w:style w:type="character" w:customStyle="1" w:styleId="403">
    <w:name w:val="批注主题 字符"/>
    <w:link w:val="42"/>
    <w:autoRedefine/>
    <w:qFormat/>
    <w:uiPriority w:val="99"/>
    <w:rPr>
      <w:b/>
      <w:bCs/>
      <w:sz w:val="24"/>
      <w:szCs w:val="24"/>
    </w:rPr>
  </w:style>
  <w:style w:type="character" w:customStyle="1" w:styleId="404">
    <w:name w:val="批注框文本 字符"/>
    <w:link w:val="28"/>
    <w:autoRedefine/>
    <w:qFormat/>
    <w:uiPriority w:val="99"/>
    <w:rPr>
      <w:sz w:val="16"/>
      <w:szCs w:val="16"/>
    </w:rPr>
  </w:style>
  <w:style w:type="paragraph" w:styleId="405">
    <w:name w:val="List Paragraph"/>
    <w:basedOn w:val="1"/>
    <w:link w:val="406"/>
    <w:autoRedefine/>
    <w:qFormat/>
    <w:uiPriority w:val="34"/>
    <w:pPr>
      <w:ind w:left="420" w:firstLine="420" w:firstLineChars="200"/>
    </w:pPr>
    <w:rPr>
      <w:rFonts w:ascii="Calibri" w:hAnsi="Calibri"/>
      <w:kern w:val="0"/>
      <w:sz w:val="20"/>
      <w:szCs w:val="20"/>
    </w:rPr>
  </w:style>
  <w:style w:type="character" w:customStyle="1" w:styleId="406">
    <w:name w:val="列出段落 字符1"/>
    <w:link w:val="405"/>
    <w:autoRedefine/>
    <w:qFormat/>
    <w:uiPriority w:val="99"/>
  </w:style>
  <w:style w:type="paragraph" w:customStyle="1" w:styleId="407">
    <w:name w:val="修订1"/>
    <w:autoRedefine/>
    <w:hidden/>
    <w:semiHidden/>
    <w:qFormat/>
    <w:uiPriority w:val="99"/>
    <w:rPr>
      <w:rFonts w:ascii="Times New Roman" w:hAnsi="Times New Roman" w:eastAsia="宋体" w:cs="Times New Roman"/>
      <w:kern w:val="2"/>
      <w:sz w:val="21"/>
      <w:szCs w:val="24"/>
      <w:lang w:val="en-US" w:eastAsia="zh-CN" w:bidi="ar-SA"/>
    </w:rPr>
  </w:style>
  <w:style w:type="table" w:customStyle="1" w:styleId="408">
    <w:name w:val="网格型1"/>
    <w:basedOn w:val="44"/>
    <w:autoRedefine/>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09">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410">
    <w:name w:val="修订3"/>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411">
    <w:name w:val="表格1"/>
    <w:basedOn w:val="1"/>
    <w:autoRedefine/>
    <w:qFormat/>
    <w:uiPriority w:val="0"/>
    <w:rPr>
      <w:rFonts w:ascii="仿宋_GB2312"/>
      <w:sz w:val="24"/>
    </w:rPr>
  </w:style>
  <w:style w:type="character" w:customStyle="1" w:styleId="412">
    <w:name w:val="页脚 Char"/>
    <w:autoRedefine/>
    <w:qFormat/>
    <w:uiPriority w:val="99"/>
    <w:rPr>
      <w:kern w:val="2"/>
      <w:sz w:val="18"/>
      <w:szCs w:val="18"/>
    </w:rPr>
  </w:style>
  <w:style w:type="character" w:customStyle="1" w:styleId="413">
    <w:name w:val="纯文本 字符"/>
    <w:autoRedefine/>
    <w:qFormat/>
    <w:uiPriority w:val="99"/>
    <w:rPr>
      <w:rFonts w:ascii="宋体" w:hAnsi="Courier New"/>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宋体"/>
        <a:ea typeface="宋体"/>
        <a:cs typeface=""/>
      </a:majorFont>
      <a:minorFont>
        <a:latin typeface="宋体"/>
        <a:ea typeface="宋体"/>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C19FAF-DE04-4665-A4C3-A32E2A5259E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91</Pages>
  <Words>13023</Words>
  <Characters>74236</Characters>
  <Lines>618</Lines>
  <Paragraphs>174</Paragraphs>
  <TotalTime>82</TotalTime>
  <ScaleCrop>false</ScaleCrop>
  <LinksUpToDate>false</LinksUpToDate>
  <CharactersWithSpaces>87085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2024-02-28T04:08:00Z</dcterms:created>
  <dc:creator>Administrator</dc:creator>
  <cp:lastModifiedBy>Limerence</cp:lastModifiedBy>
  <cp:lastPrinted>2024-03-15T07:50:00Z</cp:lastPrinted>
  <dcterms:modified xsi:type="dcterms:W3CDTF">2024-03-20T01:17:03Z</dcterms:modified>
  <cp:revision>528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039FA0021FE84970A531E19DDC2A05A9_12</vt:lpwstr>
  </property>
  <property fmtid="{D5CDD505-2E9C-101B-9397-08002B2CF9AE}" pid="4" name="MSIP_Label_e340eb20-1c5f-4409-b1a4-85adc943d5d7_Enabled">
    <vt:lpwstr>true</vt:lpwstr>
  </property>
  <property fmtid="{D5CDD505-2E9C-101B-9397-08002B2CF9AE}" pid="5" name="MSIP_Label_e340eb20-1c5f-4409-b1a4-85adc943d5d7_SetDate">
    <vt:lpwstr>2023-09-24T09:48:05Z</vt:lpwstr>
  </property>
  <property fmtid="{D5CDD505-2E9C-101B-9397-08002B2CF9AE}" pid="6" name="MSIP_Label_e340eb20-1c5f-4409-b1a4-85adc943d5d7_Method">
    <vt:lpwstr>Standard</vt:lpwstr>
  </property>
  <property fmtid="{D5CDD505-2E9C-101B-9397-08002B2CF9AE}" pid="7" name="MSIP_Label_e340eb20-1c5f-4409-b1a4-85adc943d5d7_Name">
    <vt:lpwstr>Confidential</vt:lpwstr>
  </property>
  <property fmtid="{D5CDD505-2E9C-101B-9397-08002B2CF9AE}" pid="8" name="MSIP_Label_e340eb20-1c5f-4409-b1a4-85adc943d5d7_SiteId">
    <vt:lpwstr>375ce1b8-8db1-479b-a12c-06fa9d2a2eaf</vt:lpwstr>
  </property>
  <property fmtid="{D5CDD505-2E9C-101B-9397-08002B2CF9AE}" pid="9" name="MSIP_Label_e340eb20-1c5f-4409-b1a4-85adc943d5d7_ActionId">
    <vt:lpwstr>e3795ad9-60d4-4b22-b756-73953596f571</vt:lpwstr>
  </property>
  <property fmtid="{D5CDD505-2E9C-101B-9397-08002B2CF9AE}" pid="10" name="MSIP_Label_e340eb20-1c5f-4409-b1a4-85adc943d5d7_ContentBits">
    <vt:lpwstr>2</vt:lpwstr>
  </property>
</Properties>
</file>