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8"/>
          <w:szCs w:val="48"/>
          <w:highlight w:val="none"/>
        </w:rPr>
      </w:pPr>
    </w:p>
    <w:p>
      <w:pPr>
        <w:rPr>
          <w:color w:val="auto"/>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left"/>
        <w:rPr>
          <w:rFonts w:ascii="宋体" w:hAnsi="宋体" w:cs="宋体"/>
          <w:color w:val="auto"/>
          <w:sz w:val="30"/>
          <w:szCs w:val="30"/>
          <w:highlight w:val="none"/>
        </w:rPr>
      </w:pPr>
    </w:p>
    <w:p>
      <w:pPr>
        <w:pStyle w:val="27"/>
        <w:rPr>
          <w:rFonts w:hAnsi="宋体" w:cs="宋体"/>
          <w:color w:val="auto"/>
          <w:sz w:val="30"/>
          <w:szCs w:val="30"/>
          <w:highlight w:val="none"/>
        </w:rPr>
      </w:pPr>
    </w:p>
    <w:p>
      <w:pPr>
        <w:rPr>
          <w:rFonts w:ascii="宋体" w:hAnsi="宋体" w:cs="宋体"/>
          <w:color w:val="auto"/>
          <w:sz w:val="30"/>
          <w:szCs w:val="30"/>
          <w:highlight w:val="none"/>
        </w:rPr>
      </w:pPr>
    </w:p>
    <w:p>
      <w:pPr>
        <w:pStyle w:val="27"/>
        <w:rPr>
          <w:color w:val="auto"/>
          <w:highlight w:val="none"/>
        </w:rPr>
      </w:pPr>
    </w:p>
    <w:p>
      <w:pPr>
        <w:snapToGrid w:val="0"/>
        <w:spacing w:line="360" w:lineRule="auto"/>
        <w:jc w:val="left"/>
        <w:rPr>
          <w:rFonts w:ascii="宋体" w:hAnsi="宋体" w:cs="宋体"/>
          <w:color w:val="auto"/>
          <w:sz w:val="30"/>
          <w:szCs w:val="30"/>
          <w:highlight w:val="none"/>
        </w:rPr>
      </w:pPr>
    </w:p>
    <w:p>
      <w:pPr>
        <w:snapToGrid w:val="0"/>
        <w:spacing w:line="360" w:lineRule="auto"/>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项目编号：CBNB-20241094G   </w:t>
      </w:r>
    </w:p>
    <w:p>
      <w:pPr>
        <w:snapToGrid w:val="0"/>
        <w:spacing w:line="360" w:lineRule="auto"/>
        <w:jc w:val="left"/>
        <w:rPr>
          <w:rFonts w:ascii="宋体" w:hAnsi="宋体" w:cs="宋体"/>
          <w:color w:val="auto"/>
          <w:sz w:val="30"/>
          <w:szCs w:val="30"/>
          <w:highlight w:val="none"/>
        </w:rPr>
      </w:pPr>
      <w:r>
        <w:rPr>
          <w:rFonts w:hint="eastAsia" w:ascii="宋体" w:hAnsi="宋体" w:cs="宋体"/>
          <w:color w:val="auto"/>
          <w:sz w:val="30"/>
          <w:szCs w:val="30"/>
          <w:highlight w:val="none"/>
        </w:rPr>
        <w:t>项目名称：宁波市临床病理诊断中心精准医学检测外包服务采购项目</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采购人：宁波市临床病理诊断中心</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采购代理机构：宁波中基国际招标有限公司</w:t>
      </w:r>
    </w:p>
    <w:p>
      <w:pPr>
        <w:snapToGrid w:val="0"/>
        <w:spacing w:line="360" w:lineRule="auto"/>
        <w:jc w:val="center"/>
        <w:rPr>
          <w:rFonts w:ascii="宋体" w:hAnsi="宋体" w:cs="宋体"/>
          <w:bCs/>
          <w:color w:val="auto"/>
          <w:sz w:val="32"/>
          <w:szCs w:val="32"/>
          <w:highlight w:val="none"/>
        </w:rPr>
      </w:pP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二〇二四年三月</w:t>
      </w:r>
    </w:p>
    <w:p>
      <w:pPr>
        <w:rPr>
          <w:rFonts w:ascii="宋体" w:hAnsi="宋体" w:cs="宋体"/>
          <w:color w:val="auto"/>
          <w:sz w:val="24"/>
          <w:highlight w:val="none"/>
        </w:rPr>
      </w:pPr>
      <w:r>
        <w:rPr>
          <w:rFonts w:hint="eastAsia" w:ascii="宋体" w:hAnsi="宋体" w:cs="宋体"/>
          <w:color w:val="auto"/>
          <w:sz w:val="24"/>
          <w:highlight w:val="none"/>
        </w:rPr>
        <w:br w:type="page"/>
      </w:r>
    </w:p>
    <w:p>
      <w:pPr>
        <w:spacing w:line="360" w:lineRule="auto"/>
        <w:ind w:firstLine="482" w:firstLineChars="100"/>
        <w:rPr>
          <w:rFonts w:ascii="宋体" w:hAnsi="宋体" w:cs="宋体"/>
          <w:b/>
          <w:color w:val="auto"/>
          <w:sz w:val="48"/>
          <w:szCs w:val="48"/>
          <w:highlight w:val="none"/>
        </w:rPr>
      </w:pPr>
      <w:bookmarkStart w:id="0" w:name="_Hlt67893495"/>
      <w:bookmarkEnd w:id="0"/>
    </w:p>
    <w:p>
      <w:pPr>
        <w:spacing w:line="360" w:lineRule="auto"/>
        <w:ind w:firstLine="3855" w:firstLineChars="800"/>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color w:val="auto"/>
          <w:highlight w:val="none"/>
        </w:rPr>
        <w:id w:val="147454320"/>
        <w:docPartObj>
          <w:docPartGallery w:val="Table of Contents"/>
          <w:docPartUnique/>
        </w:docPartObj>
      </w:sdtPr>
      <w:sdtEndPr>
        <w:rPr>
          <w:rFonts w:ascii="宋体" w:hAnsi="宋体" w:cs="宋体"/>
          <w:color w:val="auto"/>
          <w:szCs w:val="32"/>
          <w:highlight w:val="none"/>
        </w:rPr>
      </w:sdtEndPr>
      <w:sdtContent>
        <w:p>
          <w:pPr>
            <w:jc w:val="center"/>
            <w:rPr>
              <w:color w:val="auto"/>
              <w:highlight w:val="none"/>
            </w:rPr>
          </w:pPr>
        </w:p>
        <w:p>
          <w:pPr>
            <w:pStyle w:val="45"/>
            <w:tabs>
              <w:tab w:val="right" w:leader="dot" w:pos="9070"/>
            </w:tabs>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"_Toc9238" </w:instrText>
          </w:r>
          <w:r>
            <w:rPr>
              <w:color w:val="auto"/>
              <w:highlight w:val="none"/>
            </w:rPr>
            <w:fldChar w:fldCharType="separate"/>
          </w:r>
          <w:r>
            <w:rPr>
              <w:rFonts w:hint="eastAsia" w:ascii="宋体" w:hAnsi="宋体" w:cs="宋体"/>
              <w:color w:val="auto"/>
              <w:sz w:val="32"/>
              <w:szCs w:val="32"/>
              <w:highlight w:val="none"/>
            </w:rPr>
            <w:t>第一部分  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_Toc9238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5"/>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"_Toc29691"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_Toc29691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5"/>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"_Toc26044" </w:instrText>
          </w:r>
          <w:r>
            <w:rPr>
              <w:color w:val="auto"/>
              <w:highlight w:val="none"/>
            </w:rPr>
            <w:fldChar w:fldCharType="separate"/>
          </w:r>
          <w:r>
            <w:rPr>
              <w:rFonts w:hint="eastAsia" w:ascii="宋体" w:hAnsi="宋体" w:cs="宋体"/>
              <w:color w:val="auto"/>
              <w:sz w:val="32"/>
              <w:szCs w:val="32"/>
              <w:highlight w:val="none"/>
            </w:rPr>
            <w:t>第三部分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_Toc26044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24</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5"/>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"_Toc18651" </w:instrText>
          </w:r>
          <w:r>
            <w:rPr>
              <w:color w:val="auto"/>
              <w:highlight w:val="none"/>
            </w:rPr>
            <w:fldChar w:fldCharType="separate"/>
          </w:r>
          <w:r>
            <w:rPr>
              <w:rFonts w:hint="eastAsia" w:ascii="宋体" w:hAnsi="宋体" w:cs="宋体"/>
              <w:color w:val="auto"/>
              <w:sz w:val="32"/>
              <w:szCs w:val="32"/>
              <w:highlight w:val="none"/>
            </w:rPr>
            <w:t>第四部分  评标办法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_Toc18651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lang w:val="en-US" w:eastAsia="zh-CN"/>
            </w:rPr>
            <w:t>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5"/>
            <w:tabs>
              <w:tab w:val="right" w:leader="dot" w:pos="9070"/>
            </w:tabs>
            <w:spacing w:line="360" w:lineRule="auto"/>
            <w:rPr>
              <w:rFonts w:hint="default" w:ascii="宋体" w:hAnsi="宋体" w:eastAsia="宋体" w:cs="宋体"/>
              <w:color w:val="auto"/>
              <w:sz w:val="32"/>
              <w:szCs w:val="32"/>
              <w:highlight w:val="none"/>
              <w:lang w:val="en-US" w:eastAsia="zh-CN"/>
            </w:rPr>
          </w:pPr>
          <w:r>
            <w:rPr>
              <w:color w:val="auto"/>
              <w:highlight w:val="none"/>
            </w:rPr>
            <w:fldChar w:fldCharType="begin"/>
          </w:r>
          <w:r>
            <w:rPr>
              <w:color w:val="auto"/>
              <w:highlight w:val="none"/>
            </w:rPr>
            <w:instrText xml:space="preserve"> HYPERLINK \l "_Toc8264" </w:instrText>
          </w:r>
          <w:r>
            <w:rPr>
              <w:color w:val="auto"/>
              <w:highlight w:val="none"/>
            </w:rPr>
            <w:fldChar w:fldCharType="separate"/>
          </w:r>
          <w:r>
            <w:rPr>
              <w:rFonts w:hint="eastAsia" w:ascii="宋体" w:hAnsi="宋体" w:cs="宋体"/>
              <w:color w:val="auto"/>
              <w:sz w:val="32"/>
              <w:szCs w:val="32"/>
              <w:highlight w:val="none"/>
            </w:rPr>
            <w:t>第五部分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40</w:t>
          </w:r>
        </w:p>
        <w:p>
          <w:pPr>
            <w:pStyle w:val="45"/>
            <w:tabs>
              <w:tab w:val="right" w:leader="dot" w:pos="9070"/>
            </w:tabs>
            <w:spacing w:line="360" w:lineRule="auto"/>
            <w:rPr>
              <w:rFonts w:hint="eastAsia" w:ascii="宋体" w:hAnsi="宋体" w:eastAsia="宋体" w:cs="宋体"/>
              <w:color w:val="auto"/>
              <w:sz w:val="32"/>
              <w:szCs w:val="32"/>
              <w:highlight w:val="none"/>
              <w:lang w:val="en-US" w:eastAsia="zh-CN"/>
            </w:rPr>
          </w:pPr>
          <w:r>
            <w:rPr>
              <w:color w:val="auto"/>
              <w:highlight w:val="none"/>
            </w:rPr>
            <w:fldChar w:fldCharType="begin"/>
          </w:r>
          <w:r>
            <w:rPr>
              <w:color w:val="auto"/>
              <w:highlight w:val="none"/>
            </w:rPr>
            <w:instrText xml:space="preserve"> HYPERLINK \l "_Toc22993" </w:instrText>
          </w:r>
          <w:r>
            <w:rPr>
              <w:color w:val="auto"/>
              <w:highlight w:val="none"/>
            </w:rPr>
            <w:fldChar w:fldCharType="separate"/>
          </w: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_Toc22993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3</w:t>
          </w:r>
        </w:p>
        <w:p>
          <w:pPr>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fldChar w:fldCharType="end"/>
          </w:r>
        </w:p>
      </w:sdtContent>
    </w:sdt>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bookmarkEnd w:id="2"/>
    <w:p>
      <w:pPr>
        <w:rPr>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pPr>
        <w:adjustRightInd/>
        <w:spacing w:line="360" w:lineRule="auto"/>
        <w:ind w:firstLine="3253" w:firstLineChars="900"/>
        <w:outlineLvl w:val="0"/>
        <w:rPr>
          <w:rFonts w:ascii="宋体" w:hAnsi="宋体" w:cs="宋体"/>
          <w:b/>
          <w:color w:val="auto"/>
          <w:sz w:val="36"/>
          <w:szCs w:val="20"/>
          <w:highlight w:val="none"/>
        </w:rPr>
      </w:pPr>
      <w:bookmarkStart w:id="10" w:name="_Toc9238"/>
    </w:p>
    <w:p>
      <w:pPr>
        <w:adjustRightInd/>
        <w:spacing w:line="360" w:lineRule="auto"/>
        <w:ind w:firstLine="3253" w:firstLineChars="9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10"/>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（宁波市临床病理诊断中心精准医学检测外包服务采购项目）</w:t>
      </w:r>
      <w:r>
        <w:rPr>
          <w:rFonts w:hint="eastAsia" w:asciiTheme="minorEastAsia" w:hAnsiTheme="minorEastAsia" w:eastAsiaTheme="minorEastAsia"/>
          <w:color w:val="auto"/>
          <w:sz w:val="24"/>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2024</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4</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19</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点00分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36" w:lineRule="auto"/>
        <w:ind w:firstLine="480"/>
        <w:rPr>
          <w:rFonts w:ascii="宋体" w:hAnsi="宋体" w:cs="宋体"/>
          <w:bCs/>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CBNB-20241094G</w:t>
      </w:r>
    </w:p>
    <w:p>
      <w:pPr>
        <w:spacing w:line="336" w:lineRule="auto"/>
        <w:ind w:firstLine="480"/>
        <w:rPr>
          <w:rFonts w:ascii="宋体" w:hAnsi="宋体" w:cs="宋体"/>
          <w:bCs/>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宁波市临床病理诊断中心精准医学检测外包服务采购项目</w:t>
      </w:r>
    </w:p>
    <w:p>
      <w:pPr>
        <w:spacing w:line="336"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rPr>
        <w:t>20,000,000.00</w:t>
      </w:r>
    </w:p>
    <w:p>
      <w:pPr>
        <w:spacing w:line="336" w:lineRule="auto"/>
        <w:ind w:firstLine="480"/>
        <w:rPr>
          <w:rFonts w:ascii="宋体" w:hAnsi="宋体" w:cs="宋体"/>
          <w:bCs/>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标项一</w:t>
      </w:r>
      <w:r>
        <w:rPr>
          <w:rFonts w:hint="eastAsia" w:ascii="宋体" w:hAnsi="宋体" w:cs="宋体"/>
          <w:snapToGrid w:val="0"/>
          <w:color w:val="auto"/>
          <w:kern w:val="28"/>
          <w:sz w:val="24"/>
          <w:szCs w:val="20"/>
          <w:highlight w:val="none"/>
        </w:rPr>
        <w:t>9,500,000.00、</w:t>
      </w:r>
      <w:r>
        <w:rPr>
          <w:rFonts w:hint="eastAsia" w:ascii="宋体" w:hAnsi="宋体" w:cs="宋体"/>
          <w:bCs/>
          <w:color w:val="auto"/>
          <w:sz w:val="24"/>
          <w:highlight w:val="none"/>
        </w:rPr>
        <w:t>标项二</w:t>
      </w:r>
      <w:r>
        <w:rPr>
          <w:rFonts w:hint="eastAsia" w:ascii="宋体" w:hAnsi="宋体" w:cs="宋体"/>
          <w:snapToGrid w:val="0"/>
          <w:color w:val="auto"/>
          <w:kern w:val="28"/>
          <w:sz w:val="24"/>
          <w:szCs w:val="20"/>
          <w:highlight w:val="none"/>
        </w:rPr>
        <w:t>5,000,000.00、</w:t>
      </w:r>
      <w:r>
        <w:rPr>
          <w:rFonts w:hint="eastAsia" w:ascii="宋体" w:hAnsi="宋体" w:cs="宋体"/>
          <w:bCs/>
          <w:color w:val="auto"/>
          <w:sz w:val="24"/>
          <w:highlight w:val="none"/>
        </w:rPr>
        <w:t>标项三2,4</w:t>
      </w:r>
      <w:r>
        <w:rPr>
          <w:rFonts w:hint="eastAsia" w:ascii="宋体" w:hAnsi="宋体" w:cs="宋体"/>
          <w:snapToGrid w:val="0"/>
          <w:color w:val="auto"/>
          <w:kern w:val="28"/>
          <w:sz w:val="24"/>
          <w:szCs w:val="20"/>
          <w:highlight w:val="none"/>
        </w:rPr>
        <w:t>00,000.00、标项四1,500,000.00、标项五500,000.00、标项六300,000.00、标项七800,000.00</w:t>
      </w:r>
    </w:p>
    <w:p>
      <w:pPr>
        <w:pStyle w:val="8"/>
        <w:spacing w:line="336" w:lineRule="auto"/>
        <w:ind w:firstLine="480"/>
        <w:rPr>
          <w:rFonts w:hAnsi="宋体" w:cs="宋体"/>
          <w:b/>
          <w:color w:val="auto"/>
          <w:sz w:val="24"/>
          <w:highlight w:val="none"/>
        </w:rPr>
      </w:pPr>
      <w:r>
        <w:rPr>
          <w:rFonts w:hint="eastAsia" w:hAnsi="宋体" w:cs="宋体"/>
          <w:b/>
          <w:color w:val="auto"/>
          <w:sz w:val="24"/>
          <w:highlight w:val="none"/>
        </w:rPr>
        <w:t>采购需求：</w:t>
      </w:r>
    </w:p>
    <w:p>
      <w:pPr>
        <w:spacing w:line="360" w:lineRule="auto"/>
        <w:ind w:left="210" w:leftChars="100" w:firstLine="480"/>
        <w:rPr>
          <w:rFonts w:ascii="宋体" w:hAnsi="宋体" w:cs="宋体"/>
          <w:snapToGrid w:val="0"/>
          <w:color w:val="auto"/>
          <w:kern w:val="28"/>
          <w:sz w:val="24"/>
          <w:szCs w:val="20"/>
          <w:highlight w:val="none"/>
        </w:rPr>
      </w:pP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标项一：个体化基因检测（NGS）-1</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数量：1批</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预算金额（元）：9500000.00</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简要规格描述或项目基本概况介绍、用途：泛癌肿、胸部肿瘤、泌尿系统肿瘤、妇科系统肿瘤、血液系统肿瘤等实体肿瘤基因检测，包括组织和血液标本；详见招标文件。</w:t>
      </w:r>
    </w:p>
    <w:p>
      <w:pPr>
        <w:spacing w:line="360" w:lineRule="auto"/>
        <w:ind w:left="210" w:leftChars="100" w:firstLine="480"/>
        <w:rPr>
          <w:rFonts w:ascii="宋体" w:hAnsi="宋体" w:cs="宋体" w:eastAsiaTheme="minorEastAsia"/>
          <w:snapToGrid w:val="0"/>
          <w:color w:val="auto"/>
          <w:kern w:val="28"/>
          <w:sz w:val="24"/>
          <w:szCs w:val="20"/>
          <w:highlight w:val="none"/>
        </w:rPr>
      </w:pPr>
      <w:r>
        <w:rPr>
          <w:rFonts w:hint="eastAsia" w:ascii="宋体" w:hAnsi="宋体" w:cs="宋体"/>
          <w:snapToGrid w:val="0"/>
          <w:color w:val="auto"/>
          <w:kern w:val="28"/>
          <w:sz w:val="24"/>
          <w:szCs w:val="20"/>
          <w:highlight w:val="none"/>
        </w:rPr>
        <w:t>备注：</w:t>
      </w:r>
      <w:r>
        <w:rPr>
          <w:rFonts w:hint="eastAsia" w:asciiTheme="minorEastAsia" w:hAnsiTheme="minorEastAsia" w:eastAsiaTheme="minorEastAsia"/>
          <w:color w:val="auto"/>
          <w:sz w:val="24"/>
          <w:highlight w:val="none"/>
        </w:rPr>
        <w:t>服务期限为自合同生效之日起预算金额使用完毕止。</w:t>
      </w:r>
    </w:p>
    <w:p>
      <w:pPr>
        <w:spacing w:line="360" w:lineRule="auto"/>
        <w:ind w:left="210" w:leftChars="100" w:firstLine="480"/>
        <w:rPr>
          <w:rFonts w:ascii="宋体" w:hAnsi="宋体" w:cs="宋体"/>
          <w:snapToGrid w:val="0"/>
          <w:color w:val="auto"/>
          <w:kern w:val="28"/>
          <w:sz w:val="24"/>
          <w:szCs w:val="20"/>
          <w:highlight w:val="none"/>
        </w:rPr>
      </w:pP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标项二：个体化基因检测（NGS）-2</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数量：1批</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预算金额（元）：5000000.00</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简要规格描述或项目基本概况介绍、用途：泛实体瘤、肺癌、消化系统肿瘤、卵巢癌等肿瘤基因检测，包括组织和血液标本；详见招标文件。</w:t>
      </w:r>
    </w:p>
    <w:p>
      <w:pPr>
        <w:pStyle w:val="132"/>
        <w:spacing w:before="0" w:line="336" w:lineRule="auto"/>
        <w:ind w:firstLine="720" w:firstLineChars="300"/>
        <w:rPr>
          <w:rFonts w:asciiTheme="minorEastAsia" w:hAnsiTheme="minorEastAsia" w:eastAsiaTheme="minorEastAsia"/>
          <w:color w:val="auto"/>
          <w:szCs w:val="24"/>
          <w:highlight w:val="none"/>
        </w:rPr>
      </w:pPr>
      <w:r>
        <w:rPr>
          <w:rFonts w:hint="eastAsia" w:ascii="宋体" w:hAnsi="宋体" w:cs="宋体"/>
          <w:snapToGrid w:val="0"/>
          <w:color w:val="auto"/>
          <w:kern w:val="28"/>
          <w:highlight w:val="none"/>
        </w:rPr>
        <w:t>备注：</w:t>
      </w:r>
      <w:r>
        <w:rPr>
          <w:rFonts w:hint="eastAsia" w:asciiTheme="minorEastAsia" w:hAnsiTheme="minorEastAsia" w:eastAsiaTheme="minorEastAsia"/>
          <w:color w:val="auto"/>
          <w:szCs w:val="24"/>
          <w:highlight w:val="none"/>
        </w:rPr>
        <w:t>服务期限为自合同生效之日起预算金额使用完毕止。</w:t>
      </w:r>
    </w:p>
    <w:p>
      <w:pPr>
        <w:spacing w:line="360" w:lineRule="auto"/>
        <w:ind w:left="210" w:leftChars="100" w:firstLine="480"/>
        <w:rPr>
          <w:rFonts w:ascii="宋体" w:hAnsi="宋体" w:cs="宋体"/>
          <w:snapToGrid w:val="0"/>
          <w:color w:val="auto"/>
          <w:kern w:val="28"/>
          <w:sz w:val="24"/>
          <w:szCs w:val="20"/>
          <w:highlight w:val="none"/>
        </w:rPr>
      </w:pP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标项三：个体化基因检测（NGS）-3</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数量：1批</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预算金额（元）：2400000.00</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简要规格描述或项目基本概况介绍、用途：泛癌肿、遗传性肿瘤、妇科肿瘤等实体肿瘤基因检测，包括组织和血液标本；详见招标文件。</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备注：服务期限为自合同生效之日起预算金额使用完毕止。</w:t>
      </w:r>
    </w:p>
    <w:p>
      <w:pPr>
        <w:spacing w:line="360" w:lineRule="auto"/>
        <w:ind w:left="210" w:leftChars="100" w:firstLine="480"/>
        <w:rPr>
          <w:rFonts w:ascii="宋体" w:hAnsi="宋体" w:cs="宋体"/>
          <w:snapToGrid w:val="0"/>
          <w:color w:val="auto"/>
          <w:kern w:val="28"/>
          <w:sz w:val="24"/>
          <w:szCs w:val="20"/>
          <w:highlight w:val="none"/>
        </w:rPr>
      </w:pP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标项四：个体化基因检测（NGS）-4</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数量：1批</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预算金额（元）：1500000.00</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简要规格描述或项目基本概况介绍、用途：泛实体瘤、胸部肿瘤、甲状腺癌等实体肿瘤基因检测，包括组织和血液标本；详见招标文件。</w:t>
      </w:r>
    </w:p>
    <w:p>
      <w:pPr>
        <w:spacing w:line="360" w:lineRule="auto"/>
        <w:ind w:left="210" w:leftChars="100" w:firstLine="480"/>
        <w:rPr>
          <w:rFonts w:asciiTheme="minorEastAsia" w:hAnsiTheme="minorEastAsia" w:eastAsiaTheme="minorEastAsia"/>
          <w:color w:val="auto"/>
          <w:sz w:val="24"/>
          <w:highlight w:val="none"/>
        </w:rPr>
      </w:pPr>
      <w:r>
        <w:rPr>
          <w:rFonts w:hint="eastAsia" w:ascii="宋体" w:hAnsi="宋体" w:cs="宋体"/>
          <w:snapToGrid w:val="0"/>
          <w:color w:val="auto"/>
          <w:kern w:val="28"/>
          <w:sz w:val="24"/>
          <w:szCs w:val="20"/>
          <w:highlight w:val="none"/>
        </w:rPr>
        <w:t>备注：</w:t>
      </w:r>
      <w:r>
        <w:rPr>
          <w:rFonts w:hint="eastAsia" w:asciiTheme="minorEastAsia" w:hAnsiTheme="minorEastAsia" w:eastAsiaTheme="minorEastAsia"/>
          <w:color w:val="auto"/>
          <w:sz w:val="24"/>
          <w:highlight w:val="none"/>
        </w:rPr>
        <w:t>服务期限为自合同生效之日起预算金额使用完毕止。</w:t>
      </w:r>
    </w:p>
    <w:p>
      <w:pPr>
        <w:rPr>
          <w:rFonts w:asciiTheme="minorEastAsia" w:hAnsiTheme="minorEastAsia" w:eastAsiaTheme="minorEastAsia"/>
          <w:color w:val="auto"/>
          <w:sz w:val="24"/>
          <w:highlight w:val="none"/>
        </w:rPr>
      </w:pP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标项五：脑肿瘤NGS</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数量：1批</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预算金额（元）：500000.00</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简要规格描述或项目基本概况介绍、用途：脑部肿瘤相关靶向基因、免疫治疗、用药指导基因检测，包括组织和血液标本；详见招标文件。</w:t>
      </w:r>
    </w:p>
    <w:p>
      <w:pPr>
        <w:spacing w:line="360" w:lineRule="auto"/>
        <w:ind w:left="210" w:leftChars="100" w:firstLine="480"/>
        <w:rPr>
          <w:rFonts w:asciiTheme="minorEastAsia" w:hAnsiTheme="minorEastAsia" w:eastAsiaTheme="minorEastAsia"/>
          <w:color w:val="auto"/>
          <w:sz w:val="24"/>
          <w:highlight w:val="none"/>
        </w:rPr>
      </w:pPr>
      <w:r>
        <w:rPr>
          <w:rFonts w:hint="eastAsia" w:ascii="宋体" w:hAnsi="宋体" w:cs="宋体"/>
          <w:snapToGrid w:val="0"/>
          <w:color w:val="auto"/>
          <w:kern w:val="28"/>
          <w:sz w:val="24"/>
          <w:szCs w:val="20"/>
          <w:highlight w:val="none"/>
        </w:rPr>
        <w:t>备注：</w:t>
      </w:r>
      <w:r>
        <w:rPr>
          <w:rFonts w:hint="eastAsia" w:asciiTheme="minorEastAsia" w:hAnsiTheme="minorEastAsia" w:eastAsiaTheme="minorEastAsia"/>
          <w:color w:val="auto"/>
          <w:sz w:val="24"/>
          <w:highlight w:val="none"/>
        </w:rPr>
        <w:t>服务期限为自合同生效之日起预算金额使用完毕止。</w:t>
      </w:r>
    </w:p>
    <w:p>
      <w:pPr>
        <w:rPr>
          <w:rFonts w:asciiTheme="minorEastAsia" w:hAnsiTheme="minorEastAsia" w:eastAsiaTheme="minorEastAsia"/>
          <w:color w:val="auto"/>
          <w:sz w:val="24"/>
          <w:highlight w:val="none"/>
        </w:rPr>
      </w:pP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标项六：一代测序及PCR</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数量：1批</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预算金额（元）：300000.00</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简要规格描述或项目基本概况介绍、用途：肿瘤组织一代测序及PCR检测，包括组织和血液标本；详见招标文件。</w:t>
      </w:r>
    </w:p>
    <w:p>
      <w:pPr>
        <w:spacing w:line="360" w:lineRule="auto"/>
        <w:ind w:left="210" w:leftChars="100" w:firstLine="480"/>
        <w:rPr>
          <w:rFonts w:asciiTheme="minorEastAsia" w:hAnsiTheme="minorEastAsia" w:eastAsiaTheme="minorEastAsia"/>
          <w:color w:val="auto"/>
          <w:sz w:val="24"/>
          <w:highlight w:val="none"/>
        </w:rPr>
      </w:pPr>
      <w:r>
        <w:rPr>
          <w:rFonts w:hint="eastAsia" w:ascii="宋体" w:hAnsi="宋体" w:cs="宋体"/>
          <w:snapToGrid w:val="0"/>
          <w:color w:val="auto"/>
          <w:kern w:val="28"/>
          <w:sz w:val="24"/>
          <w:szCs w:val="20"/>
          <w:highlight w:val="none"/>
        </w:rPr>
        <w:t>备注：</w:t>
      </w:r>
      <w:r>
        <w:rPr>
          <w:rFonts w:hint="eastAsia" w:asciiTheme="minorEastAsia" w:hAnsiTheme="minorEastAsia" w:eastAsiaTheme="minorEastAsia"/>
          <w:color w:val="auto"/>
          <w:sz w:val="24"/>
          <w:highlight w:val="none"/>
        </w:rPr>
        <w:t>服务期限为自合同生效之日起预算金额使用完毕止。</w:t>
      </w:r>
    </w:p>
    <w:p>
      <w:pPr>
        <w:rPr>
          <w:rFonts w:asciiTheme="minorEastAsia" w:hAnsiTheme="minorEastAsia" w:eastAsiaTheme="minorEastAsia"/>
          <w:color w:val="auto"/>
          <w:sz w:val="24"/>
          <w:highlight w:val="none"/>
        </w:rPr>
      </w:pP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标项七：科研相关NGS</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数量：1批</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预算金额（元）：800000.00</w:t>
      </w:r>
    </w:p>
    <w:p>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简要规格描述或项目基本概况介绍、用途：科研标本</w:t>
      </w:r>
      <w:r>
        <w:rPr>
          <w:rFonts w:hint="eastAsia" w:ascii="宋体" w:hAnsi="宋体" w:cs="宋体"/>
          <w:snapToGrid w:val="0"/>
          <w:color w:val="auto"/>
          <w:kern w:val="28"/>
          <w:sz w:val="24"/>
          <w:szCs w:val="20"/>
          <w:highlight w:val="none"/>
          <w:lang w:val="en-US" w:eastAsia="zh-CN"/>
        </w:rPr>
        <w:t>泛实体瘤全基因</w:t>
      </w:r>
      <w:r>
        <w:rPr>
          <w:rFonts w:hint="eastAsia" w:ascii="宋体" w:hAnsi="宋体" w:cs="宋体"/>
          <w:snapToGrid w:val="0"/>
          <w:color w:val="auto"/>
          <w:kern w:val="28"/>
          <w:sz w:val="24"/>
          <w:szCs w:val="20"/>
          <w:highlight w:val="none"/>
        </w:rPr>
        <w:t>NGS检测（DNA检测、RNA检测和DNA+RNA联合检测）；详见招标文件。</w:t>
      </w:r>
    </w:p>
    <w:p>
      <w:pPr>
        <w:spacing w:line="360" w:lineRule="auto"/>
        <w:ind w:left="210" w:leftChars="100" w:firstLine="480"/>
        <w:rPr>
          <w:color w:val="auto"/>
          <w:highlight w:val="none"/>
        </w:rPr>
      </w:pPr>
      <w:r>
        <w:rPr>
          <w:rFonts w:hint="eastAsia" w:ascii="宋体" w:hAnsi="宋体" w:cs="宋体"/>
          <w:snapToGrid w:val="0"/>
          <w:color w:val="auto"/>
          <w:kern w:val="28"/>
          <w:sz w:val="24"/>
          <w:szCs w:val="20"/>
          <w:highlight w:val="none"/>
        </w:rPr>
        <w:t>备注：</w:t>
      </w:r>
      <w:r>
        <w:rPr>
          <w:rFonts w:hint="eastAsia" w:asciiTheme="minorEastAsia" w:hAnsiTheme="minorEastAsia" w:eastAsiaTheme="minorEastAsia"/>
          <w:color w:val="auto"/>
          <w:sz w:val="24"/>
          <w:highlight w:val="none"/>
        </w:rPr>
        <w:t>服务期限为自合同生效之日起预算金额使用完毕止。</w:t>
      </w:r>
    </w:p>
    <w:p>
      <w:pPr>
        <w:pStyle w:val="132"/>
        <w:spacing w:before="0" w:line="336" w:lineRule="auto"/>
        <w:ind w:firstLine="482"/>
        <w:rPr>
          <w:rFonts w:ascii="宋体" w:hAnsi="宋体" w:cs="宋体"/>
          <w:b/>
          <w:color w:val="auto"/>
          <w:highlight w:val="none"/>
        </w:rPr>
      </w:pPr>
    </w:p>
    <w:p>
      <w:pPr>
        <w:pStyle w:val="132"/>
        <w:spacing w:before="0" w:line="336" w:lineRule="auto"/>
        <w:ind w:firstLine="48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标项一、二、三、四、五、六、七，</w:t>
      </w:r>
      <w:r>
        <w:rPr>
          <w:rFonts w:hint="eastAsia" w:ascii="宋体" w:hAnsi="宋体" w:cs="宋体"/>
          <w:b w:val="0"/>
          <w:bCs/>
          <w:color w:val="auto"/>
          <w:highlight w:val="none"/>
        </w:rPr>
        <w:t>自合同签订生效后开始至双方合同义务完全履行后截止</w:t>
      </w:r>
      <w:r>
        <w:rPr>
          <w:rFonts w:hint="eastAsia" w:ascii="宋体" w:hAnsi="宋体" w:cs="宋体"/>
          <w:b w:val="0"/>
          <w:bCs/>
          <w:snapToGrid w:val="0"/>
          <w:color w:val="auto"/>
          <w:kern w:val="28"/>
          <w:highlight w:val="none"/>
        </w:rPr>
        <w:t>。</w:t>
      </w:r>
      <w:bookmarkStart w:id="412" w:name="_GoBack"/>
      <w:bookmarkEnd w:id="412"/>
    </w:p>
    <w:p>
      <w:pPr>
        <w:pStyle w:val="8"/>
        <w:spacing w:line="336" w:lineRule="auto"/>
        <w:ind w:firstLine="480"/>
        <w:rPr>
          <w:rFonts w:hAnsi="宋体" w:cs="宋体"/>
          <w:color w:val="auto"/>
          <w:kern w:val="0"/>
          <w:sz w:val="24"/>
          <w:highlight w:val="none"/>
        </w:rPr>
      </w:pP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接受联合体投标</w:t>
      </w:r>
      <w:r>
        <w:rPr>
          <w:rFonts w:hint="eastAsia" w:hAnsi="宋体" w:cs="宋体"/>
          <w:color w:val="auto"/>
          <w:kern w:val="0"/>
          <w:sz w:val="24"/>
          <w:highlight w:val="none"/>
        </w:rPr>
        <w:t>。</w:t>
      </w:r>
    </w:p>
    <w:p>
      <w:pP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适用于所有标项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pPr>
        <w:spacing w:line="336"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36"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2.落实政府采购政策需满足的资格要求：无。</w:t>
      </w:r>
    </w:p>
    <w:p>
      <w:pPr>
        <w:widowControl/>
        <w:adjustRightInd/>
        <w:spacing w:line="336"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3.本项目的特定资格要求：无</w:t>
      </w:r>
      <w:r>
        <w:rPr>
          <w:rFonts w:hint="eastAsia" w:ascii="宋体" w:hAnsi="宋体"/>
          <w:color w:val="auto"/>
          <w:kern w:val="0"/>
          <w:sz w:val="24"/>
          <w:highlight w:val="none"/>
        </w:rPr>
        <w:t>。</w:t>
      </w:r>
    </w:p>
    <w:p>
      <w:pP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36"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Cs/>
          <w:color w:val="auto"/>
          <w:sz w:val="24"/>
          <w:highlight w:val="none"/>
        </w:rPr>
        <w:t>2024年</w:t>
      </w:r>
      <w:r>
        <w:rPr>
          <w:rFonts w:hint="eastAsia" w:cs="宋体" w:asciiTheme="minorEastAsia" w:hAnsiTheme="minorEastAsia" w:eastAsiaTheme="minorEastAsia"/>
          <w:bCs/>
          <w:color w:val="auto"/>
          <w:sz w:val="24"/>
          <w:highlight w:val="none"/>
          <w:lang w:val="en-US" w:eastAsia="zh-CN"/>
        </w:rPr>
        <w:t>3</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29</w:t>
      </w:r>
      <w:r>
        <w:rPr>
          <w:rFonts w:hint="eastAsia" w:cs="宋体" w:asciiTheme="minorEastAsia" w:hAnsiTheme="minorEastAsia" w:eastAsiaTheme="minorEastAsia"/>
          <w:bCs/>
          <w:color w:val="auto"/>
          <w:sz w:val="24"/>
          <w:highlight w:val="none"/>
        </w:rPr>
        <w:t>日至2024年</w:t>
      </w:r>
      <w:r>
        <w:rPr>
          <w:rFonts w:hint="eastAsia" w:cs="宋体" w:asciiTheme="minorEastAsia" w:hAnsiTheme="minorEastAsia" w:eastAsiaTheme="minorEastAsia"/>
          <w:bCs/>
          <w:color w:val="auto"/>
          <w:sz w:val="24"/>
          <w:highlight w:val="none"/>
          <w:lang w:val="en-US" w:eastAsia="zh-CN"/>
        </w:rPr>
        <w:t>4</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8</w:t>
      </w:r>
      <w:r>
        <w:rPr>
          <w:rFonts w:hint="eastAsia" w:cs="宋体" w:asciiTheme="minorEastAsia" w:hAnsiTheme="minorEastAsia" w:eastAsiaTheme="minorEastAsia"/>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每天上午00:00至12:00，下午12:00至23:59（北京时间，线上获取法定节假日均可）</w:t>
      </w:r>
    </w:p>
    <w:p>
      <w:pPr>
        <w:spacing w:line="336"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36"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供应商登录政采云平台https://www.zcygov.cn/在线申请获取招标文件（进入“项目采购”应用，在获取招标文件菜单中选择项目，申请获取招标文件）。 </w:t>
      </w:r>
    </w:p>
    <w:p>
      <w:pPr>
        <w:spacing w:line="336"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pP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36"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4月19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点00分00秒</w:t>
      </w:r>
      <w:r>
        <w:rPr>
          <w:rFonts w:hint="eastAsia" w:ascii="宋体" w:hAnsi="宋体" w:cs="宋体"/>
          <w:color w:val="auto"/>
          <w:sz w:val="24"/>
          <w:highlight w:val="none"/>
        </w:rPr>
        <w:t>（北京时间）</w:t>
      </w:r>
    </w:p>
    <w:p>
      <w:pP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pPr>
        <w:spacing w:line="336"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点00分00秒</w:t>
      </w:r>
    </w:p>
    <w:p>
      <w:pPr>
        <w:spacing w:line="336"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pPr>
        <w:spacing w:line="336"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36"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36"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2.其他事项：</w:t>
      </w:r>
    </w:p>
    <w:p>
      <w:pPr>
        <w:spacing w:line="336"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（1）需要落实的政府采购政策：包括节约资源、保护环境、支持创新、促进中小企业发展等。详见招标文件的第二部分总则。</w:t>
      </w:r>
    </w:p>
    <w:p>
      <w:pPr>
        <w:spacing w:line="336"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36"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（3）招标文件公告期限与招标公告的公告期限一致。</w:t>
      </w:r>
    </w:p>
    <w:p>
      <w:pP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名称：宁波市临床病理诊断中心  　　　　　</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地址：浙江省宁波市江北区环城北路东段685号   　　　　　</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传真：/</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项目联系人（询问）：陈玲</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w:t>
      </w:r>
      <w:r>
        <w:rPr>
          <w:rFonts w:ascii="宋体" w:hAnsi="宋体" w:cs="宋体"/>
          <w:color w:val="auto"/>
          <w:sz w:val="24"/>
          <w:highlight w:val="none"/>
        </w:rPr>
        <w:t>0574-87651188</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质疑联系人：丁华新</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ascii="宋体" w:hAnsi="宋体" w:cs="宋体"/>
          <w:color w:val="auto"/>
          <w:sz w:val="24"/>
          <w:highlight w:val="none"/>
        </w:rPr>
        <w:t>0574-87651188</w:t>
      </w:r>
    </w:p>
    <w:p>
      <w:pPr>
        <w:spacing w:line="336" w:lineRule="auto"/>
        <w:ind w:firstLine="480"/>
        <w:rPr>
          <w:rFonts w:ascii="宋体" w:hAnsi="宋体" w:cs="宋体"/>
          <w:color w:val="auto"/>
          <w:sz w:val="24"/>
          <w:highlight w:val="none"/>
        </w:rPr>
      </w:pP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2.采购代理机构信息</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名称：宁波中基国际招标有限公司</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地址：宁波市鄞州区天童南路666号中基大厦19楼</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传真：0574-87425386</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项目联系人（询问）：王鸯鸯</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项目联系方式（询问）：0574-88090157</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质疑联系人：徐承</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质疑联系方式：0574-87425387</w:t>
      </w:r>
    </w:p>
    <w:p>
      <w:pPr>
        <w:spacing w:line="336" w:lineRule="auto"/>
        <w:ind w:firstLine="480"/>
        <w:rPr>
          <w:rFonts w:ascii="宋体" w:hAnsi="宋体" w:cs="宋体"/>
          <w:color w:val="auto"/>
          <w:sz w:val="24"/>
          <w:highlight w:val="none"/>
        </w:rPr>
      </w:pP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 xml:space="preserve">名称：宁波市政府采购管理办公室             </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地址：宁波市海曙区中山西路19号            </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 xml:space="preserve">传真：/           </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联系人：李老师</w:t>
      </w: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 xml:space="preserve">投诉电话：0574-89388042 </w:t>
      </w:r>
    </w:p>
    <w:p>
      <w:pPr>
        <w:spacing w:line="336" w:lineRule="auto"/>
        <w:ind w:firstLine="480"/>
        <w:rPr>
          <w:rFonts w:ascii="宋体" w:hAnsi="宋体" w:cs="宋体"/>
          <w:color w:val="auto"/>
          <w:sz w:val="24"/>
          <w:highlight w:val="none"/>
        </w:rPr>
      </w:pPr>
    </w:p>
    <w:p>
      <w:pPr>
        <w:spacing w:line="336"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tabs>
          <w:tab w:val="left" w:pos="432"/>
        </w:tabs>
        <w:rPr>
          <w:rFonts w:ascii="宋体"/>
          <w:snapToGrid w:val="0"/>
          <w:color w:val="auto"/>
          <w:highlight w:val="none"/>
        </w:rPr>
      </w:pPr>
    </w:p>
    <w:p>
      <w:pPr>
        <w:adjustRightInd/>
        <w:spacing w:line="360" w:lineRule="auto"/>
        <w:jc w:val="center"/>
        <w:outlineLvl w:val="0"/>
        <w:rPr>
          <w:rFonts w:ascii="宋体" w:hAnsi="宋体" w:cs="宋体"/>
          <w:b/>
          <w:color w:val="auto"/>
          <w:sz w:val="36"/>
          <w:szCs w:val="20"/>
          <w:highlight w:val="none"/>
        </w:rPr>
      </w:pPr>
      <w:bookmarkStart w:id="12" w:name="_Toc29691"/>
    </w:p>
    <w:p>
      <w:pPr>
        <w:adjustRightInd/>
        <w:spacing w:line="360" w:lineRule="auto"/>
        <w:jc w:val="center"/>
        <w:outlineLvl w:val="0"/>
        <w:rPr>
          <w:rFonts w:ascii="宋体" w:hAnsi="宋体" w:cs="宋体"/>
          <w:b/>
          <w:color w:val="auto"/>
          <w:sz w:val="36"/>
          <w:szCs w:val="20"/>
          <w:highlight w:val="none"/>
        </w:rPr>
      </w:pPr>
    </w:p>
    <w:p>
      <w:pPr>
        <w:adjustRightInd/>
        <w:spacing w:line="360" w:lineRule="auto"/>
        <w:jc w:val="center"/>
        <w:outlineLvl w:val="0"/>
        <w:rPr>
          <w:rFonts w:ascii="宋体" w:hAnsi="宋体" w:cs="宋体"/>
          <w:b/>
          <w:color w:val="auto"/>
          <w:sz w:val="36"/>
          <w:szCs w:val="20"/>
          <w:highlight w:val="none"/>
        </w:rPr>
      </w:pP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供应商须知</w:t>
      </w:r>
      <w:bookmarkEnd w:id="8"/>
      <w:bookmarkEnd w:id="12"/>
    </w:p>
    <w:p>
      <w:pPr>
        <w:adjustRightInd/>
        <w:spacing w:line="360" w:lineRule="auto"/>
        <w:ind w:firstLine="3845" w:firstLineChars="1197"/>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79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5640"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1</w:t>
            </w:r>
          </w:p>
        </w:tc>
        <w:tc>
          <w:tcPr>
            <w:tcW w:w="279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5640" w:type="dxa"/>
            <w:vAlign w:val="center"/>
          </w:tcPr>
          <w:p>
            <w:pPr>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2</w:t>
            </w:r>
          </w:p>
        </w:tc>
        <w:tc>
          <w:tcPr>
            <w:tcW w:w="279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640" w:type="dxa"/>
            <w:vAlign w:val="center"/>
          </w:tcPr>
          <w:p>
            <w:pPr>
              <w:snapToGrid w:val="0"/>
              <w:rPr>
                <w:rFonts w:ascii="宋体" w:hAnsi="宋体" w:cs="宋体"/>
                <w:color w:val="auto"/>
                <w:kern w:val="0"/>
                <w:sz w:val="24"/>
                <w:highlight w:val="none"/>
              </w:rPr>
            </w:pPr>
            <w:r>
              <w:rPr>
                <w:rFonts w:hint="eastAsia" w:ascii="宋体" w:hAnsi="宋体" w:cs="宋体"/>
                <w:color w:val="auto"/>
                <w:kern w:val="0"/>
                <w:sz w:val="24"/>
                <w:highlight w:val="none"/>
              </w:rPr>
              <w:t>标项一标的：</w:t>
            </w:r>
            <w:r>
              <w:rPr>
                <w:rFonts w:hint="eastAsia" w:ascii="宋体" w:hAnsi="宋体" w:cs="宋体"/>
                <w:color w:val="auto"/>
                <w:kern w:val="0"/>
                <w:sz w:val="24"/>
                <w:highlight w:val="none"/>
                <w:u w:val="single"/>
              </w:rPr>
              <w:t>个体化基因检测（NGS）-1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pPr>
              <w:pStyle w:val="2"/>
              <w:spacing w:after="0"/>
              <w:ind w:left="0" w:leftChars="0" w:firstLine="0" w:firstLineChars="0"/>
              <w:rPr>
                <w:rFonts w:cs="宋体"/>
                <w:color w:val="auto"/>
                <w:kern w:val="0"/>
                <w:sz w:val="24"/>
                <w:highlight w:val="none"/>
              </w:rPr>
            </w:pPr>
            <w:r>
              <w:rPr>
                <w:rFonts w:hint="eastAsia" w:cs="宋体"/>
                <w:color w:val="auto"/>
                <w:kern w:val="0"/>
                <w:sz w:val="24"/>
                <w:highlight w:val="none"/>
              </w:rPr>
              <w:t>标项二标的：</w:t>
            </w:r>
            <w:r>
              <w:rPr>
                <w:rFonts w:hint="eastAsia" w:cs="宋体"/>
                <w:color w:val="auto"/>
                <w:kern w:val="0"/>
                <w:sz w:val="24"/>
                <w:highlight w:val="none"/>
                <w:u w:val="single"/>
              </w:rPr>
              <w:t>个体化基因检测（NGS）-2</w:t>
            </w:r>
            <w:r>
              <w:rPr>
                <w:rFonts w:hint="eastAsia" w:cs="宋体"/>
                <w:color w:val="auto"/>
                <w:kern w:val="0"/>
                <w:sz w:val="24"/>
                <w:highlight w:val="none"/>
              </w:rPr>
              <w:t>，属于</w:t>
            </w:r>
            <w:r>
              <w:rPr>
                <w:rFonts w:hint="eastAsia" w:cs="宋体"/>
                <w:color w:val="auto"/>
                <w:kern w:val="0"/>
                <w:sz w:val="24"/>
                <w:highlight w:val="none"/>
                <w:u w:val="single"/>
              </w:rPr>
              <w:t>其他未列明行业</w:t>
            </w:r>
            <w:r>
              <w:rPr>
                <w:rFonts w:hint="eastAsia" w:cs="宋体"/>
                <w:color w:val="auto"/>
                <w:kern w:val="0"/>
                <w:sz w:val="24"/>
                <w:highlight w:val="none"/>
              </w:rPr>
              <w:t>；</w:t>
            </w:r>
          </w:p>
          <w:p>
            <w:pPr>
              <w:snapToGrid w:val="0"/>
              <w:rPr>
                <w:rFonts w:ascii="宋体" w:hAnsi="宋体" w:cs="宋体"/>
                <w:color w:val="auto"/>
                <w:kern w:val="0"/>
                <w:sz w:val="24"/>
                <w:highlight w:val="none"/>
              </w:rPr>
            </w:pPr>
            <w:r>
              <w:rPr>
                <w:rFonts w:hint="eastAsia" w:ascii="宋体" w:hAnsi="宋体" w:cs="宋体"/>
                <w:color w:val="auto"/>
                <w:kern w:val="0"/>
                <w:sz w:val="24"/>
                <w:highlight w:val="none"/>
              </w:rPr>
              <w:t>标项三标的：</w:t>
            </w:r>
            <w:r>
              <w:rPr>
                <w:rFonts w:hint="eastAsia" w:ascii="宋体" w:hAnsi="宋体" w:cs="宋体"/>
                <w:color w:val="auto"/>
                <w:kern w:val="0"/>
                <w:sz w:val="24"/>
                <w:highlight w:val="none"/>
                <w:u w:val="single"/>
              </w:rPr>
              <w:t>个体化基因检测（NGS）-3</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标项四标的：</w:t>
            </w:r>
            <w:r>
              <w:rPr>
                <w:rFonts w:hint="eastAsia" w:ascii="宋体" w:hAnsi="宋体" w:cs="宋体"/>
                <w:color w:val="auto"/>
                <w:kern w:val="0"/>
                <w:sz w:val="24"/>
                <w:highlight w:val="none"/>
                <w:u w:val="single"/>
              </w:rPr>
              <w:t>个体化基因检测（NGS）-4</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pPr>
              <w:snapToGrid w:val="0"/>
              <w:rPr>
                <w:rFonts w:ascii="宋体" w:hAnsi="宋体" w:cs="宋体"/>
                <w:color w:val="auto"/>
                <w:kern w:val="0"/>
                <w:sz w:val="24"/>
                <w:highlight w:val="none"/>
              </w:rPr>
            </w:pPr>
            <w:r>
              <w:rPr>
                <w:rFonts w:hint="eastAsia" w:ascii="宋体" w:hAnsi="宋体" w:cs="宋体"/>
                <w:color w:val="auto"/>
                <w:kern w:val="0"/>
                <w:sz w:val="24"/>
                <w:highlight w:val="none"/>
              </w:rPr>
              <w:t>标项五标的：</w:t>
            </w:r>
            <w:r>
              <w:rPr>
                <w:rFonts w:hint="eastAsia" w:ascii="宋体" w:hAnsi="宋体" w:cs="宋体"/>
                <w:color w:val="auto"/>
                <w:kern w:val="0"/>
                <w:sz w:val="24"/>
                <w:highlight w:val="none"/>
                <w:u w:val="single"/>
              </w:rPr>
              <w:t>脑肿瘤NGS</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pPr>
              <w:pStyle w:val="2"/>
              <w:ind w:left="0" w:leftChars="0" w:firstLine="0" w:firstLineChars="0"/>
              <w:rPr>
                <w:color w:val="auto"/>
                <w:highlight w:val="none"/>
              </w:rPr>
            </w:pPr>
            <w:r>
              <w:rPr>
                <w:rFonts w:hint="eastAsia" w:cs="宋体"/>
                <w:color w:val="auto"/>
                <w:kern w:val="0"/>
                <w:sz w:val="24"/>
                <w:highlight w:val="none"/>
              </w:rPr>
              <w:t>标项六标的：</w:t>
            </w:r>
            <w:r>
              <w:rPr>
                <w:rFonts w:hint="eastAsia" w:cs="宋体"/>
                <w:color w:val="auto"/>
                <w:kern w:val="0"/>
                <w:sz w:val="24"/>
                <w:highlight w:val="none"/>
                <w:u w:val="single"/>
              </w:rPr>
              <w:t>一代测序及PCR</w:t>
            </w:r>
            <w:r>
              <w:rPr>
                <w:rFonts w:hint="eastAsia" w:cs="宋体"/>
                <w:color w:val="auto"/>
                <w:kern w:val="0"/>
                <w:sz w:val="24"/>
                <w:highlight w:val="none"/>
              </w:rPr>
              <w:t>，属于</w:t>
            </w:r>
            <w:r>
              <w:rPr>
                <w:rFonts w:hint="eastAsia" w:cs="宋体"/>
                <w:color w:val="auto"/>
                <w:kern w:val="0"/>
                <w:sz w:val="24"/>
                <w:highlight w:val="none"/>
                <w:u w:val="single"/>
              </w:rPr>
              <w:t>其他未列明行业</w:t>
            </w:r>
            <w:r>
              <w:rPr>
                <w:rFonts w:hint="eastAsia" w:cs="宋体"/>
                <w:color w:val="auto"/>
                <w:kern w:val="0"/>
                <w:sz w:val="24"/>
                <w:highlight w:val="none"/>
              </w:rPr>
              <w:t>；标项七标的：</w:t>
            </w:r>
            <w:r>
              <w:rPr>
                <w:rFonts w:hint="eastAsia" w:cs="宋体"/>
                <w:color w:val="auto"/>
                <w:kern w:val="0"/>
                <w:sz w:val="24"/>
                <w:highlight w:val="none"/>
                <w:u w:val="single"/>
              </w:rPr>
              <w:t>科研相关NGS</w:t>
            </w:r>
            <w:r>
              <w:rPr>
                <w:rFonts w:hint="eastAsia" w:cs="宋体"/>
                <w:color w:val="auto"/>
                <w:kern w:val="0"/>
                <w:sz w:val="24"/>
                <w:highlight w:val="none"/>
              </w:rPr>
              <w:t>，属于</w:t>
            </w:r>
            <w:r>
              <w:rPr>
                <w:rFonts w:hint="eastAsia" w:cs="宋体"/>
                <w:color w:val="auto"/>
                <w:kern w:val="0"/>
                <w:sz w:val="24"/>
                <w:highlight w:val="none"/>
                <w:u w:val="single"/>
              </w:rPr>
              <w:t>其他未列明行业</w:t>
            </w:r>
            <w:r>
              <w:rPr>
                <w:rFonts w:hint="eastAsia"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3</w:t>
            </w:r>
          </w:p>
        </w:tc>
        <w:tc>
          <w:tcPr>
            <w:tcW w:w="279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640" w:type="dxa"/>
            <w:vAlign w:val="center"/>
          </w:tcPr>
          <w:p>
            <w:pPr>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本项目不允许采购进口产品。</w:t>
            </w:r>
          </w:p>
          <w:p>
            <w:pPr>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4</w:t>
            </w:r>
          </w:p>
        </w:tc>
        <w:tc>
          <w:tcPr>
            <w:tcW w:w="279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5640" w:type="dxa"/>
            <w:vAlign w:val="center"/>
          </w:tcPr>
          <w:p>
            <w:pPr>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5</w:t>
            </w:r>
          </w:p>
        </w:tc>
        <w:tc>
          <w:tcPr>
            <w:tcW w:w="279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640" w:type="dxa"/>
            <w:vAlign w:val="center"/>
          </w:tcPr>
          <w:p>
            <w:pPr>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6</w:t>
            </w:r>
          </w:p>
        </w:tc>
        <w:tc>
          <w:tcPr>
            <w:tcW w:w="279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5640" w:type="dxa"/>
            <w:vAlign w:val="center"/>
          </w:tcPr>
          <w:p>
            <w:pPr>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7</w:t>
            </w:r>
          </w:p>
        </w:tc>
        <w:tc>
          <w:tcPr>
            <w:tcW w:w="2799" w:type="dxa"/>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5640" w:type="dxa"/>
            <w:vAlign w:val="center"/>
          </w:tcPr>
          <w:p>
            <w:pPr>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rPr>
                <w:rFonts w:ascii="宋体" w:hAnsi="宋体" w:cs="宋体"/>
                <w:color w:val="auto"/>
                <w:kern w:val="0"/>
                <w:sz w:val="24"/>
                <w:highlight w:val="none"/>
              </w:rPr>
            </w:pPr>
            <w:r>
              <w:rPr>
                <w:rFonts w:hint="eastAsia" w:ascii="宋体" w:hAnsi="宋体" w:cs="宋体"/>
                <w:color w:val="auto"/>
                <w:kern w:val="0"/>
                <w:sz w:val="24"/>
                <w:highlight w:val="none"/>
              </w:rPr>
              <w:t>（1）在评标时安排每个供应商进行方案讲解演示。每个供应商时间不超过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rPr>
                <w:rFonts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8</w:t>
            </w:r>
          </w:p>
        </w:tc>
        <w:tc>
          <w:tcPr>
            <w:tcW w:w="2799" w:type="dxa"/>
            <w:vMerge w:val="restart"/>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5640" w:type="dxa"/>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vAlign w:val="center"/>
          </w:tcPr>
          <w:p>
            <w:pPr>
              <w:snapToGrid w:val="0"/>
              <w:jc w:val="center"/>
              <w:rPr>
                <w:rFonts w:ascii="宋体" w:hAnsi="宋体" w:cs="宋体"/>
                <w:b/>
                <w:color w:val="auto"/>
                <w:sz w:val="24"/>
                <w:highlight w:val="none"/>
              </w:rPr>
            </w:pPr>
          </w:p>
        </w:tc>
        <w:tc>
          <w:tcPr>
            <w:tcW w:w="2799" w:type="dxa"/>
            <w:vMerge w:val="continue"/>
            <w:vAlign w:val="center"/>
          </w:tcPr>
          <w:p>
            <w:pPr>
              <w:snapToGrid w:val="0"/>
              <w:jc w:val="center"/>
              <w:rPr>
                <w:rFonts w:ascii="宋体" w:hAnsi="宋体" w:cs="宋体"/>
                <w:b/>
                <w:color w:val="auto"/>
                <w:sz w:val="24"/>
                <w:highlight w:val="none"/>
              </w:rPr>
            </w:pPr>
          </w:p>
        </w:tc>
        <w:tc>
          <w:tcPr>
            <w:tcW w:w="5640" w:type="dxa"/>
            <w:vAlign w:val="center"/>
          </w:tcPr>
          <w:p>
            <w:pPr>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9</w:t>
            </w:r>
          </w:p>
        </w:tc>
        <w:tc>
          <w:tcPr>
            <w:tcW w:w="279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640" w:type="dxa"/>
            <w:vAlign w:val="center"/>
          </w:tcPr>
          <w:p>
            <w:pPr>
              <w:snapToGrid w:val="0"/>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10</w:t>
            </w:r>
          </w:p>
        </w:tc>
        <w:tc>
          <w:tcPr>
            <w:tcW w:w="279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5640" w:type="dxa"/>
            <w:vAlign w:val="center"/>
          </w:tcPr>
          <w:p>
            <w:pPr>
              <w:numPr>
                <w:ilvl w:val="0"/>
                <w:numId w:val="1"/>
              </w:numPr>
              <w:snapToGrid w:val="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pPr>
              <w:numPr>
                <w:ilvl w:val="0"/>
                <w:numId w:val="1"/>
              </w:numPr>
              <w:snapToGrid w:val="0"/>
              <w:jc w:val="left"/>
              <w:rPr>
                <w:rFonts w:ascii="宋体" w:hAnsi="宋体" w:cs="宋体"/>
                <w:b/>
                <w:color w:val="auto"/>
                <w:kern w:val="0"/>
                <w:sz w:val="24"/>
                <w:highlight w:val="none"/>
                <w:lang w:val="zh-CN"/>
              </w:rPr>
            </w:pP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pPr>
              <w:rPr>
                <w:rFonts w:ascii="宋体" w:hAnsi="宋体" w:cs="宋体"/>
                <w:b/>
                <w:bCs/>
                <w:color w:val="auto"/>
                <w:sz w:val="24"/>
                <w:highlight w:val="none"/>
              </w:rPr>
            </w:pPr>
            <w:r>
              <w:rPr>
                <w:rFonts w:hint="eastAsia" w:ascii="宋体" w:hAnsi="宋体" w:cs="宋体"/>
                <w:b/>
                <w:bCs/>
                <w:color w:val="auto"/>
                <w:sz w:val="24"/>
                <w:highlight w:val="none"/>
              </w:rPr>
              <w:t>3、报价要求：</w:t>
            </w:r>
          </w:p>
          <w:p>
            <w:pPr>
              <w:rPr>
                <w:rFonts w:ascii="宋体" w:hAnsi="宋体" w:cs="宋体"/>
                <w:b/>
                <w:bCs/>
                <w:color w:val="auto"/>
                <w:sz w:val="24"/>
                <w:highlight w:val="none"/>
              </w:rPr>
            </w:pPr>
            <w:r>
              <w:rPr>
                <w:rFonts w:hint="eastAsia" w:ascii="宋体" w:hAnsi="宋体" w:cs="宋体"/>
                <w:b/>
                <w:bCs/>
                <w:color w:val="auto"/>
                <w:sz w:val="24"/>
                <w:highlight w:val="none"/>
              </w:rPr>
              <w:t>3.1标项一、标项二、标项三、标项四、标项五、标项六投标报价为服务比例报价。投标人在医疗服务项目价格的基础上报服务比例，采购人根据中标人报出的服务比例向中标人支付产生的收益。</w:t>
            </w:r>
          </w:p>
          <w:p>
            <w:pPr>
              <w:rPr>
                <w:rFonts w:ascii="宋体" w:hAnsi="宋体" w:cs="宋体"/>
                <w:b/>
                <w:bCs/>
                <w:color w:val="auto"/>
                <w:sz w:val="24"/>
                <w:highlight w:val="none"/>
              </w:rPr>
            </w:pPr>
            <w:r>
              <w:rPr>
                <w:rFonts w:hint="eastAsia" w:ascii="宋体" w:hAnsi="宋体" w:cs="宋体"/>
                <w:b/>
                <w:bCs/>
                <w:color w:val="auto"/>
                <w:sz w:val="24"/>
                <w:highlight w:val="none"/>
              </w:rPr>
              <w:t>支付中标人的费用=医疗服务项目价格收费规定的价格×中标服务比例报价（此公式计算结果以“元”为单位，保留到整数位）。</w:t>
            </w:r>
          </w:p>
          <w:p>
            <w:pPr>
              <w:rPr>
                <w:rFonts w:ascii="宋体" w:hAnsi="宋体" w:cs="宋体"/>
                <w:b/>
                <w:bCs/>
                <w:color w:val="auto"/>
                <w:sz w:val="24"/>
                <w:highlight w:val="none"/>
              </w:rPr>
            </w:pPr>
            <w:r>
              <w:rPr>
                <w:rFonts w:hint="eastAsia" w:ascii="宋体" w:hAnsi="宋体" w:cs="宋体"/>
                <w:b/>
                <w:bCs/>
                <w:color w:val="auto"/>
                <w:sz w:val="24"/>
                <w:highlight w:val="none"/>
              </w:rPr>
              <w:t>3.2标项七投标报价为人民币报价，投标人分别报出</w:t>
            </w:r>
          </w:p>
          <w:p>
            <w:pPr>
              <w:rPr>
                <w:rFonts w:ascii="宋体" w:hAnsi="宋体" w:cs="宋体"/>
                <w:b/>
                <w:bCs/>
                <w:color w:val="auto"/>
                <w:sz w:val="24"/>
                <w:highlight w:val="none"/>
              </w:rPr>
            </w:pPr>
            <w:r>
              <w:rPr>
                <w:rFonts w:hint="eastAsia" w:ascii="宋体" w:hAnsi="宋体" w:cs="宋体"/>
                <w:b/>
                <w:bCs/>
                <w:color w:val="auto"/>
                <w:sz w:val="24"/>
                <w:highlight w:val="none"/>
                <w:lang w:val="en-US" w:eastAsia="zh-CN"/>
              </w:rPr>
              <w:t>泛实体瘤</w:t>
            </w:r>
            <w:r>
              <w:rPr>
                <w:rFonts w:hint="eastAsia" w:ascii="宋体" w:hAnsi="宋体" w:cs="宋体"/>
                <w:b/>
                <w:bCs/>
                <w:color w:val="auto"/>
                <w:sz w:val="24"/>
                <w:highlight w:val="none"/>
              </w:rPr>
              <w:t>DNA检测单价、</w:t>
            </w:r>
            <w:r>
              <w:rPr>
                <w:rFonts w:hint="eastAsia" w:ascii="宋体" w:hAnsi="宋体" w:cs="宋体"/>
                <w:b/>
                <w:bCs/>
                <w:color w:val="auto"/>
                <w:sz w:val="24"/>
                <w:highlight w:val="none"/>
                <w:lang w:val="en-US" w:eastAsia="zh-CN"/>
              </w:rPr>
              <w:t>泛实体瘤</w:t>
            </w:r>
            <w:r>
              <w:rPr>
                <w:rFonts w:hint="eastAsia" w:ascii="宋体" w:hAnsi="宋体" w:cs="宋体"/>
                <w:b/>
                <w:bCs/>
                <w:color w:val="auto"/>
                <w:sz w:val="24"/>
                <w:highlight w:val="none"/>
              </w:rPr>
              <w:t>RNA检测单价、</w:t>
            </w:r>
            <w:r>
              <w:rPr>
                <w:rFonts w:hint="eastAsia" w:ascii="宋体" w:hAnsi="宋体" w:cs="宋体"/>
                <w:b/>
                <w:bCs/>
                <w:color w:val="auto"/>
                <w:sz w:val="24"/>
                <w:highlight w:val="none"/>
                <w:lang w:val="en-US" w:eastAsia="zh-CN"/>
              </w:rPr>
              <w:t>泛实体瘤</w:t>
            </w:r>
            <w:r>
              <w:rPr>
                <w:rFonts w:hint="eastAsia" w:ascii="宋体" w:hAnsi="宋体" w:cs="宋体"/>
                <w:b/>
                <w:bCs/>
                <w:color w:val="auto"/>
                <w:sz w:val="24"/>
                <w:highlight w:val="none"/>
              </w:rPr>
              <w:t>DNA+RNA联合检测单价。</w:t>
            </w:r>
          </w:p>
          <w:p>
            <w:pPr>
              <w:rPr>
                <w:rFonts w:hint="eastAsia" w:ascii="宋体" w:hAnsi="宋体" w:cs="宋体"/>
                <w:color w:val="auto"/>
                <w:sz w:val="24"/>
                <w:highlight w:val="none"/>
              </w:rPr>
            </w:pPr>
            <w:r>
              <w:rPr>
                <w:rFonts w:hint="eastAsia" w:ascii="宋体" w:hAnsi="宋体" w:cs="宋体"/>
                <w:color w:val="auto"/>
                <w:sz w:val="24"/>
                <w:highlight w:val="none"/>
                <w:lang w:val="en-US" w:eastAsia="zh-CN"/>
              </w:rPr>
              <w:t>备注：医疗服务项目价格收费规定如有变化的，本项目支付中标人的费用相应调整。</w:t>
            </w:r>
          </w:p>
          <w:p>
            <w:pPr>
              <w:rPr>
                <w:rFonts w:ascii="宋体" w:hAnsi="宋体" w:cs="宋体"/>
                <w:color w:val="auto"/>
                <w:sz w:val="24"/>
                <w:highlight w:val="none"/>
              </w:rPr>
            </w:pPr>
            <w:r>
              <w:rPr>
                <w:rFonts w:hint="eastAsia" w:ascii="宋体" w:hAnsi="宋体" w:cs="宋体"/>
                <w:color w:val="auto"/>
                <w:sz w:val="24"/>
                <w:highlight w:val="none"/>
              </w:rPr>
              <w:t>4、投标报价包括完成本项目服务所发生的全部费用以及投标人的利润、税金、中标服务费及合同包含的所有风险、责任等各项应有费用。</w:t>
            </w:r>
          </w:p>
          <w:p>
            <w:pPr>
              <w:rPr>
                <w:rFonts w:ascii="宋体" w:hAnsi="宋体" w:cs="宋体"/>
                <w:b/>
                <w:bCs/>
                <w:color w:val="auto"/>
                <w:sz w:val="24"/>
                <w:highlight w:val="none"/>
              </w:rPr>
            </w:pPr>
            <w:r>
              <w:rPr>
                <w:rFonts w:hint="eastAsia" w:ascii="宋体" w:hAnsi="宋体" w:cs="宋体"/>
                <w:b/>
                <w:bCs/>
                <w:color w:val="auto"/>
                <w:sz w:val="24"/>
                <w:highlight w:val="none"/>
              </w:rPr>
              <w:t>5、最高限价：</w:t>
            </w:r>
          </w:p>
          <w:p>
            <w:pPr>
              <w:ind w:firstLine="241" w:firstLineChars="100"/>
              <w:rPr>
                <w:rFonts w:ascii="宋体" w:hAns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）标项一、标项二、标项三、标项四、标项五、标项六服务比例最高限价：56%，超出此服务比例的报价，为无效报价处理。</w:t>
            </w:r>
          </w:p>
          <w:p>
            <w:pPr>
              <w:ind w:firstLine="241" w:firstLineChars="100"/>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标项七泛实体瘤</w:t>
            </w:r>
            <w:r>
              <w:rPr>
                <w:rFonts w:hint="eastAsia" w:ascii="宋体" w:hAnsi="宋体" w:cs="宋体"/>
                <w:b/>
                <w:bCs/>
                <w:color w:val="auto"/>
                <w:sz w:val="24"/>
                <w:highlight w:val="none"/>
              </w:rPr>
              <w:t>DNA检测单价最高限价：2500元/人份、</w:t>
            </w:r>
            <w:r>
              <w:rPr>
                <w:rFonts w:hint="eastAsia" w:ascii="宋体" w:hAnsi="宋体" w:cs="宋体"/>
                <w:b/>
                <w:bCs/>
                <w:color w:val="auto"/>
                <w:sz w:val="24"/>
                <w:highlight w:val="none"/>
                <w:lang w:val="en-US" w:eastAsia="zh-CN"/>
              </w:rPr>
              <w:t>泛实体瘤</w:t>
            </w:r>
            <w:r>
              <w:rPr>
                <w:rFonts w:hint="eastAsia" w:ascii="宋体" w:hAnsi="宋体" w:cs="宋体"/>
                <w:b/>
                <w:bCs/>
                <w:color w:val="auto"/>
                <w:sz w:val="24"/>
                <w:highlight w:val="none"/>
              </w:rPr>
              <w:t>RNA检测单价最高限价：3500元/人份、</w:t>
            </w:r>
            <w:r>
              <w:rPr>
                <w:rFonts w:hint="eastAsia" w:ascii="宋体" w:hAnsi="宋体" w:cs="宋体"/>
                <w:b/>
                <w:bCs/>
                <w:color w:val="auto"/>
                <w:sz w:val="24"/>
                <w:highlight w:val="none"/>
                <w:lang w:val="en-US" w:eastAsia="zh-CN"/>
              </w:rPr>
              <w:t>泛实体瘤</w:t>
            </w:r>
            <w:r>
              <w:rPr>
                <w:rFonts w:hint="eastAsia" w:ascii="宋体" w:hAnsi="宋体" w:cs="宋体"/>
                <w:b/>
                <w:bCs/>
                <w:color w:val="auto"/>
                <w:sz w:val="24"/>
                <w:highlight w:val="none"/>
              </w:rPr>
              <w:t>DNA+RNA联合检测单价最高限价：5500元/人份，超出上述单价最高限价的报价，为无效报价处理。</w:t>
            </w:r>
          </w:p>
          <w:p>
            <w:pPr>
              <w:rPr>
                <w:rFonts w:ascii="宋体" w:hAnsi="宋体" w:cs="宋体"/>
                <w:b/>
                <w:bCs/>
                <w:color w:val="auto"/>
                <w:sz w:val="24"/>
                <w:highlight w:val="none"/>
                <w:lang w:val="zh-CN"/>
              </w:rPr>
            </w:pPr>
            <w:r>
              <w:rPr>
                <w:rFonts w:ascii="宋体" w:hAnsi="宋体" w:cs="宋体"/>
                <w:b/>
                <w:bCs/>
                <w:color w:val="auto"/>
                <w:sz w:val="24"/>
                <w:highlight w:val="none"/>
              </w:rPr>
              <w:t>6</w:t>
            </w:r>
            <w:r>
              <w:rPr>
                <w:rFonts w:hint="eastAsia" w:ascii="宋体" w:hAnsi="宋体" w:cs="宋体"/>
                <w:b/>
                <w:bCs/>
                <w:color w:val="auto"/>
                <w:sz w:val="24"/>
                <w:highlight w:val="none"/>
                <w:lang w:val="zh-CN"/>
              </w:rPr>
              <w:t>、投标报价出现下列情形的，投标无效：</w:t>
            </w:r>
          </w:p>
          <w:p>
            <w:pPr>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（1）投标文件出现不是唯一的、有选择性投标报价的；</w:t>
            </w:r>
          </w:p>
          <w:p>
            <w:pPr>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（2）投标报价超过招标文件中规定的预算金额或者最高限价的；</w:t>
            </w:r>
          </w:p>
          <w:p>
            <w:pPr>
              <w:ind w:firstLine="240" w:firstLineChars="100"/>
              <w:rPr>
                <w:rFonts w:ascii="宋体" w:hAnsi="宋体" w:cs="宋体"/>
                <w:color w:val="auto"/>
                <w:sz w:val="24"/>
                <w:highlight w:val="none"/>
              </w:rPr>
            </w:pPr>
            <w:r>
              <w:rPr>
                <w:rFonts w:hint="eastAsia" w:ascii="宋体" w:hAnsi="宋体" w:cs="宋体"/>
                <w:color w:val="auto"/>
                <w:sz w:val="24"/>
                <w:highlight w:val="none"/>
              </w:rPr>
              <w:t>（3）报价明显低于其他通过符合性审查投标人的报价，有可能影响产品质量或者不能诚信履约的，未能按要求提供书面说明或者提交相关证明材料证明其报价合理性的；</w:t>
            </w:r>
          </w:p>
          <w:p>
            <w:pPr>
              <w:ind w:firstLine="240" w:firstLineChars="100"/>
              <w:rPr>
                <w:rFonts w:ascii="宋体" w:hAnsi="宋体" w:cs="宋体"/>
                <w:color w:val="auto"/>
                <w:sz w:val="24"/>
                <w:highlight w:val="none"/>
              </w:rPr>
            </w:pPr>
            <w:r>
              <w:rPr>
                <w:rFonts w:hint="eastAsia" w:ascii="宋体" w:hAnsi="宋体" w:cs="宋体"/>
                <w:color w:val="auto"/>
                <w:sz w:val="24"/>
                <w:highlight w:val="none"/>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11</w:t>
            </w:r>
          </w:p>
        </w:tc>
        <w:tc>
          <w:tcPr>
            <w:tcW w:w="279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5640" w:type="dxa"/>
            <w:vAlign w:val="center"/>
          </w:tcPr>
          <w:p>
            <w:pPr>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12</w:t>
            </w:r>
          </w:p>
        </w:tc>
        <w:tc>
          <w:tcPr>
            <w:tcW w:w="2799"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640" w:type="dxa"/>
            <w:vAlign w:val="center"/>
          </w:tcPr>
          <w:p>
            <w:pPr>
              <w:pStyle w:val="35"/>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供应商可以准备U盘存储的电子备份投标文件1份，按政府采购云平台要求制作的电子备份投标文件，以用于异常情况处理。</w:t>
            </w:r>
          </w:p>
          <w:p>
            <w:pPr>
              <w:pStyle w:val="35"/>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rPr>
              <w:t>中基招标会议中心开标室（宁波市鄞州区天童南路666号中基大厦1楼）</w:t>
            </w:r>
            <w:r>
              <w:rPr>
                <w:rFonts w:hint="eastAsia" w:cs="宋体" w:asciiTheme="minorEastAsia" w:hAnsiTheme="minorEastAsia" w:eastAsiaTheme="minorEastAsia"/>
                <w:color w:val="auto"/>
                <w:kern w:val="28"/>
                <w:sz w:val="24"/>
                <w:szCs w:val="24"/>
                <w:highlight w:val="none"/>
              </w:rPr>
              <w:t>，逾期送达或未密封将予以拒收。</w:t>
            </w:r>
          </w:p>
          <w:p>
            <w:pPr>
              <w:pStyle w:val="35"/>
              <w:rPr>
                <w:rFonts w:cs="宋体" w:asciiTheme="minorEastAsia" w:hAnsiTheme="minorEastAsia" w:eastAsiaTheme="minorEastAsia"/>
                <w:b/>
                <w:bCs/>
                <w:color w:val="auto"/>
                <w:kern w:val="28"/>
                <w:sz w:val="24"/>
                <w:szCs w:val="24"/>
                <w:highlight w:val="none"/>
              </w:rPr>
            </w:pPr>
            <w:r>
              <w:rPr>
                <w:rFonts w:hint="eastAsia" w:cs="宋体" w:asciiTheme="minorEastAsia" w:hAnsiTheme="minorEastAsia" w:eastAsiaTheme="minorEastAsia"/>
                <w:b/>
                <w:bCs/>
                <w:color w:val="auto"/>
                <w:kern w:val="28"/>
                <w:sz w:val="24"/>
                <w:szCs w:val="24"/>
                <w:highlight w:val="none"/>
              </w:rPr>
              <w:t>供应商可采用邮寄（含快递）方式递交备份投标文件。</w:t>
            </w:r>
          </w:p>
          <w:p>
            <w:pPr>
              <w:pStyle w:val="35"/>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Style w:val="35"/>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拟在2024年</w:t>
            </w:r>
            <w:r>
              <w:rPr>
                <w:rFonts w:hint="eastAsia" w:cs="宋体" w:asciiTheme="minorEastAsia" w:hAnsiTheme="minorEastAsia" w:eastAsiaTheme="minorEastAsia"/>
                <w:color w:val="auto"/>
                <w:kern w:val="28"/>
                <w:sz w:val="24"/>
                <w:szCs w:val="24"/>
                <w:highlight w:val="none"/>
                <w:lang w:val="en-US" w:eastAsia="zh-CN"/>
              </w:rPr>
              <w:t>4</w:t>
            </w:r>
            <w:r>
              <w:rPr>
                <w:rFonts w:hint="eastAsia" w:cs="宋体" w:asciiTheme="minorEastAsia" w:hAnsiTheme="minorEastAsia" w:eastAsiaTheme="minorEastAsia"/>
                <w:color w:val="auto"/>
                <w:kern w:val="28"/>
                <w:sz w:val="24"/>
                <w:szCs w:val="24"/>
                <w:highlight w:val="none"/>
              </w:rPr>
              <w:t>月</w:t>
            </w:r>
            <w:r>
              <w:rPr>
                <w:rFonts w:hint="eastAsia" w:cs="宋体" w:asciiTheme="minorEastAsia" w:hAnsiTheme="minorEastAsia" w:eastAsiaTheme="minorEastAsia"/>
                <w:color w:val="auto"/>
                <w:kern w:val="28"/>
                <w:sz w:val="24"/>
                <w:szCs w:val="24"/>
                <w:highlight w:val="none"/>
                <w:lang w:val="en-US" w:eastAsia="zh-CN"/>
              </w:rPr>
              <w:t>18</w:t>
            </w:r>
            <w:r>
              <w:rPr>
                <w:rFonts w:hint="eastAsia" w:cs="宋体" w:asciiTheme="minorEastAsia" w:hAnsiTheme="minorEastAsia" w:eastAsiaTheme="minorEastAsia"/>
                <w:color w:val="auto"/>
                <w:kern w:val="28"/>
                <w:sz w:val="24"/>
                <w:szCs w:val="24"/>
                <w:highlight w:val="none"/>
              </w:rPr>
              <w:t>日（含）16:00前到件的邮寄地址为：宁波市鄞州区天童南路666号中基大厦19楼业务一部；</w:t>
            </w:r>
          </w:p>
          <w:p>
            <w:pPr>
              <w:pStyle w:val="35"/>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收件人：王鸯鸯   联系方式：0574-88090157</w:t>
            </w:r>
          </w:p>
          <w:p>
            <w:pPr>
              <w:pStyle w:val="35"/>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pPr>
              <w:pStyle w:val="35"/>
              <w:rPr>
                <w:rFonts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采购人、采购代理机构不强制或变相强制供应商提交备份投标文件。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13</w:t>
            </w:r>
          </w:p>
        </w:tc>
        <w:tc>
          <w:tcPr>
            <w:tcW w:w="2799" w:type="dxa"/>
            <w:vMerge w:val="restart"/>
            <w:vAlign w:val="center"/>
          </w:tcPr>
          <w:p>
            <w:pPr>
              <w:snapToGrid w:val="0"/>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640" w:type="dxa"/>
            <w:vAlign w:val="center"/>
          </w:tcPr>
          <w:p>
            <w:pP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tcPr>
          <w:p>
            <w:pPr>
              <w:snapToGrid w:val="0"/>
              <w:jc w:val="center"/>
              <w:rPr>
                <w:rFonts w:ascii="宋体" w:hAnsi="宋体" w:cs="宋体"/>
                <w:color w:val="auto"/>
                <w:sz w:val="24"/>
                <w:highlight w:val="none"/>
              </w:rPr>
            </w:pPr>
          </w:p>
        </w:tc>
        <w:tc>
          <w:tcPr>
            <w:tcW w:w="2799" w:type="dxa"/>
            <w:vMerge w:val="continue"/>
            <w:vAlign w:val="center"/>
          </w:tcPr>
          <w:p>
            <w:pPr>
              <w:snapToGrid w:val="0"/>
              <w:jc w:val="center"/>
              <w:rPr>
                <w:rFonts w:ascii="宋体" w:hAnsi="宋体" w:cs="宋体"/>
                <w:b/>
                <w:color w:val="auto"/>
                <w:sz w:val="24"/>
                <w:highlight w:val="none"/>
              </w:rPr>
            </w:pPr>
          </w:p>
        </w:tc>
        <w:tc>
          <w:tcPr>
            <w:tcW w:w="5640" w:type="dxa"/>
            <w:vAlign w:val="center"/>
          </w:tcPr>
          <w:p>
            <w:pPr>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2799"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其他说明</w:t>
            </w:r>
          </w:p>
        </w:tc>
        <w:tc>
          <w:tcPr>
            <w:tcW w:w="5640" w:type="dxa"/>
            <w:vAlign w:val="center"/>
          </w:tcPr>
          <w:p>
            <w:pPr>
              <w:pStyle w:val="22"/>
              <w:adjustRightInd/>
              <w:spacing w:line="30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服务费的收取标准：代理机构按下表中服务招标的标准下浮20%（按差额定率累进法计算），根据</w:t>
            </w:r>
            <w:r>
              <w:rPr>
                <w:rFonts w:hint="eastAsia" w:cs="Arial" w:asciiTheme="minorEastAsia" w:hAnsiTheme="minorEastAsia" w:eastAsiaTheme="minorEastAsia"/>
                <w:color w:val="auto"/>
                <w:kern w:val="0"/>
                <w:sz w:val="24"/>
                <w:highlight w:val="none"/>
                <w:lang w:val="en-US" w:eastAsia="zh-CN"/>
              </w:rPr>
              <w:t>预算</w:t>
            </w:r>
            <w:r>
              <w:rPr>
                <w:rFonts w:hint="eastAsia" w:cs="Arial" w:asciiTheme="minorEastAsia" w:hAnsiTheme="minorEastAsia" w:eastAsiaTheme="minorEastAsia"/>
                <w:color w:val="auto"/>
                <w:kern w:val="0"/>
                <w:sz w:val="24"/>
                <w:highlight w:val="none"/>
              </w:rPr>
              <w:t>金额，向</w:t>
            </w:r>
            <w:r>
              <w:rPr>
                <w:rFonts w:hint="eastAsia" w:cs="Arial" w:asciiTheme="minorEastAsia" w:hAnsiTheme="minorEastAsia" w:eastAsiaTheme="minorEastAsia"/>
                <w:color w:val="auto"/>
                <w:kern w:val="0"/>
                <w:sz w:val="24"/>
                <w:highlight w:val="none"/>
                <w:lang w:val="en-US" w:eastAsia="zh-CN"/>
              </w:rPr>
              <w:t>每标项的</w:t>
            </w:r>
            <w:r>
              <w:rPr>
                <w:rFonts w:hint="eastAsia" w:cs="Arial" w:asciiTheme="minorEastAsia" w:hAnsiTheme="minorEastAsia" w:eastAsiaTheme="minorEastAsia"/>
                <w:color w:val="auto"/>
                <w:kern w:val="0"/>
                <w:sz w:val="24"/>
                <w:highlight w:val="none"/>
              </w:rPr>
              <w:t>中标人</w:t>
            </w:r>
            <w:r>
              <w:rPr>
                <w:rFonts w:hint="eastAsia" w:cs="Arial" w:asciiTheme="minorEastAsia" w:hAnsiTheme="minorEastAsia" w:eastAsiaTheme="minorEastAsia"/>
                <w:color w:val="auto"/>
                <w:kern w:val="0"/>
                <w:sz w:val="24"/>
                <w:highlight w:val="none"/>
                <w:lang w:val="en-US" w:eastAsia="zh-CN"/>
              </w:rPr>
              <w:t>分别</w:t>
            </w:r>
            <w:r>
              <w:rPr>
                <w:rFonts w:hint="eastAsia" w:cs="Arial" w:asciiTheme="minorEastAsia" w:hAnsiTheme="minorEastAsia" w:eastAsiaTheme="minorEastAsia"/>
                <w:color w:val="auto"/>
                <w:kern w:val="0"/>
                <w:sz w:val="24"/>
                <w:highlight w:val="none"/>
              </w:rPr>
              <w:t>收取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服务费。</w:t>
            </w:r>
          </w:p>
          <w:tbl>
            <w:tblPr>
              <w:tblStyle w:val="63"/>
              <w:tblW w:w="5478" w:type="dxa"/>
              <w:jc w:val="center"/>
              <w:tblLayout w:type="fixed"/>
              <w:tblCellMar>
                <w:top w:w="15" w:type="dxa"/>
                <w:left w:w="15" w:type="dxa"/>
                <w:bottom w:w="15" w:type="dxa"/>
                <w:right w:w="15" w:type="dxa"/>
              </w:tblCellMar>
            </w:tblPr>
            <w:tblGrid>
              <w:gridCol w:w="1572"/>
              <w:gridCol w:w="1359"/>
              <w:gridCol w:w="1288"/>
              <w:gridCol w:w="1259"/>
            </w:tblGrid>
            <w:tr>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pPr>
                    <w:widowControl/>
                    <w:adjustRightInd/>
                    <w:spacing w:line="300" w:lineRule="auto"/>
                    <w:jc w:val="right"/>
                    <w:rPr>
                      <w:rFonts w:ascii="宋体" w:hAnsi="宋体" w:cs="宋体"/>
                      <w:color w:val="auto"/>
                      <w:highlight w:val="none"/>
                    </w:rPr>
                  </w:pPr>
                  <w:r>
                    <w:rPr>
                      <w:rFonts w:hint="eastAsia" w:ascii="宋体" w:hAnsi="宋体" w:cs="宋体"/>
                      <w:color w:val="auto"/>
                      <w:highlight w:val="none"/>
                    </w:rPr>
                    <w:t>服费类型</w:t>
                  </w:r>
                </w:p>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金额（万元）</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货物招标</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服务招标</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工程招标</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100以下</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1.5%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1.5%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1.0%</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100-500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1.1%</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0.8%</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0.7%</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500-1000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0.8%</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0.45%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0.55%</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1000-5000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0.25%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0.35%</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5000-10000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0.25%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0.1%</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0.2%</w:t>
                  </w:r>
                </w:p>
              </w:tc>
            </w:tr>
            <w:tr>
              <w:tblPrEx>
                <w:tblCellMar>
                  <w:top w:w="15" w:type="dxa"/>
                  <w:left w:w="15" w:type="dxa"/>
                  <w:bottom w:w="15" w:type="dxa"/>
                  <w:right w:w="15" w:type="dxa"/>
                </w:tblCellMar>
              </w:tblPrEx>
              <w:trPr>
                <w:trHeight w:val="473"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1亿～5亿</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0.05%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0.05%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adjustRightInd/>
                    <w:spacing w:line="300" w:lineRule="auto"/>
                    <w:jc w:val="left"/>
                    <w:rPr>
                      <w:rFonts w:ascii="宋体" w:hAnsi="宋体" w:cs="宋体"/>
                      <w:color w:val="auto"/>
                      <w:highlight w:val="none"/>
                    </w:rPr>
                  </w:pPr>
                  <w:r>
                    <w:rPr>
                      <w:rFonts w:hint="eastAsia" w:ascii="宋体" w:hAnsi="宋体" w:cs="宋体"/>
                      <w:color w:val="auto"/>
                      <w:highlight w:val="none"/>
                    </w:rPr>
                    <w:t>0.05%</w:t>
                  </w:r>
                </w:p>
              </w:tc>
            </w:tr>
          </w:tbl>
          <w:p>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 宁波银行科技支行</w:t>
            </w:r>
          </w:p>
          <w:p>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 31010122000005488</w:t>
            </w:r>
          </w:p>
          <w:p>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户    名： 宁波中基国际招标有限公司</w:t>
            </w:r>
          </w:p>
          <w:p>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注：中标人接到本公司通知后5个工作日内向本采购代理机构领取中标通知书（根据中标人需求可采用邮寄或到采购代理机构现场领取）。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bookmarkStart w:id="13" w:name="_Toc164416483"/>
            <w:bookmarkStart w:id="14" w:name="第三部分"/>
            <w:r>
              <w:rPr>
                <w:rFonts w:hint="eastAsia" w:cs="宋体" w:asciiTheme="minorEastAsia" w:hAnsiTheme="minorEastAsia" w:eastAsiaTheme="minorEastAsia"/>
                <w:color w:val="auto"/>
                <w:sz w:val="24"/>
                <w:highlight w:val="none"/>
              </w:rPr>
              <w:t>15</w:t>
            </w:r>
          </w:p>
        </w:tc>
        <w:tc>
          <w:tcPr>
            <w:tcW w:w="2799"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重要提醒</w:t>
            </w:r>
          </w:p>
        </w:tc>
        <w:tc>
          <w:tcPr>
            <w:tcW w:w="5640" w:type="dxa"/>
            <w:vAlign w:val="center"/>
          </w:tcPr>
          <w:p>
            <w:pPr>
              <w:rPr>
                <w:rFonts w:hint="eastAsia" w:ascii="宋体" w:hAnsi="宋体" w:cs="宋体"/>
                <w:snapToGrid w:val="0"/>
                <w:color w:val="auto"/>
                <w:kern w:val="28"/>
                <w:sz w:val="24"/>
                <w:highlight w:val="none"/>
                <w:lang w:eastAsia="zh-CN"/>
              </w:rPr>
            </w:pPr>
            <w:r>
              <w:rPr>
                <w:rFonts w:hint="eastAsia" w:ascii="宋体" w:hAnsi="宋体" w:cs="宋体"/>
                <w:snapToGrid w:val="0"/>
                <w:color w:val="auto"/>
                <w:kern w:val="28"/>
                <w:sz w:val="24"/>
                <w:highlight w:val="none"/>
              </w:rPr>
              <w:t>标项一、标项二、标项三、标项四、标项五</w:t>
            </w:r>
            <w:r>
              <w:rPr>
                <w:rFonts w:hint="eastAsia" w:ascii="宋体" w:hAnsi="宋体" w:cs="宋体"/>
                <w:snapToGrid w:val="0"/>
                <w:color w:val="auto"/>
                <w:kern w:val="28"/>
                <w:sz w:val="24"/>
                <w:highlight w:val="none"/>
                <w:lang w:val="en-US" w:eastAsia="zh-CN"/>
              </w:rPr>
              <w:t>可以兼投，但不得兼中</w:t>
            </w:r>
            <w:r>
              <w:rPr>
                <w:rFonts w:hint="eastAsia" w:ascii="宋体" w:hAnsi="宋体" w:cs="宋体"/>
                <w:snapToGrid w:val="0"/>
                <w:color w:val="auto"/>
                <w:kern w:val="28"/>
                <w:sz w:val="24"/>
                <w:highlight w:val="none"/>
                <w:lang w:eastAsia="zh-CN"/>
              </w:rPr>
              <w:t>。</w:t>
            </w:r>
          </w:p>
          <w:p>
            <w:pPr>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每个投标人原则上只能被确定为标项一至标项</w:t>
            </w:r>
            <w:r>
              <w:rPr>
                <w:rFonts w:hint="eastAsia" w:cs="Arial" w:asciiTheme="minorEastAsia" w:hAnsiTheme="minorEastAsia" w:eastAsiaTheme="minorEastAsia"/>
                <w:color w:val="auto"/>
                <w:kern w:val="0"/>
                <w:sz w:val="24"/>
                <w:highlight w:val="none"/>
                <w:lang w:val="en-US" w:eastAsia="zh-CN"/>
              </w:rPr>
              <w:t>五</w:t>
            </w:r>
            <w:r>
              <w:rPr>
                <w:rFonts w:hint="eastAsia" w:cs="Arial" w:asciiTheme="minorEastAsia" w:hAnsiTheme="minorEastAsia" w:eastAsiaTheme="minorEastAsia"/>
                <w:color w:val="auto"/>
                <w:kern w:val="0"/>
                <w:sz w:val="24"/>
                <w:highlight w:val="none"/>
              </w:rPr>
              <w:t>中</w:t>
            </w:r>
            <w:r>
              <w:rPr>
                <w:rFonts w:hint="eastAsia" w:cs="Arial" w:asciiTheme="minorEastAsia" w:hAnsiTheme="minorEastAsia" w:eastAsiaTheme="minorEastAsia"/>
                <w:color w:val="auto"/>
                <w:kern w:val="0"/>
                <w:sz w:val="24"/>
                <w:highlight w:val="none"/>
                <w:lang w:val="en-US" w:eastAsia="zh-CN"/>
              </w:rPr>
              <w:t>其中一个</w:t>
            </w:r>
            <w:r>
              <w:rPr>
                <w:rFonts w:hint="eastAsia" w:cs="Arial" w:asciiTheme="minorEastAsia" w:hAnsiTheme="minorEastAsia" w:eastAsiaTheme="minorEastAsia"/>
                <w:color w:val="auto"/>
                <w:kern w:val="0"/>
                <w:sz w:val="24"/>
                <w:highlight w:val="none"/>
              </w:rPr>
              <w:t>标项的第一中标候选人。</w:t>
            </w:r>
          </w:p>
          <w:p>
            <w:pPr>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标项一由排名第1至2名的投标人为本标项第一、二中标候选人；</w:t>
            </w:r>
          </w:p>
          <w:p>
            <w:pPr>
              <w:rPr>
                <w:color w:val="auto"/>
                <w:highlight w:val="none"/>
              </w:rPr>
            </w:pPr>
            <w:r>
              <w:rPr>
                <w:rFonts w:hint="eastAsia" w:cs="Arial" w:asciiTheme="minorEastAsia" w:hAnsiTheme="minorEastAsia" w:eastAsiaTheme="minorEastAsia"/>
                <w:color w:val="auto"/>
                <w:kern w:val="0"/>
                <w:sz w:val="24"/>
                <w:highlight w:val="none"/>
              </w:rPr>
              <w:t>已获得标项一的第一中标候选人，不再进入标项二的评审，标项二的中标候选人由本标项排名第1至2名为第一、第二中标候选人；</w:t>
            </w:r>
            <w:r>
              <w:rPr>
                <w:rFonts w:hint="eastAsia" w:cs="Arial" w:asciiTheme="minorEastAsia" w:hAnsiTheme="minorEastAsia" w:eastAsiaTheme="minorEastAsia"/>
                <w:color w:val="auto"/>
                <w:kern w:val="0"/>
                <w:sz w:val="24"/>
                <w:highlight w:val="none"/>
                <w:lang w:val="en-US" w:eastAsia="zh-CN"/>
              </w:rPr>
              <w:t>以此类推</w:t>
            </w:r>
            <w:r>
              <w:rPr>
                <w:rFonts w:hint="eastAsia" w:cs="Arial" w:asciiTheme="minorEastAsia" w:hAnsiTheme="minorEastAsia" w:eastAsiaTheme="minorEastAsia"/>
                <w:color w:val="auto"/>
                <w:kern w:val="0"/>
                <w:sz w:val="24"/>
                <w:highlight w:val="none"/>
              </w:rPr>
              <w:t>。</w:t>
            </w:r>
          </w:p>
        </w:tc>
      </w:tr>
      <w:bookmarkEnd w:id="9"/>
    </w:tbl>
    <w:p>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p>
      <w:pPr>
        <w:adjustRightInd/>
        <w:spacing w:line="348" w:lineRule="auto"/>
        <w:ind w:firstLine="3845" w:firstLineChars="1197"/>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48"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48"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4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2.定义</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“供应商”系指是指响应招标、参加投标竞争的法人、其他组织或者自然人。</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4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3.2支持绿色发展</w:t>
      </w:r>
    </w:p>
    <w:p>
      <w:pPr>
        <w:spacing w:line="348"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color w:val="auto"/>
          <w:sz w:val="24"/>
          <w:highlight w:val="none"/>
        </w:rPr>
        <w:t>★采购人拟采购的产品属于政府强制采购的节能产品品目清单范围的，供应商相应的投标产品未获得国家确定的认证机构出具的、处于有效期之内的节能产品认证证书的，投标无效。</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3.2.2纳入政府采购管理的修缮、装修类项目采购建材的，鼓励采购单位将绿色建材性能、指标等作为实质性条件纳入招标文件和合同，具体性能指标要求参考相关绿色建材政府采购需求标准。</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48"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pPr>
        <w:widowControl/>
        <w:spacing w:line="348"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pPr>
        <w:spacing w:line="348" w:lineRule="auto"/>
        <w:ind w:firstLine="482" w:firstLineChars="200"/>
        <w:rPr>
          <w:b/>
          <w:color w:val="auto"/>
          <w:highlight w:val="none"/>
        </w:rPr>
      </w:pPr>
      <w:r>
        <w:rPr>
          <w:rFonts w:hint="eastAsia" w:ascii="宋体" w:hAnsi="宋体" w:cs="宋体"/>
          <w:b/>
          <w:color w:val="auto"/>
          <w:sz w:val="24"/>
          <w:highlight w:val="none"/>
        </w:rPr>
        <w:t>4. 询问、质疑、投诉</w:t>
      </w:r>
    </w:p>
    <w:p>
      <w:pPr>
        <w:pStyle w:val="887"/>
        <w:snapToGrid w:val="0"/>
        <w:spacing w:before="0" w:beforeAutospacing="0" w:after="0" w:afterAutospacing="0" w:line="348" w:lineRule="auto"/>
        <w:ind w:firstLine="480" w:firstLineChars="200"/>
        <w:contextualSpacing/>
        <w:rPr>
          <w:color w:val="auto"/>
          <w:highlight w:val="none"/>
          <w:lang w:val="zh-CN"/>
        </w:rPr>
      </w:pPr>
      <w:r>
        <w:rPr>
          <w:rFonts w:hint="eastAsia"/>
          <w:color w:val="auto"/>
          <w:highlight w:val="none"/>
          <w:lang w:val="zh-CN"/>
        </w:rPr>
        <w:t>4.1在线询问、质疑、投诉</w:t>
      </w:r>
    </w:p>
    <w:p>
      <w:pPr>
        <w:pStyle w:val="887"/>
        <w:snapToGrid w:val="0"/>
        <w:spacing w:before="0" w:beforeAutospacing="0" w:after="0" w:afterAutospacing="0" w:line="348" w:lineRule="auto"/>
        <w:ind w:firstLine="480" w:firstLineChars="2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48"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48"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348"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48"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5"/>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5"/>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5"/>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5"/>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5"/>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napToGrid w:val="0"/>
        <w:spacing w:before="0" w:beforeAutospacing="0" w:after="0" w:afterAutospacing="0" w:line="348"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napToGrid w:val="0"/>
        <w:spacing w:before="0" w:beforeAutospacing="0" w:after="0" w:afterAutospacing="0" w:line="348" w:lineRule="auto"/>
        <w:ind w:firstLine="480" w:firstLineChars="200"/>
        <w:contextualSpacing/>
        <w:rPr>
          <w:color w:val="auto"/>
          <w:highlight w:val="none"/>
        </w:rPr>
      </w:pPr>
      <w:r>
        <w:rPr>
          <w:rFonts w:hint="eastAsia"/>
          <w:color w:val="auto"/>
          <w:highlight w:val="none"/>
        </w:rPr>
        <w:t>质疑函范本及制作说明详见附件2。</w:t>
      </w:r>
    </w:p>
    <w:p>
      <w:pPr>
        <w:pStyle w:val="887"/>
        <w:snapToGrid w:val="0"/>
        <w:spacing w:before="0" w:beforeAutospacing="0" w:after="0" w:afterAutospacing="0" w:line="348"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7"/>
        <w:snapToGrid w:val="0"/>
        <w:spacing w:before="0" w:beforeAutospacing="0" w:after="0" w:afterAutospacing="0" w:line="348"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highlight w:val="none"/>
        </w:rPr>
        <w:t>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22</w:t>
      </w:r>
      <w:r>
        <w:rPr>
          <w:rFonts w:asciiTheme="minorEastAsia" w:hAnsiTheme="minorEastAsia" w:eastAsiaTheme="minorEastAsia"/>
          <w:color w:val="auto"/>
          <w:highlight w:val="none"/>
        </w:rPr>
        <w:t>号）</w:t>
      </w:r>
      <w:r>
        <w:rPr>
          <w:rFonts w:hint="eastAsia"/>
          <w:color w:val="auto"/>
          <w:highlight w:val="none"/>
        </w:rPr>
        <w:t>,采购人或者采购代理机构在质疑回复后5个工作日内，在浙江政府采购网的“其他公告”栏目公开质疑答复，答复内容应当完整。质疑函作为附件上传。</w:t>
      </w:r>
    </w:p>
    <w:p>
      <w:pPr>
        <w:pStyle w:val="887"/>
        <w:snapToGrid w:val="0"/>
        <w:spacing w:before="0" w:beforeAutospacing="0" w:after="0" w:afterAutospacing="0" w:line="348"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napToGrid w:val="0"/>
        <w:spacing w:before="0" w:beforeAutospacing="0" w:after="0" w:afterAutospacing="0" w:line="348" w:lineRule="auto"/>
        <w:ind w:firstLine="480" w:firstLineChars="200"/>
        <w:contextualSpacing/>
        <w:rPr>
          <w:color w:val="auto"/>
          <w:highlight w:val="none"/>
          <w:lang w:val="zh-CN"/>
        </w:rPr>
      </w:pPr>
      <w:r>
        <w:rPr>
          <w:rFonts w:hint="eastAsia"/>
          <w:color w:val="auto"/>
          <w:highlight w:val="none"/>
          <w:lang w:val="zh-CN"/>
        </w:rPr>
        <w:t>4.4供应商投诉</w:t>
      </w:r>
    </w:p>
    <w:p>
      <w:pPr>
        <w:pStyle w:val="887"/>
        <w:snapToGrid w:val="0"/>
        <w:spacing w:before="0" w:beforeAutospacing="0" w:after="0" w:afterAutospacing="0" w:line="348"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napToGrid w:val="0"/>
        <w:spacing w:before="0" w:beforeAutospacing="0" w:after="0" w:afterAutospacing="0" w:line="348"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napToGrid w:val="0"/>
        <w:spacing w:before="0" w:beforeAutospacing="0" w:after="0" w:afterAutospacing="0" w:line="348"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7"/>
        <w:snapToGrid w:val="0"/>
        <w:spacing w:before="0" w:beforeAutospacing="0" w:after="0" w:afterAutospacing="0" w:line="348"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7"/>
        <w:snapToGrid w:val="0"/>
        <w:spacing w:before="0" w:beforeAutospacing="0" w:after="0" w:afterAutospacing="0" w:line="348" w:lineRule="auto"/>
        <w:ind w:firstLine="480" w:firstLineChars="200"/>
        <w:contextualSpacing/>
        <w:rPr>
          <w:color w:val="auto"/>
          <w:highlight w:val="none"/>
        </w:rPr>
      </w:pPr>
      <w:r>
        <w:rPr>
          <w:rFonts w:hint="eastAsia"/>
          <w:color w:val="auto"/>
          <w:highlight w:val="none"/>
        </w:rPr>
        <w:t>4.4.5投诉材料</w:t>
      </w:r>
      <w:r>
        <w:rPr>
          <w:rFonts w:hint="eastAsia" w:hAnsi="Courier New"/>
          <w:color w:val="auto"/>
          <w:highlight w:val="none"/>
        </w:rPr>
        <w:t>寄送</w:t>
      </w:r>
      <w:r>
        <w:rPr>
          <w:rFonts w:hint="eastAsia"/>
          <w:color w:val="auto"/>
          <w:highlight w:val="none"/>
        </w:rPr>
        <w:t>相关信息详见《第一部分  招标公告》。</w:t>
      </w:r>
    </w:p>
    <w:p>
      <w:pPr>
        <w:adjustRightInd/>
        <w:spacing w:line="348"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5"/>
        <w:spacing w:line="348"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5.1.2供应商须知；</w:t>
      </w:r>
    </w:p>
    <w:p>
      <w:pPr>
        <w:pStyle w:val="35"/>
        <w:tabs>
          <w:tab w:val="left" w:pos="840"/>
        </w:tabs>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48"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48"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6.招标文件的澄清、修改</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6.1已获取招标文件的潜在供应商，若有问题需要澄清，应于投标截止时间前，以书面形式向采购代理机构提出。</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6.2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pPr>
        <w:adjustRightInd/>
        <w:spacing w:line="348" w:lineRule="auto"/>
        <w:jc w:val="center"/>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48"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7.招标文件的获取</w:t>
      </w:r>
    </w:p>
    <w:p>
      <w:pPr>
        <w:spacing w:line="348"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48"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pPr>
        <w:pStyle w:val="35"/>
        <w:spacing w:line="348" w:lineRule="auto"/>
        <w:ind w:firstLine="482" w:firstLineChars="200"/>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8"/>
        <w:spacing w:line="348"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48"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48"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投标文件及供应商与采购有关的来往通知、函件和文件均应使用中文。</w:t>
      </w:r>
    </w:p>
    <w:p>
      <w:pPr>
        <w:pStyle w:val="35"/>
        <w:spacing w:line="348"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11. 投标文件的组成（适用于所有标项）</w:t>
      </w:r>
    </w:p>
    <w:p>
      <w:pPr>
        <w:snapToGrid w:val="0"/>
        <w:spacing w:line="348"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r>
        <w:rPr>
          <w:rFonts w:hint="eastAsia" w:ascii="宋体" w:hAnsi="宋体" w:cs="宋体"/>
          <w:color w:val="auto"/>
          <w:sz w:val="24"/>
          <w:highlight w:val="none"/>
          <w:lang w:val="en-US" w:eastAsia="zh-CN"/>
        </w:rPr>
        <w:t>。</w:t>
      </w:r>
    </w:p>
    <w:p>
      <w:pPr>
        <w:snapToGrid w:val="0"/>
        <w:spacing w:line="348"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11.1.2</w:t>
      </w:r>
      <w:r>
        <w:rPr>
          <w:rFonts w:hint="eastAsia" w:ascii="宋体" w:hAnsi="宋体" w:cs="宋体"/>
          <w:color w:val="auto"/>
          <w:sz w:val="24"/>
          <w:highlight w:val="none"/>
        </w:rPr>
        <w:t>符合参加政府采购活动应当具备的一般条件的承诺函</w:t>
      </w:r>
      <w:r>
        <w:rPr>
          <w:rFonts w:hint="eastAsia" w:ascii="宋体" w:hAnsi="宋体" w:cs="宋体"/>
          <w:color w:val="auto"/>
          <w:sz w:val="24"/>
          <w:highlight w:val="none"/>
          <w:lang w:val="en-US" w:eastAsia="zh-CN"/>
        </w:rPr>
        <w:t>。</w:t>
      </w:r>
    </w:p>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商务</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偏离表；</w:t>
      </w:r>
    </w:p>
    <w:p>
      <w:pPr>
        <w:snapToGrid w:val="0"/>
        <w:spacing w:line="348"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11.2.5政府采购供应商廉洁自律承诺书；</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评标标准相应的商务技术资料；</w:t>
      </w:r>
    </w:p>
    <w:p>
      <w:pPr>
        <w:snapToGrid w:val="0"/>
        <w:spacing w:line="348"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项目实施方案</w:t>
      </w:r>
      <w:r>
        <w:rPr>
          <w:rFonts w:hint="eastAsia" w:ascii="宋体" w:hAnsi="宋体" w:cs="宋体"/>
          <w:color w:val="auto"/>
          <w:sz w:val="24"/>
          <w:highlight w:val="none"/>
          <w:lang w:val="zh-CN"/>
        </w:rPr>
        <w:t xml:space="preserve">； </w:t>
      </w:r>
    </w:p>
    <w:p>
      <w:pPr>
        <w:snapToGrid w:val="0"/>
        <w:spacing w:line="348"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-2）</w:t>
      </w:r>
      <w:r>
        <w:rPr>
          <w:rFonts w:hint="eastAsia" w:ascii="宋体" w:hAnsi="宋体" w:cs="宋体"/>
          <w:color w:val="auto"/>
          <w:sz w:val="24"/>
          <w:highlight w:val="none"/>
          <w:lang w:val="en-US" w:eastAsia="zh-CN"/>
        </w:rPr>
        <w:t>数据对接方案</w:t>
      </w:r>
      <w:r>
        <w:rPr>
          <w:rFonts w:hint="eastAsia" w:ascii="宋体" w:hAnsi="宋体" w:cs="宋体"/>
          <w:color w:val="auto"/>
          <w:sz w:val="24"/>
          <w:highlight w:val="none"/>
          <w:lang w:val="zh-CN"/>
        </w:rPr>
        <w:t>；</w:t>
      </w:r>
    </w:p>
    <w:p>
      <w:pPr>
        <w:snapToGrid w:val="0"/>
        <w:spacing w:line="348"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-3）</w:t>
      </w:r>
      <w:r>
        <w:rPr>
          <w:rFonts w:hint="eastAsia" w:ascii="宋体" w:hAnsi="宋体" w:cs="宋体"/>
          <w:color w:val="auto"/>
          <w:sz w:val="24"/>
          <w:highlight w:val="none"/>
          <w:lang w:val="zh-CN" w:eastAsia="zh-CN"/>
        </w:rPr>
        <w:t>扫描件</w:t>
      </w:r>
      <w:r>
        <w:rPr>
          <w:rFonts w:hint="eastAsia" w:ascii="宋体" w:hAnsi="宋体" w:cs="宋体"/>
          <w:color w:val="auto"/>
          <w:sz w:val="24"/>
          <w:highlight w:val="none"/>
          <w:lang w:val="zh-CN"/>
        </w:rPr>
        <w:t>加盖投标人公章（</w:t>
      </w:r>
      <w:r>
        <w:rPr>
          <w:rFonts w:hint="eastAsia" w:ascii="宋体" w:hAnsi="宋体" w:cs="宋体"/>
          <w:color w:val="auto"/>
          <w:sz w:val="24"/>
          <w:highlight w:val="none"/>
          <w:lang w:val="en-US" w:eastAsia="zh-CN"/>
        </w:rPr>
        <w:t>如有请提供</w:t>
      </w:r>
      <w:r>
        <w:rPr>
          <w:rFonts w:hint="eastAsia" w:ascii="宋体" w:hAnsi="宋体" w:cs="宋体"/>
          <w:color w:val="auto"/>
          <w:sz w:val="24"/>
          <w:highlight w:val="none"/>
          <w:lang w:val="zh-CN"/>
        </w:rPr>
        <w:t>）；</w:t>
      </w:r>
    </w:p>
    <w:p>
      <w:pPr>
        <w:snapToGrid w:val="0"/>
        <w:spacing w:line="348"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-4）</w:t>
      </w:r>
      <w:r>
        <w:rPr>
          <w:rFonts w:hint="eastAsia" w:ascii="宋体" w:hAnsi="宋体" w:cs="宋体"/>
          <w:color w:val="auto"/>
          <w:sz w:val="24"/>
          <w:highlight w:val="none"/>
          <w:lang w:val="zh-CN" w:eastAsia="zh-CN"/>
        </w:rPr>
        <w:t>实验室仪器</w:t>
      </w:r>
      <w:r>
        <w:rPr>
          <w:rFonts w:hint="eastAsia" w:ascii="宋体" w:hAnsi="宋体" w:cs="宋体"/>
          <w:color w:val="auto"/>
          <w:sz w:val="24"/>
          <w:highlight w:val="none"/>
          <w:lang w:val="en-US" w:eastAsia="zh-CN"/>
        </w:rPr>
        <w:t>清单、设备购置发票扫描件、海关进口货物报关单扫描件（如为进口设备请提供）</w:t>
      </w:r>
      <w:r>
        <w:rPr>
          <w:rFonts w:hint="eastAsia" w:ascii="宋体" w:hAnsi="宋体" w:cs="宋体"/>
          <w:color w:val="auto"/>
          <w:sz w:val="24"/>
          <w:highlight w:val="none"/>
          <w:lang w:val="zh-CN"/>
        </w:rPr>
        <w:t>加盖投标人公章（</w:t>
      </w:r>
      <w:r>
        <w:rPr>
          <w:rFonts w:hint="eastAsia" w:ascii="宋体" w:hAnsi="宋体" w:cs="宋体"/>
          <w:color w:val="auto"/>
          <w:sz w:val="24"/>
          <w:highlight w:val="none"/>
          <w:lang w:val="en-US" w:eastAsia="zh-CN"/>
        </w:rPr>
        <w:t>如有请提供</w:t>
      </w:r>
      <w:r>
        <w:rPr>
          <w:rFonts w:hint="eastAsia" w:ascii="宋体" w:hAnsi="宋体" w:cs="宋体"/>
          <w:color w:val="auto"/>
          <w:sz w:val="24"/>
          <w:highlight w:val="none"/>
          <w:lang w:val="zh-CN"/>
        </w:rPr>
        <w:t>）；</w:t>
      </w:r>
    </w:p>
    <w:p>
      <w:pPr>
        <w:snapToGrid w:val="0"/>
        <w:spacing w:line="348"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-5）</w:t>
      </w:r>
      <w:r>
        <w:rPr>
          <w:rFonts w:hint="eastAsia" w:ascii="宋体" w:hAnsi="宋体" w:cs="宋体"/>
          <w:color w:val="auto"/>
          <w:sz w:val="24"/>
          <w:highlight w:val="none"/>
          <w:lang w:val="zh-CN" w:eastAsia="zh-CN"/>
        </w:rPr>
        <w:t>实验室技术团队</w:t>
      </w:r>
      <w:r>
        <w:rPr>
          <w:rFonts w:hint="eastAsia" w:ascii="宋体" w:hAnsi="宋体" w:cs="宋体"/>
          <w:color w:val="auto"/>
          <w:sz w:val="24"/>
          <w:highlight w:val="none"/>
          <w:lang w:val="en-US" w:eastAsia="zh-CN"/>
        </w:rPr>
        <w:t>一览表及相关证明材料扫描件加盖公章（如有请提供）</w:t>
      </w:r>
      <w:r>
        <w:rPr>
          <w:rFonts w:hint="eastAsia" w:ascii="宋体" w:hAnsi="宋体" w:cs="宋体"/>
          <w:color w:val="auto"/>
          <w:sz w:val="24"/>
          <w:highlight w:val="none"/>
          <w:lang w:val="zh-CN"/>
        </w:rPr>
        <w:t>；</w:t>
      </w:r>
    </w:p>
    <w:p>
      <w:pPr>
        <w:snapToGrid w:val="0"/>
        <w:spacing w:line="348"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w:t>
      </w:r>
      <w:r>
        <w:rPr>
          <w:rFonts w:hint="eastAsia" w:ascii="宋体" w:hAnsi="宋体" w:cs="宋体"/>
          <w:color w:val="auto"/>
          <w:sz w:val="24"/>
          <w:highlight w:val="none"/>
          <w:lang w:val="zh-CN" w:eastAsia="zh-CN"/>
        </w:rPr>
        <w:t>科研成果</w:t>
      </w:r>
      <w:r>
        <w:rPr>
          <w:rFonts w:hint="eastAsia" w:ascii="宋体" w:hAnsi="宋体" w:cs="宋体"/>
          <w:color w:val="auto"/>
          <w:sz w:val="24"/>
          <w:highlight w:val="none"/>
          <w:lang w:val="en-US" w:eastAsia="zh-CN"/>
        </w:rPr>
        <w:t>一览表及相关证明材料扫描件加盖公章（如有请提供）</w:t>
      </w:r>
      <w:r>
        <w:rPr>
          <w:rFonts w:hint="eastAsia" w:ascii="宋体" w:hAnsi="宋体" w:cs="宋体"/>
          <w:color w:val="auto"/>
          <w:sz w:val="24"/>
          <w:highlight w:val="none"/>
          <w:lang w:val="zh-CN"/>
        </w:rPr>
        <w:t>；</w:t>
      </w:r>
    </w:p>
    <w:p>
      <w:pPr>
        <w:snapToGrid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w:t>
      </w:r>
      <w:r>
        <w:rPr>
          <w:rFonts w:hint="eastAsia" w:ascii="宋体" w:hAnsi="宋体" w:cs="宋体"/>
          <w:color w:val="auto"/>
          <w:sz w:val="24"/>
          <w:highlight w:val="none"/>
          <w:lang w:val="zh-CN" w:eastAsia="zh-CN"/>
        </w:rPr>
        <w:t>专利证书</w:t>
      </w:r>
      <w:r>
        <w:rPr>
          <w:rFonts w:hint="eastAsia" w:ascii="宋体" w:hAnsi="宋体" w:cs="宋体"/>
          <w:color w:val="auto"/>
          <w:sz w:val="24"/>
          <w:highlight w:val="none"/>
          <w:lang w:val="en-US" w:eastAsia="zh-CN"/>
        </w:rPr>
        <w:t>一览表及相关证明材料扫描件加盖公章（如有请提供）；</w:t>
      </w:r>
    </w:p>
    <w:p>
      <w:pPr>
        <w:snapToGrid w:val="0"/>
        <w:spacing w:line="348"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w:t>
      </w:r>
      <w:r>
        <w:rPr>
          <w:rFonts w:hint="eastAsia" w:ascii="宋体" w:hAnsi="宋体" w:cs="宋体"/>
          <w:color w:val="auto"/>
          <w:sz w:val="24"/>
          <w:highlight w:val="none"/>
          <w:lang w:val="zh-CN" w:eastAsia="zh-CN"/>
        </w:rPr>
        <w:t>企业资质</w:t>
      </w:r>
      <w:r>
        <w:rPr>
          <w:rFonts w:hint="eastAsia" w:ascii="宋体" w:hAnsi="宋体" w:cs="宋体"/>
          <w:color w:val="auto"/>
          <w:sz w:val="24"/>
          <w:highlight w:val="none"/>
          <w:lang w:val="en-US" w:eastAsia="zh-CN"/>
        </w:rPr>
        <w:t>证书扫描件加盖公章（如有请提供）；</w:t>
      </w:r>
    </w:p>
    <w:p>
      <w:pPr>
        <w:snapToGrid w:val="0"/>
        <w:spacing w:line="348" w:lineRule="auto"/>
        <w:ind w:firstLine="480" w:firstLineChars="200"/>
        <w:rPr>
          <w:rFonts w:hint="eastAsia" w:ascii="宋体" w:hAnsi="宋体" w:cs="宋体"/>
          <w:color w:val="auto"/>
          <w:sz w:val="24"/>
          <w:highlight w:val="none"/>
          <w:lang w:val="zh-CN"/>
        </w:rPr>
      </w:pPr>
    </w:p>
    <w:p>
      <w:pPr>
        <w:snapToGrid w:val="0"/>
        <w:spacing w:line="348"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6-9</w:t>
      </w:r>
      <w:r>
        <w:rPr>
          <w:rFonts w:hint="eastAsia" w:ascii="宋体" w:hAnsi="宋体" w:cs="宋体"/>
          <w:color w:val="auto"/>
          <w:sz w:val="24"/>
          <w:highlight w:val="none"/>
          <w:lang w:val="zh-CN" w:eastAsia="zh-CN"/>
        </w:rPr>
        <w:t>）实验室室内质控</w:t>
      </w:r>
      <w:r>
        <w:rPr>
          <w:rFonts w:hint="eastAsia" w:ascii="宋体" w:hAnsi="宋体" w:cs="宋体"/>
          <w:color w:val="auto"/>
          <w:sz w:val="24"/>
          <w:highlight w:val="none"/>
          <w:lang w:val="en-US" w:eastAsia="zh-CN"/>
        </w:rPr>
        <w:t>相关材料扫描件加盖公章（如有请提供）</w:t>
      </w:r>
    </w:p>
    <w:p>
      <w:pPr>
        <w:snapToGrid w:val="0"/>
        <w:spacing w:line="348"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）业绩一览表</w:t>
      </w:r>
      <w:r>
        <w:rPr>
          <w:rFonts w:hint="eastAsia" w:ascii="宋体" w:hAnsi="宋体" w:cs="宋体"/>
          <w:color w:val="auto"/>
          <w:sz w:val="24"/>
          <w:highlight w:val="none"/>
          <w:lang w:val="en-US" w:eastAsia="zh-CN"/>
        </w:rPr>
        <w:t>及相关合同扫描件加盖公章（如有请提供）；</w:t>
      </w:r>
      <w:r>
        <w:rPr>
          <w:rFonts w:hint="eastAsia" w:ascii="宋体" w:hAnsi="宋体" w:cs="宋体"/>
          <w:color w:val="auto"/>
          <w:sz w:val="24"/>
          <w:highlight w:val="none"/>
          <w:lang w:val="zh-CN"/>
        </w:rPr>
        <w:t>；</w:t>
      </w:r>
    </w:p>
    <w:p>
      <w:pPr>
        <w:snapToGrid w:val="0"/>
        <w:spacing w:line="348"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zh-CN"/>
        </w:rPr>
        <w:t>）</w:t>
      </w:r>
      <w:r>
        <w:rPr>
          <w:rFonts w:hint="eastAsia" w:ascii="宋体" w:hAnsi="宋体" w:cs="宋体"/>
          <w:color w:val="auto"/>
          <w:sz w:val="24"/>
          <w:highlight w:val="none"/>
          <w:lang w:val="zh-CN" w:eastAsia="zh-CN"/>
        </w:rPr>
        <w:t>特色服务承诺</w:t>
      </w:r>
      <w:r>
        <w:rPr>
          <w:rFonts w:hint="eastAsia" w:ascii="宋体" w:hAnsi="宋体" w:cs="宋体"/>
          <w:color w:val="auto"/>
          <w:sz w:val="24"/>
          <w:highlight w:val="none"/>
          <w:lang w:val="zh-CN"/>
        </w:rPr>
        <w:t>；</w:t>
      </w:r>
    </w:p>
    <w:p>
      <w:pPr>
        <w:snapToGrid w:val="0"/>
        <w:spacing w:line="348"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pPr>
        <w:spacing w:line="348"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11.3.2中小企业声明函；</w:t>
      </w:r>
    </w:p>
    <w:p>
      <w:pPr>
        <w:spacing w:line="348"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11.3.3残疾人福利性单位声明函；</w:t>
      </w:r>
    </w:p>
    <w:p>
      <w:pPr>
        <w:spacing w:line="348"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11.3.4由省级以上监狱管理局、戒毒管理局（含新疆生产建设兵团）出具的属于监狱企业的证明文件。</w:t>
      </w:r>
    </w:p>
    <w:p>
      <w:pPr>
        <w:spacing w:line="34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48"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供应商提供虚假材料投标的，投标无效。</w:t>
      </w:r>
    </w:p>
    <w:p>
      <w:pPr>
        <w:pStyle w:val="132"/>
        <w:snapToGrid w:val="0"/>
        <w:spacing w:before="0" w:line="348" w:lineRule="auto"/>
        <w:ind w:firstLine="482"/>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rPr>
        <w:t>.</w:t>
      </w:r>
      <w:r>
        <w:rPr>
          <w:rFonts w:hint="eastAsia" w:ascii="宋体" w:hAnsi="宋体" w:cs="宋体"/>
          <w:b/>
          <w:color w:val="auto"/>
          <w:szCs w:val="24"/>
          <w:highlight w:val="none"/>
        </w:rPr>
        <w:t>投标文件的编制</w:t>
      </w:r>
    </w:p>
    <w:p>
      <w:pPr>
        <w:spacing w:line="348"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pPr>
        <w:spacing w:line="348"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pPr>
        <w:spacing w:line="348"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4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2"/>
        <w:snapToGrid w:val="0"/>
        <w:spacing w:before="0" w:line="348" w:lineRule="auto"/>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★供应商的投标文件未按照招标文件要求签署、盖章的，其投标无效</w:t>
      </w:r>
      <w:r>
        <w:rPr>
          <w:rFonts w:hint="eastAsia" w:ascii="宋体" w:hAnsi="宋体" w:cs="宋体"/>
          <w:color w:val="auto"/>
          <w:szCs w:val="24"/>
          <w:highlight w:val="none"/>
        </w:rPr>
        <w:t>。</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13.2为确保网上操作合法、有效和安全，供应商应当在投标截止时间前完成在“政府采购云平台”的身份认证，确保在电子投标过程中能够对相关数据电文进行加密和使用电子签名。</w:t>
      </w:r>
    </w:p>
    <w:p>
      <w:pPr>
        <w:pStyle w:val="132"/>
        <w:snapToGrid w:val="0"/>
        <w:spacing w:before="0" w:line="348" w:lineRule="auto"/>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2"/>
        <w:spacing w:before="0" w:line="348" w:lineRule="auto"/>
        <w:ind w:firstLine="482"/>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2"/>
        <w:spacing w:before="0" w:line="348" w:lineRule="auto"/>
        <w:ind w:firstLine="480"/>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line="348" w:lineRule="auto"/>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line="348" w:lineRule="auto"/>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pPr>
        <w:pStyle w:val="35"/>
        <w:spacing w:line="348"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15.备份投标文件（文件后缀为：bfbs）</w:t>
      </w:r>
    </w:p>
    <w:p>
      <w:pPr>
        <w:pStyle w:val="35"/>
        <w:spacing w:line="348"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15.1供应商在电子交易平台传输递交投标文件后，还可以在投标截止时间前直接提交或者以邮政快递方式递交备份投标文件1份，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但采购人、采购代理机构不强制或变相强制供应商提交备份投标文件。</w:t>
      </w:r>
    </w:p>
    <w:p>
      <w:pPr>
        <w:pStyle w:val="35"/>
        <w:spacing w:line="348"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U盘</w:t>
      </w:r>
      <w:r>
        <w:rPr>
          <w:rFonts w:hint="eastAsia" w:hAnsi="宋体" w:cs="宋体"/>
          <w:color w:val="auto"/>
          <w:sz w:val="24"/>
          <w:szCs w:val="24"/>
          <w:highlight w:val="none"/>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pPr>
        <w:pStyle w:val="35"/>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招标文件第二部分供应商须知前附表规定的备份投标文件送达地点；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送达时间以签收人签收时间为准。采购代理机构将拒绝接受逾期送达的备份投标文件。邮寄过程中，电子备份投标文件发生泄露、遗失、损坏或延期送达等情况的，由供应商自行负责。</w:t>
      </w:r>
    </w:p>
    <w:p>
      <w:pPr>
        <w:pStyle w:val="35"/>
        <w:spacing w:line="348"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15.5供应商仅提交备份投标文件，未在电子交易平台传输递交投标文件的，投标无效。</w:t>
      </w:r>
    </w:p>
    <w:p>
      <w:pPr>
        <w:pStyle w:val="132"/>
        <w:spacing w:before="0" w:line="348" w:lineRule="auto"/>
        <w:ind w:firstLine="48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3"/>
        <w:spacing w:line="348"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2"/>
        <w:spacing w:before="0" w:line="348" w:lineRule="auto"/>
        <w:ind w:firstLine="482"/>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48"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供应商的投标文件中承</w:t>
      </w:r>
      <w:r>
        <w:rPr>
          <w:rFonts w:hint="eastAsia" w:ascii="宋体" w:hAnsi="宋体" w:cs="宋体"/>
          <w:b/>
          <w:color w:val="auto"/>
          <w:sz w:val="24"/>
          <w:szCs w:val="21"/>
          <w:highlight w:val="none"/>
        </w:rPr>
        <w:t>诺的投标有效期少于招标文件中载明的投标有效期的，投标无效。</w:t>
      </w:r>
    </w:p>
    <w:p>
      <w:pPr>
        <w:pStyle w:val="132"/>
        <w:spacing w:before="0" w:line="348" w:lineRule="auto"/>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2"/>
        <w:spacing w:before="0" w:line="348" w:lineRule="auto"/>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pPr>
        <w:pStyle w:val="132"/>
        <w:spacing w:before="0" w:line="348" w:lineRule="auto"/>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48" w:lineRule="auto"/>
        <w:ind w:left="0" w:firstLine="482" w:firstLineChars="2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48"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18.1采购代理机构按照招标文件规定的时间通过电子交易平台组织开标，所有供应商均应当准时在线参加。供应商不足3家的，不得开标。</w:t>
      </w:r>
    </w:p>
    <w:p>
      <w:pPr>
        <w:pStyle w:val="555"/>
        <w:spacing w:before="0" w:line="348"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18.2开标时，电子交易平台按开标时间自动提取所有投标文件。采购代理机构依托电子交易平台发起开始解密指令，供应商按照平台提示和招标文件的规定在半小时内完成在线解密。</w:t>
      </w:r>
    </w:p>
    <w:p>
      <w:pPr>
        <w:pStyle w:val="555"/>
        <w:spacing w:before="0" w:line="348"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18.2.1具体开标程序：</w:t>
      </w:r>
    </w:p>
    <w:p>
      <w:pPr>
        <w:pStyle w:val="555"/>
        <w:spacing w:before="0" w:line="348"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18.2.1.1投标截止时间后，供应商登录政府采购云平台，用“项目采购-开标评标”功能对电子投标文件进行在线解密，在线解密电子投标文件时间为开标时间后30分钟内。</w:t>
      </w:r>
    </w:p>
    <w:p>
      <w:pPr>
        <w:pStyle w:val="555"/>
        <w:spacing w:before="0" w:line="348"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18.2.1.2在政府采购云平台开启已解密供应商的“资格文件、商务技术文件、报价文件”，并做开标记录；</w:t>
      </w:r>
    </w:p>
    <w:p>
      <w:pPr>
        <w:pStyle w:val="555"/>
        <w:spacing w:before="0" w:line="348"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18.2.1.3在政府采购云平台公布评审结果。</w:t>
      </w:r>
    </w:p>
    <w:p>
      <w:pPr>
        <w:pStyle w:val="555"/>
        <w:spacing w:before="0" w:line="348"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18.2.1.4开标会议结束。</w:t>
      </w:r>
    </w:p>
    <w:p>
      <w:pPr>
        <w:pStyle w:val="555"/>
        <w:spacing w:before="0" w:line="348" w:lineRule="auto"/>
        <w:ind w:left="0"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投标文件未按时解密，供应商提供了备份投标文件的，以备份投标文件作为依据，否则视为投标文件撤回。投标文件已按时解密的，备份投标文件自动失效。</w:t>
      </w:r>
    </w:p>
    <w:p>
      <w:pPr>
        <w:widowControl/>
        <w:spacing w:line="348" w:lineRule="auto"/>
        <w:ind w:firstLine="482" w:firstLineChars="200"/>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采购人或采购代理机构依据法律法规和招标文件的规定，对供应商的资格进行审查。</w:t>
      </w:r>
    </w:p>
    <w:p>
      <w:pPr>
        <w:pStyle w:val="132"/>
        <w:spacing w:before="0" w:line="348" w:lineRule="auto"/>
        <w:ind w:firstLine="480"/>
        <w:rPr>
          <w:rFonts w:ascii="宋体" w:hAnsi="宋体" w:cs="宋体"/>
          <w:color w:val="auto"/>
          <w:highlight w:val="none"/>
        </w:rPr>
      </w:pPr>
      <w:r>
        <w:rPr>
          <w:rFonts w:hint="eastAsia" w:ascii="宋体" w:hAnsi="宋体" w:cs="宋体"/>
          <w:color w:val="auto"/>
          <w:kern w:val="0"/>
          <w:szCs w:val="24"/>
          <w:highlight w:val="none"/>
        </w:rPr>
        <w:t>19.2供应商未按照招标文件要求提供与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供应商不具备招标文件中规定的资格要求，其投标无效。</w:t>
      </w:r>
    </w:p>
    <w:p>
      <w:pPr>
        <w:pStyle w:val="132"/>
        <w:spacing w:before="0" w:line="348" w:lineRule="auto"/>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pPr>
        <w:pStyle w:val="132"/>
        <w:spacing w:before="0" w:line="348" w:lineRule="auto"/>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4合格供应商不足3家的，不再评标。</w:t>
      </w:r>
    </w:p>
    <w:p>
      <w:pPr>
        <w:pStyle w:val="132"/>
        <w:spacing w:before="0" w:line="348" w:lineRule="auto"/>
        <w:ind w:firstLine="482"/>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2"/>
        <w:spacing w:before="0" w:line="348"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pPr>
        <w:pStyle w:val="132"/>
        <w:spacing w:before="0" w:line="348"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20.2信用信息查询记录和证据留存的具体方式：现场查询的供应商的信用记录、查询结果经确认后将与招标文件一起存档。</w:t>
      </w:r>
    </w:p>
    <w:p>
      <w:pPr>
        <w:pStyle w:val="132"/>
        <w:spacing w:before="0" w:line="348"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highlight w:val="none"/>
        </w:rPr>
        <w:t>（重大税收违法失信主体）</w:t>
      </w:r>
      <w:r>
        <w:rPr>
          <w:rFonts w:hint="eastAsia" w:ascii="宋体" w:hAnsi="宋体" w:cs="宋体"/>
          <w:color w:val="auto"/>
          <w:kern w:val="0"/>
          <w:szCs w:val="24"/>
          <w:highlight w:val="none"/>
        </w:rPr>
        <w:t>、政府采购严重违法失信行为记录名单的供应商将被拒绝参与政府采购活动。</w:t>
      </w:r>
    </w:p>
    <w:p>
      <w:pPr>
        <w:pStyle w:val="132"/>
        <w:spacing w:before="0" w:line="348" w:lineRule="auto"/>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48"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48" w:lineRule="auto"/>
        <w:ind w:firstLine="482" w:firstLineChars="200"/>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auto"/>
          <w:sz w:val="24"/>
          <w:highlight w:val="none"/>
        </w:rPr>
        <w:t>详见招标文件第四部分评标办法。</w:t>
      </w:r>
    </w:p>
    <w:p>
      <w:pPr>
        <w:snapToGrid w:val="0"/>
        <w:spacing w:line="348"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3"/>
        <w:spacing w:line="348" w:lineRule="auto"/>
        <w:ind w:firstLine="482"/>
        <w:rPr>
          <w:rFonts w:cs="宋体"/>
          <w:b/>
          <w:color w:val="auto"/>
          <w:highlight w:val="none"/>
        </w:rPr>
      </w:pPr>
      <w:r>
        <w:rPr>
          <w:rFonts w:hint="eastAsia" w:cs="宋体"/>
          <w:b/>
          <w:color w:val="auto"/>
          <w:highlight w:val="none"/>
        </w:rPr>
        <w:t>22.确定中标供应商</w:t>
      </w:r>
    </w:p>
    <w:p>
      <w:pPr>
        <w:pStyle w:val="132"/>
        <w:snapToGrid w:val="0"/>
        <w:spacing w:before="0" w:line="348" w:lineRule="auto"/>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line="348" w:lineRule="auto"/>
        <w:ind w:firstLine="482"/>
        <w:rPr>
          <w:rFonts w:ascii="宋体" w:hAnsi="宋体" w:cs="宋体"/>
          <w:b/>
          <w:color w:val="auto"/>
          <w:szCs w:val="24"/>
          <w:highlight w:val="none"/>
        </w:rPr>
      </w:pPr>
      <w:r>
        <w:rPr>
          <w:rFonts w:hint="eastAsia" w:ascii="宋体" w:hAnsi="宋体" w:cs="宋体"/>
          <w:b/>
          <w:color w:val="auto"/>
          <w:szCs w:val="24"/>
          <w:highlight w:val="none"/>
        </w:rPr>
        <w:t>23.中标通知与中标结果公告</w:t>
      </w:r>
    </w:p>
    <w:p>
      <w:pPr>
        <w:widowControl/>
        <w:spacing w:line="348"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pacing w:line="348"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pacing w:line="348"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48"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3"/>
        <w:spacing w:line="348" w:lineRule="auto"/>
        <w:ind w:left="479" w:leftChars="228" w:firstLine="0" w:firstLineChars="0"/>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pPr>
        <w:pStyle w:val="3"/>
        <w:spacing w:line="348" w:lineRule="auto"/>
        <w:ind w:left="479" w:leftChars="228" w:firstLine="0" w:firstLineChars="0"/>
        <w:rPr>
          <w:rFonts w:cs="宋体"/>
          <w:b/>
          <w:color w:val="auto"/>
          <w:highlight w:val="none"/>
        </w:rPr>
      </w:pPr>
      <w:r>
        <w:rPr>
          <w:rFonts w:hint="eastAsia" w:cs="宋体"/>
          <w:b/>
          <w:color w:val="auto"/>
          <w:highlight w:val="none"/>
        </w:rPr>
        <w:t>25.合同的签订</w:t>
      </w:r>
    </w:p>
    <w:p>
      <w:pPr>
        <w:widowControl/>
        <w:spacing w:line="348"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p>
    <w:p>
      <w:pPr>
        <w:pStyle w:val="132"/>
        <w:snapToGrid w:val="0"/>
        <w:spacing w:before="0" w:line="348" w:lineRule="auto"/>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3"/>
        <w:spacing w:line="348" w:lineRule="auto"/>
        <w:ind w:left="479" w:leftChars="228" w:firstLine="0" w:firstLineChars="0"/>
        <w:rPr>
          <w:rFonts w:cs="宋体"/>
          <w:b/>
          <w:color w:val="auto"/>
          <w:highlight w:val="none"/>
        </w:rPr>
      </w:pPr>
      <w:r>
        <w:rPr>
          <w:rFonts w:hint="eastAsia" w:cs="宋体"/>
          <w:b/>
          <w:color w:val="auto"/>
          <w:highlight w:val="none"/>
        </w:rPr>
        <w:t>26.履约保证金</w:t>
      </w:r>
    </w:p>
    <w:p>
      <w:pPr>
        <w:tabs>
          <w:tab w:val="left" w:pos="0"/>
        </w:tabs>
        <w:spacing w:line="348"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432"/>
        </w:tabs>
        <w:spacing w:line="348"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432"/>
        </w:tabs>
        <w:spacing w:line="348" w:lineRule="auto"/>
        <w:ind w:firstLine="482" w:firstLineChars="200"/>
        <w:rPr>
          <w:color w:val="auto"/>
          <w:highlight w:val="none"/>
        </w:rPr>
      </w:pPr>
      <w:r>
        <w:rPr>
          <w:rFonts w:ascii="宋体" w:hAnsi="宋体"/>
          <w:b/>
          <w:bCs/>
          <w:color w:val="auto"/>
          <w:sz w:val="24"/>
          <w:szCs w:val="32"/>
          <w:highlight w:val="none"/>
        </w:rPr>
        <w:t>27.预付款</w:t>
      </w:r>
    </w:p>
    <w:p>
      <w:pPr>
        <w:adjustRightInd/>
        <w:spacing w:line="348"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napToGrid w:val="0"/>
        <w:spacing w:line="348" w:lineRule="auto"/>
        <w:ind w:firstLine="3357" w:firstLineChars="1045"/>
        <w:rPr>
          <w:rFonts w:ascii="宋体" w:hAnsi="宋体" w:cs="宋体"/>
          <w:b/>
          <w:color w:val="auto"/>
          <w:sz w:val="32"/>
          <w:highlight w:val="none"/>
        </w:rPr>
      </w:pPr>
    </w:p>
    <w:p>
      <w:pPr>
        <w:snapToGrid w:val="0"/>
        <w:spacing w:line="348"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2"/>
        <w:snapToGrid w:val="0"/>
        <w:spacing w:before="0" w:line="348" w:lineRule="auto"/>
        <w:ind w:firstLine="482"/>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2"/>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29.出现以上情形，不影响采购公平、公正性的，采购组织机构可以待上述情形消除后继续组织电子交易活动；影响或可能影响采购公平、公正性的，应当重新采购。</w:t>
      </w:r>
    </w:p>
    <w:p>
      <w:pPr>
        <w:snapToGrid w:val="0"/>
        <w:spacing w:line="348" w:lineRule="auto"/>
        <w:ind w:left="120" w:leftChars="57"/>
        <w:jc w:val="center"/>
        <w:rPr>
          <w:rFonts w:ascii="宋体" w:hAnsi="宋体" w:cs="宋体"/>
          <w:b/>
          <w:color w:val="auto"/>
          <w:sz w:val="32"/>
          <w:highlight w:val="none"/>
        </w:rPr>
      </w:pPr>
    </w:p>
    <w:p>
      <w:pPr>
        <w:snapToGrid w:val="0"/>
        <w:spacing w:line="348" w:lineRule="auto"/>
        <w:ind w:left="120" w:leftChars="57"/>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3"/>
        <w:spacing w:line="348" w:lineRule="auto"/>
        <w:ind w:firstLine="482"/>
        <w:rPr>
          <w:rFonts w:cs="宋体"/>
          <w:b/>
          <w:color w:val="auto"/>
          <w:highlight w:val="none"/>
        </w:rPr>
      </w:pPr>
      <w:r>
        <w:rPr>
          <w:rFonts w:hint="eastAsia" w:cs="宋体"/>
          <w:b/>
          <w:color w:val="auto"/>
          <w:highlight w:val="none"/>
        </w:rPr>
        <w:t>30.验收</w:t>
      </w:r>
    </w:p>
    <w:p>
      <w:pPr>
        <w:tabs>
          <w:tab w:val="left" w:pos="0"/>
        </w:tabs>
        <w:spacing w:line="348"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48"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48"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48"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rPr>
          <w:rFonts w:ascii="宋体" w:hAnsi="宋体" w:cs="宋体"/>
          <w:color w:val="auto"/>
          <w:kern w:val="0"/>
          <w:sz w:val="24"/>
          <w:highlight w:val="none"/>
        </w:rPr>
      </w:pPr>
      <w:bookmarkStart w:id="18" w:name="_Hlt75236101"/>
      <w:bookmarkEnd w:id="18"/>
      <w:bookmarkStart w:id="19" w:name="_Hlt75236290"/>
      <w:bookmarkEnd w:id="19"/>
      <w:bookmarkStart w:id="20" w:name="_Hlt75236011"/>
      <w:bookmarkEnd w:id="20"/>
      <w:bookmarkStart w:id="21" w:name="_Hlt68073093"/>
      <w:bookmarkEnd w:id="21"/>
      <w:bookmarkStart w:id="22" w:name="_Hlt74730295"/>
      <w:bookmarkEnd w:id="22"/>
      <w:bookmarkStart w:id="23" w:name="_Hlt68072998"/>
      <w:bookmarkEnd w:id="23"/>
      <w:bookmarkStart w:id="24" w:name="_Hlt74707468"/>
      <w:bookmarkEnd w:id="24"/>
      <w:bookmarkStart w:id="25" w:name="_Hlt74729768"/>
      <w:bookmarkEnd w:id="25"/>
      <w:bookmarkStart w:id="26" w:name="_Hlt68057669"/>
      <w:bookmarkEnd w:id="26"/>
      <w:bookmarkStart w:id="27" w:name="_Hlt68072990"/>
      <w:bookmarkEnd w:id="27"/>
      <w:bookmarkStart w:id="28" w:name="_Hlt68403820"/>
      <w:bookmarkEnd w:id="28"/>
      <w:bookmarkStart w:id="29" w:name="_Hlt74714665"/>
      <w:bookmarkEnd w:id="29"/>
    </w:p>
    <w:p>
      <w:pPr>
        <w:rPr>
          <w:color w:val="auto"/>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p>
    <w:bookmarkEnd w:id="13"/>
    <w:bookmarkEnd w:id="14"/>
    <w:p>
      <w:pPr>
        <w:spacing w:line="360" w:lineRule="auto"/>
        <w:jc w:val="center"/>
        <w:outlineLvl w:val="0"/>
        <w:rPr>
          <w:rFonts w:ascii="宋体" w:hAnsi="宋体" w:cs="宋体"/>
          <w:color w:val="auto"/>
          <w:kern w:val="0"/>
          <w:sz w:val="24"/>
          <w:highlight w:val="none"/>
        </w:rPr>
      </w:pPr>
      <w:bookmarkStart w:id="30" w:name="_Toc26044"/>
      <w:bookmarkStart w:id="31" w:name="第四部分"/>
      <w:r>
        <w:rPr>
          <w:rFonts w:hint="eastAsia" w:ascii="宋体" w:hAnsi="宋体" w:cs="宋体"/>
          <w:b/>
          <w:color w:val="auto"/>
          <w:sz w:val="36"/>
          <w:szCs w:val="36"/>
          <w:highlight w:val="none"/>
        </w:rPr>
        <w:t>第三部分   采购需求</w:t>
      </w:r>
      <w:bookmarkEnd w:id="30"/>
      <w:bookmarkStart w:id="32" w:name="_Toc317685548"/>
      <w:bookmarkStart w:id="33" w:name="_Toc329697494"/>
    </w:p>
    <w:p>
      <w:pPr>
        <w:widowControl/>
        <w:adjustRightInd/>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一、商务要求一览表（适用于所有标项）</w:t>
      </w:r>
    </w:p>
    <w:tbl>
      <w:tblPr>
        <w:tblStyle w:val="63"/>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3"/>
        <w:gridCol w:w="1632"/>
        <w:gridCol w:w="64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1113" w:type="dxa"/>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32" w:type="dxa"/>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454" w:type="dxa"/>
            <w:vAlign w:val="center"/>
          </w:tcPr>
          <w:p>
            <w:pPr>
              <w:spacing w:line="40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具体要求</w:t>
            </w:r>
          </w:p>
        </w:tc>
      </w:tr>
      <w:bookmarkEnd w:id="32"/>
      <w:bookmarkEnd w:id="3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1113"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63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6454" w:type="dxa"/>
            <w:vAlign w:val="center"/>
          </w:tcPr>
          <w:p>
            <w:pPr>
              <w:spacing w:line="400" w:lineRule="exact"/>
              <w:rPr>
                <w:rFonts w:cs="宋体"/>
                <w:color w:val="auto"/>
                <w:szCs w:val="21"/>
                <w:highlight w:val="none"/>
              </w:rPr>
            </w:pPr>
            <w:r>
              <w:rPr>
                <w:rFonts w:hint="eastAsia" w:asciiTheme="minorEastAsia" w:hAnsiTheme="minorEastAsia" w:eastAsiaTheme="minorEastAsia"/>
                <w:color w:val="auto"/>
                <w:szCs w:val="21"/>
                <w:highlight w:val="none"/>
              </w:rPr>
              <w:t>自合同生效之日起预算金额使用完毕止。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8" w:hRule="atLeast"/>
          <w:jc w:val="center"/>
        </w:trPr>
        <w:tc>
          <w:tcPr>
            <w:tcW w:w="1113"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63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★付款条件</w:t>
            </w:r>
          </w:p>
        </w:tc>
        <w:tc>
          <w:tcPr>
            <w:tcW w:w="6454" w:type="dxa"/>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适用于中小企业：</w:t>
            </w:r>
          </w:p>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1、预付款：在合同生效以及具备实施条件后7个工作日内凭同等金额预付款保函支付合同金额的</w:t>
            </w:r>
            <w:r>
              <w:rPr>
                <w:rFonts w:ascii="宋体" w:hAnsi="宋体" w:cs="宋体"/>
                <w:bCs/>
                <w:color w:val="auto"/>
                <w:szCs w:val="21"/>
                <w:highlight w:val="none"/>
              </w:rPr>
              <w:t>40</w:t>
            </w:r>
            <w:r>
              <w:rPr>
                <w:rFonts w:hint="eastAsia" w:ascii="宋体" w:hAnsi="宋体" w:cs="宋体"/>
                <w:bCs/>
                <w:color w:val="auto"/>
                <w:szCs w:val="21"/>
                <w:highlight w:val="none"/>
              </w:rPr>
              <w:t>%。</w:t>
            </w:r>
          </w:p>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投标人于合同签订前书面承诺放弃预付款或降低预付款支付比例的，可不适用本条款。</w:t>
            </w:r>
          </w:p>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2、按季度支付；每季度结束后，经采购人确认工作量后按实支付。</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适用于大型企业：</w:t>
            </w:r>
          </w:p>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按季度支付；每季度结束后，经采购人确认工作量后按实支付。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113"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63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454" w:type="dxa"/>
            <w:vAlign w:val="center"/>
          </w:tcPr>
          <w:p>
            <w:pPr>
              <w:spacing w:line="40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不适用</w:t>
            </w:r>
            <w:r>
              <w:rPr>
                <w:rFonts w:hint="eastAsia" w:ascii="宋体" w:hAnsi="宋体" w:cs="宋体"/>
                <w:bCs/>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1113"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63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454"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中标通知书发出之日起30日内签订合同，具体签约时间以采购人通知为准。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113"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63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454"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在采购及合同执行过程中，中标人应承担由于其行为所造成财产损失或损坏的责任，无论何种原因所造成，采购人均不负责。</w:t>
            </w:r>
          </w:p>
        </w:tc>
      </w:tr>
    </w:tbl>
    <w:p>
      <w:pPr>
        <w:widowControl/>
        <w:tabs>
          <w:tab w:val="left" w:pos="851"/>
        </w:tabs>
        <w:adjustRightInd/>
        <w:spacing w:line="360" w:lineRule="auto"/>
        <w:rPr>
          <w:rFonts w:ascii="宋体" w:hAnsi="宋体" w:cs="宋体"/>
          <w:b/>
          <w:bCs/>
          <w:color w:val="auto"/>
          <w:kern w:val="0"/>
          <w:szCs w:val="21"/>
          <w:highlight w:val="none"/>
        </w:rPr>
      </w:pPr>
    </w:p>
    <w:p>
      <w:pPr>
        <w:rPr>
          <w:rFonts w:ascii="宋体" w:hAnsi="宋体" w:cs="宋体"/>
          <w:b/>
          <w:bCs/>
          <w:color w:val="auto"/>
          <w:kern w:val="0"/>
          <w:szCs w:val="21"/>
          <w:highlight w:val="none"/>
        </w:rPr>
      </w:pPr>
      <w:r>
        <w:rPr>
          <w:rFonts w:hint="eastAsia" w:ascii="宋体" w:hAnsi="宋体" w:cs="宋体"/>
          <w:b/>
          <w:bCs/>
          <w:color w:val="auto"/>
          <w:kern w:val="0"/>
          <w:szCs w:val="21"/>
          <w:highlight w:val="none"/>
        </w:rPr>
        <w:br w:type="page"/>
      </w:r>
    </w:p>
    <w:p>
      <w:pPr>
        <w:widowControl/>
        <w:adjustRightInd/>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二、项目要求（适用于所有标项）：</w:t>
      </w:r>
    </w:p>
    <w:p>
      <w:pPr>
        <w:widowControl/>
        <w:tabs>
          <w:tab w:val="left" w:pos="851"/>
        </w:tabs>
        <w:adjustRightInd/>
        <w:spacing w:line="360" w:lineRule="auto"/>
        <w:rPr>
          <w:rFonts w:ascii="宋体" w:hAnsi="宋体" w:cs="宋体"/>
          <w:b/>
          <w:bCs/>
          <w:color w:val="auto"/>
          <w:szCs w:val="21"/>
          <w:highlight w:val="none"/>
        </w:rPr>
      </w:pPr>
      <w:r>
        <w:rPr>
          <w:rFonts w:hint="eastAsia"/>
          <w:b/>
          <w:bCs/>
          <w:color w:val="auto"/>
          <w:szCs w:val="21"/>
          <w:highlight w:val="none"/>
        </w:rPr>
        <w:t>（一）检测项目清单</w:t>
      </w:r>
    </w:p>
    <w:tbl>
      <w:tblPr>
        <w:tblStyle w:val="63"/>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80"/>
        <w:gridCol w:w="1687"/>
        <w:gridCol w:w="2829"/>
        <w:gridCol w:w="640"/>
        <w:gridCol w:w="103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580" w:type="dxa"/>
            <w:vAlign w:val="center"/>
          </w:tcPr>
          <w:p>
            <w:pPr>
              <w:spacing w:line="360" w:lineRule="exact"/>
              <w:jc w:val="center"/>
              <w:rPr>
                <w:rFonts w:ascii="宋体" w:hAnsi="宋体" w:cs="宋体"/>
                <w:color w:val="auto"/>
                <w:szCs w:val="21"/>
                <w:highlight w:val="none"/>
              </w:rPr>
            </w:pPr>
            <w:r>
              <w:rPr>
                <w:rFonts w:hint="eastAsia" w:ascii="宋体" w:hAnsi="宋体" w:cs="宋体"/>
                <w:b/>
                <w:color w:val="auto"/>
                <w:szCs w:val="21"/>
                <w:highlight w:val="none"/>
              </w:rPr>
              <w:t>物价编码</w:t>
            </w:r>
          </w:p>
        </w:tc>
        <w:tc>
          <w:tcPr>
            <w:tcW w:w="1687"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2829"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项目内容</w:t>
            </w:r>
          </w:p>
        </w:tc>
        <w:tc>
          <w:tcPr>
            <w:tcW w:w="640" w:type="dxa"/>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031"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单价(元）</w:t>
            </w:r>
          </w:p>
        </w:tc>
        <w:tc>
          <w:tcPr>
            <w:tcW w:w="1305"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25070200100</w:t>
            </w:r>
          </w:p>
        </w:tc>
        <w:tc>
          <w:tcPr>
            <w:tcW w:w="1687"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人类EGFR基因突变检测</w:t>
            </w:r>
          </w:p>
        </w:tc>
        <w:tc>
          <w:tcPr>
            <w:tcW w:w="2829" w:type="dxa"/>
            <w:vAlign w:val="center"/>
          </w:tcPr>
          <w:p>
            <w:pPr>
              <w:snapToGrid w:val="0"/>
              <w:spacing w:line="360" w:lineRule="exact"/>
              <w:jc w:val="left"/>
              <w:rPr>
                <w:rFonts w:ascii="宋体" w:hAnsi="宋体" w:cs="宋体"/>
                <w:color w:val="auto"/>
                <w:szCs w:val="21"/>
                <w:highlight w:val="none"/>
              </w:rPr>
            </w:pPr>
          </w:p>
        </w:tc>
        <w:tc>
          <w:tcPr>
            <w:tcW w:w="64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次</w:t>
            </w:r>
          </w:p>
        </w:tc>
        <w:tc>
          <w:tcPr>
            <w:tcW w:w="1031"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1892.00</w:t>
            </w:r>
          </w:p>
        </w:tc>
        <w:tc>
          <w:tcPr>
            <w:tcW w:w="1305" w:type="dxa"/>
            <w:vAlign w:val="center"/>
          </w:tcPr>
          <w:p>
            <w:pPr>
              <w:snapToGrid w:val="0"/>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58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25070200200</w:t>
            </w:r>
          </w:p>
        </w:tc>
        <w:tc>
          <w:tcPr>
            <w:tcW w:w="1687"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人类K-RAS基因突变检测（包括人类PIK3CA基因突变检测）</w:t>
            </w:r>
          </w:p>
        </w:tc>
        <w:tc>
          <w:tcPr>
            <w:tcW w:w="2829" w:type="dxa"/>
            <w:vAlign w:val="center"/>
          </w:tcPr>
          <w:p>
            <w:pPr>
              <w:snapToGrid w:val="0"/>
              <w:spacing w:line="360" w:lineRule="exact"/>
              <w:jc w:val="left"/>
              <w:rPr>
                <w:rFonts w:ascii="宋体" w:hAnsi="宋体" w:cs="宋体"/>
                <w:color w:val="auto"/>
                <w:szCs w:val="21"/>
                <w:highlight w:val="none"/>
              </w:rPr>
            </w:pPr>
          </w:p>
        </w:tc>
        <w:tc>
          <w:tcPr>
            <w:tcW w:w="64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次</w:t>
            </w:r>
          </w:p>
        </w:tc>
        <w:tc>
          <w:tcPr>
            <w:tcW w:w="1031"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1700.00</w:t>
            </w:r>
          </w:p>
        </w:tc>
        <w:tc>
          <w:tcPr>
            <w:tcW w:w="1305" w:type="dxa"/>
            <w:vAlign w:val="center"/>
          </w:tcPr>
          <w:p>
            <w:pPr>
              <w:snapToGrid w:val="0"/>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58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25070200300</w:t>
            </w:r>
          </w:p>
        </w:tc>
        <w:tc>
          <w:tcPr>
            <w:tcW w:w="1687"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人类EML4-ALK融合基因检测</w:t>
            </w:r>
          </w:p>
        </w:tc>
        <w:tc>
          <w:tcPr>
            <w:tcW w:w="2829" w:type="dxa"/>
            <w:vAlign w:val="center"/>
          </w:tcPr>
          <w:p>
            <w:pPr>
              <w:snapToGrid w:val="0"/>
              <w:spacing w:line="360" w:lineRule="exact"/>
              <w:jc w:val="left"/>
              <w:rPr>
                <w:rFonts w:ascii="宋体" w:hAnsi="宋体" w:cs="宋体"/>
                <w:color w:val="auto"/>
                <w:szCs w:val="21"/>
                <w:highlight w:val="none"/>
              </w:rPr>
            </w:pPr>
          </w:p>
        </w:tc>
        <w:tc>
          <w:tcPr>
            <w:tcW w:w="64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次</w:t>
            </w:r>
          </w:p>
        </w:tc>
        <w:tc>
          <w:tcPr>
            <w:tcW w:w="1031"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2137.00</w:t>
            </w:r>
          </w:p>
        </w:tc>
        <w:tc>
          <w:tcPr>
            <w:tcW w:w="1305" w:type="dxa"/>
            <w:vAlign w:val="center"/>
          </w:tcPr>
          <w:p>
            <w:pPr>
              <w:snapToGrid w:val="0"/>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58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25070200400</w:t>
            </w:r>
          </w:p>
        </w:tc>
        <w:tc>
          <w:tcPr>
            <w:tcW w:w="1687"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人类B-RAF基因V600E突变检测</w:t>
            </w:r>
          </w:p>
        </w:tc>
        <w:tc>
          <w:tcPr>
            <w:tcW w:w="2829" w:type="dxa"/>
            <w:vAlign w:val="center"/>
          </w:tcPr>
          <w:p>
            <w:pPr>
              <w:snapToGrid w:val="0"/>
              <w:spacing w:line="360" w:lineRule="exact"/>
              <w:jc w:val="left"/>
              <w:rPr>
                <w:rFonts w:ascii="宋体" w:hAnsi="宋体" w:cs="宋体"/>
                <w:color w:val="auto"/>
                <w:szCs w:val="21"/>
                <w:highlight w:val="none"/>
              </w:rPr>
            </w:pPr>
          </w:p>
        </w:tc>
        <w:tc>
          <w:tcPr>
            <w:tcW w:w="64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次</w:t>
            </w:r>
          </w:p>
        </w:tc>
        <w:tc>
          <w:tcPr>
            <w:tcW w:w="1031"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365.00</w:t>
            </w:r>
          </w:p>
        </w:tc>
        <w:tc>
          <w:tcPr>
            <w:tcW w:w="1305" w:type="dxa"/>
            <w:vAlign w:val="center"/>
          </w:tcPr>
          <w:p>
            <w:pPr>
              <w:snapToGrid w:val="0"/>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58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25070200500</w:t>
            </w:r>
          </w:p>
        </w:tc>
        <w:tc>
          <w:tcPr>
            <w:tcW w:w="1687"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基因表达水平对肿瘤药物敏感性的判断</w:t>
            </w:r>
          </w:p>
        </w:tc>
        <w:tc>
          <w:tcPr>
            <w:tcW w:w="2829" w:type="dxa"/>
            <w:vAlign w:val="center"/>
          </w:tcPr>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血液采集与处理/组织切片及病理检查，提取血液/组织人基因组RNA；RNA纯度和浓度测定。采用PCR扩增或芯片等方法学检测，结果判读；室内质控，结果分析并报告；标本保存，标本无害化处理。</w:t>
            </w:r>
          </w:p>
        </w:tc>
        <w:tc>
          <w:tcPr>
            <w:tcW w:w="64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次</w:t>
            </w:r>
          </w:p>
        </w:tc>
        <w:tc>
          <w:tcPr>
            <w:tcW w:w="1031"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400.00</w:t>
            </w:r>
          </w:p>
        </w:tc>
        <w:tc>
          <w:tcPr>
            <w:tcW w:w="1305" w:type="dxa"/>
            <w:vAlign w:val="center"/>
          </w:tcPr>
          <w:p>
            <w:pPr>
              <w:snapToGrid w:val="0"/>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8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25070300100</w:t>
            </w:r>
          </w:p>
        </w:tc>
        <w:tc>
          <w:tcPr>
            <w:tcW w:w="1687"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化学药物用药指导的基因检测</w:t>
            </w:r>
          </w:p>
        </w:tc>
        <w:tc>
          <w:tcPr>
            <w:tcW w:w="2829" w:type="dxa"/>
            <w:vAlign w:val="center"/>
          </w:tcPr>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样本采集、签收、处理（</w:t>
            </w:r>
            <w:r>
              <w:rPr>
                <w:rFonts w:hint="eastAsia" w:ascii="宋体" w:hAnsi="宋体" w:cs="宋体"/>
                <w:color w:val="auto"/>
                <w:szCs w:val="21"/>
                <w:highlight w:val="none"/>
                <w:lang w:val="en-US" w:eastAsia="zh-CN"/>
              </w:rPr>
              <w:t>根</w:t>
            </w:r>
            <w:r>
              <w:rPr>
                <w:rFonts w:hint="eastAsia" w:ascii="宋体" w:hAnsi="宋体" w:cs="宋体"/>
                <w:color w:val="auto"/>
                <w:szCs w:val="21"/>
                <w:highlight w:val="none"/>
              </w:rPr>
              <w:t>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640"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每个基因位点</w:t>
            </w:r>
          </w:p>
        </w:tc>
        <w:tc>
          <w:tcPr>
            <w:tcW w:w="1031"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365.00</w:t>
            </w:r>
          </w:p>
        </w:tc>
        <w:tc>
          <w:tcPr>
            <w:tcW w:w="1305"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第二个基因位点开始每个加收183元，最高为2012元，基因位点数以最新临床指南为准。</w:t>
            </w:r>
          </w:p>
        </w:tc>
      </w:tr>
    </w:tbl>
    <w:p>
      <w:pPr>
        <w:widowControl/>
        <w:tabs>
          <w:tab w:val="left" w:pos="851"/>
        </w:tabs>
        <w:adjustRightInd/>
        <w:spacing w:line="360" w:lineRule="auto"/>
        <w:rPr>
          <w:rFonts w:ascii="宋体" w:hAnsi="宋体" w:cs="宋体"/>
          <w:b/>
          <w:bCs/>
          <w:color w:val="auto"/>
          <w:szCs w:val="21"/>
          <w:highlight w:val="none"/>
        </w:rPr>
      </w:pPr>
    </w:p>
    <w:p>
      <w:pPr>
        <w:spacing w:after="120"/>
        <w:rPr>
          <w:rFonts w:ascii="宋体" w:hAnsi="宋体"/>
          <w:b/>
          <w:color w:val="auto"/>
          <w:szCs w:val="21"/>
          <w:highlight w:val="none"/>
        </w:rPr>
      </w:pPr>
      <w:r>
        <w:rPr>
          <w:rFonts w:hint="eastAsia" w:ascii="宋体" w:hAnsi="宋体"/>
          <w:b/>
          <w:color w:val="auto"/>
          <w:szCs w:val="21"/>
          <w:highlight w:val="none"/>
        </w:rPr>
        <w:t>（二）招标项目要求</w:t>
      </w:r>
    </w:p>
    <w:tbl>
      <w:tblPr>
        <w:tblStyle w:val="63"/>
        <w:tblW w:w="97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55"/>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7" w:type="dxa"/>
            <w:tcBorders>
              <w:tl2br w:val="nil"/>
              <w:tr2bl w:val="nil"/>
            </w:tcBorders>
            <w:vAlign w:val="center"/>
          </w:tcPr>
          <w:p>
            <w:pPr>
              <w:spacing w:line="360" w:lineRule="exact"/>
              <w:jc w:val="center"/>
              <w:rPr>
                <w:b/>
                <w:bCs/>
                <w:color w:val="auto"/>
                <w:szCs w:val="21"/>
                <w:highlight w:val="none"/>
              </w:rPr>
            </w:pPr>
            <w:r>
              <w:rPr>
                <w:rFonts w:hint="eastAsia" w:cs="宋体"/>
                <w:b/>
                <w:bCs/>
                <w:color w:val="auto"/>
                <w:szCs w:val="21"/>
                <w:highlight w:val="none"/>
              </w:rPr>
              <w:t>序号</w:t>
            </w:r>
          </w:p>
        </w:tc>
        <w:tc>
          <w:tcPr>
            <w:tcW w:w="7655" w:type="dxa"/>
            <w:tcBorders>
              <w:tl2br w:val="nil"/>
              <w:tr2bl w:val="nil"/>
            </w:tcBorders>
          </w:tcPr>
          <w:p>
            <w:pPr>
              <w:spacing w:line="360" w:lineRule="exact"/>
              <w:jc w:val="center"/>
              <w:rPr>
                <w:b/>
                <w:bCs/>
                <w:color w:val="auto"/>
                <w:szCs w:val="21"/>
                <w:highlight w:val="none"/>
              </w:rPr>
            </w:pPr>
            <w:r>
              <w:rPr>
                <w:rFonts w:hint="eastAsia" w:cs="宋体"/>
                <w:b/>
                <w:bCs/>
                <w:color w:val="auto"/>
                <w:szCs w:val="21"/>
                <w:highlight w:val="none"/>
              </w:rPr>
              <w:t>招标要求</w:t>
            </w:r>
          </w:p>
        </w:tc>
        <w:tc>
          <w:tcPr>
            <w:tcW w:w="1275" w:type="dxa"/>
            <w:tcBorders>
              <w:tl2br w:val="nil"/>
              <w:tr2bl w:val="nil"/>
            </w:tcBorders>
          </w:tcPr>
          <w:p>
            <w:pPr>
              <w:spacing w:line="360" w:lineRule="exact"/>
              <w:jc w:val="center"/>
              <w:rPr>
                <w:b/>
                <w:bCs/>
                <w:color w:val="auto"/>
                <w:szCs w:val="21"/>
                <w:highlight w:val="none"/>
              </w:rPr>
            </w:pPr>
            <w:r>
              <w:rPr>
                <w:rFonts w:hint="eastAsia" w:cs="宋体"/>
                <w:b/>
                <w:bCs/>
                <w:color w:val="auto"/>
                <w:szCs w:val="21"/>
                <w:highlight w:val="none"/>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tcBorders>
              <w:tl2br w:val="nil"/>
              <w:tr2bl w:val="nil"/>
            </w:tcBorders>
            <w:vAlign w:val="center"/>
          </w:tcPr>
          <w:p>
            <w:pPr>
              <w:spacing w:line="360" w:lineRule="exact"/>
              <w:jc w:val="center"/>
              <w:rPr>
                <w:rFonts w:ascii="宋体"/>
                <w:color w:val="auto"/>
                <w:szCs w:val="21"/>
                <w:highlight w:val="none"/>
              </w:rPr>
            </w:pPr>
            <w:r>
              <w:rPr>
                <w:rFonts w:hint="eastAsia" w:ascii="宋体" w:hAnsi="宋体" w:cs="宋体"/>
                <w:color w:val="auto"/>
                <w:szCs w:val="21"/>
                <w:highlight w:val="none"/>
              </w:rPr>
              <w:t>一</w:t>
            </w:r>
          </w:p>
        </w:tc>
        <w:tc>
          <w:tcPr>
            <w:tcW w:w="8930" w:type="dxa"/>
            <w:gridSpan w:val="2"/>
            <w:tcBorders>
              <w:tl2br w:val="nil"/>
              <w:tr2bl w:val="nil"/>
            </w:tcBorders>
          </w:tcPr>
          <w:p>
            <w:pPr>
              <w:spacing w:line="360" w:lineRule="exact"/>
              <w:rPr>
                <w:rFonts w:ascii="宋体"/>
                <w:color w:val="auto"/>
                <w:szCs w:val="21"/>
                <w:highlight w:val="none"/>
              </w:rPr>
            </w:pPr>
            <w:r>
              <w:rPr>
                <w:rFonts w:hint="eastAsia" w:ascii="宋体"/>
                <w:b/>
                <w:bCs/>
                <w:color w:val="auto"/>
                <w:szCs w:val="21"/>
                <w:highlight w:val="none"/>
              </w:rPr>
              <w:t>检测要求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tcBorders>
              <w:tl2br w:val="nil"/>
              <w:tr2bl w:val="nil"/>
            </w:tcBorders>
            <w:vAlign w:val="center"/>
          </w:tcPr>
          <w:p>
            <w:pPr>
              <w:spacing w:line="360" w:lineRule="exact"/>
              <w:jc w:val="center"/>
              <w:rPr>
                <w:rFonts w:ascii="宋体"/>
                <w:bCs/>
                <w:color w:val="auto"/>
                <w:szCs w:val="21"/>
                <w:highlight w:val="none"/>
              </w:rPr>
            </w:pPr>
            <w:r>
              <w:rPr>
                <w:rFonts w:hint="eastAsia" w:ascii="宋体"/>
                <w:bCs/>
                <w:color w:val="auto"/>
                <w:szCs w:val="21"/>
                <w:highlight w:val="none"/>
              </w:rPr>
              <w:t>1.1</w:t>
            </w:r>
          </w:p>
        </w:tc>
        <w:tc>
          <w:tcPr>
            <w:tcW w:w="7655" w:type="dxa"/>
            <w:tcBorders>
              <w:tl2br w:val="nil"/>
              <w:tr2bl w:val="nil"/>
            </w:tcBorders>
          </w:tcPr>
          <w:p>
            <w:pPr>
              <w:spacing w:line="360" w:lineRule="exact"/>
              <w:rPr>
                <w:rFonts w:ascii="宋体"/>
                <w:bCs/>
                <w:color w:val="auto"/>
                <w:szCs w:val="21"/>
                <w:highlight w:val="none"/>
              </w:rPr>
            </w:pPr>
            <w:r>
              <w:rPr>
                <w:rFonts w:hint="eastAsia" w:ascii="宋体"/>
                <w:bCs/>
                <w:color w:val="auto"/>
                <w:szCs w:val="21"/>
                <w:highlight w:val="none"/>
              </w:rPr>
              <w:t>提供相应的《项目汇总与采样手册》，开展项目能满足临床需求。</w:t>
            </w:r>
          </w:p>
        </w:tc>
        <w:tc>
          <w:tcPr>
            <w:tcW w:w="1275" w:type="dxa"/>
            <w:tcBorders>
              <w:tl2br w:val="nil"/>
              <w:tr2bl w:val="nil"/>
            </w:tcBorders>
          </w:tcPr>
          <w:p>
            <w:pPr>
              <w:spacing w:line="360" w:lineRule="exact"/>
              <w:rPr>
                <w:rFonts w:asci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tcBorders>
              <w:tl2br w:val="nil"/>
              <w:tr2bl w:val="nil"/>
            </w:tcBorders>
            <w:vAlign w:val="center"/>
          </w:tcPr>
          <w:p>
            <w:pPr>
              <w:spacing w:line="360" w:lineRule="exact"/>
              <w:jc w:val="center"/>
              <w:rPr>
                <w:rFonts w:ascii="宋体"/>
                <w:b/>
                <w:bCs/>
                <w:color w:val="auto"/>
                <w:szCs w:val="21"/>
                <w:highlight w:val="none"/>
              </w:rPr>
            </w:pPr>
            <w:r>
              <w:rPr>
                <w:rFonts w:hint="eastAsia" w:ascii="宋体" w:hAnsi="宋体" w:cs="宋体"/>
                <w:color w:val="auto"/>
                <w:szCs w:val="21"/>
                <w:highlight w:val="none"/>
              </w:rPr>
              <w:t>1.2</w:t>
            </w:r>
          </w:p>
        </w:tc>
        <w:tc>
          <w:tcPr>
            <w:tcW w:w="7655" w:type="dxa"/>
            <w:tcBorders>
              <w:tl2br w:val="nil"/>
              <w:tr2bl w:val="nil"/>
            </w:tcBorders>
          </w:tcPr>
          <w:p>
            <w:pPr>
              <w:spacing w:line="360" w:lineRule="exact"/>
              <w:ind w:left="-34" w:leftChars="-16"/>
              <w:rPr>
                <w:rFonts w:ascii="宋体"/>
                <w:color w:val="auto"/>
                <w:szCs w:val="21"/>
                <w:highlight w:val="none"/>
              </w:rPr>
            </w:pPr>
            <w:r>
              <w:rPr>
                <w:rFonts w:hint="eastAsia" w:ascii="宋体" w:hAnsi="宋体" w:cs="宋体"/>
                <w:color w:val="auto"/>
                <w:szCs w:val="21"/>
                <w:highlight w:val="none"/>
              </w:rPr>
              <w:t>每周一至周五工作日收取标本，按标本保存条件进行运输，及时响应物流运输要求，标本必须控制在48小时内送达实验室，同时配备冷链物流、干冰物流和常温物流，可以保持温度跟踪及追溯。</w:t>
            </w:r>
          </w:p>
        </w:tc>
        <w:tc>
          <w:tcPr>
            <w:tcW w:w="1275" w:type="dxa"/>
            <w:tcBorders>
              <w:tl2br w:val="nil"/>
              <w:tr2bl w:val="nil"/>
            </w:tcBorders>
          </w:tcPr>
          <w:p>
            <w:pPr>
              <w:spacing w:line="360" w:lineRule="exact"/>
              <w:rPr>
                <w:rFonts w:asci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tcBorders>
              <w:tl2br w:val="nil"/>
              <w:tr2bl w:val="nil"/>
            </w:tcBorders>
            <w:vAlign w:val="center"/>
          </w:tcPr>
          <w:p>
            <w:pPr>
              <w:spacing w:line="360" w:lineRule="exact"/>
              <w:jc w:val="center"/>
              <w:rPr>
                <w:rFonts w:ascii="宋体"/>
                <w:color w:val="auto"/>
                <w:szCs w:val="21"/>
                <w:highlight w:val="none"/>
              </w:rPr>
            </w:pPr>
            <w:r>
              <w:rPr>
                <w:rFonts w:hint="eastAsia" w:ascii="宋体" w:hAnsi="宋体" w:cs="宋体"/>
                <w:color w:val="auto"/>
                <w:szCs w:val="21"/>
                <w:highlight w:val="none"/>
              </w:rPr>
              <w:t>1.3</w:t>
            </w:r>
          </w:p>
        </w:tc>
        <w:tc>
          <w:tcPr>
            <w:tcW w:w="7655" w:type="dxa"/>
            <w:tcBorders>
              <w:tl2br w:val="nil"/>
              <w:tr2bl w:val="nil"/>
            </w:tcBorders>
          </w:tcPr>
          <w:p>
            <w:pPr>
              <w:spacing w:line="360" w:lineRule="exact"/>
              <w:rPr>
                <w:rFonts w:ascii="宋体"/>
                <w:color w:val="auto"/>
                <w:szCs w:val="21"/>
                <w:highlight w:val="none"/>
              </w:rPr>
            </w:pPr>
            <w:r>
              <w:rPr>
                <w:rFonts w:hint="eastAsia" w:ascii="宋体" w:hAnsi="宋体" w:cs="宋体"/>
                <w:color w:val="auto"/>
                <w:szCs w:val="21"/>
                <w:highlight w:val="none"/>
              </w:rPr>
              <w:t>对保证标本的可靠性和有效性负责，并按《项目汇总与采样手册》中的规定“报告时间”内，准时发放报告，保证检测报告的准确性和及时性。</w:t>
            </w:r>
          </w:p>
        </w:tc>
        <w:tc>
          <w:tcPr>
            <w:tcW w:w="1275" w:type="dxa"/>
            <w:tcBorders>
              <w:tl2br w:val="nil"/>
              <w:tr2bl w:val="nil"/>
            </w:tcBorders>
          </w:tcPr>
          <w:p>
            <w:pPr>
              <w:spacing w:line="360" w:lineRule="exact"/>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tcBorders>
              <w:tl2br w:val="nil"/>
              <w:tr2bl w:val="nil"/>
            </w:tcBorders>
            <w:vAlign w:val="center"/>
          </w:tcPr>
          <w:p>
            <w:pPr>
              <w:spacing w:line="360" w:lineRule="exact"/>
              <w:jc w:val="center"/>
              <w:rPr>
                <w:rFonts w:ascii="宋体"/>
                <w:color w:val="auto"/>
                <w:szCs w:val="21"/>
                <w:highlight w:val="none"/>
              </w:rPr>
            </w:pPr>
            <w:r>
              <w:rPr>
                <w:rFonts w:hint="eastAsia" w:ascii="宋体" w:hAnsi="宋体" w:cs="宋体"/>
                <w:color w:val="auto"/>
                <w:szCs w:val="21"/>
                <w:highlight w:val="none"/>
              </w:rPr>
              <w:t>1.4</w:t>
            </w:r>
          </w:p>
        </w:tc>
        <w:tc>
          <w:tcPr>
            <w:tcW w:w="7655" w:type="dxa"/>
            <w:tcBorders>
              <w:tl2br w:val="nil"/>
              <w:tr2bl w:val="nil"/>
            </w:tcBorders>
          </w:tcPr>
          <w:p>
            <w:pPr>
              <w:spacing w:line="360" w:lineRule="exact"/>
              <w:rPr>
                <w:rFonts w:ascii="宋体"/>
                <w:color w:val="auto"/>
                <w:szCs w:val="21"/>
                <w:highlight w:val="none"/>
              </w:rPr>
            </w:pPr>
            <w:r>
              <w:rPr>
                <w:rFonts w:hint="eastAsia" w:ascii="宋体" w:hAnsi="宋体" w:cs="宋体"/>
                <w:color w:val="auto"/>
                <w:szCs w:val="21"/>
                <w:highlight w:val="none"/>
              </w:rPr>
              <w:t>对检测的标本进行妥善保存，以便检测结果有疑义时进行免费复查或再委托第三方检测，这种情况所发生的费用，由投标人承担。</w:t>
            </w:r>
          </w:p>
        </w:tc>
        <w:tc>
          <w:tcPr>
            <w:tcW w:w="1275" w:type="dxa"/>
            <w:tcBorders>
              <w:tl2br w:val="nil"/>
              <w:tr2bl w:val="nil"/>
            </w:tcBorders>
          </w:tcPr>
          <w:p>
            <w:pPr>
              <w:spacing w:line="360" w:lineRule="exact"/>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tcBorders>
              <w:tl2br w:val="nil"/>
              <w:tr2bl w:val="nil"/>
            </w:tcBorders>
            <w:vAlign w:val="center"/>
          </w:tcPr>
          <w:p>
            <w:pPr>
              <w:spacing w:line="360" w:lineRule="exact"/>
              <w:jc w:val="center"/>
              <w:rPr>
                <w:rFonts w:ascii="宋体"/>
                <w:color w:val="auto"/>
                <w:szCs w:val="21"/>
                <w:highlight w:val="none"/>
              </w:rPr>
            </w:pPr>
            <w:r>
              <w:rPr>
                <w:rFonts w:hint="eastAsia" w:ascii="宋体" w:hAnsi="宋体" w:cs="宋体"/>
                <w:color w:val="auto"/>
                <w:szCs w:val="21"/>
                <w:highlight w:val="none"/>
              </w:rPr>
              <w:t>1.5</w:t>
            </w:r>
          </w:p>
        </w:tc>
        <w:tc>
          <w:tcPr>
            <w:tcW w:w="7655" w:type="dxa"/>
            <w:tcBorders>
              <w:tl2br w:val="nil"/>
              <w:tr2bl w:val="nil"/>
            </w:tcBorders>
          </w:tcPr>
          <w:p>
            <w:pPr>
              <w:spacing w:line="360" w:lineRule="exact"/>
              <w:rPr>
                <w:rFonts w:ascii="宋体"/>
                <w:color w:val="auto"/>
                <w:szCs w:val="21"/>
                <w:highlight w:val="none"/>
              </w:rPr>
            </w:pPr>
            <w:r>
              <w:rPr>
                <w:rFonts w:hint="eastAsia" w:ascii="宋体" w:hAnsi="宋体" w:cs="宋体"/>
                <w:color w:val="auto"/>
                <w:szCs w:val="21"/>
                <w:highlight w:val="none"/>
              </w:rPr>
              <w:t>投标人对招标人不明原因（非院方及患者原因或产品质量问题）引起的医疗投诉、纠纷，能协助招标方做好患者的协调工作，并承担一定的处理费用。若不能积极配合者，下次招标不予考虑。</w:t>
            </w:r>
          </w:p>
        </w:tc>
        <w:tc>
          <w:tcPr>
            <w:tcW w:w="1275" w:type="dxa"/>
            <w:tcBorders>
              <w:tl2br w:val="nil"/>
              <w:tr2bl w:val="nil"/>
            </w:tcBorders>
          </w:tcPr>
          <w:p>
            <w:pPr>
              <w:spacing w:line="360" w:lineRule="exact"/>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tcBorders>
              <w:tl2br w:val="nil"/>
              <w:tr2bl w:val="nil"/>
            </w:tcBorders>
            <w:vAlign w:val="center"/>
          </w:tcPr>
          <w:p>
            <w:pPr>
              <w:spacing w:line="360" w:lineRule="exact"/>
              <w:jc w:val="center"/>
              <w:rPr>
                <w:rFonts w:ascii="宋体"/>
                <w:color w:val="auto"/>
                <w:szCs w:val="21"/>
                <w:highlight w:val="none"/>
              </w:rPr>
            </w:pPr>
            <w:r>
              <w:rPr>
                <w:rFonts w:hint="eastAsia" w:ascii="宋体" w:hAnsi="宋体" w:cs="宋体"/>
                <w:color w:val="auto"/>
                <w:szCs w:val="21"/>
                <w:highlight w:val="none"/>
              </w:rPr>
              <w:t>1.6</w:t>
            </w:r>
          </w:p>
        </w:tc>
        <w:tc>
          <w:tcPr>
            <w:tcW w:w="7655" w:type="dxa"/>
            <w:tcBorders>
              <w:tl2br w:val="nil"/>
              <w:tr2bl w:val="nil"/>
            </w:tcBorders>
          </w:tcPr>
          <w:p>
            <w:pPr>
              <w:spacing w:line="360" w:lineRule="exact"/>
              <w:rPr>
                <w:rFonts w:ascii="宋体"/>
                <w:color w:val="auto"/>
                <w:szCs w:val="21"/>
                <w:highlight w:val="none"/>
              </w:rPr>
            </w:pPr>
            <w:r>
              <w:rPr>
                <w:rFonts w:hint="eastAsia" w:ascii="宋体" w:hAnsi="宋体" w:cs="宋体"/>
                <w:color w:val="auto"/>
                <w:szCs w:val="21"/>
                <w:highlight w:val="none"/>
              </w:rPr>
              <w:t>遵守保密制度，保护受检者的秘密，未经许可，不得向无关人员泄露受检者的检测情况。</w:t>
            </w:r>
          </w:p>
        </w:tc>
        <w:tc>
          <w:tcPr>
            <w:tcW w:w="1275" w:type="dxa"/>
            <w:tcBorders>
              <w:tl2br w:val="nil"/>
              <w:tr2bl w:val="nil"/>
            </w:tcBorders>
          </w:tcPr>
          <w:p>
            <w:pPr>
              <w:spacing w:line="360" w:lineRule="exact"/>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tcBorders>
              <w:tl2br w:val="nil"/>
              <w:tr2bl w:val="nil"/>
            </w:tcBorders>
            <w:vAlign w:val="center"/>
          </w:tcPr>
          <w:p>
            <w:pPr>
              <w:spacing w:line="360" w:lineRule="exact"/>
              <w:jc w:val="center"/>
              <w:rPr>
                <w:rFonts w:ascii="宋体"/>
                <w:color w:val="auto"/>
                <w:szCs w:val="21"/>
                <w:highlight w:val="none"/>
              </w:rPr>
            </w:pPr>
            <w:r>
              <w:rPr>
                <w:rFonts w:hint="eastAsia" w:ascii="宋体" w:hAnsi="宋体" w:cs="宋体"/>
                <w:color w:val="auto"/>
                <w:szCs w:val="21"/>
                <w:highlight w:val="none"/>
              </w:rPr>
              <w:t>1.7</w:t>
            </w:r>
          </w:p>
        </w:tc>
        <w:tc>
          <w:tcPr>
            <w:tcW w:w="7655" w:type="dxa"/>
            <w:tcBorders>
              <w:tl2br w:val="nil"/>
              <w:tr2bl w:val="nil"/>
            </w:tcBorders>
          </w:tcPr>
          <w:p>
            <w:pPr>
              <w:spacing w:line="360" w:lineRule="exact"/>
              <w:rPr>
                <w:rFonts w:ascii="宋体"/>
                <w:color w:val="auto"/>
                <w:szCs w:val="21"/>
                <w:highlight w:val="none"/>
              </w:rPr>
            </w:pPr>
            <w:r>
              <w:rPr>
                <w:rFonts w:hint="eastAsia" w:ascii="宋体" w:hAnsi="宋体" w:cs="宋体"/>
                <w:color w:val="auto"/>
                <w:szCs w:val="21"/>
                <w:highlight w:val="none"/>
              </w:rPr>
              <w:t>投标人具备自主研发的分子病理结果大数据处理平台与终端设备，提供网络报告服务和原始数据。</w:t>
            </w:r>
          </w:p>
        </w:tc>
        <w:tc>
          <w:tcPr>
            <w:tcW w:w="1275" w:type="dxa"/>
            <w:tcBorders>
              <w:tl2br w:val="nil"/>
              <w:tr2bl w:val="nil"/>
            </w:tcBorders>
          </w:tcPr>
          <w:p>
            <w:pPr>
              <w:spacing w:line="360" w:lineRule="exact"/>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tcBorders>
              <w:tl2br w:val="nil"/>
              <w:tr2bl w:val="nil"/>
            </w:tcBorders>
            <w:vAlign w:val="center"/>
          </w:tcPr>
          <w:p>
            <w:pPr>
              <w:spacing w:line="360" w:lineRule="exact"/>
              <w:jc w:val="center"/>
              <w:rPr>
                <w:rFonts w:ascii="宋体"/>
                <w:color w:val="auto"/>
                <w:szCs w:val="21"/>
                <w:highlight w:val="none"/>
              </w:rPr>
            </w:pPr>
            <w:r>
              <w:rPr>
                <w:rFonts w:hint="eastAsia" w:ascii="宋体" w:hAnsi="宋体" w:cs="宋体"/>
                <w:color w:val="auto"/>
                <w:szCs w:val="21"/>
                <w:highlight w:val="none"/>
              </w:rPr>
              <w:t>1.8</w:t>
            </w:r>
          </w:p>
        </w:tc>
        <w:tc>
          <w:tcPr>
            <w:tcW w:w="7655" w:type="dxa"/>
            <w:tcBorders>
              <w:tl2br w:val="nil"/>
              <w:tr2bl w:val="nil"/>
            </w:tcBorders>
          </w:tcPr>
          <w:p>
            <w:pPr>
              <w:spacing w:line="360" w:lineRule="exact"/>
              <w:rPr>
                <w:rFonts w:ascii="宋体"/>
                <w:color w:val="auto"/>
                <w:szCs w:val="21"/>
                <w:highlight w:val="none"/>
              </w:rPr>
            </w:pPr>
            <w:r>
              <w:rPr>
                <w:rFonts w:hint="eastAsia" w:ascii="宋体"/>
                <w:color w:val="auto"/>
                <w:szCs w:val="21"/>
                <w:highlight w:val="none"/>
              </w:rPr>
              <w:t>样本检测报告必须提供数字化质控内容（包括恶性肿瘤细胞占比、DNA质量评估、测序质量评估等）。</w:t>
            </w:r>
          </w:p>
        </w:tc>
        <w:tc>
          <w:tcPr>
            <w:tcW w:w="1275" w:type="dxa"/>
            <w:tcBorders>
              <w:tl2br w:val="nil"/>
              <w:tr2bl w:val="nil"/>
            </w:tcBorders>
          </w:tcPr>
          <w:p>
            <w:pPr>
              <w:spacing w:line="360" w:lineRule="exact"/>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17" w:type="dxa"/>
            <w:tcBorders>
              <w:tl2br w:val="nil"/>
              <w:tr2bl w:val="nil"/>
            </w:tcBorders>
            <w:vAlign w:val="center"/>
          </w:tcPr>
          <w:p>
            <w:pPr>
              <w:spacing w:line="360" w:lineRule="exact"/>
              <w:jc w:val="center"/>
              <w:rPr>
                <w:rFonts w:ascii="宋体"/>
                <w:color w:val="auto"/>
                <w:szCs w:val="21"/>
                <w:highlight w:val="none"/>
              </w:rPr>
            </w:pPr>
            <w:r>
              <w:rPr>
                <w:rFonts w:hint="eastAsia" w:ascii="宋体" w:hAnsi="宋体" w:cs="宋体"/>
                <w:color w:val="auto"/>
                <w:szCs w:val="21"/>
                <w:highlight w:val="none"/>
              </w:rPr>
              <w:t>1.9</w:t>
            </w:r>
          </w:p>
        </w:tc>
        <w:tc>
          <w:tcPr>
            <w:tcW w:w="7655" w:type="dxa"/>
            <w:tcBorders>
              <w:tl2br w:val="nil"/>
              <w:tr2bl w:val="nil"/>
            </w:tcBorders>
          </w:tcPr>
          <w:p>
            <w:pPr>
              <w:spacing w:line="360" w:lineRule="exact"/>
              <w:rPr>
                <w:rFonts w:ascii="宋体"/>
                <w:color w:val="auto"/>
                <w:szCs w:val="21"/>
                <w:highlight w:val="none"/>
              </w:rPr>
            </w:pPr>
            <w:r>
              <w:rPr>
                <w:rFonts w:hint="eastAsia" w:ascii="宋体" w:hAnsi="宋体"/>
                <w:color w:val="auto"/>
                <w:szCs w:val="21"/>
                <w:highlight w:val="none"/>
              </w:rPr>
              <w:t>按照病理质控要求</w:t>
            </w:r>
            <w:r>
              <w:rPr>
                <w:rFonts w:hint="eastAsia" w:ascii="宋体" w:hAnsi="宋体" w:cs="宋体"/>
                <w:color w:val="auto"/>
                <w:szCs w:val="21"/>
                <w:highlight w:val="none"/>
              </w:rPr>
              <w:t>，定期提供所有外送项目的室内质控、室间质控报告（投标文件中列出具体方案及时间）。</w:t>
            </w:r>
          </w:p>
        </w:tc>
        <w:tc>
          <w:tcPr>
            <w:tcW w:w="1275" w:type="dxa"/>
            <w:tcBorders>
              <w:tl2br w:val="nil"/>
              <w:tr2bl w:val="nil"/>
            </w:tcBorders>
          </w:tcPr>
          <w:p>
            <w:pPr>
              <w:spacing w:line="360" w:lineRule="exact"/>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7" w:type="dxa"/>
            <w:tcBorders>
              <w:tl2br w:val="nil"/>
              <w:tr2bl w:val="nil"/>
            </w:tcBorders>
            <w:vAlign w:val="center"/>
          </w:tcPr>
          <w:p>
            <w:pPr>
              <w:spacing w:line="360" w:lineRule="exact"/>
              <w:jc w:val="center"/>
              <w:rPr>
                <w:rFonts w:ascii="宋体"/>
                <w:color w:val="auto"/>
                <w:szCs w:val="21"/>
                <w:highlight w:val="none"/>
              </w:rPr>
            </w:pPr>
            <w:r>
              <w:rPr>
                <w:rFonts w:hint="eastAsia" w:ascii="宋体" w:hAnsi="宋体" w:cs="宋体"/>
                <w:color w:val="auto"/>
                <w:szCs w:val="21"/>
                <w:highlight w:val="none"/>
              </w:rPr>
              <w:t>1.10</w:t>
            </w:r>
          </w:p>
        </w:tc>
        <w:tc>
          <w:tcPr>
            <w:tcW w:w="7655" w:type="dxa"/>
            <w:tcBorders>
              <w:tl2br w:val="nil"/>
              <w:tr2bl w:val="nil"/>
            </w:tcBorders>
          </w:tcPr>
          <w:p>
            <w:pPr>
              <w:spacing w:line="360" w:lineRule="exact"/>
              <w:rPr>
                <w:rFonts w:ascii="宋体"/>
                <w:color w:val="auto"/>
                <w:szCs w:val="21"/>
                <w:highlight w:val="none"/>
              </w:rPr>
            </w:pPr>
            <w:r>
              <w:rPr>
                <w:rFonts w:hint="eastAsia" w:ascii="宋体" w:hAnsi="宋体" w:cs="宋体"/>
                <w:color w:val="auto"/>
                <w:szCs w:val="21"/>
                <w:highlight w:val="none"/>
              </w:rPr>
              <w:t>按照检测质控要求，定期提供检测仪器设备性能验证报告（投标文件中列出具体方案及时间）。</w:t>
            </w:r>
          </w:p>
        </w:tc>
        <w:tc>
          <w:tcPr>
            <w:tcW w:w="1275" w:type="dxa"/>
            <w:tcBorders>
              <w:tl2br w:val="nil"/>
              <w:tr2bl w:val="nil"/>
            </w:tcBorders>
          </w:tcPr>
          <w:p>
            <w:pPr>
              <w:spacing w:line="360" w:lineRule="exact"/>
              <w:jc w:val="cente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7" w:type="dxa"/>
            <w:tcBorders>
              <w:tl2br w:val="nil"/>
              <w:tr2bl w:val="nil"/>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7655" w:type="dxa"/>
            <w:tcBorders>
              <w:tl2br w:val="nil"/>
              <w:tr2bl w:val="nil"/>
            </w:tcBorders>
          </w:tcPr>
          <w:p>
            <w:pPr>
              <w:spacing w:line="360" w:lineRule="exact"/>
              <w:rPr>
                <w:rFonts w:ascii="宋体"/>
                <w:color w:val="auto"/>
                <w:szCs w:val="21"/>
                <w:highlight w:val="none"/>
              </w:rPr>
            </w:pPr>
            <w:r>
              <w:rPr>
                <w:rFonts w:hint="eastAsia" w:ascii="宋体" w:hAnsi="宋体" w:cs="宋体"/>
                <w:color w:val="auto"/>
                <w:szCs w:val="21"/>
                <w:highlight w:val="none"/>
              </w:rPr>
              <w:t>投标人提供医学检验部门自建检测方法（LDT）管理，并提供实验室相关资料在招标人处备案。</w:t>
            </w:r>
          </w:p>
        </w:tc>
        <w:tc>
          <w:tcPr>
            <w:tcW w:w="1275" w:type="dxa"/>
            <w:tcBorders>
              <w:tl2br w:val="nil"/>
              <w:tr2bl w:val="nil"/>
            </w:tcBorders>
          </w:tcPr>
          <w:p>
            <w:pPr>
              <w:spacing w:line="360" w:lineRule="exact"/>
              <w:jc w:val="cente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7" w:type="dxa"/>
            <w:tcBorders>
              <w:tl2br w:val="nil"/>
              <w:tr2bl w:val="nil"/>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7655" w:type="dxa"/>
            <w:tcBorders>
              <w:tl2br w:val="nil"/>
              <w:tr2bl w:val="nil"/>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未经招标人书面许可，投标人不得将所产生实验数据用于科研项目、论文等研究工作，否则将承担由此造成的一切损失。</w:t>
            </w:r>
          </w:p>
        </w:tc>
        <w:tc>
          <w:tcPr>
            <w:tcW w:w="1275" w:type="dxa"/>
            <w:tcBorders>
              <w:tl2br w:val="nil"/>
              <w:tr2bl w:val="nil"/>
            </w:tcBorders>
          </w:tcPr>
          <w:p>
            <w:pPr>
              <w:spacing w:line="360" w:lineRule="exact"/>
              <w:jc w:val="cente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7" w:type="dxa"/>
            <w:tcBorders>
              <w:tl2br w:val="nil"/>
              <w:tr2bl w:val="nil"/>
            </w:tcBorders>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930" w:type="dxa"/>
            <w:gridSpan w:val="2"/>
            <w:tcBorders>
              <w:tl2br w:val="nil"/>
              <w:tr2bl w:val="nil"/>
            </w:tcBorders>
          </w:tcPr>
          <w:p>
            <w:pPr>
              <w:spacing w:line="360" w:lineRule="exact"/>
              <w:jc w:val="left"/>
              <w:rPr>
                <w:rFonts w:ascii="宋体"/>
                <w:color w:val="auto"/>
                <w:szCs w:val="21"/>
                <w:highlight w:val="none"/>
              </w:rPr>
            </w:pPr>
            <w:r>
              <w:rPr>
                <w:rFonts w:hint="eastAsia" w:ascii="宋体" w:hAnsi="宋体" w:cs="宋体"/>
                <w:b/>
                <w:color w:val="auto"/>
                <w:szCs w:val="21"/>
                <w:highlight w:val="none"/>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7" w:type="dxa"/>
            <w:tcBorders>
              <w:tl2br w:val="nil"/>
              <w:tr2bl w:val="nil"/>
            </w:tcBorders>
            <w:vAlign w:val="center"/>
          </w:tcPr>
          <w:p>
            <w:pPr>
              <w:spacing w:line="360" w:lineRule="exact"/>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w:t>
            </w:r>
          </w:p>
        </w:tc>
        <w:tc>
          <w:tcPr>
            <w:tcW w:w="7655" w:type="dxa"/>
            <w:tcBorders>
              <w:tl2br w:val="nil"/>
              <w:tr2bl w:val="nil"/>
            </w:tcBorders>
          </w:tcPr>
          <w:p>
            <w:pPr>
              <w:spacing w:line="360" w:lineRule="exact"/>
              <w:rPr>
                <w:rFonts w:ascii="宋体"/>
                <w:color w:val="auto"/>
                <w:szCs w:val="21"/>
                <w:highlight w:val="none"/>
              </w:rPr>
            </w:pPr>
            <w:r>
              <w:rPr>
                <w:rFonts w:hint="eastAsia" w:ascii="宋体" w:hAnsi="宋体" w:cs="宋体"/>
                <w:color w:val="auto"/>
                <w:szCs w:val="21"/>
                <w:highlight w:val="none"/>
              </w:rPr>
              <w:t>合同签订后，中标人应根据招标人要求提供相关资质证明材料，双方以此作为提供检测报告依据。未按要求提供材料的，招标人有权取消该中标人的中标资格，重新组织招标。合同履行期间，招标人视具体中标和使用情况，对不符合招标人使用要求的个别项目产品进行调整，中标人应配合做好相关工作。</w:t>
            </w:r>
          </w:p>
        </w:tc>
        <w:tc>
          <w:tcPr>
            <w:tcW w:w="1275" w:type="dxa"/>
            <w:tcBorders>
              <w:tl2br w:val="nil"/>
              <w:tr2bl w:val="nil"/>
            </w:tcBorders>
          </w:tcPr>
          <w:p>
            <w:pPr>
              <w:spacing w:line="360" w:lineRule="exact"/>
              <w:jc w:val="cente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7" w:type="dxa"/>
            <w:tcBorders>
              <w:tl2br w:val="nil"/>
              <w:tr2bl w:val="nil"/>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7655" w:type="dxa"/>
            <w:tcBorders>
              <w:tl2br w:val="nil"/>
              <w:tr2bl w:val="nil"/>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合同期内，若中标人累计三次无正当理由不能提供相应服务，招标人有权取消合同。</w:t>
            </w:r>
          </w:p>
        </w:tc>
        <w:tc>
          <w:tcPr>
            <w:tcW w:w="1275" w:type="dxa"/>
            <w:tcBorders>
              <w:tl2br w:val="nil"/>
              <w:tr2bl w:val="nil"/>
            </w:tcBorders>
          </w:tcPr>
          <w:p>
            <w:pPr>
              <w:spacing w:line="360" w:lineRule="exact"/>
              <w:jc w:val="cente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7" w:type="dxa"/>
            <w:tcBorders>
              <w:tl2br w:val="nil"/>
              <w:tr2bl w:val="nil"/>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7655" w:type="dxa"/>
            <w:tcBorders>
              <w:tl2br w:val="nil"/>
              <w:tr2bl w:val="nil"/>
            </w:tcBorders>
          </w:tcPr>
          <w:p>
            <w:pPr>
              <w:spacing w:line="360" w:lineRule="exact"/>
              <w:rPr>
                <w:rFonts w:ascii="宋体" w:hAnsi="宋体" w:cs="宋体"/>
                <w:color w:val="auto"/>
                <w:szCs w:val="21"/>
                <w:highlight w:val="none"/>
              </w:rPr>
            </w:pPr>
            <w:r>
              <w:rPr>
                <w:rFonts w:hint="eastAsia" w:ascii="宋体" w:hAnsi="宋体" w:cs="宋体"/>
                <w:bCs/>
                <w:color w:val="auto"/>
                <w:kern w:val="0"/>
                <w:szCs w:val="21"/>
                <w:highlight w:val="none"/>
              </w:rPr>
              <w:t>招标人因业务发展需求，要求新增外送检测项目</w:t>
            </w:r>
            <w:r>
              <w:rPr>
                <w:rFonts w:hint="eastAsia" w:ascii="宋体" w:hAnsi="宋体" w:cs="宋体"/>
                <w:color w:val="auto"/>
                <w:szCs w:val="21"/>
                <w:highlight w:val="none"/>
              </w:rPr>
              <w:t>，</w:t>
            </w:r>
            <w:r>
              <w:rPr>
                <w:rFonts w:hint="eastAsia" w:ascii="宋体" w:hAnsi="宋体" w:cs="宋体"/>
                <w:bCs/>
                <w:color w:val="auto"/>
                <w:kern w:val="0"/>
                <w:szCs w:val="21"/>
                <w:highlight w:val="none"/>
              </w:rPr>
              <w:t>按投标人本次所报的服务比例执行，纳入服务范围。</w:t>
            </w:r>
            <w:r>
              <w:rPr>
                <w:rFonts w:hint="eastAsia" w:ascii="宋体" w:hAnsi="宋体" w:cs="宋体"/>
                <w:color w:val="auto"/>
                <w:szCs w:val="21"/>
                <w:highlight w:val="none"/>
              </w:rPr>
              <w:t>如中心具备自己检测检验条件，提前一个月通知中标人，有权减少相应的送检项目。</w:t>
            </w:r>
          </w:p>
        </w:tc>
        <w:tc>
          <w:tcPr>
            <w:tcW w:w="1275" w:type="dxa"/>
            <w:tcBorders>
              <w:tl2br w:val="nil"/>
              <w:tr2bl w:val="nil"/>
            </w:tcBorders>
          </w:tcPr>
          <w:p>
            <w:pPr>
              <w:spacing w:line="360" w:lineRule="exact"/>
              <w:jc w:val="cente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7" w:type="dxa"/>
            <w:tcBorders>
              <w:tl2br w:val="nil"/>
              <w:tr2bl w:val="nil"/>
            </w:tcBorders>
            <w:vAlign w:val="center"/>
          </w:tcPr>
          <w:p>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p>
        </w:tc>
        <w:tc>
          <w:tcPr>
            <w:tcW w:w="7655" w:type="dxa"/>
            <w:tcBorders>
              <w:tl2br w:val="nil"/>
              <w:tr2bl w:val="nil"/>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投标人提出其他有利于招标人的增值服务或</w:t>
            </w:r>
            <w:r>
              <w:rPr>
                <w:rFonts w:hint="eastAsia" w:ascii="宋体" w:hAnsi="宋体" w:cs="宋体"/>
                <w:color w:val="auto"/>
                <w:szCs w:val="21"/>
                <w:highlight w:val="none"/>
                <w:lang w:val="en-US" w:eastAsia="zh-CN"/>
              </w:rPr>
              <w:t>特色服务承诺</w:t>
            </w:r>
            <w:r>
              <w:rPr>
                <w:rFonts w:hint="eastAsia" w:ascii="宋体" w:hAnsi="宋体" w:cs="宋体"/>
                <w:color w:val="auto"/>
                <w:szCs w:val="21"/>
                <w:highlight w:val="none"/>
              </w:rPr>
              <w:t>。</w:t>
            </w:r>
          </w:p>
        </w:tc>
        <w:tc>
          <w:tcPr>
            <w:tcW w:w="1275" w:type="dxa"/>
            <w:tcBorders>
              <w:tl2br w:val="nil"/>
              <w:tr2bl w:val="nil"/>
            </w:tcBorders>
          </w:tcPr>
          <w:p>
            <w:pPr>
              <w:spacing w:line="360" w:lineRule="exact"/>
              <w:jc w:val="cente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7" w:type="dxa"/>
            <w:tcBorders>
              <w:tl2br w:val="nil"/>
              <w:tr2bl w:val="nil"/>
            </w:tcBorders>
            <w:vAlign w:val="center"/>
          </w:tcPr>
          <w:p>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p>
        </w:tc>
        <w:tc>
          <w:tcPr>
            <w:tcW w:w="7655" w:type="dxa"/>
            <w:tcBorders>
              <w:tl2br w:val="nil"/>
              <w:tr2bl w:val="nil"/>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投标人的实验室</w:t>
            </w:r>
            <w:r>
              <w:rPr>
                <w:rFonts w:ascii="Cambria" w:hAnsi="Cambria" w:cs="Cambria"/>
                <w:color w:val="auto"/>
                <w:highlight w:val="none"/>
              </w:rPr>
              <w:t>具有医疗机构执业许可证（诊疗科目内含有医学检验科、临床细胞分子遗传学专业内容）</w:t>
            </w:r>
            <w:r>
              <w:rPr>
                <w:rFonts w:hint="eastAsia" w:ascii="Cambria" w:hAnsi="Cambria" w:cs="Cambria"/>
                <w:color w:val="auto"/>
                <w:highlight w:val="none"/>
              </w:rPr>
              <w:t>，投标文件中提供许可证扫描件及实验室所属关系证明材料扫描件加盖公章。</w:t>
            </w:r>
          </w:p>
        </w:tc>
        <w:tc>
          <w:tcPr>
            <w:tcW w:w="1275" w:type="dxa"/>
            <w:tcBorders>
              <w:tl2br w:val="nil"/>
              <w:tr2bl w:val="nil"/>
            </w:tcBorders>
          </w:tcPr>
          <w:p>
            <w:pPr>
              <w:spacing w:line="360" w:lineRule="exact"/>
              <w:jc w:val="center"/>
              <w:rPr>
                <w:rFonts w:ascii="宋体"/>
                <w:color w:val="auto"/>
                <w:szCs w:val="21"/>
                <w:highlight w:val="none"/>
              </w:rPr>
            </w:pPr>
          </w:p>
        </w:tc>
      </w:tr>
    </w:tbl>
    <w:p>
      <w:pPr>
        <w:adjustRightInd/>
        <w:spacing w:line="360" w:lineRule="auto"/>
        <w:jc w:val="center"/>
        <w:rPr>
          <w:rFonts w:hint="eastAsia" w:ascii="宋体" w:hAnsi="宋体" w:cs="宋体"/>
          <w:b/>
          <w:color w:val="auto"/>
          <w:sz w:val="36"/>
          <w:szCs w:val="36"/>
          <w:highlight w:val="none"/>
        </w:rPr>
      </w:pPr>
      <w:bookmarkStart w:id="34" w:name="_Toc18651"/>
    </w:p>
    <w:p>
      <w:pPr>
        <w:adjustRightInd/>
        <w:spacing w:line="360" w:lineRule="auto"/>
        <w:jc w:val="center"/>
        <w:rPr>
          <w:rFonts w:ascii="宋体" w:hAnsi="宋体" w:cs="宋体"/>
          <w:b/>
          <w:color w:val="auto"/>
          <w:sz w:val="32"/>
          <w:szCs w:val="20"/>
          <w:highlight w:val="none"/>
        </w:rPr>
      </w:pPr>
      <w:r>
        <w:rPr>
          <w:rFonts w:hint="eastAsia" w:ascii="宋体" w:hAnsi="宋体" w:cs="宋体"/>
          <w:b/>
          <w:color w:val="auto"/>
          <w:sz w:val="36"/>
          <w:szCs w:val="36"/>
          <w:highlight w:val="none"/>
        </w:rPr>
        <w:t xml:space="preserve">第四部分   </w:t>
      </w:r>
      <w:bookmarkStart w:id="35" w:name="_Toc184313250"/>
      <w:bookmarkEnd w:id="35"/>
      <w:bookmarkStart w:id="36" w:name="_Toc184310329"/>
      <w:bookmarkEnd w:id="36"/>
      <w:bookmarkStart w:id="37" w:name="_Toc184314448"/>
      <w:bookmarkEnd w:id="37"/>
      <w:bookmarkStart w:id="38" w:name="_Toc184314435"/>
      <w:bookmarkEnd w:id="38"/>
      <w:bookmarkStart w:id="39" w:name="_Toc184314442"/>
      <w:bookmarkEnd w:id="39"/>
      <w:bookmarkStart w:id="40" w:name="_Toc184312093"/>
      <w:bookmarkEnd w:id="40"/>
      <w:bookmarkStart w:id="41" w:name="_Toc184310338"/>
      <w:bookmarkEnd w:id="41"/>
      <w:bookmarkStart w:id="42" w:name="_Toc184313241"/>
      <w:bookmarkEnd w:id="42"/>
      <w:bookmarkStart w:id="43" w:name="_Toc184308059"/>
      <w:bookmarkEnd w:id="43"/>
      <w:bookmarkStart w:id="44" w:name="_Toc184313297"/>
      <w:bookmarkEnd w:id="44"/>
      <w:bookmarkStart w:id="45" w:name="_Toc184313261"/>
      <w:bookmarkEnd w:id="45"/>
      <w:bookmarkStart w:id="46" w:name="_Toc184310298"/>
      <w:bookmarkEnd w:id="46"/>
      <w:bookmarkStart w:id="47" w:name="_Toc184308051"/>
      <w:bookmarkEnd w:id="47"/>
      <w:bookmarkStart w:id="48" w:name="_Toc184312119"/>
      <w:bookmarkEnd w:id="48"/>
      <w:bookmarkStart w:id="49" w:name="_Toc184310316"/>
      <w:bookmarkEnd w:id="49"/>
      <w:bookmarkStart w:id="50" w:name="_Toc184313284"/>
      <w:bookmarkEnd w:id="50"/>
      <w:bookmarkStart w:id="51" w:name="_Toc184313267"/>
      <w:bookmarkEnd w:id="51"/>
      <w:bookmarkStart w:id="52" w:name="_Toc184310319"/>
      <w:bookmarkEnd w:id="52"/>
      <w:bookmarkStart w:id="53" w:name="_Toc184314473"/>
      <w:bookmarkEnd w:id="53"/>
      <w:bookmarkStart w:id="54" w:name="_Toc184314455"/>
      <w:bookmarkEnd w:id="54"/>
      <w:bookmarkStart w:id="55" w:name="_Toc184314454"/>
      <w:bookmarkEnd w:id="55"/>
      <w:bookmarkStart w:id="56" w:name="_Toc184314418"/>
      <w:bookmarkEnd w:id="56"/>
      <w:bookmarkStart w:id="57" w:name="_Toc184313245"/>
      <w:bookmarkEnd w:id="57"/>
      <w:bookmarkStart w:id="58" w:name="_Toc184308097"/>
      <w:bookmarkEnd w:id="58"/>
      <w:bookmarkStart w:id="59" w:name="_Toc184314420"/>
      <w:bookmarkEnd w:id="59"/>
      <w:bookmarkStart w:id="60" w:name="_Toc184313291"/>
      <w:bookmarkEnd w:id="60"/>
      <w:bookmarkStart w:id="61" w:name="_Toc184308085"/>
      <w:bookmarkEnd w:id="61"/>
      <w:bookmarkStart w:id="62" w:name="_Toc184310281"/>
      <w:bookmarkEnd w:id="62"/>
      <w:bookmarkStart w:id="63" w:name="_Toc184313296"/>
      <w:bookmarkEnd w:id="63"/>
      <w:bookmarkStart w:id="64" w:name="_Toc184310311"/>
      <w:bookmarkEnd w:id="64"/>
      <w:bookmarkStart w:id="65" w:name="_Toc184314438"/>
      <w:bookmarkEnd w:id="65"/>
      <w:bookmarkStart w:id="66" w:name="_Toc184314450"/>
      <w:bookmarkEnd w:id="66"/>
      <w:bookmarkStart w:id="67" w:name="_Toc184308070"/>
      <w:bookmarkEnd w:id="67"/>
      <w:bookmarkStart w:id="68" w:name="_Toc184313262"/>
      <w:bookmarkEnd w:id="68"/>
      <w:bookmarkStart w:id="69" w:name="_Toc184312068"/>
      <w:bookmarkEnd w:id="69"/>
      <w:bookmarkStart w:id="70" w:name="_Toc184314459"/>
      <w:bookmarkEnd w:id="70"/>
      <w:bookmarkStart w:id="71" w:name="_Toc184310278"/>
      <w:bookmarkEnd w:id="71"/>
      <w:bookmarkStart w:id="72" w:name="_Toc184312134"/>
      <w:bookmarkEnd w:id="72"/>
      <w:bookmarkStart w:id="73" w:name="_Toc184312138"/>
      <w:bookmarkEnd w:id="73"/>
      <w:bookmarkStart w:id="74" w:name="_Toc184314480"/>
      <w:bookmarkEnd w:id="74"/>
      <w:bookmarkStart w:id="75" w:name="_Toc184310287"/>
      <w:bookmarkEnd w:id="75"/>
      <w:bookmarkStart w:id="76" w:name="_Toc184308043"/>
      <w:bookmarkEnd w:id="76"/>
      <w:bookmarkStart w:id="77" w:name="_Toc184308071"/>
      <w:bookmarkEnd w:id="77"/>
      <w:bookmarkStart w:id="78" w:name="_Toc184308099"/>
      <w:bookmarkEnd w:id="78"/>
      <w:bookmarkStart w:id="79" w:name="_Toc184314475"/>
      <w:bookmarkEnd w:id="79"/>
      <w:bookmarkStart w:id="80" w:name="_Toc184310323"/>
      <w:bookmarkEnd w:id="80"/>
      <w:bookmarkStart w:id="81" w:name="_Toc184313276"/>
      <w:bookmarkEnd w:id="81"/>
      <w:bookmarkStart w:id="82" w:name="_Toc184308108"/>
      <w:bookmarkEnd w:id="82"/>
      <w:bookmarkStart w:id="83" w:name="_Toc184314426"/>
      <w:bookmarkEnd w:id="83"/>
      <w:bookmarkStart w:id="84" w:name="_Toc184308067"/>
      <w:bookmarkEnd w:id="84"/>
      <w:bookmarkStart w:id="85" w:name="_Toc184310275"/>
      <w:bookmarkEnd w:id="85"/>
      <w:bookmarkStart w:id="86" w:name="_Toc184312101"/>
      <w:bookmarkEnd w:id="86"/>
      <w:bookmarkStart w:id="87" w:name="_Toc184308106"/>
      <w:bookmarkEnd w:id="87"/>
      <w:bookmarkStart w:id="88" w:name="_Toc184308086"/>
      <w:bookmarkEnd w:id="88"/>
      <w:bookmarkStart w:id="89" w:name="_Toc184308088"/>
      <w:bookmarkEnd w:id="89"/>
      <w:bookmarkStart w:id="90" w:name="_Toc184314429"/>
      <w:bookmarkEnd w:id="90"/>
      <w:bookmarkStart w:id="91" w:name="_Toc184308055"/>
      <w:bookmarkEnd w:id="91"/>
      <w:bookmarkStart w:id="92" w:name="_Toc184313307"/>
      <w:bookmarkEnd w:id="92"/>
      <w:bookmarkStart w:id="93" w:name="_Toc184308049"/>
      <w:bookmarkEnd w:id="93"/>
      <w:bookmarkStart w:id="94" w:name="_Toc184314478"/>
      <w:bookmarkEnd w:id="94"/>
      <w:bookmarkStart w:id="95" w:name="_Toc184313301"/>
      <w:bookmarkEnd w:id="95"/>
      <w:bookmarkStart w:id="96" w:name="_Toc184312139"/>
      <w:bookmarkEnd w:id="96"/>
      <w:bookmarkStart w:id="97" w:name="_Toc184312116"/>
      <w:bookmarkEnd w:id="97"/>
      <w:bookmarkStart w:id="98" w:name="_Toc184308036"/>
      <w:bookmarkEnd w:id="98"/>
      <w:bookmarkStart w:id="99" w:name="_Toc184313246"/>
      <w:bookmarkEnd w:id="99"/>
      <w:bookmarkStart w:id="100" w:name="_Toc184312080"/>
      <w:bookmarkEnd w:id="100"/>
      <w:bookmarkStart w:id="101" w:name="_Toc184314482"/>
      <w:bookmarkEnd w:id="101"/>
      <w:bookmarkStart w:id="102" w:name="_Toc184308073"/>
      <w:bookmarkEnd w:id="102"/>
      <w:bookmarkStart w:id="103" w:name="_Toc184312123"/>
      <w:bookmarkEnd w:id="103"/>
      <w:bookmarkStart w:id="104" w:name="_Toc184312121"/>
      <w:bookmarkEnd w:id="104"/>
      <w:bookmarkStart w:id="105" w:name="_Toc184313253"/>
      <w:bookmarkEnd w:id="105"/>
      <w:bookmarkStart w:id="106" w:name="_Toc184312078"/>
      <w:bookmarkEnd w:id="106"/>
      <w:bookmarkStart w:id="107" w:name="_Toc184308042"/>
      <w:bookmarkEnd w:id="107"/>
      <w:bookmarkStart w:id="108" w:name="_Toc184308040"/>
      <w:bookmarkEnd w:id="108"/>
      <w:bookmarkStart w:id="109" w:name="_Toc184313298"/>
      <w:bookmarkEnd w:id="109"/>
      <w:bookmarkStart w:id="110" w:name="_Toc184313239"/>
      <w:bookmarkEnd w:id="110"/>
      <w:bookmarkStart w:id="111" w:name="_Toc184312103"/>
      <w:bookmarkEnd w:id="111"/>
      <w:bookmarkStart w:id="112" w:name="_Toc184308072"/>
      <w:bookmarkEnd w:id="112"/>
      <w:bookmarkStart w:id="113" w:name="_Toc184314457"/>
      <w:bookmarkEnd w:id="113"/>
      <w:bookmarkStart w:id="114" w:name="_Toc184312125"/>
      <w:bookmarkEnd w:id="114"/>
      <w:bookmarkStart w:id="115" w:name="_Toc184314476"/>
      <w:bookmarkEnd w:id="115"/>
      <w:bookmarkStart w:id="116" w:name="_Toc184310315"/>
      <w:bookmarkEnd w:id="116"/>
      <w:bookmarkStart w:id="117" w:name="_Toc184313273"/>
      <w:bookmarkEnd w:id="117"/>
      <w:bookmarkStart w:id="118" w:name="_Toc184312130"/>
      <w:bookmarkEnd w:id="118"/>
      <w:bookmarkStart w:id="119" w:name="_Toc184310344"/>
      <w:bookmarkEnd w:id="119"/>
      <w:bookmarkStart w:id="120" w:name="_Toc184308039"/>
      <w:bookmarkEnd w:id="120"/>
      <w:bookmarkStart w:id="121" w:name="_Toc184312118"/>
      <w:bookmarkEnd w:id="121"/>
      <w:bookmarkStart w:id="122" w:name="_Toc184313243"/>
      <w:bookmarkEnd w:id="122"/>
      <w:bookmarkStart w:id="123" w:name="_Toc184314466"/>
      <w:bookmarkEnd w:id="123"/>
      <w:bookmarkStart w:id="124" w:name="_Toc184312083"/>
      <w:bookmarkEnd w:id="124"/>
      <w:bookmarkStart w:id="125" w:name="_Toc184314424"/>
      <w:bookmarkEnd w:id="125"/>
      <w:bookmarkStart w:id="126" w:name="_Toc184310320"/>
      <w:bookmarkEnd w:id="126"/>
      <w:bookmarkStart w:id="127" w:name="_Toc184312111"/>
      <w:bookmarkEnd w:id="127"/>
      <w:bookmarkStart w:id="128" w:name="_Toc184310280"/>
      <w:bookmarkEnd w:id="128"/>
      <w:bookmarkStart w:id="129" w:name="_Toc184310337"/>
      <w:bookmarkEnd w:id="129"/>
      <w:bookmarkStart w:id="130" w:name="_Toc184312115"/>
      <w:bookmarkEnd w:id="130"/>
      <w:bookmarkStart w:id="131" w:name="_Toc184312082"/>
      <w:bookmarkEnd w:id="131"/>
      <w:bookmarkStart w:id="132" w:name="_Toc184312106"/>
      <w:bookmarkEnd w:id="132"/>
      <w:bookmarkStart w:id="133" w:name="_Toc184314427"/>
      <w:bookmarkEnd w:id="133"/>
      <w:bookmarkStart w:id="134" w:name="_Toc184310277"/>
      <w:bookmarkEnd w:id="134"/>
      <w:bookmarkStart w:id="135" w:name="_Toc184314456"/>
      <w:bookmarkEnd w:id="135"/>
      <w:bookmarkStart w:id="136" w:name="_Toc184312075"/>
      <w:bookmarkEnd w:id="136"/>
      <w:bookmarkStart w:id="137" w:name="_Toc184310314"/>
      <w:bookmarkEnd w:id="137"/>
      <w:bookmarkStart w:id="138" w:name="_Toc184310335"/>
      <w:bookmarkEnd w:id="138"/>
      <w:bookmarkStart w:id="139" w:name="_Toc184313299"/>
      <w:bookmarkEnd w:id="139"/>
      <w:bookmarkStart w:id="140" w:name="_Toc184312137"/>
      <w:bookmarkEnd w:id="140"/>
      <w:bookmarkStart w:id="141" w:name="_Toc184308052"/>
      <w:bookmarkEnd w:id="141"/>
      <w:bookmarkStart w:id="142" w:name="_Toc184312120"/>
      <w:bookmarkEnd w:id="142"/>
      <w:bookmarkStart w:id="143" w:name="_Toc184314443"/>
      <w:bookmarkEnd w:id="143"/>
      <w:bookmarkStart w:id="144" w:name="_Toc184310302"/>
      <w:bookmarkEnd w:id="144"/>
      <w:bookmarkStart w:id="145" w:name="_Toc184312077"/>
      <w:bookmarkEnd w:id="145"/>
      <w:bookmarkStart w:id="146" w:name="_Toc184314413"/>
      <w:bookmarkEnd w:id="146"/>
      <w:bookmarkStart w:id="147" w:name="_Toc184310300"/>
      <w:bookmarkEnd w:id="147"/>
      <w:bookmarkStart w:id="148" w:name="_Toc184314474"/>
      <w:bookmarkEnd w:id="148"/>
      <w:bookmarkStart w:id="149" w:name="_Toc184313254"/>
      <w:bookmarkEnd w:id="149"/>
      <w:bookmarkStart w:id="150" w:name="_Toc184308056"/>
      <w:bookmarkEnd w:id="150"/>
      <w:bookmarkStart w:id="151" w:name="_Toc184313289"/>
      <w:bookmarkEnd w:id="151"/>
      <w:bookmarkStart w:id="152" w:name="_Toc184310317"/>
      <w:bookmarkEnd w:id="152"/>
      <w:bookmarkStart w:id="153" w:name="_Toc184314449"/>
      <w:bookmarkEnd w:id="153"/>
      <w:bookmarkStart w:id="154" w:name="_Toc184313272"/>
      <w:bookmarkEnd w:id="154"/>
      <w:bookmarkStart w:id="155" w:name="_Toc184314432"/>
      <w:bookmarkEnd w:id="155"/>
      <w:bookmarkStart w:id="156" w:name="_Toc184312094"/>
      <w:bookmarkEnd w:id="156"/>
      <w:bookmarkStart w:id="157" w:name="_Toc184312072"/>
      <w:bookmarkEnd w:id="157"/>
      <w:bookmarkStart w:id="158" w:name="_Toc184313268"/>
      <w:bookmarkEnd w:id="158"/>
      <w:bookmarkStart w:id="159" w:name="_Toc184310299"/>
      <w:bookmarkEnd w:id="159"/>
      <w:bookmarkStart w:id="160" w:name="_Toc184313263"/>
      <w:bookmarkEnd w:id="160"/>
      <w:bookmarkStart w:id="161" w:name="_Toc184310327"/>
      <w:bookmarkEnd w:id="161"/>
      <w:bookmarkStart w:id="162" w:name="_Toc184313252"/>
      <w:bookmarkEnd w:id="162"/>
      <w:bookmarkStart w:id="163" w:name="_Toc184314422"/>
      <w:bookmarkEnd w:id="163"/>
      <w:bookmarkStart w:id="164" w:name="_Toc184312124"/>
      <w:bookmarkEnd w:id="164"/>
      <w:bookmarkStart w:id="165" w:name="_Toc184310283"/>
      <w:bookmarkEnd w:id="165"/>
      <w:bookmarkStart w:id="166" w:name="_Toc184310304"/>
      <w:bookmarkEnd w:id="166"/>
      <w:bookmarkStart w:id="167" w:name="_Toc184310332"/>
      <w:bookmarkEnd w:id="167"/>
      <w:bookmarkStart w:id="168" w:name="_Toc184308060"/>
      <w:bookmarkEnd w:id="168"/>
      <w:bookmarkStart w:id="169" w:name="_Toc184312122"/>
      <w:bookmarkEnd w:id="169"/>
      <w:bookmarkStart w:id="170" w:name="_Toc184308061"/>
      <w:bookmarkEnd w:id="170"/>
      <w:bookmarkStart w:id="171" w:name="_Toc184314461"/>
      <w:bookmarkEnd w:id="171"/>
      <w:bookmarkStart w:id="172" w:name="_Toc184313308"/>
      <w:bookmarkEnd w:id="172"/>
      <w:bookmarkStart w:id="173" w:name="_Toc184312091"/>
      <w:bookmarkEnd w:id="173"/>
      <w:bookmarkStart w:id="174" w:name="_Toc184308083"/>
      <w:bookmarkEnd w:id="174"/>
      <w:bookmarkStart w:id="175" w:name="_Toc184308092"/>
      <w:bookmarkEnd w:id="175"/>
      <w:bookmarkStart w:id="176" w:name="_Toc184312126"/>
      <w:bookmarkEnd w:id="176"/>
      <w:bookmarkStart w:id="177" w:name="_Toc184308082"/>
      <w:bookmarkEnd w:id="177"/>
      <w:bookmarkStart w:id="178" w:name="_Toc184310276"/>
      <w:bookmarkEnd w:id="178"/>
      <w:bookmarkStart w:id="179" w:name="_Toc184313274"/>
      <w:bookmarkEnd w:id="179"/>
      <w:bookmarkStart w:id="180" w:name="_Toc184313292"/>
      <w:bookmarkEnd w:id="180"/>
      <w:bookmarkStart w:id="181" w:name="_Toc184312108"/>
      <w:bookmarkEnd w:id="181"/>
      <w:bookmarkStart w:id="182" w:name="_Toc184308091"/>
      <w:bookmarkEnd w:id="182"/>
      <w:bookmarkStart w:id="183" w:name="_Toc184310285"/>
      <w:bookmarkEnd w:id="183"/>
      <w:bookmarkStart w:id="184" w:name="_Toc184308094"/>
      <w:bookmarkEnd w:id="184"/>
      <w:bookmarkStart w:id="185" w:name="_Toc184310328"/>
      <w:bookmarkEnd w:id="185"/>
      <w:bookmarkStart w:id="186" w:name="_Toc184314410"/>
      <w:bookmarkEnd w:id="186"/>
      <w:bookmarkStart w:id="187" w:name="_Toc184312110"/>
      <w:bookmarkEnd w:id="187"/>
      <w:bookmarkStart w:id="188" w:name="_Toc184308041"/>
      <w:bookmarkEnd w:id="188"/>
      <w:bookmarkStart w:id="189" w:name="_Toc184310289"/>
      <w:bookmarkEnd w:id="189"/>
      <w:bookmarkStart w:id="190" w:name="_Toc184308037"/>
      <w:bookmarkEnd w:id="190"/>
      <w:bookmarkStart w:id="191" w:name="_Toc184312098"/>
      <w:bookmarkEnd w:id="191"/>
      <w:bookmarkStart w:id="192" w:name="_Toc184308090"/>
      <w:bookmarkEnd w:id="192"/>
      <w:bookmarkStart w:id="193" w:name="_Toc184312099"/>
      <w:bookmarkEnd w:id="193"/>
      <w:bookmarkStart w:id="194" w:name="_Toc184310273"/>
      <w:bookmarkEnd w:id="194"/>
      <w:bookmarkStart w:id="195" w:name="_Toc184308045"/>
      <w:bookmarkEnd w:id="195"/>
      <w:bookmarkStart w:id="196" w:name="_Toc184310343"/>
      <w:bookmarkEnd w:id="196"/>
      <w:bookmarkStart w:id="197" w:name="_Toc184314428"/>
      <w:bookmarkEnd w:id="197"/>
      <w:bookmarkStart w:id="198" w:name="_Toc184314444"/>
      <w:bookmarkEnd w:id="198"/>
      <w:bookmarkStart w:id="199" w:name="_Toc184308068"/>
      <w:bookmarkEnd w:id="199"/>
      <w:bookmarkStart w:id="200" w:name="_Toc184310331"/>
      <w:bookmarkEnd w:id="200"/>
      <w:bookmarkStart w:id="201" w:name="_Toc184312135"/>
      <w:bookmarkEnd w:id="201"/>
      <w:bookmarkStart w:id="202" w:name="_Toc184313249"/>
      <w:bookmarkEnd w:id="202"/>
      <w:bookmarkStart w:id="203" w:name="_Toc184314421"/>
      <w:bookmarkEnd w:id="203"/>
      <w:bookmarkStart w:id="204" w:name="_Toc184308100"/>
      <w:bookmarkEnd w:id="204"/>
      <w:bookmarkStart w:id="205" w:name="_Toc184313240"/>
      <w:bookmarkEnd w:id="205"/>
      <w:bookmarkStart w:id="206" w:name="_Toc184313305"/>
      <w:bookmarkEnd w:id="206"/>
      <w:bookmarkStart w:id="207" w:name="_Toc184312097"/>
      <w:bookmarkEnd w:id="207"/>
      <w:bookmarkStart w:id="208" w:name="_Toc184308038"/>
      <w:bookmarkEnd w:id="208"/>
      <w:bookmarkStart w:id="209" w:name="_Toc184314470"/>
      <w:bookmarkEnd w:id="209"/>
      <w:bookmarkStart w:id="210" w:name="_Toc184310291"/>
      <w:bookmarkEnd w:id="210"/>
      <w:bookmarkStart w:id="211" w:name="_Toc184314465"/>
      <w:bookmarkEnd w:id="211"/>
      <w:bookmarkStart w:id="212" w:name="_Toc184313255"/>
      <w:bookmarkEnd w:id="212"/>
      <w:bookmarkStart w:id="213" w:name="_Toc184312095"/>
      <w:bookmarkEnd w:id="213"/>
      <w:bookmarkStart w:id="214" w:name="_Toc184310296"/>
      <w:bookmarkEnd w:id="214"/>
      <w:bookmarkStart w:id="215" w:name="_Toc184313287"/>
      <w:bookmarkEnd w:id="215"/>
      <w:bookmarkStart w:id="216" w:name="_Toc184313303"/>
      <w:bookmarkEnd w:id="216"/>
      <w:bookmarkStart w:id="217" w:name="_Toc184314419"/>
      <w:bookmarkEnd w:id="217"/>
      <w:bookmarkStart w:id="218" w:name="_Toc184314447"/>
      <w:bookmarkEnd w:id="218"/>
      <w:bookmarkStart w:id="219" w:name="_Toc184312092"/>
      <w:bookmarkEnd w:id="219"/>
      <w:bookmarkStart w:id="220" w:name="_Toc184313290"/>
      <w:bookmarkEnd w:id="220"/>
      <w:bookmarkStart w:id="221" w:name="_Toc184312132"/>
      <w:bookmarkEnd w:id="221"/>
      <w:bookmarkStart w:id="222" w:name="_Toc184310292"/>
      <w:bookmarkEnd w:id="222"/>
      <w:bookmarkStart w:id="223" w:name="_Toc184312104"/>
      <w:bookmarkEnd w:id="223"/>
      <w:bookmarkStart w:id="224" w:name="_Toc184308069"/>
      <w:bookmarkEnd w:id="224"/>
      <w:bookmarkStart w:id="225" w:name="_Toc184308105"/>
      <w:bookmarkEnd w:id="225"/>
      <w:bookmarkStart w:id="226" w:name="_Toc184314431"/>
      <w:bookmarkEnd w:id="226"/>
      <w:bookmarkStart w:id="227" w:name="_Toc184312113"/>
      <w:bookmarkEnd w:id="227"/>
      <w:bookmarkStart w:id="228" w:name="_Toc184313280"/>
      <w:bookmarkEnd w:id="228"/>
      <w:bookmarkStart w:id="229" w:name="_Toc184314481"/>
      <w:bookmarkEnd w:id="229"/>
      <w:bookmarkStart w:id="230" w:name="_Toc184308103"/>
      <w:bookmarkEnd w:id="230"/>
      <w:bookmarkStart w:id="231" w:name="_Toc184312087"/>
      <w:bookmarkEnd w:id="231"/>
      <w:bookmarkStart w:id="232" w:name="_Toc184313251"/>
      <w:bookmarkEnd w:id="232"/>
      <w:bookmarkStart w:id="233" w:name="_Toc184310321"/>
      <w:bookmarkEnd w:id="233"/>
      <w:bookmarkStart w:id="234" w:name="_Toc184313238"/>
      <w:bookmarkEnd w:id="234"/>
      <w:bookmarkStart w:id="235" w:name="_Toc184308078"/>
      <w:bookmarkEnd w:id="235"/>
      <w:bookmarkStart w:id="236" w:name="_Toc184313286"/>
      <w:bookmarkEnd w:id="236"/>
      <w:bookmarkStart w:id="237" w:name="_Toc184313242"/>
      <w:bookmarkEnd w:id="237"/>
      <w:bookmarkStart w:id="238" w:name="_Toc184313306"/>
      <w:bookmarkEnd w:id="238"/>
      <w:bookmarkStart w:id="239" w:name="_Toc184310336"/>
      <w:bookmarkEnd w:id="239"/>
      <w:bookmarkStart w:id="240" w:name="_Toc184308080"/>
      <w:bookmarkEnd w:id="240"/>
      <w:bookmarkStart w:id="241" w:name="_Toc184313269"/>
      <w:bookmarkEnd w:id="241"/>
      <w:bookmarkStart w:id="242" w:name="_Toc184314415"/>
      <w:bookmarkEnd w:id="242"/>
      <w:bookmarkStart w:id="243" w:name="_Toc184308066"/>
      <w:bookmarkEnd w:id="243"/>
      <w:bookmarkStart w:id="244" w:name="_Toc184314462"/>
      <w:bookmarkEnd w:id="244"/>
      <w:bookmarkStart w:id="245" w:name="_Toc184314411"/>
      <w:bookmarkEnd w:id="245"/>
      <w:bookmarkStart w:id="246" w:name="_Toc184313281"/>
      <w:bookmarkEnd w:id="246"/>
      <w:bookmarkStart w:id="247" w:name="_Toc184313310"/>
      <w:bookmarkEnd w:id="247"/>
      <w:bookmarkStart w:id="248" w:name="_Toc184314451"/>
      <w:bookmarkEnd w:id="248"/>
      <w:bookmarkStart w:id="249" w:name="_Toc184314452"/>
      <w:bookmarkEnd w:id="249"/>
      <w:bookmarkStart w:id="250" w:name="_Toc184314479"/>
      <w:bookmarkEnd w:id="250"/>
      <w:bookmarkStart w:id="251" w:name="_Toc184308087"/>
      <w:bookmarkEnd w:id="251"/>
      <w:bookmarkStart w:id="252" w:name="_Toc184313264"/>
      <w:bookmarkEnd w:id="252"/>
      <w:bookmarkStart w:id="253" w:name="_Toc184314453"/>
      <w:bookmarkEnd w:id="253"/>
      <w:bookmarkStart w:id="254" w:name="_Toc184310272"/>
      <w:bookmarkEnd w:id="254"/>
      <w:bookmarkStart w:id="255" w:name="_Toc184312073"/>
      <w:bookmarkEnd w:id="255"/>
      <w:bookmarkStart w:id="256" w:name="_Toc184310303"/>
      <w:bookmarkEnd w:id="256"/>
      <w:bookmarkStart w:id="257" w:name="_Toc184312088"/>
      <w:bookmarkEnd w:id="257"/>
      <w:bookmarkStart w:id="258" w:name="_Toc184308062"/>
      <w:bookmarkEnd w:id="258"/>
      <w:bookmarkStart w:id="259" w:name="_Toc184314445"/>
      <w:bookmarkEnd w:id="259"/>
      <w:bookmarkStart w:id="260" w:name="_Toc184314460"/>
      <w:bookmarkEnd w:id="260"/>
      <w:bookmarkStart w:id="261" w:name="_Toc184313257"/>
      <w:bookmarkEnd w:id="261"/>
      <w:bookmarkStart w:id="262" w:name="_Toc184310274"/>
      <w:bookmarkEnd w:id="262"/>
      <w:bookmarkStart w:id="263" w:name="_Toc184313277"/>
      <w:bookmarkEnd w:id="263"/>
      <w:bookmarkStart w:id="264" w:name="_Toc184310312"/>
      <w:bookmarkEnd w:id="264"/>
      <w:bookmarkStart w:id="265" w:name="_Toc184308079"/>
      <w:bookmarkEnd w:id="265"/>
      <w:bookmarkStart w:id="266" w:name="_Toc184314477"/>
      <w:bookmarkEnd w:id="266"/>
      <w:bookmarkStart w:id="267" w:name="_Toc184310308"/>
      <w:bookmarkEnd w:id="267"/>
      <w:bookmarkStart w:id="268" w:name="_Toc184313302"/>
      <w:bookmarkEnd w:id="268"/>
      <w:bookmarkStart w:id="269" w:name="_Toc184308047"/>
      <w:bookmarkEnd w:id="269"/>
      <w:bookmarkStart w:id="270" w:name="_Toc184314425"/>
      <w:bookmarkEnd w:id="270"/>
      <w:bookmarkStart w:id="271" w:name="_Toc184312100"/>
      <w:bookmarkEnd w:id="271"/>
      <w:bookmarkStart w:id="272" w:name="_Toc184308050"/>
      <w:bookmarkEnd w:id="272"/>
      <w:bookmarkStart w:id="273" w:name="_Toc184313294"/>
      <w:bookmarkEnd w:id="273"/>
      <w:bookmarkStart w:id="274" w:name="_Toc184308046"/>
      <w:bookmarkEnd w:id="274"/>
      <w:bookmarkStart w:id="275" w:name="_Toc184310334"/>
      <w:bookmarkEnd w:id="275"/>
      <w:bookmarkStart w:id="276" w:name="_Toc184312071"/>
      <w:bookmarkEnd w:id="276"/>
      <w:bookmarkStart w:id="277" w:name="_Toc184308098"/>
      <w:bookmarkEnd w:id="277"/>
      <w:bookmarkStart w:id="278" w:name="_Toc184312136"/>
      <w:bookmarkEnd w:id="278"/>
      <w:bookmarkStart w:id="279" w:name="_Toc184310325"/>
      <w:bookmarkEnd w:id="279"/>
      <w:bookmarkStart w:id="280" w:name="_Toc184312084"/>
      <w:bookmarkEnd w:id="280"/>
      <w:bookmarkStart w:id="281" w:name="_Toc184313300"/>
      <w:bookmarkEnd w:id="281"/>
      <w:bookmarkStart w:id="282" w:name="_Toc184310306"/>
      <w:bookmarkEnd w:id="282"/>
      <w:bookmarkStart w:id="283" w:name="_Toc184308104"/>
      <w:bookmarkEnd w:id="283"/>
      <w:bookmarkStart w:id="284" w:name="_Toc184312107"/>
      <w:bookmarkEnd w:id="284"/>
      <w:bookmarkStart w:id="285" w:name="_Toc184314433"/>
      <w:bookmarkEnd w:id="285"/>
      <w:bookmarkStart w:id="286" w:name="_Toc184313282"/>
      <w:bookmarkEnd w:id="286"/>
      <w:bookmarkStart w:id="287" w:name="_Toc184310330"/>
      <w:bookmarkEnd w:id="287"/>
      <w:bookmarkStart w:id="288" w:name="_Toc184314463"/>
      <w:bookmarkEnd w:id="288"/>
      <w:bookmarkStart w:id="289" w:name="_Toc184313266"/>
      <w:bookmarkEnd w:id="289"/>
      <w:bookmarkStart w:id="290" w:name="_Toc184314412"/>
      <w:bookmarkEnd w:id="290"/>
      <w:bookmarkStart w:id="291" w:name="_Toc184314436"/>
      <w:bookmarkEnd w:id="291"/>
      <w:bookmarkStart w:id="292" w:name="_Toc184312096"/>
      <w:bookmarkEnd w:id="292"/>
      <w:bookmarkStart w:id="293" w:name="_Toc184312112"/>
      <w:bookmarkEnd w:id="293"/>
      <w:bookmarkStart w:id="294" w:name="_Toc184308081"/>
      <w:bookmarkEnd w:id="294"/>
      <w:bookmarkStart w:id="295" w:name="_Toc184313271"/>
      <w:bookmarkEnd w:id="295"/>
      <w:bookmarkStart w:id="296" w:name="_Toc184310309"/>
      <w:bookmarkEnd w:id="296"/>
      <w:bookmarkStart w:id="297" w:name="_Toc184312105"/>
      <w:bookmarkEnd w:id="297"/>
      <w:bookmarkStart w:id="298" w:name="_Toc184312067"/>
      <w:bookmarkEnd w:id="298"/>
      <w:bookmarkStart w:id="299" w:name="_Toc184310310"/>
      <w:bookmarkEnd w:id="299"/>
      <w:bookmarkStart w:id="300" w:name="_Toc184312117"/>
      <w:bookmarkEnd w:id="300"/>
      <w:bookmarkStart w:id="301" w:name="_Toc184310342"/>
      <w:bookmarkEnd w:id="301"/>
      <w:bookmarkStart w:id="302" w:name="_Toc184312102"/>
      <w:bookmarkEnd w:id="302"/>
      <w:bookmarkStart w:id="303" w:name="_Toc184314458"/>
      <w:bookmarkEnd w:id="303"/>
      <w:bookmarkStart w:id="304" w:name="_Toc184308077"/>
      <w:bookmarkEnd w:id="304"/>
      <w:bookmarkStart w:id="305" w:name="_Toc184312133"/>
      <w:bookmarkEnd w:id="305"/>
      <w:bookmarkStart w:id="306" w:name="_Toc184310341"/>
      <w:bookmarkEnd w:id="306"/>
      <w:bookmarkStart w:id="307" w:name="_Toc184312070"/>
      <w:bookmarkEnd w:id="307"/>
      <w:bookmarkStart w:id="308" w:name="_Toc184308107"/>
      <w:bookmarkEnd w:id="308"/>
      <w:bookmarkStart w:id="309" w:name="_Toc184312069"/>
      <w:bookmarkEnd w:id="309"/>
      <w:bookmarkStart w:id="310" w:name="_Toc184310301"/>
      <w:bookmarkEnd w:id="310"/>
      <w:bookmarkStart w:id="311" w:name="_Toc184308074"/>
      <w:bookmarkEnd w:id="311"/>
      <w:bookmarkStart w:id="312" w:name="_Toc184314468"/>
      <w:bookmarkEnd w:id="312"/>
      <w:bookmarkStart w:id="313" w:name="_Toc184310339"/>
      <w:bookmarkEnd w:id="313"/>
      <w:bookmarkStart w:id="314" w:name="_Toc184313256"/>
      <w:bookmarkEnd w:id="314"/>
      <w:bookmarkStart w:id="315" w:name="_Toc184310340"/>
      <w:bookmarkEnd w:id="315"/>
      <w:bookmarkStart w:id="316" w:name="_Toc184314472"/>
      <w:bookmarkEnd w:id="316"/>
      <w:bookmarkStart w:id="317" w:name="_Toc184310279"/>
      <w:bookmarkEnd w:id="317"/>
      <w:bookmarkStart w:id="318" w:name="_Toc184310288"/>
      <w:bookmarkEnd w:id="318"/>
      <w:bookmarkStart w:id="319" w:name="_Toc184314464"/>
      <w:bookmarkEnd w:id="319"/>
      <w:bookmarkStart w:id="320" w:name="_Toc184312128"/>
      <w:bookmarkEnd w:id="320"/>
      <w:bookmarkStart w:id="321" w:name="_Toc184314414"/>
      <w:bookmarkEnd w:id="321"/>
      <w:bookmarkStart w:id="322" w:name="_Toc184312086"/>
      <w:bookmarkEnd w:id="322"/>
      <w:bookmarkStart w:id="323" w:name="_Toc184313283"/>
      <w:bookmarkEnd w:id="323"/>
      <w:bookmarkStart w:id="324" w:name="_Toc184314441"/>
      <w:bookmarkEnd w:id="324"/>
      <w:bookmarkStart w:id="325" w:name="_Toc184313244"/>
      <w:bookmarkEnd w:id="325"/>
      <w:bookmarkStart w:id="326" w:name="_Toc184308063"/>
      <w:bookmarkEnd w:id="326"/>
      <w:bookmarkStart w:id="327" w:name="_Toc184312129"/>
      <w:bookmarkEnd w:id="327"/>
      <w:bookmarkStart w:id="328" w:name="_Toc184314434"/>
      <w:bookmarkEnd w:id="328"/>
      <w:bookmarkStart w:id="329" w:name="_Toc184308057"/>
      <w:bookmarkEnd w:id="329"/>
      <w:bookmarkStart w:id="330" w:name="_Toc184312131"/>
      <w:bookmarkEnd w:id="330"/>
      <w:bookmarkStart w:id="331" w:name="_Toc184308048"/>
      <w:bookmarkEnd w:id="331"/>
      <w:bookmarkStart w:id="332" w:name="_Toc184312090"/>
      <w:bookmarkEnd w:id="332"/>
      <w:bookmarkStart w:id="333" w:name="_Toc184308075"/>
      <w:bookmarkEnd w:id="333"/>
      <w:bookmarkStart w:id="334" w:name="_Toc184310282"/>
      <w:bookmarkEnd w:id="334"/>
      <w:bookmarkStart w:id="335" w:name="_Toc184313260"/>
      <w:bookmarkEnd w:id="335"/>
      <w:bookmarkStart w:id="336" w:name="_Toc184313309"/>
      <w:bookmarkEnd w:id="336"/>
      <w:bookmarkStart w:id="337" w:name="_Toc184312127"/>
      <w:bookmarkEnd w:id="337"/>
      <w:bookmarkStart w:id="338" w:name="_Toc184313265"/>
      <w:bookmarkEnd w:id="338"/>
      <w:bookmarkStart w:id="339" w:name="_Toc184308065"/>
      <w:bookmarkEnd w:id="339"/>
      <w:bookmarkStart w:id="340" w:name="_Toc184313295"/>
      <w:bookmarkEnd w:id="340"/>
      <w:bookmarkStart w:id="341" w:name="_Toc184308058"/>
      <w:bookmarkEnd w:id="341"/>
      <w:bookmarkStart w:id="342" w:name="_Toc184310294"/>
      <w:bookmarkEnd w:id="342"/>
      <w:bookmarkStart w:id="343" w:name="_Toc184312076"/>
      <w:bookmarkEnd w:id="343"/>
      <w:bookmarkStart w:id="344" w:name="_Toc184313270"/>
      <w:bookmarkEnd w:id="344"/>
      <w:bookmarkStart w:id="345" w:name="_Toc184314437"/>
      <w:bookmarkEnd w:id="345"/>
      <w:bookmarkStart w:id="346" w:name="_Toc184313285"/>
      <w:bookmarkEnd w:id="346"/>
      <w:bookmarkStart w:id="347" w:name="_Toc184313259"/>
      <w:bookmarkEnd w:id="347"/>
      <w:bookmarkStart w:id="348" w:name="_Toc184308084"/>
      <w:bookmarkEnd w:id="348"/>
      <w:bookmarkStart w:id="349" w:name="_Toc184308101"/>
      <w:bookmarkEnd w:id="349"/>
      <w:bookmarkStart w:id="350" w:name="_Toc184308064"/>
      <w:bookmarkEnd w:id="350"/>
      <w:bookmarkStart w:id="351" w:name="_Toc184314471"/>
      <w:bookmarkEnd w:id="351"/>
      <w:bookmarkStart w:id="352" w:name="_Toc184308089"/>
      <w:bookmarkEnd w:id="352"/>
      <w:bookmarkStart w:id="353" w:name="_Toc184312114"/>
      <w:bookmarkEnd w:id="353"/>
      <w:bookmarkStart w:id="354" w:name="_Toc184313304"/>
      <w:bookmarkEnd w:id="354"/>
      <w:bookmarkStart w:id="355" w:name="_Toc184310313"/>
      <w:bookmarkEnd w:id="355"/>
      <w:bookmarkStart w:id="356" w:name="_Toc184308054"/>
      <w:bookmarkEnd w:id="356"/>
      <w:bookmarkStart w:id="357" w:name="_Toc184312085"/>
      <w:bookmarkEnd w:id="357"/>
      <w:bookmarkStart w:id="358" w:name="_Toc184314430"/>
      <w:bookmarkEnd w:id="358"/>
      <w:bookmarkStart w:id="359" w:name="_Toc184313293"/>
      <w:bookmarkEnd w:id="359"/>
      <w:bookmarkStart w:id="360" w:name="_Toc184308096"/>
      <w:bookmarkEnd w:id="360"/>
      <w:bookmarkStart w:id="361" w:name="_Toc184313278"/>
      <w:bookmarkEnd w:id="361"/>
      <w:bookmarkStart w:id="362" w:name="_Toc184313288"/>
      <w:bookmarkEnd w:id="362"/>
      <w:bookmarkStart w:id="363" w:name="_Toc184310324"/>
      <w:bookmarkEnd w:id="363"/>
      <w:bookmarkStart w:id="364" w:name="_Toc184308095"/>
      <w:bookmarkEnd w:id="364"/>
      <w:bookmarkStart w:id="365" w:name="_Toc184313248"/>
      <w:bookmarkEnd w:id="365"/>
      <w:bookmarkStart w:id="366" w:name="_Toc184310307"/>
      <w:bookmarkEnd w:id="366"/>
      <w:bookmarkStart w:id="367" w:name="_Toc184310326"/>
      <w:bookmarkEnd w:id="367"/>
      <w:bookmarkStart w:id="368" w:name="_Toc184314416"/>
      <w:bookmarkEnd w:id="368"/>
      <w:bookmarkStart w:id="369" w:name="_Toc184312089"/>
      <w:bookmarkEnd w:id="369"/>
      <w:bookmarkStart w:id="370" w:name="_Toc184314417"/>
      <w:bookmarkEnd w:id="370"/>
      <w:bookmarkStart w:id="371" w:name="_Toc184308044"/>
      <w:bookmarkEnd w:id="371"/>
      <w:bookmarkStart w:id="372" w:name="_Toc184313279"/>
      <w:bookmarkEnd w:id="372"/>
      <w:bookmarkStart w:id="373" w:name="_Toc184314446"/>
      <w:bookmarkEnd w:id="373"/>
      <w:bookmarkStart w:id="374" w:name="_Toc184313275"/>
      <w:bookmarkEnd w:id="374"/>
      <w:bookmarkStart w:id="375" w:name="_Toc184313247"/>
      <w:bookmarkEnd w:id="375"/>
      <w:bookmarkStart w:id="376" w:name="_Toc184314423"/>
      <w:bookmarkEnd w:id="376"/>
      <w:bookmarkStart w:id="377" w:name="_Toc184308102"/>
      <w:bookmarkEnd w:id="377"/>
      <w:bookmarkStart w:id="378" w:name="_Toc184314439"/>
      <w:bookmarkEnd w:id="378"/>
      <w:bookmarkStart w:id="379" w:name="_Toc184308053"/>
      <w:bookmarkEnd w:id="379"/>
      <w:bookmarkStart w:id="380" w:name="_Toc184312109"/>
      <w:bookmarkEnd w:id="380"/>
      <w:bookmarkStart w:id="381" w:name="_Toc184310297"/>
      <w:bookmarkEnd w:id="381"/>
      <w:bookmarkStart w:id="382" w:name="_Toc184310290"/>
      <w:bookmarkEnd w:id="382"/>
      <w:bookmarkStart w:id="383" w:name="_Toc184314469"/>
      <w:bookmarkEnd w:id="383"/>
      <w:bookmarkStart w:id="384" w:name="_Toc184310305"/>
      <w:bookmarkEnd w:id="384"/>
      <w:bookmarkStart w:id="385" w:name="_Toc184312081"/>
      <w:bookmarkEnd w:id="385"/>
      <w:bookmarkStart w:id="386" w:name="_Toc184313258"/>
      <w:bookmarkEnd w:id="386"/>
      <w:bookmarkStart w:id="387" w:name="_Toc184308093"/>
      <w:bookmarkEnd w:id="387"/>
      <w:bookmarkStart w:id="388" w:name="_Toc184312074"/>
      <w:bookmarkEnd w:id="388"/>
      <w:bookmarkStart w:id="389" w:name="_Toc184308076"/>
      <w:bookmarkEnd w:id="389"/>
      <w:bookmarkStart w:id="390" w:name="_Toc184310284"/>
      <w:bookmarkEnd w:id="390"/>
      <w:bookmarkStart w:id="391" w:name="_Toc184310286"/>
      <w:bookmarkEnd w:id="391"/>
      <w:bookmarkStart w:id="392" w:name="_Toc184310295"/>
      <w:bookmarkEnd w:id="392"/>
      <w:bookmarkStart w:id="393" w:name="_Toc184314467"/>
      <w:bookmarkEnd w:id="393"/>
      <w:bookmarkStart w:id="394" w:name="_Toc184310293"/>
      <w:bookmarkEnd w:id="394"/>
      <w:bookmarkStart w:id="395" w:name="_Toc184310322"/>
      <w:bookmarkEnd w:id="395"/>
      <w:bookmarkStart w:id="396" w:name="_Toc184312079"/>
      <w:bookmarkEnd w:id="396"/>
      <w:bookmarkStart w:id="397" w:name="_Toc184314440"/>
      <w:bookmarkEnd w:id="397"/>
      <w:bookmarkStart w:id="398" w:name="_Toc184310333"/>
      <w:bookmarkEnd w:id="398"/>
      <w:bookmarkStart w:id="399" w:name="_Toc184310318"/>
      <w:bookmarkEnd w:id="399"/>
      <w:r>
        <w:rPr>
          <w:rFonts w:hint="eastAsia" w:ascii="宋体" w:hAnsi="宋体" w:cs="宋体"/>
          <w:b/>
          <w:color w:val="auto"/>
          <w:sz w:val="36"/>
          <w:szCs w:val="36"/>
          <w:highlight w:val="none"/>
        </w:rPr>
        <w:t>评标办法</w:t>
      </w:r>
      <w:bookmarkEnd w:id="34"/>
    </w:p>
    <w:p>
      <w:pPr>
        <w:widowControl/>
        <w:adjustRightInd/>
        <w:spacing w:line="3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评分标准表（适用于标项一、标项二、标项三、标项四、标项五、标项六）</w:t>
      </w:r>
    </w:p>
    <w:tbl>
      <w:tblPr>
        <w:tblStyle w:val="6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88"/>
        <w:gridCol w:w="5575"/>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2" w:type="dxa"/>
            <w:vAlign w:val="center"/>
          </w:tcPr>
          <w:p>
            <w:pPr>
              <w:adjustRightInd/>
              <w:spacing w:line="360" w:lineRule="auto"/>
              <w:jc w:val="center"/>
              <w:rPr>
                <w:rFonts w:ascii="Calibri" w:hAnsi="Calibri"/>
                <w:b/>
                <w:bCs/>
                <w:color w:val="auto"/>
                <w:szCs w:val="21"/>
                <w:highlight w:val="none"/>
              </w:rPr>
            </w:pPr>
            <w:r>
              <w:rPr>
                <w:rFonts w:hint="eastAsia" w:ascii="Calibri" w:hAnsi="Calibri"/>
                <w:b/>
                <w:bCs/>
                <w:color w:val="auto"/>
                <w:szCs w:val="21"/>
                <w:highlight w:val="none"/>
              </w:rPr>
              <w:t>评分项目</w:t>
            </w:r>
          </w:p>
        </w:tc>
        <w:tc>
          <w:tcPr>
            <w:tcW w:w="6863" w:type="dxa"/>
            <w:gridSpan w:val="2"/>
            <w:vAlign w:val="center"/>
          </w:tcPr>
          <w:p>
            <w:pPr>
              <w:adjustRightInd/>
              <w:spacing w:line="360" w:lineRule="auto"/>
              <w:jc w:val="center"/>
              <w:rPr>
                <w:rFonts w:ascii="Calibri" w:hAnsi="Calibri"/>
                <w:b/>
                <w:bCs/>
                <w:color w:val="auto"/>
                <w:szCs w:val="21"/>
                <w:highlight w:val="none"/>
              </w:rPr>
            </w:pPr>
            <w:r>
              <w:rPr>
                <w:rFonts w:hint="eastAsia" w:ascii="Calibri" w:hAnsi="Calibri"/>
                <w:b/>
                <w:bCs/>
                <w:color w:val="auto"/>
                <w:szCs w:val="21"/>
                <w:highlight w:val="none"/>
              </w:rPr>
              <w:t>评标要点及说明</w:t>
            </w:r>
          </w:p>
        </w:tc>
        <w:tc>
          <w:tcPr>
            <w:tcW w:w="705" w:type="dxa"/>
            <w:vAlign w:val="center"/>
          </w:tcPr>
          <w:p>
            <w:pPr>
              <w:widowControl/>
              <w:tabs>
                <w:tab w:val="left" w:pos="0"/>
              </w:tabs>
              <w:autoSpaceDE w:val="0"/>
              <w:autoSpaceDN w:val="0"/>
              <w:adjustRightInd/>
              <w:spacing w:line="360" w:lineRule="auto"/>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分值</w:t>
            </w:r>
          </w:p>
        </w:tc>
        <w:tc>
          <w:tcPr>
            <w:tcW w:w="705" w:type="dxa"/>
            <w:vAlign w:val="center"/>
          </w:tcPr>
          <w:p>
            <w:pPr>
              <w:widowControl/>
              <w:tabs>
                <w:tab w:val="left" w:pos="0"/>
              </w:tabs>
              <w:autoSpaceDE w:val="0"/>
              <w:autoSpaceDN w:val="0"/>
              <w:adjustRightInd/>
              <w:spacing w:line="360" w:lineRule="auto"/>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62" w:type="dxa"/>
            <w:vAlign w:val="center"/>
          </w:tcPr>
          <w:p>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价格分</w:t>
            </w:r>
          </w:p>
          <w:p>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（12分）</w:t>
            </w:r>
          </w:p>
        </w:tc>
        <w:tc>
          <w:tcPr>
            <w:tcW w:w="6863" w:type="dxa"/>
            <w:gridSpan w:val="2"/>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评标基准价指的是满足招标文件要求且最低的参与评审的价格。</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参与评审的价格=投标报价×【1-小微企业价格优惠值（如有）】。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参与评审的价格为评标基准价的其价格得分得满分12分。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其他供应商价格得分按照下列公式计算：</w:t>
            </w:r>
          </w:p>
          <w:p>
            <w:pPr>
              <w:spacing w:line="360" w:lineRule="auto"/>
              <w:rPr>
                <w:rFonts w:ascii="Calibri" w:hAnsi="Calibri"/>
                <w:color w:val="auto"/>
                <w:szCs w:val="21"/>
                <w:highlight w:val="none"/>
              </w:rPr>
            </w:pPr>
            <w:r>
              <w:rPr>
                <w:rFonts w:hint="eastAsia" w:ascii="宋体" w:hAnsi="宋体" w:cs="宋体"/>
                <w:color w:val="auto"/>
                <w:szCs w:val="21"/>
                <w:highlight w:val="none"/>
              </w:rPr>
              <w:t>价格得分=（评标基准价/参与评审的价格）×12%×100。</w:t>
            </w:r>
          </w:p>
        </w:tc>
        <w:tc>
          <w:tcPr>
            <w:tcW w:w="705" w:type="dxa"/>
            <w:vAlign w:val="center"/>
          </w:tcPr>
          <w:p>
            <w:pPr>
              <w:adjustRightInd/>
              <w:spacing w:line="360" w:lineRule="auto"/>
              <w:jc w:val="center"/>
              <w:rPr>
                <w:rFonts w:ascii="Calibri" w:hAnsi="Calibri"/>
                <w:color w:val="auto"/>
                <w:szCs w:val="21"/>
                <w:highlight w:val="none"/>
              </w:rPr>
            </w:pPr>
            <w:r>
              <w:rPr>
                <w:rFonts w:hint="eastAsia" w:ascii="宋体" w:hAnsi="宋体" w:cs="宋体"/>
                <w:color w:val="auto"/>
                <w:kern w:val="0"/>
                <w:szCs w:val="21"/>
                <w:highlight w:val="none"/>
              </w:rPr>
              <w:t>12</w:t>
            </w:r>
          </w:p>
        </w:tc>
        <w:tc>
          <w:tcPr>
            <w:tcW w:w="705" w:type="dxa"/>
            <w:vAlign w:val="center"/>
          </w:tcPr>
          <w:p>
            <w:pPr>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商务</w:t>
            </w:r>
          </w:p>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技术分</w:t>
            </w:r>
          </w:p>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（88分）</w:t>
            </w:r>
          </w:p>
        </w:tc>
        <w:tc>
          <w:tcPr>
            <w:tcW w:w="1288" w:type="dxa"/>
            <w:vAlign w:val="center"/>
          </w:tcPr>
          <w:p>
            <w:pPr>
              <w:widowControl/>
              <w:numPr>
                <w:ilvl w:val="0"/>
                <w:numId w:val="2"/>
              </w:num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服务需求响应（10分）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rPr>
              <w:t>完全响应招标文件</w:t>
            </w:r>
            <w:r>
              <w:rPr>
                <w:rFonts w:hint="eastAsia" w:ascii="宋体" w:hAnsi="宋体" w:cs="宋体"/>
                <w:color w:val="auto"/>
                <w:szCs w:val="21"/>
                <w:highlight w:val="none"/>
              </w:rPr>
              <w:t>“第三部分  采购需求二、项目要求（二）招标项目要求</w:t>
            </w:r>
            <w:r>
              <w:rPr>
                <w:rFonts w:ascii="宋体" w:hAnsi="宋体" w:cs="宋体"/>
                <w:color w:val="auto"/>
                <w:szCs w:val="21"/>
                <w:highlight w:val="none"/>
              </w:rPr>
              <w:t>”中所有条款的得</w:t>
            </w:r>
            <w:r>
              <w:rPr>
                <w:rFonts w:hint="eastAsia" w:ascii="宋体" w:hAnsi="宋体" w:cs="宋体"/>
                <w:color w:val="auto"/>
                <w:szCs w:val="21"/>
                <w:highlight w:val="none"/>
              </w:rPr>
              <w:t>10</w:t>
            </w:r>
            <w:r>
              <w:rPr>
                <w:rFonts w:ascii="宋体" w:hAnsi="宋体" w:cs="宋体"/>
                <w:color w:val="auto"/>
                <w:szCs w:val="21"/>
                <w:highlight w:val="none"/>
              </w:rPr>
              <w:t>分，每负偏离1条扣</w:t>
            </w:r>
            <w:r>
              <w:rPr>
                <w:rFonts w:hint="eastAsia" w:ascii="宋体" w:hAnsi="宋体" w:cs="宋体"/>
                <w:color w:val="auto"/>
                <w:szCs w:val="21"/>
                <w:highlight w:val="none"/>
              </w:rPr>
              <w:t>1</w:t>
            </w:r>
            <w:r>
              <w:rPr>
                <w:rFonts w:ascii="宋体" w:hAnsi="宋体" w:cs="宋体"/>
                <w:color w:val="auto"/>
                <w:szCs w:val="21"/>
                <w:highlight w:val="none"/>
              </w:rPr>
              <w:t>分，当扣减至0分或以下时作无效标处理。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705" w:type="dxa"/>
            <w:vAlign w:val="center"/>
          </w:tcPr>
          <w:p>
            <w:pPr>
              <w:widowControl/>
              <w:adjustRightInd/>
              <w:spacing w:line="360" w:lineRule="auto"/>
              <w:jc w:val="center"/>
              <w:rPr>
                <w:rFonts w:ascii="宋体" w:hAnsi="宋体" w:cs="宋体"/>
                <w:snapToGrid w:val="0"/>
                <w:color w:val="auto"/>
                <w:spacing w:val="-4"/>
                <w:szCs w:val="21"/>
                <w:highlight w:val="none"/>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Merge w:val="restart"/>
            <w:vAlign w:val="center"/>
          </w:tcPr>
          <w:p>
            <w:pPr>
              <w:widowControl/>
              <w:numPr>
                <w:ilvl w:val="0"/>
                <w:numId w:val="3"/>
              </w:num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项目实施方案</w:t>
            </w:r>
          </w:p>
          <w:p>
            <w:pPr>
              <w:widowControl/>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（9分）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根据投标人提供的针对本项目的标本采集及处理流程进行评议：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①流程规范、符合相关卫生行业标准、满足本项目需求得3分；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②流程较规范、基本符合相关卫生行业标准、基本满足本项目需求得2分；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③流程不规范、不符合相关卫生行业标准、难以满足本项目需求的得1分；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rPr>
            </w:pPr>
            <w:r>
              <w:rPr>
                <w:rFonts w:hint="eastAsia" w:ascii="Calibri" w:hAnsi="Calibri"/>
                <w:color w:val="auto"/>
                <w:szCs w:val="21"/>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Merge w:val="continue"/>
            <w:vAlign w:val="center"/>
          </w:tcPr>
          <w:p>
            <w:pPr>
              <w:widowControl/>
              <w:spacing w:line="360" w:lineRule="auto"/>
              <w:jc w:val="center"/>
              <w:rPr>
                <w:rFonts w:ascii="宋体" w:hAnsi="宋体" w:cs="宋体"/>
                <w:bCs/>
                <w:color w:val="auto"/>
                <w:kern w:val="0"/>
                <w:szCs w:val="21"/>
                <w:highlight w:val="none"/>
              </w:rPr>
            </w:pP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根据投标人提供的针对本项目的标本物流方案进行评议：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①物流方案内容完整、物流响应及时、运输过程有保障得3分；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②物流方案内容较完整、物流响应较及时、运输过程较有保障得2分；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③物流方案内容不完整、物流响应不及时、运输过程无保障得1分；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Merge w:val="continue"/>
            <w:vAlign w:val="center"/>
          </w:tcPr>
          <w:p>
            <w:pPr>
              <w:widowControl/>
              <w:spacing w:line="360" w:lineRule="auto"/>
              <w:jc w:val="center"/>
              <w:rPr>
                <w:rFonts w:ascii="宋体" w:hAnsi="宋体" w:cs="宋体"/>
                <w:bCs/>
                <w:color w:val="auto"/>
                <w:kern w:val="0"/>
                <w:szCs w:val="21"/>
                <w:highlight w:val="none"/>
              </w:rPr>
            </w:pP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根据投标人提供的针对本项目的应急保障措施进行评议：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①措施有效、完整的得3分；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②措施较有效、较完整的得2分；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③措施无效、不完整的得1分；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3、数据对接方案（3分）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根据投标人针对本项目的数据对接方案（包括检测结果传递是否及时，是否能接入中心信息系统，是否能实现无纸化传输检测结果，是否能实现检测数据查询、传输等）进行评议：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①方案完整、具有可行性的得3分；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②方案较完整、较具有可行性的得2分；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③方案不完整、不具有可行性的得1分；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4、检测报告单（3分）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投标人提供满足采购人需求的不同癌种实体瘤大panel检测报告单3份，得3分；其余不得分。</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备注：</w:t>
            </w:r>
            <w:r>
              <w:rPr>
                <w:rFonts w:hint="eastAsia" w:ascii="Cambria" w:hAnsi="宋体" w:cs="宋体"/>
                <w:b/>
                <w:bCs/>
                <w:color w:val="auto"/>
                <w:kern w:val="0"/>
                <w:szCs w:val="21"/>
                <w:highlight w:val="none"/>
              </w:rPr>
              <w:t>①</w:t>
            </w:r>
            <w:r>
              <w:rPr>
                <w:rFonts w:hint="eastAsia" w:ascii="宋体" w:hAnsi="宋体" w:cs="宋体"/>
                <w:b/>
                <w:bCs/>
                <w:color w:val="auto"/>
                <w:szCs w:val="21"/>
                <w:highlight w:val="none"/>
              </w:rPr>
              <w:t>同一panel报告不得重复使用；②投标文件中提供有效的检测报告单扫描件加盖投标人公章，未提供或未加盖公章的不得分。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5、实验室仪器（5分）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投标人或其子公司具有NGS检测平台所涉及的基因测序仪设备：设备数量10台（含）以上得5分，设备数量5（含）-10台（不含）的得3分，5台（不含）以下得1分，无不得分。</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投标文件中提供以下资料：①设备清单（名称、数量、品牌）、②投标人设备购置发票扫描件；如为进口设备，在提供①②资料的基础上，提供海关进口货物报关单扫描件加盖公章。资料不全或未加盖公章的，均不得分。</w:t>
            </w:r>
          </w:p>
          <w:p>
            <w:pPr>
              <w:spacing w:line="360" w:lineRule="auto"/>
              <w:rPr>
                <w:rFonts w:hint="default" w:eastAsia="宋体"/>
                <w:color w:val="auto"/>
                <w:highlight w:val="none"/>
                <w:lang w:val="en-US" w:eastAsia="zh-CN"/>
              </w:rPr>
            </w:pPr>
            <w:r>
              <w:rPr>
                <w:rFonts w:hint="eastAsia" w:ascii="宋体" w:hAnsi="宋体" w:eastAsia="宋体" w:cs="宋体"/>
                <w:b/>
                <w:bCs/>
                <w:color w:val="auto"/>
                <w:szCs w:val="21"/>
                <w:highlight w:val="none"/>
                <w:lang w:val="en-US" w:eastAsia="zh-CN"/>
              </w:rPr>
              <w:t>2）如为子公司的，投标文件中提供子公司与投标人所属关系证明材料扫描件加盖公章，否则不予得分。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numPr>
                <w:ilvl w:val="0"/>
                <w:numId w:val="4"/>
              </w:num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实验室技术团队</w:t>
            </w:r>
          </w:p>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（12分）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根据投标人或其子公司实验室技术团队进行评议：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①每提供1名具备执业医师证书的签发报告病理医师（执业地点为投标人）得2分，满分6分；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②每提供1名具备PCR上岗证的技术人员得1分，满分3分；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③每提供1名具备博士及以上学位（分子生物学相关专业）技术人员得1分，满分3分。</w:t>
            </w:r>
          </w:p>
          <w:p>
            <w:pPr>
              <w:spacing w:line="360" w:lineRule="auto"/>
              <w:rPr>
                <w:rFonts w:ascii="宋体" w:hAnsi="宋体" w:cs="宋体"/>
                <w:b/>
                <w:bCs/>
                <w:color w:val="auto"/>
                <w:szCs w:val="21"/>
                <w:highlight w:val="none"/>
              </w:rPr>
            </w:pPr>
            <w:r>
              <w:rPr>
                <w:rFonts w:ascii="宋体" w:hAnsi="宋体" w:cs="宋体"/>
                <w:b/>
                <w:bCs/>
                <w:color w:val="auto"/>
                <w:szCs w:val="21"/>
                <w:highlight w:val="none"/>
              </w:rPr>
              <w:t>备注：</w:t>
            </w:r>
            <w:r>
              <w:rPr>
                <w:rFonts w:hint="eastAsia" w:ascii="宋体" w:hAnsi="宋体" w:cs="宋体"/>
                <w:b/>
                <w:bCs/>
                <w:color w:val="auto"/>
                <w:szCs w:val="21"/>
                <w:highlight w:val="none"/>
                <w:lang w:val="en-US" w:eastAsia="zh-CN"/>
              </w:rPr>
              <w:t>1）</w:t>
            </w:r>
            <w:r>
              <w:rPr>
                <w:rFonts w:ascii="宋体" w:hAnsi="宋体" w:cs="宋体"/>
                <w:b/>
                <w:bCs/>
                <w:color w:val="auto"/>
                <w:szCs w:val="21"/>
                <w:highlight w:val="none"/>
              </w:rPr>
              <w:t>投标文件中提供以下资料：①</w:t>
            </w:r>
            <w:r>
              <w:rPr>
                <w:rFonts w:hint="eastAsia" w:ascii="宋体" w:hAnsi="宋体" w:cs="宋体"/>
                <w:b/>
                <w:bCs/>
                <w:color w:val="auto"/>
                <w:szCs w:val="21"/>
                <w:highlight w:val="none"/>
              </w:rPr>
              <w:t>人员相关毕业证、执医证、上岗证或学位证书等复印件；</w:t>
            </w:r>
            <w:r>
              <w:rPr>
                <w:rFonts w:ascii="宋体" w:hAnsi="宋体" w:cs="宋体"/>
                <w:b/>
                <w:bCs/>
                <w:color w:val="auto"/>
                <w:szCs w:val="21"/>
                <w:highlight w:val="none"/>
              </w:rPr>
              <w:t>②</w:t>
            </w:r>
            <w:r>
              <w:rPr>
                <w:rFonts w:hint="eastAsia" w:ascii="宋体" w:hAnsi="宋体" w:cs="宋体"/>
                <w:b/>
                <w:bCs/>
                <w:color w:val="auto"/>
                <w:szCs w:val="21"/>
                <w:highlight w:val="none"/>
              </w:rPr>
              <w:t>社保部门出具的上述人员近开标日前三个月任意</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个月的有效社保证明</w:t>
            </w:r>
            <w:r>
              <w:rPr>
                <w:rFonts w:ascii="宋体" w:hAnsi="宋体" w:cs="宋体"/>
                <w:b/>
                <w:bCs/>
                <w:color w:val="auto"/>
                <w:szCs w:val="21"/>
                <w:highlight w:val="none"/>
              </w:rPr>
              <w:t>扫描件加盖公章。资料不全或未加盖公章的，均不得分。</w:t>
            </w:r>
          </w:p>
          <w:p>
            <w:pPr>
              <w:spacing w:line="360" w:lineRule="auto"/>
              <w:rPr>
                <w:color w:val="auto"/>
                <w:szCs w:val="21"/>
                <w:highlight w:val="none"/>
              </w:rPr>
            </w:pPr>
            <w:r>
              <w:rPr>
                <w:rFonts w:hint="eastAsia" w:ascii="宋体" w:hAnsi="宋体" w:eastAsia="宋体" w:cs="宋体"/>
                <w:b/>
                <w:bCs/>
                <w:color w:val="auto"/>
                <w:szCs w:val="21"/>
                <w:highlight w:val="none"/>
                <w:lang w:val="en-US" w:eastAsia="zh-CN"/>
              </w:rPr>
              <w:t>2）如为子公司的，投标文件中提供子公司与投标人所属关系证明材料扫描件加盖公章，否则不予得分。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705" w:type="dxa"/>
            <w:vAlign w:val="center"/>
          </w:tcPr>
          <w:p>
            <w:pPr>
              <w:widowControl/>
              <w:adjustRightInd/>
              <w:spacing w:line="360" w:lineRule="auto"/>
              <w:jc w:val="center"/>
              <w:rPr>
                <w:rFonts w:ascii="宋体" w:hAnsi="宋体" w:cs="宋体"/>
                <w:snapToGrid w:val="0"/>
                <w:color w:val="auto"/>
                <w:spacing w:val="-4"/>
                <w:szCs w:val="21"/>
                <w:highlight w:val="none"/>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7、科研成果（20分）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自2023年1月1日（以论文发布时间为准）以来，对投标人或其子公司转化医学科研产出情况进行评议：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SCI影响因子分数30分及以上每篇得8分、20分（含）-30分（不含）每篇得5分、10分（含）-20分（不含）每篇得3分、5分（含）-10分（不含）每篇得1分、5分以下不得分，本项满分20分。</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备注：1）投标人的科研成果必须与本项目相关，否则不予认可。2）国外公开期刊上发表论文的署名须为投标人，否则不予认可。3）投标文件中提供以下资料：</w:t>
            </w:r>
            <w:r>
              <w:rPr>
                <w:rFonts w:ascii="宋体" w:hAnsi="宋体" w:cs="宋体"/>
                <w:b/>
                <w:bCs/>
                <w:color w:val="auto"/>
                <w:szCs w:val="21"/>
                <w:highlight w:val="none"/>
              </w:rPr>
              <w:t>①</w:t>
            </w:r>
            <w:r>
              <w:rPr>
                <w:rFonts w:hint="eastAsia" w:ascii="宋体" w:hAnsi="宋体" w:cs="宋体"/>
                <w:b/>
                <w:bCs/>
                <w:color w:val="auto"/>
                <w:szCs w:val="21"/>
                <w:highlight w:val="none"/>
              </w:rPr>
              <w:t>国外公开期刊上发表论文扫描件加盖公章、</w:t>
            </w:r>
            <w:r>
              <w:rPr>
                <w:rFonts w:ascii="宋体" w:hAnsi="宋体" w:cs="宋体"/>
                <w:b/>
                <w:bCs/>
                <w:color w:val="auto"/>
                <w:szCs w:val="21"/>
                <w:highlight w:val="none"/>
              </w:rPr>
              <w:t>②</w:t>
            </w:r>
            <w:r>
              <w:rPr>
                <w:rFonts w:hint="eastAsia" w:ascii="宋体" w:hAnsi="宋体" w:cs="宋体"/>
                <w:b/>
                <w:bCs/>
                <w:color w:val="auto"/>
                <w:szCs w:val="21"/>
                <w:highlight w:val="none"/>
              </w:rPr>
              <w:t>宁波市卫生信息中心等机构出具的查新报告（提供每篇论文件的首页单位标红的扫描件加盖公章）。</w:t>
            </w:r>
            <w:r>
              <w:rPr>
                <w:rFonts w:ascii="宋体" w:hAnsi="宋体" w:cs="宋体"/>
                <w:b/>
                <w:bCs/>
                <w:color w:val="auto"/>
                <w:szCs w:val="21"/>
                <w:highlight w:val="none"/>
              </w:rPr>
              <w:t>资料不全或未加盖公章的，均不得分。</w:t>
            </w:r>
            <w:r>
              <w:rPr>
                <w:rFonts w:hint="eastAsia" w:ascii="宋体" w:hAnsi="宋体" w:eastAsia="宋体" w:cs="宋体"/>
                <w:b/>
                <w:bCs/>
                <w:color w:val="auto"/>
                <w:szCs w:val="21"/>
                <w:highlight w:val="none"/>
                <w:lang w:val="en-US" w:eastAsia="zh-CN"/>
              </w:rPr>
              <w:t>4）如为子公司的，投标文件中提供子公司与投标人所属关系证明材料扫描件加盖公章，否则不予得分。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8、专利证书（6分）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自2023年1月1日（以证书授权公告时间为准）以来，投标人或其子公司具有发明专利证书的，每个证书得3分，满分6分。</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备注：1）投标文件中提供以上证书扫描件加盖公章，未提供或未加盖公章的不得分。2）证书内容须与本项目有关。</w:t>
            </w:r>
            <w:r>
              <w:rPr>
                <w:rFonts w:hint="eastAsia" w:ascii="宋体" w:hAnsi="宋体" w:eastAsia="宋体" w:cs="宋体"/>
                <w:b/>
                <w:bCs/>
                <w:color w:val="auto"/>
                <w:szCs w:val="21"/>
                <w:highlight w:val="none"/>
                <w:lang w:val="en-US" w:eastAsia="zh-CN"/>
              </w:rPr>
              <w:t>3）如为子公司的，投标文件中提供子公司与投标人所属关系证明材料扫描件加盖公章，否则不予得分。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Merge w:val="restart"/>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9、企业资质（15分）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投标人或其子公司具有ISO15189认证、CAP认证、CLIA认证实验室，每具有1项认证的得2分，满分6分。</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备注：</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投标文件中提供以上</w:t>
            </w:r>
            <w:r>
              <w:rPr>
                <w:rFonts w:hint="eastAsia" w:ascii="宋体" w:hAnsi="宋体" w:cs="宋体"/>
                <w:b/>
                <w:bCs/>
                <w:color w:val="auto"/>
                <w:szCs w:val="21"/>
                <w:highlight w:val="none"/>
                <w:lang w:val="en-US" w:eastAsia="zh-CN"/>
              </w:rPr>
              <w:t>有效</w:t>
            </w:r>
            <w:r>
              <w:rPr>
                <w:rFonts w:hint="eastAsia" w:ascii="宋体" w:hAnsi="宋体" w:cs="宋体"/>
                <w:b/>
                <w:bCs/>
                <w:color w:val="auto"/>
                <w:szCs w:val="21"/>
                <w:highlight w:val="none"/>
              </w:rPr>
              <w:t>认证证书扫描件加盖公章，未提供或未加盖公章的不得分。</w:t>
            </w:r>
          </w:p>
          <w:p>
            <w:pPr>
              <w:spacing w:line="360" w:lineRule="auto"/>
              <w:rPr>
                <w:rFonts w:ascii="宋体" w:hAnsi="宋体" w:cs="宋体"/>
                <w:color w:val="auto"/>
                <w:szCs w:val="21"/>
                <w:highlight w:val="none"/>
              </w:rPr>
            </w:pPr>
            <w:r>
              <w:rPr>
                <w:rFonts w:hint="eastAsia" w:ascii="宋体" w:hAnsi="宋体" w:eastAsia="宋体" w:cs="宋体"/>
                <w:b/>
                <w:bCs/>
                <w:color w:val="auto"/>
                <w:szCs w:val="21"/>
                <w:highlight w:val="none"/>
                <w:lang w:val="en-US" w:eastAsia="zh-CN"/>
              </w:rPr>
              <w:t>2）如为子公司的，投标文件中提供子公司与投标人所属关系证明材料扫描件加盖公章，否则不予得分。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05" w:type="dxa"/>
            <w:vAlign w:val="center"/>
          </w:tcPr>
          <w:p>
            <w:pPr>
              <w:widowControl/>
              <w:adjustRightInd/>
              <w:spacing w:line="360" w:lineRule="auto"/>
              <w:jc w:val="center"/>
              <w:rPr>
                <w:rFonts w:ascii="Calibri" w:hAnsi="Calibri"/>
                <w:color w:val="auto"/>
                <w:szCs w:val="21"/>
                <w:highlight w:val="none"/>
              </w:rPr>
            </w:pPr>
            <w:r>
              <w:rPr>
                <w:rFonts w:hint="eastAsia" w:ascii="Calibri" w:hAnsi="Calibri"/>
                <w:color w:val="auto"/>
                <w:szCs w:val="21"/>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Merge w:val="continue"/>
            <w:vAlign w:val="center"/>
          </w:tcPr>
          <w:p>
            <w:pPr>
              <w:widowControl/>
              <w:spacing w:line="360" w:lineRule="auto"/>
              <w:jc w:val="center"/>
              <w:rPr>
                <w:rFonts w:ascii="宋体" w:hAnsi="宋体" w:cs="宋体"/>
                <w:bCs/>
                <w:color w:val="auto"/>
                <w:kern w:val="0"/>
                <w:szCs w:val="21"/>
                <w:highlight w:val="none"/>
              </w:rPr>
            </w:pP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投标人或其子公司的肿瘤NGS检测相关试剂盒（可逆末端终止测序法）具有中国医疗器械注册证的，每个得3分，满分6分。</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备注：</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投标文件中提供</w:t>
            </w:r>
            <w:r>
              <w:rPr>
                <w:rFonts w:hint="eastAsia" w:ascii="宋体" w:hAnsi="宋体" w:cs="宋体"/>
                <w:b/>
                <w:bCs/>
                <w:color w:val="auto"/>
                <w:szCs w:val="21"/>
                <w:highlight w:val="none"/>
                <w:lang w:val="en-US" w:eastAsia="zh-CN"/>
              </w:rPr>
              <w:t>有效</w:t>
            </w:r>
            <w:r>
              <w:rPr>
                <w:rFonts w:hint="eastAsia" w:ascii="宋体" w:hAnsi="宋体" w:cs="宋体"/>
                <w:b/>
                <w:bCs/>
                <w:color w:val="auto"/>
                <w:szCs w:val="21"/>
                <w:highlight w:val="none"/>
              </w:rPr>
              <w:t>证书扫描件加盖公章，未提供或未加盖公章的不得分。</w:t>
            </w:r>
          </w:p>
          <w:p>
            <w:pPr>
              <w:spacing w:line="360" w:lineRule="auto"/>
              <w:rPr>
                <w:rFonts w:ascii="宋体" w:hAnsi="宋体" w:cs="宋体"/>
                <w:color w:val="auto"/>
                <w:szCs w:val="21"/>
                <w:highlight w:val="none"/>
              </w:rPr>
            </w:pPr>
            <w:r>
              <w:rPr>
                <w:rFonts w:hint="eastAsia" w:ascii="宋体" w:hAnsi="宋体" w:eastAsia="宋体" w:cs="宋体"/>
                <w:b/>
                <w:bCs/>
                <w:color w:val="auto"/>
                <w:szCs w:val="21"/>
                <w:highlight w:val="none"/>
                <w:lang w:val="en-US" w:eastAsia="zh-CN"/>
              </w:rPr>
              <w:t>2）如为子公司的，投标文件中提供子公司与投标人所属关系证明材料扫描件加盖公章，否则不予得分。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Merge w:val="continue"/>
            <w:vAlign w:val="center"/>
          </w:tcPr>
          <w:p>
            <w:pPr>
              <w:widowControl/>
              <w:spacing w:line="360" w:lineRule="auto"/>
              <w:jc w:val="center"/>
              <w:rPr>
                <w:rFonts w:ascii="宋体" w:hAnsi="宋体" w:cs="宋体"/>
                <w:bCs/>
                <w:color w:val="auto"/>
                <w:kern w:val="0"/>
                <w:szCs w:val="21"/>
                <w:highlight w:val="none"/>
              </w:rPr>
            </w:pP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或其子公司具有国家卫生健康委临床检验中心颁发的2023年度全国实体肿瘤体细胞突变高通量测序检测、全国肿瘤体细胞突变高通量测序检测生物信息学分析、全国肿瘤游离DNA基因突变高通量测序检测室间质评证书，每个证书得1分，本项满分3分。</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备注：</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投标文件中提供上述有效证书扫描件加盖公章，未提供或未加盖公章的不得分。</w:t>
            </w:r>
          </w:p>
          <w:p>
            <w:pPr>
              <w:spacing w:line="360" w:lineRule="auto"/>
              <w:rPr>
                <w:rFonts w:ascii="宋体" w:hAnsi="宋体" w:cs="宋体"/>
                <w:color w:val="auto"/>
                <w:szCs w:val="21"/>
                <w:highlight w:val="none"/>
              </w:rPr>
            </w:pPr>
            <w:r>
              <w:rPr>
                <w:rFonts w:hint="eastAsia" w:ascii="宋体" w:hAnsi="宋体" w:eastAsia="宋体" w:cs="宋体"/>
                <w:b/>
                <w:bCs/>
                <w:color w:val="auto"/>
                <w:szCs w:val="21"/>
                <w:highlight w:val="none"/>
                <w:lang w:val="en-US" w:eastAsia="zh-CN"/>
              </w:rPr>
              <w:t>2）如为子公司的，投标文件中提供子公司与投标人所属关系证明材料扫描件加盖公章，否则不予得分。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10、实验室室内质控（2分）</w:t>
            </w:r>
          </w:p>
        </w:tc>
        <w:tc>
          <w:tcPr>
            <w:tcW w:w="5575" w:type="dxa"/>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根据投标人提供的2024年1月-3月的实验室室内质控相关材料进行评议：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①材料完整、内容清晰、质控规范的得2分；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②材料较完整、内容较清晰、质控较规范的得1分；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③材料不完整、内容不清晰、质控不规范的得0.5分；</w:t>
            </w:r>
          </w:p>
          <w:p>
            <w:pPr>
              <w:pStyle w:val="80"/>
              <w:rPr>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05" w:type="dxa"/>
            <w:vAlign w:val="center"/>
          </w:tcPr>
          <w:p>
            <w:pPr>
              <w:widowControl/>
              <w:adjustRightInd/>
              <w:spacing w:line="360" w:lineRule="auto"/>
              <w:jc w:val="center"/>
              <w:rPr>
                <w:rFonts w:ascii="Calibri" w:hAnsi="Calibri"/>
                <w:color w:val="auto"/>
                <w:szCs w:val="21"/>
                <w:highlight w:val="none"/>
              </w:rPr>
            </w:pPr>
            <w:r>
              <w:rPr>
                <w:rFonts w:hint="eastAsia" w:ascii="Calibri" w:hAnsi="Calibri"/>
                <w:color w:val="auto"/>
                <w:szCs w:val="21"/>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11、业绩（1分）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自2023年1月1日（以合同签订时间为准）以来，投标人具有同类项目业绩的，每个业绩得0.2分，满分1分。</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备注：</w:t>
            </w:r>
            <w:r>
              <w:rPr>
                <w:rFonts w:ascii="宋体" w:hAnsi="宋体" w:cs="宋体"/>
                <w:b/>
                <w:bCs/>
                <w:color w:val="auto"/>
                <w:szCs w:val="21"/>
                <w:highlight w:val="none"/>
              </w:rPr>
              <w:t>投标文件中</w:t>
            </w:r>
            <w:r>
              <w:rPr>
                <w:rFonts w:hint="eastAsia" w:ascii="宋体" w:hAnsi="宋体" w:cs="宋体"/>
                <w:b/>
                <w:bCs/>
                <w:color w:val="auto"/>
                <w:szCs w:val="21"/>
                <w:highlight w:val="none"/>
              </w:rPr>
              <w:t>有效的业绩合同扫描件加盖公章，未提供或未加盖公章的不得分</w:t>
            </w:r>
            <w:r>
              <w:rPr>
                <w:rFonts w:ascii="宋体" w:hAnsi="宋体" w:cs="宋体"/>
                <w:b/>
                <w:bCs/>
                <w:color w:val="auto"/>
                <w:szCs w:val="21"/>
                <w:highlight w:val="none"/>
              </w:rPr>
              <w:t>。</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12、特色服务承诺（2分）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根据投标人提供的针对本项目的特色服务承诺进行评议：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①服务承诺对提升临床技术有很好的实际效用并得到认可的得2分；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②服务承诺对提升临床技术有实际效用并得到认可的得1分；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③服务承诺对提升临床技术无实际效用并未得到认可的得0.5分；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autoSpaceDE w:val="0"/>
              <w:autoSpaceDN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5" w:type="dxa"/>
            <w:vAlign w:val="center"/>
          </w:tcPr>
          <w:p>
            <w:pPr>
              <w:autoSpaceDE w:val="0"/>
              <w:autoSpaceDN w:val="0"/>
              <w:spacing w:line="360" w:lineRule="auto"/>
              <w:jc w:val="center"/>
              <w:rPr>
                <w:rFonts w:ascii="宋体" w:hAnsi="宋体" w:cs="宋体"/>
                <w:color w:val="auto"/>
                <w:kern w:val="0"/>
                <w:szCs w:val="21"/>
                <w:highlight w:val="none"/>
              </w:rPr>
            </w:pPr>
            <w:r>
              <w:rPr>
                <w:rFonts w:hint="eastAsia" w:ascii="Calibri" w:hAnsi="Calibri"/>
                <w:color w:val="auto"/>
                <w:szCs w:val="21"/>
                <w:highlight w:val="none"/>
              </w:rPr>
              <w:t>主观</w:t>
            </w:r>
            <w:r>
              <w:rPr>
                <w:rFonts w:hint="eastAsia" w:ascii="Calibri" w:hAnsi="Calibri"/>
                <w:color w:val="auto"/>
                <w:szCs w:val="21"/>
                <w:highlight w:val="none"/>
                <w:lang w:val="zh-CN"/>
              </w:rPr>
              <w:t>评审</w:t>
            </w:r>
          </w:p>
        </w:tc>
      </w:tr>
    </w:tbl>
    <w:p>
      <w:pPr>
        <w:spacing w:line="360" w:lineRule="auto"/>
        <w:rPr>
          <w:rFonts w:ascii="宋体" w:hAnsi="宋体" w:cs="宋体"/>
          <w:color w:val="auto"/>
          <w:sz w:val="24"/>
          <w:highlight w:val="none"/>
        </w:rPr>
      </w:pPr>
    </w:p>
    <w:p>
      <w:pPr>
        <w:widowControl/>
        <w:adjustRightInd/>
        <w:spacing w:line="360" w:lineRule="exact"/>
        <w:jc w:val="center"/>
        <w:rPr>
          <w:rFonts w:hint="eastAsia" w:ascii="宋体" w:hAnsi="宋体" w:cs="宋体"/>
          <w:b/>
          <w:bCs/>
          <w:color w:val="auto"/>
          <w:kern w:val="0"/>
          <w:sz w:val="24"/>
          <w:highlight w:val="none"/>
        </w:rPr>
      </w:pPr>
    </w:p>
    <w:p>
      <w:pPr>
        <w:widowControl/>
        <w:adjustRightInd/>
        <w:spacing w:line="360" w:lineRule="exact"/>
        <w:jc w:val="center"/>
        <w:rPr>
          <w:rFonts w:hint="eastAsia" w:ascii="宋体" w:hAnsi="宋体" w:cs="宋体"/>
          <w:b/>
          <w:bCs/>
          <w:color w:val="auto"/>
          <w:kern w:val="0"/>
          <w:sz w:val="24"/>
          <w:highlight w:val="none"/>
        </w:rPr>
      </w:pPr>
    </w:p>
    <w:p>
      <w:pPr>
        <w:widowControl/>
        <w:adjustRightInd/>
        <w:spacing w:line="360" w:lineRule="exact"/>
        <w:jc w:val="center"/>
        <w:rPr>
          <w:rFonts w:hint="eastAsia" w:ascii="宋体" w:hAnsi="宋体" w:cs="宋体"/>
          <w:b/>
          <w:bCs/>
          <w:color w:val="auto"/>
          <w:kern w:val="0"/>
          <w:sz w:val="24"/>
          <w:highlight w:val="none"/>
        </w:rPr>
      </w:pPr>
    </w:p>
    <w:p>
      <w:pPr>
        <w:widowControl/>
        <w:adjustRightInd/>
        <w:spacing w:line="360" w:lineRule="exact"/>
        <w:jc w:val="center"/>
        <w:rPr>
          <w:rFonts w:hint="eastAsia" w:ascii="宋体" w:hAnsi="宋体" w:cs="宋体"/>
          <w:b/>
          <w:bCs/>
          <w:color w:val="auto"/>
          <w:kern w:val="0"/>
          <w:sz w:val="24"/>
          <w:highlight w:val="none"/>
        </w:rPr>
      </w:pPr>
    </w:p>
    <w:p>
      <w:pPr>
        <w:widowControl/>
        <w:adjustRightInd/>
        <w:spacing w:line="360" w:lineRule="exact"/>
        <w:jc w:val="center"/>
        <w:rPr>
          <w:rFonts w:hint="eastAsia" w:ascii="宋体" w:hAnsi="宋体" w:cs="宋体"/>
          <w:b/>
          <w:bCs/>
          <w:color w:val="auto"/>
          <w:kern w:val="0"/>
          <w:sz w:val="24"/>
          <w:highlight w:val="none"/>
        </w:rPr>
      </w:pPr>
    </w:p>
    <w:p>
      <w:pPr>
        <w:widowControl/>
        <w:adjustRightInd/>
        <w:spacing w:line="360" w:lineRule="exact"/>
        <w:jc w:val="center"/>
        <w:rPr>
          <w:rFonts w:hint="eastAsia" w:ascii="宋体" w:hAnsi="宋体" w:cs="宋体"/>
          <w:b/>
          <w:bCs/>
          <w:color w:val="auto"/>
          <w:kern w:val="0"/>
          <w:sz w:val="24"/>
          <w:highlight w:val="none"/>
        </w:rPr>
      </w:pPr>
    </w:p>
    <w:p>
      <w:pPr>
        <w:widowControl/>
        <w:adjustRightInd/>
        <w:spacing w:line="3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评分标准表（适用于标项七）</w:t>
      </w:r>
    </w:p>
    <w:tbl>
      <w:tblPr>
        <w:tblStyle w:val="6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88"/>
        <w:gridCol w:w="5575"/>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2" w:type="dxa"/>
            <w:vAlign w:val="center"/>
          </w:tcPr>
          <w:p>
            <w:pPr>
              <w:adjustRightInd/>
              <w:spacing w:line="360" w:lineRule="auto"/>
              <w:jc w:val="center"/>
              <w:rPr>
                <w:rFonts w:ascii="Calibri" w:hAnsi="Calibri"/>
                <w:b/>
                <w:bCs/>
                <w:color w:val="auto"/>
                <w:szCs w:val="21"/>
                <w:highlight w:val="none"/>
              </w:rPr>
            </w:pPr>
            <w:r>
              <w:rPr>
                <w:rFonts w:hint="eastAsia" w:ascii="Calibri" w:hAnsi="Calibri"/>
                <w:b/>
                <w:bCs/>
                <w:color w:val="auto"/>
                <w:szCs w:val="21"/>
                <w:highlight w:val="none"/>
              </w:rPr>
              <w:t>评分项目</w:t>
            </w:r>
          </w:p>
        </w:tc>
        <w:tc>
          <w:tcPr>
            <w:tcW w:w="6863" w:type="dxa"/>
            <w:gridSpan w:val="2"/>
            <w:vAlign w:val="center"/>
          </w:tcPr>
          <w:p>
            <w:pPr>
              <w:adjustRightInd/>
              <w:spacing w:line="360" w:lineRule="auto"/>
              <w:jc w:val="center"/>
              <w:rPr>
                <w:rFonts w:ascii="Calibri" w:hAnsi="Calibri"/>
                <w:b/>
                <w:bCs/>
                <w:color w:val="auto"/>
                <w:szCs w:val="21"/>
                <w:highlight w:val="none"/>
              </w:rPr>
            </w:pPr>
            <w:r>
              <w:rPr>
                <w:rFonts w:hint="eastAsia" w:ascii="Calibri" w:hAnsi="Calibri"/>
                <w:b/>
                <w:bCs/>
                <w:color w:val="auto"/>
                <w:szCs w:val="21"/>
                <w:highlight w:val="none"/>
              </w:rPr>
              <w:t>评标要点及说明</w:t>
            </w:r>
          </w:p>
        </w:tc>
        <w:tc>
          <w:tcPr>
            <w:tcW w:w="705" w:type="dxa"/>
            <w:vAlign w:val="center"/>
          </w:tcPr>
          <w:p>
            <w:pPr>
              <w:widowControl/>
              <w:tabs>
                <w:tab w:val="left" w:pos="0"/>
              </w:tabs>
              <w:autoSpaceDE w:val="0"/>
              <w:autoSpaceDN w:val="0"/>
              <w:adjustRightInd/>
              <w:spacing w:line="360" w:lineRule="auto"/>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分值</w:t>
            </w:r>
          </w:p>
        </w:tc>
        <w:tc>
          <w:tcPr>
            <w:tcW w:w="705" w:type="dxa"/>
            <w:vAlign w:val="center"/>
          </w:tcPr>
          <w:p>
            <w:pPr>
              <w:widowControl/>
              <w:tabs>
                <w:tab w:val="left" w:pos="0"/>
              </w:tabs>
              <w:autoSpaceDE w:val="0"/>
              <w:autoSpaceDN w:val="0"/>
              <w:adjustRightInd/>
              <w:spacing w:line="360" w:lineRule="auto"/>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62" w:type="dxa"/>
            <w:vMerge w:val="restart"/>
            <w:vAlign w:val="center"/>
          </w:tcPr>
          <w:p>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价格分</w:t>
            </w:r>
          </w:p>
          <w:p>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（12分）</w:t>
            </w:r>
          </w:p>
        </w:tc>
        <w:tc>
          <w:tcPr>
            <w:tcW w:w="6863" w:type="dxa"/>
            <w:gridSpan w:val="2"/>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泛实体瘤</w:t>
            </w:r>
            <w:r>
              <w:rPr>
                <w:rFonts w:hint="eastAsia" w:ascii="宋体" w:hAnsi="宋体" w:cs="宋体"/>
                <w:color w:val="auto"/>
                <w:szCs w:val="21"/>
                <w:highlight w:val="none"/>
              </w:rPr>
              <w:t>DNA检测价格分（4分）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评标基准价指的是满足招标文件要求且最低的参与评审的价格。</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参与评审的价格=DNA检测投标单价×【1-小微企业价格优惠值（如有）】。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参与评审的价格为评标基准价的其价格得分得满分4分。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其他供应商价格得分按照下列公式计算：</w:t>
            </w:r>
          </w:p>
          <w:p>
            <w:pPr>
              <w:spacing w:line="360" w:lineRule="auto"/>
              <w:rPr>
                <w:rFonts w:ascii="Calibri" w:hAnsi="Calibri"/>
                <w:color w:val="auto"/>
                <w:szCs w:val="21"/>
                <w:highlight w:val="none"/>
              </w:rPr>
            </w:pPr>
            <w:r>
              <w:rPr>
                <w:rFonts w:hint="eastAsia" w:ascii="宋体" w:hAnsi="宋体" w:cs="宋体"/>
                <w:color w:val="auto"/>
                <w:szCs w:val="21"/>
                <w:highlight w:val="none"/>
              </w:rPr>
              <w:t>价格得分=（评标基准价/参与评审的价格）×4%×100。</w:t>
            </w:r>
          </w:p>
        </w:tc>
        <w:tc>
          <w:tcPr>
            <w:tcW w:w="705" w:type="dxa"/>
            <w:vAlign w:val="center"/>
          </w:tcPr>
          <w:p>
            <w:pPr>
              <w:adjustRightInd/>
              <w:spacing w:line="360" w:lineRule="auto"/>
              <w:jc w:val="center"/>
              <w:rPr>
                <w:rFonts w:hint="default" w:ascii="Calibri" w:hAnsi="Calibri" w:eastAsia="宋体"/>
                <w:color w:val="auto"/>
                <w:szCs w:val="21"/>
                <w:highlight w:val="none"/>
                <w:lang w:val="en-US" w:eastAsia="zh-CN"/>
              </w:rPr>
            </w:pPr>
            <w:r>
              <w:rPr>
                <w:rFonts w:hint="eastAsia" w:ascii="宋体" w:hAnsi="宋体" w:cs="宋体"/>
                <w:color w:val="auto"/>
                <w:kern w:val="0"/>
                <w:szCs w:val="21"/>
                <w:highlight w:val="none"/>
              </w:rPr>
              <w:t>4</w:t>
            </w:r>
          </w:p>
        </w:tc>
        <w:tc>
          <w:tcPr>
            <w:tcW w:w="705" w:type="dxa"/>
            <w:vAlign w:val="center"/>
          </w:tcPr>
          <w:p>
            <w:pPr>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62" w:type="dxa"/>
            <w:vMerge w:val="continue"/>
            <w:vAlign w:val="center"/>
          </w:tcPr>
          <w:p>
            <w:pPr>
              <w:adjustRightInd/>
              <w:spacing w:line="360" w:lineRule="auto"/>
              <w:jc w:val="center"/>
              <w:rPr>
                <w:rFonts w:hint="eastAsia" w:ascii="宋体" w:hAnsi="宋体" w:cs="宋体"/>
                <w:color w:val="auto"/>
                <w:szCs w:val="21"/>
                <w:highlight w:val="none"/>
              </w:rPr>
            </w:pPr>
          </w:p>
        </w:tc>
        <w:tc>
          <w:tcPr>
            <w:tcW w:w="6863" w:type="dxa"/>
            <w:gridSpan w:val="2"/>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泛实体瘤</w:t>
            </w:r>
            <w:r>
              <w:rPr>
                <w:rFonts w:hint="eastAsia" w:ascii="宋体" w:hAnsi="宋体" w:cs="宋体"/>
                <w:color w:val="auto"/>
                <w:szCs w:val="21"/>
                <w:highlight w:val="none"/>
              </w:rPr>
              <w:t>RNA检测价格分（4分）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评标基准价指的是满足招标文件要求且最低的参与评审的价格。</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参与评审的价格=RNA检测投标单价×【1-小微企业价格优惠值（如有）】。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参与评审的价格为评标基准价的其价格得分得满分4分。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其他供应商价格得分按照下列公式计算：</w:t>
            </w:r>
          </w:p>
          <w:p>
            <w:pPr>
              <w:spacing w:line="360" w:lineRule="auto"/>
              <w:rPr>
                <w:rFonts w:hint="eastAsia" w:ascii="宋体" w:hAnsi="宋体" w:cs="宋体"/>
                <w:b/>
                <w:bCs/>
                <w:color w:val="auto"/>
                <w:szCs w:val="21"/>
                <w:highlight w:val="none"/>
                <w:lang w:val="en-US" w:eastAsia="zh-CN"/>
              </w:rPr>
            </w:pPr>
            <w:r>
              <w:rPr>
                <w:rFonts w:hint="eastAsia" w:ascii="宋体" w:hAnsi="宋体" w:cs="宋体"/>
                <w:color w:val="auto"/>
                <w:szCs w:val="21"/>
                <w:highlight w:val="none"/>
              </w:rPr>
              <w:t>价格得分=（评标基准价/参与评审的价格）×4%×100。</w:t>
            </w:r>
          </w:p>
        </w:tc>
        <w:tc>
          <w:tcPr>
            <w:tcW w:w="705" w:type="dxa"/>
            <w:vAlign w:val="center"/>
          </w:tcPr>
          <w:p>
            <w:pPr>
              <w:adjustRightInd/>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w:t>
            </w:r>
          </w:p>
        </w:tc>
        <w:tc>
          <w:tcPr>
            <w:tcW w:w="705" w:type="dxa"/>
            <w:vAlign w:val="center"/>
          </w:tcPr>
          <w:p>
            <w:pPr>
              <w:adjustRightInd/>
              <w:spacing w:line="360" w:lineRule="auto"/>
              <w:jc w:val="center"/>
              <w:rPr>
                <w:rFonts w:hint="eastAsia"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62" w:type="dxa"/>
            <w:vMerge w:val="continue"/>
            <w:vAlign w:val="center"/>
          </w:tcPr>
          <w:p>
            <w:pPr>
              <w:adjustRightInd/>
              <w:spacing w:line="360" w:lineRule="auto"/>
              <w:jc w:val="center"/>
              <w:rPr>
                <w:rFonts w:hint="eastAsia" w:ascii="宋体" w:hAnsi="宋体" w:cs="宋体"/>
                <w:color w:val="auto"/>
                <w:szCs w:val="21"/>
                <w:highlight w:val="none"/>
              </w:rPr>
            </w:pPr>
          </w:p>
        </w:tc>
        <w:tc>
          <w:tcPr>
            <w:tcW w:w="6863" w:type="dxa"/>
            <w:gridSpan w:val="2"/>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泛实体瘤</w:t>
            </w:r>
            <w:r>
              <w:rPr>
                <w:rFonts w:hint="eastAsia" w:ascii="宋体" w:hAnsi="宋体" w:cs="宋体"/>
                <w:color w:val="auto"/>
                <w:szCs w:val="21"/>
                <w:highlight w:val="none"/>
              </w:rPr>
              <w:t>DNA+RNA联合检测价格分（4分）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评标基准价指的是满足招标文件要求且最低的参与评审的价格。</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参与评审的价格=DNA+RNA联合检测投标单价×【1-小微企业价格优惠值（如有）】。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参与评审的价格为评标基准价的其价格得分得满分4分。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其他供应商价格得分按照下列公式计算：</w:t>
            </w:r>
          </w:p>
          <w:p>
            <w:pPr>
              <w:spacing w:line="360" w:lineRule="auto"/>
              <w:rPr>
                <w:rFonts w:hint="eastAsia" w:ascii="宋体" w:hAnsi="宋体" w:cs="宋体"/>
                <w:b/>
                <w:bCs/>
                <w:color w:val="auto"/>
                <w:szCs w:val="21"/>
                <w:highlight w:val="none"/>
                <w:lang w:val="en-US" w:eastAsia="zh-CN"/>
              </w:rPr>
            </w:pPr>
            <w:r>
              <w:rPr>
                <w:rFonts w:hint="eastAsia" w:ascii="宋体" w:hAnsi="宋体" w:cs="宋体"/>
                <w:color w:val="auto"/>
                <w:szCs w:val="21"/>
                <w:highlight w:val="none"/>
              </w:rPr>
              <w:t>价格得分=（评标基准价/参与评审的价格）×4%×100。</w:t>
            </w:r>
          </w:p>
        </w:tc>
        <w:tc>
          <w:tcPr>
            <w:tcW w:w="705" w:type="dxa"/>
            <w:vAlign w:val="center"/>
          </w:tcPr>
          <w:p>
            <w:pPr>
              <w:adjustRightInd/>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w:t>
            </w:r>
          </w:p>
        </w:tc>
        <w:tc>
          <w:tcPr>
            <w:tcW w:w="705" w:type="dxa"/>
            <w:vAlign w:val="center"/>
          </w:tcPr>
          <w:p>
            <w:pPr>
              <w:adjustRightInd/>
              <w:spacing w:line="360" w:lineRule="auto"/>
              <w:jc w:val="center"/>
              <w:rPr>
                <w:rFonts w:hint="eastAsia"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商务</w:t>
            </w:r>
          </w:p>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技术分</w:t>
            </w:r>
          </w:p>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（88分）</w:t>
            </w:r>
          </w:p>
        </w:tc>
        <w:tc>
          <w:tcPr>
            <w:tcW w:w="1288" w:type="dxa"/>
            <w:vAlign w:val="center"/>
          </w:tcPr>
          <w:p>
            <w:pPr>
              <w:widowControl/>
              <w:numPr>
                <w:ilvl w:val="0"/>
                <w:numId w:val="2"/>
              </w:num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服务需求响应（10分）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rPr>
              <w:t>完全响应招标文件</w:t>
            </w:r>
            <w:r>
              <w:rPr>
                <w:rFonts w:hint="eastAsia" w:ascii="宋体" w:hAnsi="宋体" w:cs="宋体"/>
                <w:color w:val="auto"/>
                <w:szCs w:val="21"/>
                <w:highlight w:val="none"/>
              </w:rPr>
              <w:t>“第三部分  采购需求二、项目要求（二）招标项目要求</w:t>
            </w:r>
            <w:r>
              <w:rPr>
                <w:rFonts w:ascii="宋体" w:hAnsi="宋体" w:cs="宋体"/>
                <w:color w:val="auto"/>
                <w:szCs w:val="21"/>
                <w:highlight w:val="none"/>
              </w:rPr>
              <w:t>”中所有条款的得</w:t>
            </w:r>
            <w:r>
              <w:rPr>
                <w:rFonts w:hint="eastAsia" w:ascii="宋体" w:hAnsi="宋体" w:cs="宋体"/>
                <w:color w:val="auto"/>
                <w:szCs w:val="21"/>
                <w:highlight w:val="none"/>
              </w:rPr>
              <w:t>10</w:t>
            </w:r>
            <w:r>
              <w:rPr>
                <w:rFonts w:ascii="宋体" w:hAnsi="宋体" w:cs="宋体"/>
                <w:color w:val="auto"/>
                <w:szCs w:val="21"/>
                <w:highlight w:val="none"/>
              </w:rPr>
              <w:t>分，每负偏离1条扣</w:t>
            </w:r>
            <w:r>
              <w:rPr>
                <w:rFonts w:hint="eastAsia" w:ascii="宋体" w:hAnsi="宋体" w:cs="宋体"/>
                <w:color w:val="auto"/>
                <w:szCs w:val="21"/>
                <w:highlight w:val="none"/>
              </w:rPr>
              <w:t>1</w:t>
            </w:r>
            <w:r>
              <w:rPr>
                <w:rFonts w:ascii="宋体" w:hAnsi="宋体" w:cs="宋体"/>
                <w:color w:val="auto"/>
                <w:szCs w:val="21"/>
                <w:highlight w:val="none"/>
              </w:rPr>
              <w:t>分，当扣减至0分或以下时作无效标处理。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705" w:type="dxa"/>
            <w:vAlign w:val="center"/>
          </w:tcPr>
          <w:p>
            <w:pPr>
              <w:widowControl/>
              <w:adjustRightInd/>
              <w:spacing w:line="360" w:lineRule="auto"/>
              <w:jc w:val="center"/>
              <w:rPr>
                <w:rFonts w:ascii="宋体" w:hAnsi="宋体" w:cs="宋体"/>
                <w:snapToGrid w:val="0"/>
                <w:color w:val="auto"/>
                <w:spacing w:val="-4"/>
                <w:szCs w:val="21"/>
                <w:highlight w:val="none"/>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Merge w:val="restart"/>
            <w:vAlign w:val="center"/>
          </w:tcPr>
          <w:p>
            <w:pPr>
              <w:widowControl/>
              <w:numPr>
                <w:ilvl w:val="0"/>
                <w:numId w:val="3"/>
              </w:num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项目实施方案</w:t>
            </w:r>
          </w:p>
          <w:p>
            <w:pPr>
              <w:widowControl/>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（9分）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根据投标人提供的针对本项目的标本采集及处理流程进行评议：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①流程规范、符合相关卫生行业标准、满足本项目需求得3分；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②流程较规范、基本符合相关卫生行业标准、基本满足本项目需求得2分；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③流程不规范、不符合相关卫生行业标准、难以满足本项目需求的得1分；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rPr>
            </w:pPr>
            <w:r>
              <w:rPr>
                <w:rFonts w:hint="eastAsia" w:ascii="Calibri" w:hAnsi="Calibri"/>
                <w:color w:val="auto"/>
                <w:szCs w:val="21"/>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Merge w:val="continue"/>
            <w:vAlign w:val="center"/>
          </w:tcPr>
          <w:p>
            <w:pPr>
              <w:widowControl/>
              <w:spacing w:line="360" w:lineRule="auto"/>
              <w:jc w:val="center"/>
              <w:rPr>
                <w:rFonts w:ascii="宋体" w:hAnsi="宋体" w:cs="宋体"/>
                <w:bCs/>
                <w:color w:val="auto"/>
                <w:kern w:val="0"/>
                <w:szCs w:val="21"/>
                <w:highlight w:val="none"/>
              </w:rPr>
            </w:pP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根据投标人提供的针对本项目的标本物流方案进行评议：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①物流方案内容完整、物流响应及时、运输过程有保障得3分；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②物流方案内容较完整、物流响应较及时、运输过程较有保障得2分；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③物流方案内容不完整、物流响应不及时、运输过程无保障得1分；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Merge w:val="continue"/>
            <w:vAlign w:val="center"/>
          </w:tcPr>
          <w:p>
            <w:pPr>
              <w:widowControl/>
              <w:spacing w:line="360" w:lineRule="auto"/>
              <w:jc w:val="center"/>
              <w:rPr>
                <w:rFonts w:ascii="宋体" w:hAnsi="宋体" w:cs="宋体"/>
                <w:bCs/>
                <w:color w:val="auto"/>
                <w:kern w:val="0"/>
                <w:szCs w:val="21"/>
                <w:highlight w:val="none"/>
              </w:rPr>
            </w:pP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根据投标人提供的针对本项目的应急保障措施进行评议：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①措施有效、完整的得3分；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②措施较有效、较完整的得2分；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③措施无效、不完整的得1分；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3、数据对接方案（3分）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根据投标人针对本项目的数据对接方案（包括检测结果传递是否及时，是否能接入中心信息系统，是否能实现无纸化传输检测结果，是否能实现检测数据查询、传输等）进行评议：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①方案完整、具有可行性的得3分；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②方案较完整、较具有可行性的得2分；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③方案不完整、不具有可行性的得1分；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4、检测报告单（3分）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投标人提供满足采购人需求的不同癌种实体瘤大panel检测报告单3份，得3分；其余不得分。</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备注：</w:t>
            </w:r>
            <w:r>
              <w:rPr>
                <w:rFonts w:hint="eastAsia" w:ascii="Cambria" w:hAnsi="宋体" w:cs="宋体"/>
                <w:b/>
                <w:bCs/>
                <w:color w:val="auto"/>
                <w:kern w:val="0"/>
                <w:szCs w:val="21"/>
                <w:highlight w:val="none"/>
              </w:rPr>
              <w:t>①</w:t>
            </w:r>
            <w:r>
              <w:rPr>
                <w:rFonts w:hint="eastAsia" w:ascii="宋体" w:hAnsi="宋体" w:cs="宋体"/>
                <w:b/>
                <w:bCs/>
                <w:color w:val="auto"/>
                <w:szCs w:val="21"/>
                <w:highlight w:val="none"/>
              </w:rPr>
              <w:t>同一panel报告不得重复使用；②投标文件中提供有效的检测报告单扫描件加盖投标人公章，未提供或未加盖公章的不得分。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262" w:type="dxa"/>
            <w:vMerge w:val="continue"/>
            <w:vAlign w:val="center"/>
          </w:tcPr>
          <w:p>
            <w:pPr>
              <w:widowControl/>
              <w:spacing w:line="360" w:lineRule="auto"/>
              <w:jc w:val="center"/>
              <w:rPr>
                <w:rFonts w:ascii="宋体" w:hAnsi="宋体" w:cs="宋体"/>
                <w:bCs/>
                <w:color w:val="auto"/>
                <w:kern w:val="0"/>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5、实验室仪器（5分）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投标人或其子公司具有NGS检测平台所涉及的基因测序仪设备：设备数量10台（含）以上得5分，设备数量5（含）-10台（不含）的得3分，5台（不含）以下得1分，无不得分。</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投标文件中提供以下资料：①设备清单（名称、数量、品牌）、②投标人设备购置发票扫描件；如为进口设备，在提供①②资料的基础上，提供海关进口货物报关单扫描件加盖公章。资料不全或未加盖公章的，均不得分。</w:t>
            </w:r>
          </w:p>
          <w:p>
            <w:pPr>
              <w:spacing w:line="360" w:lineRule="auto"/>
              <w:rPr>
                <w:rFonts w:hint="default" w:eastAsia="宋体"/>
                <w:color w:val="auto"/>
                <w:highlight w:val="none"/>
                <w:lang w:val="en-US" w:eastAsia="zh-CN"/>
              </w:rPr>
            </w:pPr>
            <w:r>
              <w:rPr>
                <w:rFonts w:hint="eastAsia" w:ascii="宋体" w:hAnsi="宋体" w:eastAsia="宋体" w:cs="宋体"/>
                <w:b/>
                <w:bCs/>
                <w:color w:val="auto"/>
                <w:szCs w:val="21"/>
                <w:highlight w:val="none"/>
                <w:lang w:val="en-US" w:eastAsia="zh-CN"/>
              </w:rPr>
              <w:t>2）如为子公司的，投标文件中提供子公司与投标人所属关系证明材料扫描件加盖公章，否则不予得分。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numPr>
                <w:ilvl w:val="0"/>
                <w:numId w:val="4"/>
              </w:num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实验室技术团队</w:t>
            </w:r>
          </w:p>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（12分）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根据投标人或其子公司实验室技术团队进行评议：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①每提供1名具备执业医师证书的签发报告病理医师（执业地点为投标人）得2分，满分6分；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②每提供1名具备PCR上岗证的技术人员得1分，满分3分；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③每提供1名具备博士及以上学位（分子生物学相关专业）技术人员得1分，满分3分。</w:t>
            </w:r>
          </w:p>
          <w:p>
            <w:pPr>
              <w:spacing w:line="360" w:lineRule="auto"/>
              <w:rPr>
                <w:rFonts w:ascii="宋体" w:hAnsi="宋体" w:cs="宋体"/>
                <w:b/>
                <w:bCs/>
                <w:color w:val="auto"/>
                <w:szCs w:val="21"/>
                <w:highlight w:val="none"/>
              </w:rPr>
            </w:pPr>
            <w:r>
              <w:rPr>
                <w:rFonts w:ascii="宋体" w:hAnsi="宋体" w:cs="宋体"/>
                <w:b/>
                <w:bCs/>
                <w:color w:val="auto"/>
                <w:szCs w:val="21"/>
                <w:highlight w:val="none"/>
              </w:rPr>
              <w:t>备注：</w:t>
            </w:r>
            <w:r>
              <w:rPr>
                <w:rFonts w:hint="eastAsia" w:ascii="宋体" w:hAnsi="宋体" w:cs="宋体"/>
                <w:b/>
                <w:bCs/>
                <w:color w:val="auto"/>
                <w:szCs w:val="21"/>
                <w:highlight w:val="none"/>
                <w:lang w:val="en-US" w:eastAsia="zh-CN"/>
              </w:rPr>
              <w:t>1）</w:t>
            </w:r>
            <w:r>
              <w:rPr>
                <w:rFonts w:ascii="宋体" w:hAnsi="宋体" w:cs="宋体"/>
                <w:b/>
                <w:bCs/>
                <w:color w:val="auto"/>
                <w:szCs w:val="21"/>
                <w:highlight w:val="none"/>
              </w:rPr>
              <w:t>投标文件中提供以下资料：①</w:t>
            </w:r>
            <w:r>
              <w:rPr>
                <w:rFonts w:hint="eastAsia" w:ascii="宋体" w:hAnsi="宋体" w:cs="宋体"/>
                <w:b/>
                <w:bCs/>
                <w:color w:val="auto"/>
                <w:szCs w:val="21"/>
                <w:highlight w:val="none"/>
              </w:rPr>
              <w:t>人员相关毕业证、执医证、上岗证或学位证书等复印件；</w:t>
            </w:r>
            <w:r>
              <w:rPr>
                <w:rFonts w:ascii="宋体" w:hAnsi="宋体" w:cs="宋体"/>
                <w:b/>
                <w:bCs/>
                <w:color w:val="auto"/>
                <w:szCs w:val="21"/>
                <w:highlight w:val="none"/>
              </w:rPr>
              <w:t>②</w:t>
            </w:r>
            <w:r>
              <w:rPr>
                <w:rFonts w:hint="eastAsia" w:ascii="宋体" w:hAnsi="宋体" w:cs="宋体"/>
                <w:b/>
                <w:bCs/>
                <w:color w:val="auto"/>
                <w:szCs w:val="21"/>
                <w:highlight w:val="none"/>
              </w:rPr>
              <w:t>社保部门出具的上述人员近开标日前三个月任意</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个月的有效社保证明</w:t>
            </w:r>
            <w:r>
              <w:rPr>
                <w:rFonts w:ascii="宋体" w:hAnsi="宋体" w:cs="宋体"/>
                <w:b/>
                <w:bCs/>
                <w:color w:val="auto"/>
                <w:szCs w:val="21"/>
                <w:highlight w:val="none"/>
              </w:rPr>
              <w:t>扫描件加盖公章。资料不全或未加盖公章的，均不得分。</w:t>
            </w:r>
          </w:p>
          <w:p>
            <w:pPr>
              <w:spacing w:line="360" w:lineRule="auto"/>
              <w:rPr>
                <w:color w:val="auto"/>
                <w:szCs w:val="21"/>
                <w:highlight w:val="none"/>
              </w:rPr>
            </w:pPr>
            <w:r>
              <w:rPr>
                <w:rFonts w:hint="eastAsia" w:ascii="宋体" w:hAnsi="宋体" w:eastAsia="宋体" w:cs="宋体"/>
                <w:b/>
                <w:bCs/>
                <w:color w:val="auto"/>
                <w:szCs w:val="21"/>
                <w:highlight w:val="none"/>
                <w:lang w:val="en-US" w:eastAsia="zh-CN"/>
              </w:rPr>
              <w:t>2）如为子公司的，投标文件中提供子公司与投标人所属关系证明材料扫描件加盖公章，否则不予得分。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705" w:type="dxa"/>
            <w:vAlign w:val="center"/>
          </w:tcPr>
          <w:p>
            <w:pPr>
              <w:widowControl/>
              <w:adjustRightInd/>
              <w:spacing w:line="360" w:lineRule="auto"/>
              <w:jc w:val="center"/>
              <w:rPr>
                <w:rFonts w:ascii="宋体" w:hAnsi="宋体" w:cs="宋体"/>
                <w:snapToGrid w:val="0"/>
                <w:color w:val="auto"/>
                <w:spacing w:val="-4"/>
                <w:szCs w:val="21"/>
                <w:highlight w:val="none"/>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7、科研成果（20分）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自2023年1月1日（以论文发布时间为准）以来，对投标人或其子公司转化医学科研产出情况进行评议：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SCI影响因子分数30分及以上每篇得8分、20分（含）-30分（不含）每篇得5分、10分（含）-20分（不含）每篇得3分、5分（含）-10分（不含）每篇得1分、5分以下不得分，本项满分20分。</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备注：1）投标人的科研成果必须与本项目相关，否则不予认可。2）国外公开期刊上发表论文的署名须为投标人，否则不予认可。3）投标文件中提供以下资料：</w:t>
            </w:r>
            <w:r>
              <w:rPr>
                <w:rFonts w:ascii="宋体" w:hAnsi="宋体" w:cs="宋体"/>
                <w:b/>
                <w:bCs/>
                <w:color w:val="auto"/>
                <w:szCs w:val="21"/>
                <w:highlight w:val="none"/>
              </w:rPr>
              <w:t>①</w:t>
            </w:r>
            <w:r>
              <w:rPr>
                <w:rFonts w:hint="eastAsia" w:ascii="宋体" w:hAnsi="宋体" w:cs="宋体"/>
                <w:b/>
                <w:bCs/>
                <w:color w:val="auto"/>
                <w:szCs w:val="21"/>
                <w:highlight w:val="none"/>
              </w:rPr>
              <w:t>国外公开期刊上发表论文扫描件加盖公章、</w:t>
            </w:r>
            <w:r>
              <w:rPr>
                <w:rFonts w:ascii="宋体" w:hAnsi="宋体" w:cs="宋体"/>
                <w:b/>
                <w:bCs/>
                <w:color w:val="auto"/>
                <w:szCs w:val="21"/>
                <w:highlight w:val="none"/>
              </w:rPr>
              <w:t>②</w:t>
            </w:r>
            <w:r>
              <w:rPr>
                <w:rFonts w:hint="eastAsia" w:ascii="宋体" w:hAnsi="宋体" w:cs="宋体"/>
                <w:b/>
                <w:bCs/>
                <w:color w:val="auto"/>
                <w:szCs w:val="21"/>
                <w:highlight w:val="none"/>
              </w:rPr>
              <w:t>宁波市卫生信息中心等机构出具的查新报告（提供每篇论文件的首页单位标红的扫描件加盖公章）。</w:t>
            </w:r>
            <w:r>
              <w:rPr>
                <w:rFonts w:ascii="宋体" w:hAnsi="宋体" w:cs="宋体"/>
                <w:b/>
                <w:bCs/>
                <w:color w:val="auto"/>
                <w:szCs w:val="21"/>
                <w:highlight w:val="none"/>
              </w:rPr>
              <w:t>资料不全或未加盖公章的，均不得分。</w:t>
            </w:r>
            <w:r>
              <w:rPr>
                <w:rFonts w:hint="eastAsia" w:ascii="宋体" w:hAnsi="宋体" w:eastAsia="宋体" w:cs="宋体"/>
                <w:b/>
                <w:bCs/>
                <w:color w:val="auto"/>
                <w:szCs w:val="21"/>
                <w:highlight w:val="none"/>
                <w:lang w:val="en-US" w:eastAsia="zh-CN"/>
              </w:rPr>
              <w:t>4）如为子公司的，投标文件中提供子公司与投标人所属关系证明材料扫描件加盖公章，否则不予得分。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8、专利证书（6分）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自2023年1月1日（以证书授权公告时间为准）以来，投标人或其子公司具有发明专利证书的，每个证书得3分，满分6分。</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备注：1）投标文件中提供以上证书扫描件加盖公章，未提供或未加盖公章的不得分。2）证书内容须与本项目有关。</w:t>
            </w:r>
            <w:r>
              <w:rPr>
                <w:rFonts w:hint="eastAsia" w:ascii="宋体" w:hAnsi="宋体" w:eastAsia="宋体" w:cs="宋体"/>
                <w:b/>
                <w:bCs/>
                <w:color w:val="auto"/>
                <w:szCs w:val="21"/>
                <w:highlight w:val="none"/>
                <w:lang w:val="en-US" w:eastAsia="zh-CN"/>
              </w:rPr>
              <w:t>3）如为子公司的，投标文件中提供子公司与投标人所属关系证明材料扫描件加盖公章，否则不予得分。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Merge w:val="restart"/>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9、企业资质（15分）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投标人或其子公司具有ISO15189认证、CAP认证、CLIA认证实验室，每具有1项认证的得2分，满分6分。</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备注：</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投标文件中提供以上</w:t>
            </w:r>
            <w:r>
              <w:rPr>
                <w:rFonts w:hint="eastAsia" w:ascii="宋体" w:hAnsi="宋体" w:cs="宋体"/>
                <w:b/>
                <w:bCs/>
                <w:color w:val="auto"/>
                <w:szCs w:val="21"/>
                <w:highlight w:val="none"/>
                <w:lang w:val="en-US" w:eastAsia="zh-CN"/>
              </w:rPr>
              <w:t>有效</w:t>
            </w:r>
            <w:r>
              <w:rPr>
                <w:rFonts w:hint="eastAsia" w:ascii="宋体" w:hAnsi="宋体" w:cs="宋体"/>
                <w:b/>
                <w:bCs/>
                <w:color w:val="auto"/>
                <w:szCs w:val="21"/>
                <w:highlight w:val="none"/>
              </w:rPr>
              <w:t>认证证书扫描件加盖公章，未提供或未加盖公章的不得分。</w:t>
            </w:r>
          </w:p>
          <w:p>
            <w:pPr>
              <w:spacing w:line="360" w:lineRule="auto"/>
              <w:rPr>
                <w:rFonts w:ascii="宋体" w:hAnsi="宋体" w:cs="宋体"/>
                <w:color w:val="auto"/>
                <w:szCs w:val="21"/>
                <w:highlight w:val="none"/>
              </w:rPr>
            </w:pPr>
            <w:r>
              <w:rPr>
                <w:rFonts w:hint="eastAsia" w:ascii="宋体" w:hAnsi="宋体" w:eastAsia="宋体" w:cs="宋体"/>
                <w:b/>
                <w:bCs/>
                <w:color w:val="auto"/>
                <w:szCs w:val="21"/>
                <w:highlight w:val="none"/>
                <w:lang w:val="en-US" w:eastAsia="zh-CN"/>
              </w:rPr>
              <w:t>2）如为子公司的，投标文件中提供子公司与投标人所属关系证明材料扫描件加盖公章，否则不予得分。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05" w:type="dxa"/>
            <w:vAlign w:val="center"/>
          </w:tcPr>
          <w:p>
            <w:pPr>
              <w:widowControl/>
              <w:adjustRightInd/>
              <w:spacing w:line="360" w:lineRule="auto"/>
              <w:jc w:val="center"/>
              <w:rPr>
                <w:rFonts w:ascii="Calibri" w:hAnsi="Calibri"/>
                <w:color w:val="auto"/>
                <w:szCs w:val="21"/>
                <w:highlight w:val="none"/>
              </w:rPr>
            </w:pPr>
            <w:r>
              <w:rPr>
                <w:rFonts w:hint="eastAsia" w:ascii="Calibri" w:hAnsi="Calibri"/>
                <w:color w:val="auto"/>
                <w:szCs w:val="21"/>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Merge w:val="continue"/>
            <w:vAlign w:val="center"/>
          </w:tcPr>
          <w:p>
            <w:pPr>
              <w:widowControl/>
              <w:spacing w:line="360" w:lineRule="auto"/>
              <w:jc w:val="center"/>
              <w:rPr>
                <w:rFonts w:ascii="宋体" w:hAnsi="宋体" w:cs="宋体"/>
                <w:bCs/>
                <w:color w:val="auto"/>
                <w:kern w:val="0"/>
                <w:szCs w:val="21"/>
                <w:highlight w:val="none"/>
              </w:rPr>
            </w:pP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投标人或其子公司的肿瘤NGS检测相关试剂盒（可逆末端终止测序法）具有中国医疗器械注册证的，每个得3分，满分6分。</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备注：</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投标文件中提供</w:t>
            </w:r>
            <w:r>
              <w:rPr>
                <w:rFonts w:hint="eastAsia" w:ascii="宋体" w:hAnsi="宋体" w:cs="宋体"/>
                <w:b/>
                <w:bCs/>
                <w:color w:val="auto"/>
                <w:szCs w:val="21"/>
                <w:highlight w:val="none"/>
                <w:lang w:val="en-US" w:eastAsia="zh-CN"/>
              </w:rPr>
              <w:t>有效</w:t>
            </w:r>
            <w:r>
              <w:rPr>
                <w:rFonts w:hint="eastAsia" w:ascii="宋体" w:hAnsi="宋体" w:cs="宋体"/>
                <w:b/>
                <w:bCs/>
                <w:color w:val="auto"/>
                <w:szCs w:val="21"/>
                <w:highlight w:val="none"/>
              </w:rPr>
              <w:t>证书扫描件加盖公章，未提供或未加盖公章的不得分。</w:t>
            </w:r>
          </w:p>
          <w:p>
            <w:pPr>
              <w:spacing w:line="360" w:lineRule="auto"/>
              <w:rPr>
                <w:rFonts w:ascii="宋体" w:hAnsi="宋体" w:cs="宋体"/>
                <w:color w:val="auto"/>
                <w:szCs w:val="21"/>
                <w:highlight w:val="none"/>
              </w:rPr>
            </w:pPr>
            <w:r>
              <w:rPr>
                <w:rFonts w:hint="eastAsia" w:ascii="宋体" w:hAnsi="宋体" w:eastAsia="宋体" w:cs="宋体"/>
                <w:b/>
                <w:bCs/>
                <w:color w:val="auto"/>
                <w:szCs w:val="21"/>
                <w:highlight w:val="none"/>
                <w:lang w:val="en-US" w:eastAsia="zh-CN"/>
              </w:rPr>
              <w:t>2）如为子公司的，投标文件中提供子公司与投标人所属关系证明材料扫描件加盖公章，否则不予得分。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Merge w:val="continue"/>
            <w:vAlign w:val="center"/>
          </w:tcPr>
          <w:p>
            <w:pPr>
              <w:widowControl/>
              <w:spacing w:line="360" w:lineRule="auto"/>
              <w:jc w:val="center"/>
              <w:rPr>
                <w:rFonts w:ascii="宋体" w:hAnsi="宋体" w:cs="宋体"/>
                <w:bCs/>
                <w:color w:val="auto"/>
                <w:kern w:val="0"/>
                <w:szCs w:val="21"/>
                <w:highlight w:val="none"/>
              </w:rPr>
            </w:pP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或其子公司具有国家卫生健康委临床检验中心颁发的2023年度全国实体肿瘤体细胞突变高通量测序检测、全国肿瘤体细胞突变高通量测序检测生物信息学分析、全国肿瘤游离DNA基因突变高通量测序检测室间质评证书，每个证书得1分，本项满分3分。</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备注：</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投标文件中提供上述有效证书扫描件加盖公章，未提供或未加盖公章的不得分。</w:t>
            </w:r>
          </w:p>
          <w:p>
            <w:pPr>
              <w:spacing w:line="360" w:lineRule="auto"/>
              <w:rPr>
                <w:rFonts w:ascii="宋体" w:hAnsi="宋体" w:cs="宋体"/>
                <w:color w:val="auto"/>
                <w:szCs w:val="21"/>
                <w:highlight w:val="none"/>
              </w:rPr>
            </w:pPr>
            <w:r>
              <w:rPr>
                <w:rFonts w:hint="eastAsia" w:ascii="宋体" w:hAnsi="宋体" w:eastAsia="宋体" w:cs="宋体"/>
                <w:b/>
                <w:bCs/>
                <w:color w:val="auto"/>
                <w:szCs w:val="21"/>
                <w:highlight w:val="none"/>
                <w:lang w:val="en-US" w:eastAsia="zh-CN"/>
              </w:rPr>
              <w:t>2）如为子公司的，投标文件中提供子公司与投标人所属关系证明材料扫描件加盖公章，否则不予得分。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10、实验室室内质控（2分）</w:t>
            </w:r>
          </w:p>
        </w:tc>
        <w:tc>
          <w:tcPr>
            <w:tcW w:w="5575" w:type="dxa"/>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根据投标人提供的2024年1月-3月的实验室室内质控相关材料进行评议：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①材料完整、内容清晰、质控规范的得2分；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②材料较完整、内容较清晰、质控较规范的得1分；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③材料不完整、内容不清晰、质控不规范的得0.5分；</w:t>
            </w:r>
          </w:p>
          <w:p>
            <w:pPr>
              <w:pStyle w:val="80"/>
              <w:rPr>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05" w:type="dxa"/>
            <w:vAlign w:val="center"/>
          </w:tcPr>
          <w:p>
            <w:pPr>
              <w:widowControl/>
              <w:adjustRightInd/>
              <w:spacing w:line="360" w:lineRule="auto"/>
              <w:jc w:val="center"/>
              <w:rPr>
                <w:rFonts w:ascii="Calibri" w:hAnsi="Calibri"/>
                <w:color w:val="auto"/>
                <w:szCs w:val="21"/>
                <w:highlight w:val="none"/>
              </w:rPr>
            </w:pPr>
            <w:r>
              <w:rPr>
                <w:rFonts w:hint="eastAsia" w:ascii="Calibri" w:hAnsi="Calibri"/>
                <w:color w:val="auto"/>
                <w:szCs w:val="21"/>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11、业绩（1分）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自2023年1月1日（以合同签订时间为准）以来，投标人具有同类项目业绩的，每个业绩得0.2分，满分1分。</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备注：</w:t>
            </w:r>
            <w:r>
              <w:rPr>
                <w:rFonts w:ascii="宋体" w:hAnsi="宋体" w:cs="宋体"/>
                <w:b/>
                <w:bCs/>
                <w:color w:val="auto"/>
                <w:szCs w:val="21"/>
                <w:highlight w:val="none"/>
              </w:rPr>
              <w:t>投标文件中</w:t>
            </w:r>
            <w:r>
              <w:rPr>
                <w:rFonts w:hint="eastAsia" w:ascii="宋体" w:hAnsi="宋体" w:cs="宋体"/>
                <w:b/>
                <w:bCs/>
                <w:color w:val="auto"/>
                <w:szCs w:val="21"/>
                <w:highlight w:val="none"/>
              </w:rPr>
              <w:t>有效的业绩合同扫描件加盖公章，未提供或未加盖公章的不得分</w:t>
            </w:r>
            <w:r>
              <w:rPr>
                <w:rFonts w:ascii="宋体" w:hAnsi="宋体" w:cs="宋体"/>
                <w:b/>
                <w:bCs/>
                <w:color w:val="auto"/>
                <w:szCs w:val="21"/>
                <w:highlight w:val="none"/>
              </w:rPr>
              <w:t>。</w:t>
            </w:r>
          </w:p>
        </w:tc>
        <w:tc>
          <w:tcPr>
            <w:tcW w:w="705" w:type="dxa"/>
            <w:vAlign w:val="center"/>
          </w:tcPr>
          <w:p>
            <w:pPr>
              <w:widowControl/>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05" w:type="dxa"/>
            <w:vAlign w:val="center"/>
          </w:tcPr>
          <w:p>
            <w:pPr>
              <w:widowControl/>
              <w:adjustRightInd/>
              <w:spacing w:line="360" w:lineRule="auto"/>
              <w:jc w:val="center"/>
              <w:rPr>
                <w:rFonts w:ascii="Calibri" w:hAnsi="Calibri"/>
                <w:color w:val="auto"/>
                <w:szCs w:val="21"/>
                <w:highlight w:val="none"/>
                <w:lang w:val="zh-CN"/>
              </w:rPr>
            </w:pPr>
            <w:r>
              <w:rPr>
                <w:rFonts w:hint="eastAsia" w:ascii="Calibri" w:hAnsi="Calibri"/>
                <w:color w:val="auto"/>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62" w:type="dxa"/>
            <w:vMerge w:val="continue"/>
          </w:tcPr>
          <w:p>
            <w:pPr>
              <w:adjustRightInd/>
              <w:spacing w:line="360" w:lineRule="auto"/>
              <w:jc w:val="left"/>
              <w:rPr>
                <w:rFonts w:ascii="Calibri" w:hAnsi="Calibri"/>
                <w:color w:val="auto"/>
                <w:szCs w:val="21"/>
                <w:highlight w:val="none"/>
              </w:rPr>
            </w:pPr>
          </w:p>
        </w:tc>
        <w:tc>
          <w:tcPr>
            <w:tcW w:w="1288" w:type="dxa"/>
            <w:vAlign w:val="center"/>
          </w:tcPr>
          <w:p>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12、特色服务承诺（2分）</w:t>
            </w:r>
          </w:p>
        </w:tc>
        <w:tc>
          <w:tcPr>
            <w:tcW w:w="55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根据投标人提供的针对本项目的特色服务承诺进行评议：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①服务承诺对提升临床技术有很好的实际效用并得到认可的得2分；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②服务承诺对提升临床技术有实际效用并得到认可的得1分；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③服务承诺对提升临床技术无实际效用并未得到认可的得0.5分；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705" w:type="dxa"/>
            <w:vAlign w:val="center"/>
          </w:tcPr>
          <w:p>
            <w:pPr>
              <w:autoSpaceDE w:val="0"/>
              <w:autoSpaceDN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5" w:type="dxa"/>
            <w:vAlign w:val="center"/>
          </w:tcPr>
          <w:p>
            <w:pPr>
              <w:autoSpaceDE w:val="0"/>
              <w:autoSpaceDN w:val="0"/>
              <w:spacing w:line="360" w:lineRule="auto"/>
              <w:jc w:val="center"/>
              <w:rPr>
                <w:rFonts w:ascii="宋体" w:hAnsi="宋体" w:cs="宋体"/>
                <w:color w:val="auto"/>
                <w:kern w:val="0"/>
                <w:szCs w:val="21"/>
                <w:highlight w:val="none"/>
              </w:rPr>
            </w:pPr>
            <w:r>
              <w:rPr>
                <w:rFonts w:hint="eastAsia" w:ascii="Calibri" w:hAnsi="Calibri"/>
                <w:color w:val="auto"/>
                <w:szCs w:val="21"/>
                <w:highlight w:val="none"/>
              </w:rPr>
              <w:t>主观</w:t>
            </w:r>
            <w:r>
              <w:rPr>
                <w:rFonts w:hint="eastAsia" w:ascii="Calibri" w:hAnsi="Calibri"/>
                <w:color w:val="auto"/>
                <w:szCs w:val="21"/>
                <w:highlight w:val="none"/>
                <w:lang w:val="zh-CN"/>
              </w:rPr>
              <w:t>评审</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备注：1、供应商编制投标文件（商务技术文件部分）时，建议按此目录（序号和内容）提供评标标准相应的商务技术资料。2、小数点后保留一位数。3、各评标委员会成员自行按以上参考分值评分。4、重大事件由评标委员会集体讨论，应当按照少数服从多数的原则作出结论。</w:t>
      </w:r>
    </w:p>
    <w:p>
      <w:pPr>
        <w:widowControl/>
        <w:adjustRightInd/>
        <w:spacing w:line="320" w:lineRule="exact"/>
        <w:jc w:val="left"/>
        <w:rPr>
          <w:rFonts w:ascii="宋体" w:hAnsi="宋体" w:cs="宋体"/>
          <w:bCs/>
          <w:color w:val="auto"/>
          <w:sz w:val="24"/>
          <w:highlight w:val="none"/>
        </w:rPr>
      </w:pP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综合评分法，是指投标文件满足招标文件全部实质性要求，且按照评审因素的量化指标评审得分最高的供应商为中标候选人的评标方法。</w:t>
      </w:r>
    </w:p>
    <w:p>
      <w:pPr>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2"/>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且按照评审因素的量化指标评审得分次高的供应商为排名第二的中标候选人。</w:t>
      </w:r>
    </w:p>
    <w:p>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标项一、标项二、标项三、标项四、标项五</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每个投标人原则上只能被确定为标项一至标项</w:t>
      </w:r>
      <w:r>
        <w:rPr>
          <w:rFonts w:hint="eastAsia" w:ascii="宋体" w:hAnsi="宋体" w:cs="宋体"/>
          <w:b/>
          <w:bCs/>
          <w:color w:val="auto"/>
          <w:kern w:val="0"/>
          <w:sz w:val="24"/>
          <w:highlight w:val="none"/>
          <w:lang w:val="en-US" w:eastAsia="zh-CN"/>
        </w:rPr>
        <w:t>五</w:t>
      </w:r>
      <w:r>
        <w:rPr>
          <w:rFonts w:hint="eastAsia" w:ascii="宋体" w:hAnsi="宋体" w:cs="宋体"/>
          <w:b/>
          <w:bCs/>
          <w:color w:val="auto"/>
          <w:kern w:val="0"/>
          <w:sz w:val="24"/>
          <w:highlight w:val="none"/>
        </w:rPr>
        <w:t>中</w:t>
      </w:r>
      <w:r>
        <w:rPr>
          <w:rFonts w:hint="eastAsia" w:ascii="宋体" w:hAnsi="宋体" w:cs="宋体"/>
          <w:b/>
          <w:bCs/>
          <w:color w:val="auto"/>
          <w:kern w:val="0"/>
          <w:sz w:val="24"/>
          <w:highlight w:val="none"/>
          <w:lang w:val="en-US" w:eastAsia="zh-CN"/>
        </w:rPr>
        <w:t>其中一个</w:t>
      </w:r>
      <w:r>
        <w:rPr>
          <w:rFonts w:hint="eastAsia" w:ascii="宋体" w:hAnsi="宋体" w:cs="宋体"/>
          <w:b/>
          <w:bCs/>
          <w:color w:val="auto"/>
          <w:kern w:val="0"/>
          <w:sz w:val="24"/>
          <w:highlight w:val="none"/>
        </w:rPr>
        <w:t>标项的第一中标候选人。</w:t>
      </w:r>
    </w:p>
    <w:p>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标项一由排名第1至2名的投标人为本标项第一、二中标候选人；</w:t>
      </w:r>
    </w:p>
    <w:p>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已获得标项一的第一中标候选人，不再进入标项二的评审，标项二的中标候选人由本标项排名第1至2名为第一、第二中标候选人；</w:t>
      </w:r>
      <w:r>
        <w:rPr>
          <w:rFonts w:hint="eastAsia" w:ascii="宋体" w:hAnsi="宋体" w:cs="宋体"/>
          <w:b/>
          <w:bCs/>
          <w:color w:val="auto"/>
          <w:kern w:val="0"/>
          <w:sz w:val="24"/>
          <w:highlight w:val="none"/>
          <w:lang w:val="en-US" w:eastAsia="zh-CN"/>
        </w:rPr>
        <w:t>以此类推</w:t>
      </w:r>
      <w:r>
        <w:rPr>
          <w:rFonts w:hint="eastAsia" w:ascii="宋体" w:hAnsi="宋体" w:cs="宋体"/>
          <w:b/>
          <w:bCs/>
          <w:color w:val="auto"/>
          <w:kern w:val="0"/>
          <w:sz w:val="24"/>
          <w:highlight w:val="none"/>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3.7特别说明。</w:t>
      </w:r>
    </w:p>
    <w:p>
      <w:pPr>
        <w:spacing w:line="360" w:lineRule="auto"/>
        <w:ind w:firstLine="472" w:firstLineChars="196"/>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rPr>
        <w:t>标项一、标项二、标项三、标项四、标项五</w:t>
      </w:r>
      <w:r>
        <w:rPr>
          <w:rFonts w:hint="eastAsia" w:ascii="宋体" w:hAnsi="宋体" w:cs="宋体"/>
          <w:b/>
          <w:bCs/>
          <w:color w:val="auto"/>
          <w:kern w:val="0"/>
          <w:sz w:val="24"/>
          <w:highlight w:val="none"/>
          <w:lang w:val="en-US" w:eastAsia="zh-CN"/>
        </w:rPr>
        <w:t>可以兼投，但不得兼中</w:t>
      </w:r>
      <w:r>
        <w:rPr>
          <w:rFonts w:hint="eastAsia" w:ascii="宋体" w:hAnsi="宋体" w:cs="宋体"/>
          <w:b/>
          <w:bCs/>
          <w:color w:val="auto"/>
          <w:kern w:val="0"/>
          <w:sz w:val="24"/>
          <w:highlight w:val="none"/>
          <w:lang w:eastAsia="zh-CN"/>
        </w:rPr>
        <w:t>。</w:t>
      </w:r>
    </w:p>
    <w:p>
      <w:pPr>
        <w:spacing w:line="360" w:lineRule="auto"/>
        <w:ind w:firstLine="472" w:firstLineChars="196"/>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每个投标人原则上只能被确定为标项一至标项</w:t>
      </w:r>
      <w:r>
        <w:rPr>
          <w:rFonts w:hint="eastAsia" w:ascii="宋体" w:hAnsi="宋体" w:cs="宋体"/>
          <w:b/>
          <w:bCs/>
          <w:color w:val="auto"/>
          <w:kern w:val="0"/>
          <w:sz w:val="24"/>
          <w:highlight w:val="none"/>
          <w:lang w:val="en-US" w:eastAsia="zh-CN"/>
        </w:rPr>
        <w:t>五</w:t>
      </w:r>
      <w:r>
        <w:rPr>
          <w:rFonts w:hint="eastAsia" w:ascii="宋体" w:hAnsi="宋体" w:cs="宋体"/>
          <w:b/>
          <w:bCs/>
          <w:color w:val="auto"/>
          <w:kern w:val="0"/>
          <w:sz w:val="24"/>
          <w:highlight w:val="none"/>
        </w:rPr>
        <w:t>中</w:t>
      </w:r>
      <w:r>
        <w:rPr>
          <w:rFonts w:hint="eastAsia" w:ascii="宋体" w:hAnsi="宋体" w:cs="宋体"/>
          <w:b/>
          <w:bCs/>
          <w:color w:val="auto"/>
          <w:kern w:val="0"/>
          <w:sz w:val="24"/>
          <w:highlight w:val="none"/>
          <w:lang w:val="en-US" w:eastAsia="zh-CN"/>
        </w:rPr>
        <w:t>其中一个</w:t>
      </w:r>
      <w:r>
        <w:rPr>
          <w:rFonts w:hint="eastAsia" w:ascii="宋体" w:hAnsi="宋体" w:cs="宋体"/>
          <w:b/>
          <w:bCs/>
          <w:color w:val="auto"/>
          <w:kern w:val="0"/>
          <w:sz w:val="24"/>
          <w:highlight w:val="none"/>
        </w:rPr>
        <w:t>标项的第一中标候选人。</w:t>
      </w:r>
    </w:p>
    <w:p>
      <w:pPr>
        <w:spacing w:line="360" w:lineRule="auto"/>
        <w:ind w:firstLine="472" w:firstLineChars="196"/>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标项一由排名第1至2名的投标人为本标项第一、二中标候选人；</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已获得标项一的第一中标候选人，不再进入标项二的评审，标项二的中标候选人由本标项排名第1至2名为第一、第二中标候选人；</w:t>
      </w:r>
      <w:r>
        <w:rPr>
          <w:rFonts w:hint="eastAsia" w:ascii="宋体" w:hAnsi="宋体" w:cs="宋体"/>
          <w:b/>
          <w:bCs/>
          <w:color w:val="auto"/>
          <w:kern w:val="0"/>
          <w:sz w:val="24"/>
          <w:highlight w:val="none"/>
          <w:lang w:val="en-US" w:eastAsia="zh-CN"/>
        </w:rPr>
        <w:t>以此类推</w:t>
      </w:r>
      <w:r>
        <w:rPr>
          <w:rFonts w:hint="eastAsia" w:ascii="宋体" w:hAnsi="宋体" w:cs="宋体"/>
          <w:b/>
          <w:bCs/>
          <w:color w:val="auto"/>
          <w:kern w:val="0"/>
          <w:sz w:val="24"/>
          <w:highlight w:val="none"/>
        </w:rPr>
        <w:t>。</w:t>
      </w:r>
    </w:p>
    <w:p>
      <w:pPr>
        <w:widowControl/>
        <w:adjustRightInd/>
        <w:spacing w:after="225" w:line="315" w:lineRule="atLeast"/>
        <w:jc w:val="left"/>
        <w:rPr>
          <w:rFonts w:ascii="宋体" w:hAnsi="宋体" w:cs="宋体"/>
          <w:b/>
          <w:color w:val="auto"/>
          <w:sz w:val="24"/>
          <w:highlight w:val="none"/>
        </w:rPr>
      </w:pPr>
      <w:r>
        <w:rPr>
          <w:rFonts w:hint="eastAsia" w:ascii="宋体" w:hAnsi="宋体" w:cs="宋体"/>
          <w:b/>
          <w:color w:val="auto"/>
          <w:sz w:val="24"/>
          <w:highlight w:val="none"/>
        </w:rPr>
        <w:t>四、评标中的其他事项</w:t>
      </w:r>
    </w:p>
    <w:p>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pPr>
        <w:pStyle w:val="3"/>
        <w:spacing w:line="360" w:lineRule="auto"/>
        <w:ind w:left="954" w:leftChars="226" w:hanging="479" w:firstLineChars="0"/>
        <w:rPr>
          <w:rFonts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4.2.1供应商不具备招标文件中规定的资格要求的（供应商未提供有效的资格文件的，视为供应商不具备招标文件中规定的资格要求）；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3"/>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pPr>
        <w:pStyle w:val="3"/>
        <w:snapToGrid w:val="0"/>
        <w:spacing w:line="360" w:lineRule="auto"/>
        <w:rPr>
          <w:rFonts w:cs="宋体"/>
          <w:color w:val="auto"/>
          <w:highlight w:val="none"/>
        </w:rPr>
      </w:pPr>
      <w:r>
        <w:rPr>
          <w:rFonts w:hint="eastAsia" w:cs="宋体"/>
          <w:color w:val="auto"/>
          <w:highlight w:val="none"/>
        </w:rPr>
        <w:t>5.4因重大变故，采购任务取消的。</w:t>
      </w:r>
    </w:p>
    <w:p>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3"/>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400" w:name="第五部分"/>
      <w:bookmarkStart w:id="401" w:name="_Toc86217003"/>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bookmarkStart w:id="402" w:name="_Toc8264"/>
      <w:r>
        <w:rPr>
          <w:rFonts w:hint="eastAsia" w:ascii="宋体" w:hAnsi="宋体" w:cs="宋体"/>
          <w:b/>
          <w:color w:val="auto"/>
          <w:sz w:val="36"/>
          <w:szCs w:val="36"/>
          <w:highlight w:val="none"/>
        </w:rPr>
        <w:t>第五部分 拟签订的合同文本</w:t>
      </w:r>
      <w:bookmarkEnd w:id="402"/>
    </w:p>
    <w:p>
      <w:pPr>
        <w:ind w:firstLine="161" w:firstLineChars="50"/>
        <w:jc w:val="center"/>
        <w:rPr>
          <w:b/>
          <w:color w:val="auto"/>
          <w:sz w:val="36"/>
          <w:szCs w:val="36"/>
          <w:highlight w:val="none"/>
        </w:rPr>
      </w:pPr>
      <w:r>
        <w:rPr>
          <w:rFonts w:hint="eastAsia"/>
          <w:b/>
          <w:color w:val="auto"/>
          <w:sz w:val="32"/>
          <w:szCs w:val="32"/>
          <w:highlight w:val="none"/>
        </w:rPr>
        <w:t>政府采购合同</w:t>
      </w:r>
    </w:p>
    <w:p>
      <w:pPr>
        <w:ind w:firstLine="181" w:firstLineChars="50"/>
        <w:jc w:val="center"/>
        <w:rPr>
          <w:b/>
          <w:color w:val="auto"/>
          <w:sz w:val="36"/>
          <w:szCs w:val="36"/>
          <w:highlight w:val="none"/>
        </w:rPr>
      </w:pPr>
    </w:p>
    <w:p>
      <w:pPr>
        <w:spacing w:line="42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宁波市临床病理诊断中心   </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（卖方）                   </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甲、乙双方根据</w:t>
      </w:r>
      <w:r>
        <w:rPr>
          <w:rFonts w:hint="eastAsia" w:ascii="宋体" w:hAnsi="宋体" w:cs="宋体"/>
          <w:color w:val="auto"/>
          <w:szCs w:val="21"/>
          <w:highlight w:val="none"/>
          <w:u w:val="single"/>
        </w:rPr>
        <w:t xml:space="preserve">                政府采购项目</w:t>
      </w:r>
      <w:r>
        <w:rPr>
          <w:rFonts w:hint="eastAsia" w:ascii="宋体" w:hAnsi="宋体" w:cs="宋体"/>
          <w:color w:val="auto"/>
          <w:szCs w:val="21"/>
          <w:highlight w:val="none"/>
        </w:rPr>
        <w:t>的招标结果，签署本合同。</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一、服务内容</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二、合同金额</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本合同金额为（大写）：_____________元（￥_______________元）人民币。</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三、技术资料</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1.乙方应按采购文件规定的时间向甲方提供有关技术资料。</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四、知识产权</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乙方应保证提供服务过程中不会侵犯任何第三方的知识产权。</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五、履约保证金（如适用）</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乙方交纳人民币</w:t>
      </w:r>
      <w:r>
        <w:rPr>
          <w:rFonts w:hint="eastAsia" w:ascii="宋体" w:hAnsi="宋体" w:cs="宋体"/>
          <w:color w:val="auto"/>
          <w:szCs w:val="21"/>
          <w:highlight w:val="none"/>
          <w:u w:val="single"/>
        </w:rPr>
        <w:t>△</w:t>
      </w:r>
      <w:r>
        <w:rPr>
          <w:rFonts w:hint="eastAsia" w:ascii="宋体" w:hAnsi="宋体" w:cs="宋体"/>
          <w:color w:val="auto"/>
          <w:szCs w:val="21"/>
          <w:highlight w:val="none"/>
        </w:rPr>
        <w:t>元作为本合同的履约保证金。</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六、转包或分包</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1.本合同范围的服务，应由乙方直接供应，不得转让他人供应；</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2. 除非得到甲方的书面同意，乙方不得将本合同范围的服务全部或部分分包给他人供应；</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3.如有转让和未经甲方同意的分包行为，甲方有权解除合同，没收履约保证金并追究乙方的违约责任。</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七、服务质量保证期(如适用)</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1. 服务质量保证期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年。（自验收合格之日起计）</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八、合同履行时间、履行地点</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1. 履行时间：</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2. 履行地点：</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九、款项支付</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付款方式：</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十、税费</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十一、质量保证及后续服务</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1． 乙方应按采购文件规定向甲方提供服务。</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2． 乙方提供的服务成果在服务质量保证期内发生故障，乙方应负责免费提供后续服务。对达不到要求者，根据实际情况，经双方协商，可按以下办法处理：</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⑴重做：由乙方承担所发生的全部费用。</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⑵贬值处理：由甲乙双方合议定价。</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⑶解除合同。</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3． 如在使用过程中发生问题，乙方在接到甲方通知后在△小时内到达甲方现场。</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4．在服务质量保证期内，乙方应对出现的质量及安全问题负责处理解决并承担</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一切费用。</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十二、违约责任</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1．甲方无正当理由拒收接受服务的，甲方向乙方偿付合同款项百分之五作为违约金。</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2．甲方无故逾期验收和办理款项支付手续的,甲方应按逾期付款总额每日万分之五向乙方支付违约金。</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十三、不可抗力事件处理</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3．不可抗力事件延续120天以上，双方应通过友好协商，确定是否继续履行合同。</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十四、诉讼</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双方在执行合同中所发生的一切争议，应通过协商解决。如协商不成，可向甲方所在地法院起诉。</w:t>
      </w:r>
    </w:p>
    <w:p>
      <w:pPr>
        <w:spacing w:line="420" w:lineRule="exact"/>
        <w:rPr>
          <w:rFonts w:ascii="宋体" w:hAnsi="宋体" w:cs="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十五、合同生效及其它</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1．合同经双方法定代表人或授权代表签字并加盖单位公章后生效。</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2．合同执行中涉及采购资金和采购内容修改或补充的，须经财政部门审批，并签书面补充协议报政府采购监督管理部门备案，方可作为主合同不可分割的一部分。</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3．本合同未尽事宜，遵照《民法典》有关条文执行。</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4．本合同正本一式</w:t>
      </w:r>
      <w:r>
        <w:rPr>
          <w:rFonts w:hint="eastAsia" w:ascii="宋体" w:hAnsi="宋体" w:cs="宋体"/>
          <w:color w:val="auto"/>
          <w:szCs w:val="21"/>
          <w:highlight w:val="none"/>
          <w:u w:val="single"/>
        </w:rPr>
        <w:t>△</w:t>
      </w:r>
      <w:r>
        <w:rPr>
          <w:rFonts w:hint="eastAsia" w:ascii="宋体" w:hAnsi="宋体" w:cs="宋体"/>
          <w:color w:val="auto"/>
          <w:szCs w:val="21"/>
          <w:highlight w:val="none"/>
        </w:rPr>
        <w:t>份，具有同等法律效力，甲乙双方各执</w:t>
      </w:r>
      <w:r>
        <w:rPr>
          <w:rFonts w:hint="eastAsia" w:ascii="宋体" w:hAnsi="宋体" w:cs="宋体"/>
          <w:color w:val="auto"/>
          <w:szCs w:val="21"/>
          <w:highlight w:val="none"/>
          <w:u w:val="single"/>
        </w:rPr>
        <w:t>△</w:t>
      </w:r>
      <w:r>
        <w:rPr>
          <w:rFonts w:hint="eastAsia" w:ascii="宋体" w:hAnsi="宋体" w:cs="宋体"/>
          <w:color w:val="auto"/>
          <w:szCs w:val="21"/>
          <w:highlight w:val="none"/>
        </w:rPr>
        <w:t>份；</w:t>
      </w:r>
      <w:r>
        <w:rPr>
          <w:rFonts w:hint="eastAsia" w:ascii="宋体" w:hAnsi="宋体" w:cs="宋体"/>
          <w:color w:val="auto"/>
          <w:szCs w:val="21"/>
          <w:highlight w:val="none"/>
          <w:u w:val="single"/>
        </w:rPr>
        <w:t>△</w:t>
      </w:r>
      <w:r>
        <w:rPr>
          <w:rFonts w:hint="eastAsia" w:ascii="宋体" w:hAnsi="宋体" w:cs="宋体"/>
          <w:color w:val="auto"/>
          <w:szCs w:val="21"/>
          <w:highlight w:val="none"/>
        </w:rPr>
        <w:t>份，(用途)。</w:t>
      </w:r>
    </w:p>
    <w:p>
      <w:pPr>
        <w:spacing w:line="420" w:lineRule="exact"/>
        <w:ind w:firstLine="210" w:firstLineChars="100"/>
        <w:rPr>
          <w:rFonts w:ascii="宋体" w:hAnsi="宋体" w:cs="宋体"/>
          <w:color w:val="auto"/>
          <w:szCs w:val="21"/>
          <w:highlight w:val="none"/>
        </w:rPr>
      </w:pPr>
    </w:p>
    <w:p>
      <w:pPr>
        <w:pStyle w:val="3"/>
        <w:spacing w:line="420" w:lineRule="exact"/>
        <w:ind w:firstLine="420"/>
        <w:rPr>
          <w:rFonts w:cs="宋体"/>
          <w:color w:val="auto"/>
          <w:sz w:val="21"/>
          <w:szCs w:val="21"/>
          <w:highlight w:val="none"/>
        </w:rPr>
      </w:pPr>
      <w:r>
        <w:rPr>
          <w:rFonts w:hint="eastAsia" w:cs="宋体"/>
          <w:color w:val="auto"/>
          <w:sz w:val="21"/>
          <w:szCs w:val="21"/>
          <w:highlight w:val="none"/>
        </w:rPr>
        <w:t xml:space="preserve">甲方：                                   乙方： </w:t>
      </w:r>
    </w:p>
    <w:p>
      <w:pPr>
        <w:pStyle w:val="3"/>
        <w:spacing w:line="420" w:lineRule="exact"/>
        <w:ind w:firstLine="420"/>
        <w:rPr>
          <w:rFonts w:cs="宋体"/>
          <w:color w:val="auto"/>
          <w:sz w:val="21"/>
          <w:szCs w:val="21"/>
          <w:highlight w:val="none"/>
        </w:rPr>
      </w:pPr>
      <w:r>
        <w:rPr>
          <w:rFonts w:hint="eastAsia" w:cs="宋体"/>
          <w:color w:val="auto"/>
          <w:sz w:val="21"/>
          <w:szCs w:val="21"/>
          <w:highlight w:val="none"/>
        </w:rPr>
        <w:t xml:space="preserve">地址：                                   地址： </w:t>
      </w:r>
    </w:p>
    <w:p>
      <w:pPr>
        <w:pStyle w:val="3"/>
        <w:spacing w:line="420" w:lineRule="exact"/>
        <w:ind w:firstLine="420"/>
        <w:rPr>
          <w:rFonts w:cs="宋体"/>
          <w:color w:val="auto"/>
          <w:sz w:val="21"/>
          <w:szCs w:val="21"/>
          <w:highlight w:val="none"/>
        </w:rPr>
      </w:pPr>
      <w:r>
        <w:rPr>
          <w:rFonts w:hint="eastAsia" w:cs="宋体"/>
          <w:color w:val="auto"/>
          <w:sz w:val="21"/>
          <w:szCs w:val="21"/>
          <w:highlight w:val="none"/>
        </w:rPr>
        <w:t>法定（授权）代表人：                     法定（授权）代表人：</w:t>
      </w:r>
    </w:p>
    <w:p>
      <w:pPr>
        <w:pStyle w:val="3"/>
        <w:spacing w:line="420" w:lineRule="exact"/>
        <w:ind w:firstLine="420"/>
        <w:rPr>
          <w:rFonts w:cs="宋体"/>
          <w:color w:val="auto"/>
          <w:sz w:val="21"/>
          <w:szCs w:val="21"/>
          <w:highlight w:val="none"/>
        </w:rPr>
      </w:pPr>
      <w:r>
        <w:rPr>
          <w:rFonts w:hint="eastAsia" w:cs="宋体"/>
          <w:color w:val="auto"/>
          <w:sz w:val="21"/>
          <w:szCs w:val="21"/>
          <w:highlight w:val="none"/>
        </w:rPr>
        <w:t>签字日期：      年  月  日               签字日期：      年  月  日</w:t>
      </w:r>
    </w:p>
    <w:p>
      <w:pPr>
        <w:widowControl/>
        <w:spacing w:line="560" w:lineRule="exact"/>
        <w:jc w:val="left"/>
        <w:rPr>
          <w:rFonts w:ascii="宋体" w:hAnsi="宋体"/>
          <w:b/>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left"/>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color w:val="auto"/>
          <w:sz w:val="24"/>
          <w:highlight w:val="none"/>
        </w:rPr>
        <w:br w:type="textWrapping"/>
      </w:r>
      <w:bookmarkStart w:id="403" w:name="_Toc22993"/>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bookmarkEnd w:id="403"/>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pPr>
        <w:snapToGrid w:val="0"/>
        <w:spacing w:line="360" w:lineRule="auto"/>
        <w:ind w:right="480"/>
        <w:jc w:val="center"/>
        <w:rPr>
          <w:rFonts w:ascii="宋体" w:hAnsi="宋体" w:cs="宋体"/>
          <w:color w:val="auto"/>
          <w:kern w:val="0"/>
          <w:sz w:val="24"/>
          <w:highlight w:val="none"/>
        </w:rPr>
      </w:pPr>
      <w:r>
        <w:rPr>
          <w:rFonts w:hint="eastAsia" w:ascii="宋体" w:hAnsi="宋体" w:cs="宋体"/>
          <w:b/>
          <w:color w:val="auto"/>
          <w:kern w:val="0"/>
          <w:sz w:val="32"/>
          <w:szCs w:val="32"/>
          <w:highlight w:val="none"/>
        </w:rPr>
        <w:t>一、有效的企业法人营业执照（或事业法人登记证）、其他组织（个体工商户）的营业执照或者民办非企业单位登记证书</w:t>
      </w:r>
    </w:p>
    <w:p>
      <w:pPr>
        <w:snapToGrid w:val="0"/>
        <w:spacing w:line="360" w:lineRule="auto"/>
        <w:ind w:right="480"/>
        <w:jc w:val="center"/>
        <w:rPr>
          <w:rFonts w:ascii="宋体" w:hAnsi="宋体" w:cs="宋体"/>
          <w:color w:val="auto"/>
          <w:kern w:val="0"/>
          <w:sz w:val="24"/>
          <w:highlight w:val="none"/>
        </w:rPr>
      </w:pPr>
    </w:p>
    <w:p>
      <w:pPr>
        <w:snapToGrid w:val="0"/>
        <w:spacing w:line="360" w:lineRule="auto"/>
        <w:ind w:right="480"/>
        <w:jc w:val="center"/>
        <w:rPr>
          <w:rFonts w:ascii="宋体" w:hAnsi="宋体" w:cs="宋体"/>
          <w:color w:val="auto"/>
          <w:kern w:val="0"/>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宁波市临床病理诊断中心精准医学检测外包服务采购项目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CBNB-20241094G</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（1）自评分</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（2）投标函</w:t>
      </w:r>
      <w:r>
        <w:rPr>
          <w:rFonts w:hint="eastAsia" w:ascii="宋体" w:hAnsi="宋体" w:cs="宋体"/>
          <w:color w:val="auto"/>
          <w:highlight w:val="none"/>
        </w:rPr>
        <w:t>…………………………………………………………………………………（页码）</w:t>
      </w:r>
      <w:r>
        <w:rPr>
          <w:rFonts w:hint="eastAsia" w:ascii="宋体" w:hAnsi="宋体" w:cs="宋体"/>
          <w:color w:val="auto"/>
          <w:sz w:val="24"/>
          <w:highlight w:val="none"/>
        </w:rPr>
        <w:t>（3）授权委托书或法定代表人（单位负责人、自然人本人）身份证明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）商务服务偏离表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pPr>
        <w:pStyle w:val="9"/>
        <w:rPr>
          <w:color w:val="auto"/>
          <w:highlight w:val="none"/>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tabs>
          <w:tab w:val="left" w:pos="432"/>
        </w:tabs>
        <w:rPr>
          <w:color w:val="auto"/>
          <w:highlight w:val="none"/>
        </w:rPr>
      </w:pPr>
    </w:p>
    <w:p>
      <w:pPr>
        <w:rPr>
          <w:color w:val="auto"/>
          <w:highlight w:val="none"/>
        </w:rPr>
      </w:pPr>
    </w:p>
    <w:p>
      <w:pPr>
        <w:snapToGrid w:val="0"/>
        <w:spacing w:line="360" w:lineRule="auto"/>
        <w:ind w:firstLine="3855" w:firstLineChars="1200"/>
        <w:rPr>
          <w:rFonts w:ascii="宋体" w:hAnsi="宋体" w:cs="宋体"/>
          <w:b/>
          <w:color w:val="auto"/>
          <w:kern w:val="0"/>
          <w:sz w:val="32"/>
          <w:szCs w:val="32"/>
          <w:highlight w:val="none"/>
        </w:rPr>
      </w:pPr>
    </w:p>
    <w:p>
      <w:pPr>
        <w:snapToGrid w:val="0"/>
        <w:spacing w:line="360" w:lineRule="auto"/>
        <w:ind w:firstLine="3855" w:firstLineChars="1200"/>
        <w:rPr>
          <w:rFonts w:ascii="宋体" w:hAnsi="宋体" w:cs="宋体"/>
          <w:b/>
          <w:color w:val="auto"/>
          <w:kern w:val="0"/>
          <w:sz w:val="32"/>
          <w:szCs w:val="32"/>
          <w:highlight w:val="none"/>
        </w:rPr>
      </w:pPr>
    </w:p>
    <w:p>
      <w:pPr>
        <w:snapToGrid w:val="0"/>
        <w:spacing w:line="360" w:lineRule="auto"/>
        <w:ind w:firstLine="3855" w:firstLineChars="120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numPr>
          <w:ilvl w:val="0"/>
          <w:numId w:val="5"/>
        </w:numP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自评分</w:t>
      </w:r>
    </w:p>
    <w:tbl>
      <w:tblPr>
        <w:tblStyle w:val="63"/>
        <w:tblW w:w="4998" w:type="pct"/>
        <w:tblInd w:w="0" w:type="dxa"/>
        <w:tblLayout w:type="autofit"/>
        <w:tblCellMar>
          <w:top w:w="0" w:type="dxa"/>
          <w:left w:w="108" w:type="dxa"/>
          <w:bottom w:w="0" w:type="dxa"/>
          <w:right w:w="108" w:type="dxa"/>
        </w:tblCellMar>
      </w:tblPr>
      <w:tblGrid>
        <w:gridCol w:w="620"/>
        <w:gridCol w:w="5884"/>
        <w:gridCol w:w="1389"/>
        <w:gridCol w:w="1389"/>
      </w:tblGrid>
      <w:tr>
        <w:tblPrEx>
          <w:tblCellMar>
            <w:top w:w="0" w:type="dxa"/>
            <w:left w:w="108" w:type="dxa"/>
            <w:bottom w:w="0" w:type="dxa"/>
            <w:right w:w="108" w:type="dxa"/>
          </w:tblCellMar>
        </w:tblPrEx>
        <w:trPr>
          <w:trHeight w:val="596" w:hRule="atLeast"/>
        </w:trPr>
        <w:tc>
          <w:tcPr>
            <w:tcW w:w="3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16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评审内容</w:t>
            </w:r>
          </w:p>
        </w:tc>
        <w:tc>
          <w:tcPr>
            <w:tcW w:w="7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自评分分值</w:t>
            </w:r>
          </w:p>
        </w:tc>
        <w:tc>
          <w:tcPr>
            <w:tcW w:w="7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证明文件</w:t>
            </w:r>
          </w:p>
        </w:tc>
      </w:tr>
      <w:tr>
        <w:tblPrEx>
          <w:tblCellMar>
            <w:top w:w="0" w:type="dxa"/>
            <w:left w:w="108" w:type="dxa"/>
            <w:bottom w:w="0" w:type="dxa"/>
            <w:right w:w="108" w:type="dxa"/>
          </w:tblCellMar>
        </w:tblPrEx>
        <w:trPr>
          <w:trHeight w:val="593" w:hRule="atLeast"/>
        </w:trPr>
        <w:tc>
          <w:tcPr>
            <w:tcW w:w="334" w:type="pc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168" w:type="pct"/>
            <w:tcBorders>
              <w:top w:val="nil"/>
              <w:left w:val="single" w:color="auto" w:sz="4" w:space="0"/>
              <w:bottom w:val="single" w:color="auto" w:sz="4" w:space="0"/>
              <w:right w:val="single" w:color="auto" w:sz="4" w:space="0"/>
            </w:tcBorders>
            <w:vAlign w:val="center"/>
          </w:tcPr>
          <w:p>
            <w:pPr>
              <w:spacing w:line="300" w:lineRule="exact"/>
              <w:rPr>
                <w:rFonts w:ascii="宋体" w:hAnsi="宋体" w:cs="宋体"/>
                <w:color w:val="auto"/>
                <w:sz w:val="24"/>
                <w:highlight w:val="none"/>
              </w:rPr>
            </w:pPr>
          </w:p>
        </w:tc>
        <w:tc>
          <w:tcPr>
            <w:tcW w:w="748" w:type="pct"/>
            <w:tcBorders>
              <w:top w:val="nil"/>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748" w:type="pct"/>
            <w:tcBorders>
              <w:top w:val="nil"/>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见（  ）页</w:t>
            </w:r>
          </w:p>
        </w:tc>
      </w:tr>
      <w:tr>
        <w:tblPrEx>
          <w:tblCellMar>
            <w:top w:w="0" w:type="dxa"/>
            <w:left w:w="108" w:type="dxa"/>
            <w:bottom w:w="0" w:type="dxa"/>
            <w:right w:w="108" w:type="dxa"/>
          </w:tblCellMar>
        </w:tblPrEx>
        <w:trPr>
          <w:trHeight w:val="613" w:hRule="atLeast"/>
        </w:trPr>
        <w:tc>
          <w:tcPr>
            <w:tcW w:w="334" w:type="pc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3168" w:type="pct"/>
            <w:tcBorders>
              <w:top w:val="nil"/>
              <w:left w:val="single" w:color="auto" w:sz="4" w:space="0"/>
              <w:bottom w:val="single" w:color="auto" w:sz="4" w:space="0"/>
              <w:right w:val="single" w:color="auto" w:sz="4" w:space="0"/>
            </w:tcBorders>
            <w:vAlign w:val="center"/>
          </w:tcPr>
          <w:p>
            <w:pPr>
              <w:spacing w:line="300" w:lineRule="exact"/>
              <w:rPr>
                <w:rFonts w:ascii="宋体" w:hAnsi="宋体" w:cs="宋体"/>
                <w:color w:val="auto"/>
                <w:sz w:val="24"/>
                <w:highlight w:val="none"/>
              </w:rPr>
            </w:pPr>
          </w:p>
        </w:tc>
        <w:tc>
          <w:tcPr>
            <w:tcW w:w="748" w:type="pct"/>
            <w:tcBorders>
              <w:top w:val="nil"/>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748" w:type="pct"/>
            <w:tcBorders>
              <w:top w:val="nil"/>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见（  ）页</w:t>
            </w:r>
          </w:p>
        </w:tc>
      </w:tr>
      <w:tr>
        <w:tblPrEx>
          <w:tblCellMar>
            <w:top w:w="0" w:type="dxa"/>
            <w:left w:w="108" w:type="dxa"/>
            <w:bottom w:w="0" w:type="dxa"/>
            <w:right w:w="108" w:type="dxa"/>
          </w:tblCellMar>
        </w:tblPrEx>
        <w:trPr>
          <w:trHeight w:val="520" w:hRule="atLeast"/>
        </w:trPr>
        <w:tc>
          <w:tcPr>
            <w:tcW w:w="334" w:type="pc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168" w:type="pct"/>
            <w:tcBorders>
              <w:top w:val="nil"/>
              <w:left w:val="single" w:color="auto" w:sz="4" w:space="0"/>
              <w:bottom w:val="single" w:color="auto" w:sz="4" w:space="0"/>
              <w:right w:val="single" w:color="auto" w:sz="4" w:space="0"/>
            </w:tcBorders>
            <w:vAlign w:val="center"/>
          </w:tcPr>
          <w:p>
            <w:pPr>
              <w:spacing w:line="300" w:lineRule="exact"/>
              <w:rPr>
                <w:rFonts w:ascii="宋体" w:hAnsi="宋体" w:cs="宋体"/>
                <w:color w:val="auto"/>
                <w:sz w:val="24"/>
                <w:highlight w:val="none"/>
              </w:rPr>
            </w:pPr>
          </w:p>
        </w:tc>
        <w:tc>
          <w:tcPr>
            <w:tcW w:w="748" w:type="pct"/>
            <w:tcBorders>
              <w:top w:val="nil"/>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748" w:type="pct"/>
            <w:tcBorders>
              <w:top w:val="nil"/>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见（  ）页</w:t>
            </w:r>
          </w:p>
        </w:tc>
      </w:tr>
      <w:tr>
        <w:tblPrEx>
          <w:tblCellMar>
            <w:top w:w="0" w:type="dxa"/>
            <w:left w:w="108" w:type="dxa"/>
            <w:bottom w:w="0" w:type="dxa"/>
            <w:right w:w="108" w:type="dxa"/>
          </w:tblCellMar>
        </w:tblPrEx>
        <w:trPr>
          <w:trHeight w:val="531" w:hRule="atLeast"/>
        </w:trPr>
        <w:tc>
          <w:tcPr>
            <w:tcW w:w="334" w:type="pc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3168" w:type="pct"/>
            <w:tcBorders>
              <w:top w:val="nil"/>
              <w:left w:val="single" w:color="auto" w:sz="4" w:space="0"/>
              <w:bottom w:val="single" w:color="auto" w:sz="4" w:space="0"/>
              <w:right w:val="single" w:color="auto" w:sz="4" w:space="0"/>
            </w:tcBorders>
            <w:vAlign w:val="center"/>
          </w:tcPr>
          <w:p>
            <w:pPr>
              <w:spacing w:line="300" w:lineRule="exact"/>
              <w:rPr>
                <w:rFonts w:ascii="宋体" w:hAnsi="宋体" w:cs="宋体"/>
                <w:color w:val="auto"/>
                <w:sz w:val="24"/>
                <w:highlight w:val="none"/>
              </w:rPr>
            </w:pPr>
          </w:p>
        </w:tc>
        <w:tc>
          <w:tcPr>
            <w:tcW w:w="748" w:type="pct"/>
            <w:tcBorders>
              <w:top w:val="nil"/>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748" w:type="pct"/>
            <w:tcBorders>
              <w:top w:val="nil"/>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见（  ）页</w:t>
            </w:r>
          </w:p>
        </w:tc>
      </w:tr>
      <w:tr>
        <w:tblPrEx>
          <w:tblCellMar>
            <w:top w:w="0" w:type="dxa"/>
            <w:left w:w="108" w:type="dxa"/>
            <w:bottom w:w="0" w:type="dxa"/>
            <w:right w:w="108" w:type="dxa"/>
          </w:tblCellMar>
        </w:tblPrEx>
        <w:trPr>
          <w:trHeight w:val="607" w:hRule="atLeast"/>
        </w:trPr>
        <w:tc>
          <w:tcPr>
            <w:tcW w:w="3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3168"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auto"/>
                <w:sz w:val="24"/>
                <w:highlight w:val="none"/>
              </w:rPr>
            </w:pPr>
          </w:p>
        </w:tc>
        <w:tc>
          <w:tcPr>
            <w:tcW w:w="7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7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见（  ）页</w:t>
            </w:r>
          </w:p>
        </w:tc>
      </w:tr>
      <w:tr>
        <w:tblPrEx>
          <w:tblCellMar>
            <w:top w:w="0" w:type="dxa"/>
            <w:left w:w="108" w:type="dxa"/>
            <w:bottom w:w="0" w:type="dxa"/>
            <w:right w:w="108" w:type="dxa"/>
          </w:tblCellMar>
        </w:tblPrEx>
        <w:trPr>
          <w:trHeight w:val="615" w:hRule="atLeast"/>
        </w:trPr>
        <w:tc>
          <w:tcPr>
            <w:tcW w:w="3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3168"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auto"/>
                <w:sz w:val="24"/>
                <w:highlight w:val="none"/>
              </w:rPr>
            </w:pPr>
          </w:p>
        </w:tc>
        <w:tc>
          <w:tcPr>
            <w:tcW w:w="7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7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见（  ）页</w:t>
            </w:r>
          </w:p>
        </w:tc>
      </w:tr>
      <w:tr>
        <w:tblPrEx>
          <w:tblCellMar>
            <w:top w:w="0" w:type="dxa"/>
            <w:left w:w="108" w:type="dxa"/>
            <w:bottom w:w="0" w:type="dxa"/>
            <w:right w:w="108" w:type="dxa"/>
          </w:tblCellMar>
        </w:tblPrEx>
        <w:trPr>
          <w:trHeight w:val="615" w:hRule="atLeast"/>
        </w:trPr>
        <w:tc>
          <w:tcPr>
            <w:tcW w:w="3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3168"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auto"/>
                <w:sz w:val="24"/>
                <w:highlight w:val="none"/>
              </w:rPr>
            </w:pPr>
          </w:p>
        </w:tc>
        <w:tc>
          <w:tcPr>
            <w:tcW w:w="7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7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见（  ）页</w:t>
            </w:r>
          </w:p>
        </w:tc>
      </w:tr>
      <w:tr>
        <w:trPr>
          <w:trHeight w:val="615" w:hRule="atLeast"/>
        </w:trPr>
        <w:tc>
          <w:tcPr>
            <w:tcW w:w="3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3168"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auto"/>
                <w:sz w:val="24"/>
                <w:highlight w:val="none"/>
              </w:rPr>
            </w:pPr>
          </w:p>
        </w:tc>
        <w:tc>
          <w:tcPr>
            <w:tcW w:w="7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7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见（  ）页</w:t>
            </w:r>
          </w:p>
        </w:tc>
      </w:tr>
    </w:tbl>
    <w:p>
      <w:pPr>
        <w:pStyle w:val="9"/>
        <w:ind w:left="0" w:firstLine="0"/>
        <w:rPr>
          <w:color w:val="auto"/>
          <w:highlight w:val="none"/>
          <w:lang w:val="en-US"/>
        </w:rPr>
      </w:pPr>
    </w:p>
    <w:p>
      <w:pPr>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pStyle w:val="80"/>
        <w:rPr>
          <w:color w:val="auto"/>
          <w:highlight w:val="none"/>
        </w:rPr>
      </w:pPr>
    </w:p>
    <w:p>
      <w:pPr>
        <w:snapToGrid w:val="0"/>
        <w:spacing w:line="360" w:lineRule="auto"/>
        <w:ind w:firstLine="3855" w:firstLineChars="1200"/>
        <w:rPr>
          <w:rFonts w:ascii="宋体" w:hAnsi="宋体" w:cs="宋体"/>
          <w:b/>
          <w:color w:val="auto"/>
          <w:kern w:val="0"/>
          <w:sz w:val="32"/>
          <w:szCs w:val="32"/>
          <w:highlight w:val="none"/>
        </w:rPr>
      </w:pPr>
    </w:p>
    <w:p>
      <w:pPr>
        <w:snapToGrid w:val="0"/>
        <w:spacing w:line="360" w:lineRule="auto"/>
        <w:rPr>
          <w:rFonts w:ascii="宋体" w:hAnsi="宋体" w:cs="宋体"/>
          <w:b/>
          <w:color w:val="auto"/>
          <w:kern w:val="0"/>
          <w:sz w:val="32"/>
          <w:szCs w:val="32"/>
          <w:highlight w:val="none"/>
        </w:rPr>
      </w:pPr>
    </w:p>
    <w:p>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二、投标</w:t>
      </w:r>
      <w:r>
        <w:rPr>
          <w:rFonts w:hint="eastAsia" w:ascii="宋体" w:hAnsi="宋体" w:cs="宋体"/>
          <w:b/>
          <w:color w:val="auto"/>
          <w:sz w:val="32"/>
          <w:szCs w:val="32"/>
          <w:highlight w:val="none"/>
        </w:rPr>
        <w:t>函</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宁波市临床病理诊断中心精准医学检测外包服务采购项目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CBNB-20241094G</w:t>
      </w:r>
      <w:r>
        <w:rPr>
          <w:rFonts w:hint="eastAsia" w:ascii="宋体" w:hAnsi="宋体" w:cs="宋体"/>
          <w:color w:val="auto"/>
          <w:sz w:val="24"/>
          <w:highlight w:val="none"/>
        </w:rPr>
        <w:t>）招标的有关活动，并对此项目进行投标。为此：</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12"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4.5</w:t>
      </w:r>
      <w:r>
        <w:rPr>
          <w:rFonts w:hint="eastAsia" w:cs="宋体" w:asciiTheme="minorEastAsia" w:hAnsiTheme="minorEastAsia" w:eastAsiaTheme="minorEastAsia"/>
          <w:color w:val="auto"/>
          <w:sz w:val="24"/>
          <w:highlight w:val="none"/>
        </w:rPr>
        <w:t>按照招标文件的规定，在中标后向采购代理机构一次性支付招标代理服务费。</w:t>
      </w:r>
      <w:r>
        <w:rPr>
          <w:rFonts w:hint="eastAsia" w:ascii="宋体" w:hAnsi="宋体" w:cs="宋体"/>
          <w:color w:val="auto"/>
          <w:sz w:val="24"/>
          <w:highlight w:val="none"/>
        </w:rPr>
        <w:t xml:space="preserve"> </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12"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12"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widowControl/>
        <w:adjustRightInd/>
        <w:jc w:val="left"/>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宁波市临床病理诊断中心精准医学检测外包服务采购项目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CBNB-20241094G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9207" w:type="dxa"/>
          </w:tcPr>
          <w:p>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440"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102"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4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2"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4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2"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4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2"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、商务服务偏离表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注：根据招标文件《第三部分   采购需求》“一、商务要求一览表”及“二、项目要求”进行响应并如实填写。</w:t>
      </w:r>
    </w:p>
    <w:p>
      <w:pPr>
        <w:jc w:val="center"/>
        <w:rPr>
          <w:rFonts w:ascii="宋体" w:hAnsi="宋体" w:cs="宋体"/>
          <w:b/>
          <w:color w:val="auto"/>
          <w:kern w:val="0"/>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pPr>
    </w:p>
    <w:p>
      <w:pPr>
        <w:pStyle w:val="9"/>
        <w:rPr>
          <w:rFonts w:ascii="宋体" w:hAnsi="宋体" w:cs="宋体"/>
          <w:color w:val="auto"/>
          <w:sz w:val="24"/>
          <w:highlight w:val="none"/>
        </w:rPr>
      </w:pPr>
    </w:p>
    <w:p>
      <w:pPr>
        <w:rPr>
          <w:rFonts w:ascii="宋体" w:hAnsi="宋体" w:cs="宋体"/>
          <w:b/>
          <w:bCs/>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、评标标准相应的商务技术资料</w:t>
      </w:r>
    </w:p>
    <w:p>
      <w:pPr>
        <w:rPr>
          <w:rFonts w:ascii="宋体" w:hAnsi="宋体" w:cs="宋体"/>
          <w:b/>
          <w:bCs/>
          <w:color w:val="auto"/>
          <w:sz w:val="32"/>
          <w:szCs w:val="32"/>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ind w:firstLine="1911" w:firstLineChars="595"/>
        <w:rPr>
          <w:rFonts w:ascii="宋体" w:hAnsi="宋体" w:cs="宋体"/>
          <w:b/>
          <w:bCs/>
          <w:color w:val="auto"/>
          <w:sz w:val="32"/>
          <w:szCs w:val="32"/>
          <w:highlight w:val="none"/>
        </w:rPr>
      </w:pPr>
    </w:p>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项目实施方案</w:t>
      </w:r>
      <w:r>
        <w:rPr>
          <w:rFonts w:hint="eastAsia" w:ascii="宋体" w:hAnsi="宋体" w:cs="宋体"/>
          <w:b/>
          <w:bCs/>
          <w:color w:val="auto"/>
          <w:sz w:val="24"/>
          <w:highlight w:val="none"/>
          <w:lang w:val="zh-CN"/>
        </w:rPr>
        <w:t xml:space="preserve">； </w:t>
      </w:r>
    </w:p>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zh-CN"/>
        </w:rPr>
        <w:t>-2）</w:t>
      </w:r>
      <w:r>
        <w:rPr>
          <w:rFonts w:hint="eastAsia" w:ascii="宋体" w:hAnsi="宋体" w:cs="宋体"/>
          <w:b/>
          <w:bCs/>
          <w:color w:val="auto"/>
          <w:sz w:val="24"/>
          <w:highlight w:val="none"/>
        </w:rPr>
        <w:t>数据对接方案</w:t>
      </w:r>
      <w:r>
        <w:rPr>
          <w:rFonts w:hint="eastAsia" w:ascii="宋体" w:hAnsi="宋体" w:cs="宋体"/>
          <w:b/>
          <w:bCs/>
          <w:color w:val="auto"/>
          <w:sz w:val="24"/>
          <w:highlight w:val="none"/>
          <w:lang w:val="zh-CN"/>
        </w:rPr>
        <w:t>；</w:t>
      </w:r>
    </w:p>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zh-CN"/>
        </w:rPr>
        <w:t>-3）扫描件加盖投标人公章（</w:t>
      </w:r>
      <w:r>
        <w:rPr>
          <w:rFonts w:hint="eastAsia" w:ascii="宋体" w:hAnsi="宋体" w:cs="宋体"/>
          <w:b/>
          <w:bCs/>
          <w:color w:val="auto"/>
          <w:sz w:val="24"/>
          <w:highlight w:val="none"/>
        </w:rPr>
        <w:t>如有请提供</w:t>
      </w:r>
      <w:r>
        <w:rPr>
          <w:rFonts w:hint="eastAsia" w:ascii="宋体" w:hAnsi="宋体" w:cs="宋体"/>
          <w:b/>
          <w:bCs/>
          <w:color w:val="auto"/>
          <w:sz w:val="24"/>
          <w:highlight w:val="none"/>
          <w:lang w:val="zh-CN"/>
        </w:rPr>
        <w:t>）；</w:t>
      </w:r>
    </w:p>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zh-CN"/>
        </w:rPr>
        <w:t>-4）实验室仪器</w:t>
      </w:r>
      <w:r>
        <w:rPr>
          <w:rFonts w:hint="eastAsia" w:ascii="宋体" w:hAnsi="宋体" w:cs="宋体"/>
          <w:b/>
          <w:bCs/>
          <w:color w:val="auto"/>
          <w:sz w:val="24"/>
          <w:highlight w:val="none"/>
        </w:rPr>
        <w:t>清单、设备购置发票扫描件、海关进口货物报关单扫描件（如为进口设备请提供）</w:t>
      </w:r>
      <w:r>
        <w:rPr>
          <w:rFonts w:hint="eastAsia" w:ascii="宋体" w:hAnsi="宋体" w:cs="宋体"/>
          <w:b/>
          <w:bCs/>
          <w:color w:val="auto"/>
          <w:sz w:val="24"/>
          <w:highlight w:val="none"/>
          <w:lang w:val="zh-CN"/>
        </w:rPr>
        <w:t>加盖投标人公章（</w:t>
      </w:r>
      <w:r>
        <w:rPr>
          <w:rFonts w:hint="eastAsia" w:ascii="宋体" w:hAnsi="宋体" w:cs="宋体"/>
          <w:b/>
          <w:bCs/>
          <w:color w:val="auto"/>
          <w:sz w:val="24"/>
          <w:highlight w:val="none"/>
        </w:rPr>
        <w:t>如有请提供</w:t>
      </w:r>
      <w:r>
        <w:rPr>
          <w:rFonts w:hint="eastAsia" w:ascii="宋体" w:hAnsi="宋体" w:cs="宋体"/>
          <w:b/>
          <w:bCs/>
          <w:color w:val="auto"/>
          <w:sz w:val="24"/>
          <w:highlight w:val="none"/>
          <w:lang w:val="zh-CN"/>
        </w:rPr>
        <w:t>）；</w:t>
      </w:r>
    </w:p>
    <w:p>
      <w:pPr>
        <w:pStyle w:val="9"/>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实验室仪器清单</w:t>
      </w:r>
    </w:p>
    <w:tbl>
      <w:tblPr>
        <w:tblStyle w:val="63"/>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849"/>
        <w:gridCol w:w="1384"/>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仪器名称</w:t>
            </w:r>
          </w:p>
        </w:tc>
        <w:tc>
          <w:tcPr>
            <w:tcW w:w="1849"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品牌及规格</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是否进口</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购置时间</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购置金额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bl>
    <w:p>
      <w:pPr>
        <w:snapToGrid w:val="0"/>
        <w:spacing w:line="348" w:lineRule="auto"/>
        <w:ind w:firstLine="422" w:firstLineChars="200"/>
        <w:rPr>
          <w:rFonts w:ascii="宋体" w:hAnsi="宋体" w:cs="宋体"/>
          <w:b/>
          <w:bCs/>
          <w:color w:val="auto"/>
          <w:sz w:val="24"/>
          <w:highlight w:val="none"/>
          <w:lang w:val="zh-CN"/>
        </w:rPr>
      </w:pPr>
      <w:r>
        <w:rPr>
          <w:rFonts w:hint="eastAsia" w:ascii="宋体" w:hAnsi="宋体" w:cs="宋体"/>
          <w:b/>
          <w:bCs/>
          <w:color w:val="auto"/>
          <w:szCs w:val="21"/>
          <w:highlight w:val="none"/>
        </w:rPr>
        <w:t>备注：投标文件中提供以下资料：①设备清单（名称、数量、品牌）、②投标人设备购置发票扫描件；如为进口设备，在提供①②资料的基础上，提供海关进口货物报关单扫描件加盖公章。</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napToGrid w:val="0"/>
        <w:spacing w:line="348" w:lineRule="auto"/>
        <w:ind w:firstLine="482" w:firstLineChars="200"/>
        <w:rPr>
          <w:rFonts w:ascii="宋体" w:hAnsi="宋体" w:cs="宋体"/>
          <w:b/>
          <w:bCs/>
          <w:color w:val="auto"/>
          <w:sz w:val="24"/>
          <w:highlight w:val="none"/>
          <w:lang w:val="zh-CN"/>
        </w:rPr>
      </w:pPr>
    </w:p>
    <w:p>
      <w:pPr>
        <w:pStyle w:val="9"/>
        <w:rPr>
          <w:rFonts w:ascii="宋体" w:hAnsi="宋体" w:cs="宋体"/>
          <w:color w:val="auto"/>
          <w:sz w:val="24"/>
          <w:highlight w:val="none"/>
        </w:rPr>
      </w:pPr>
    </w:p>
    <w:p>
      <w:pPr>
        <w:rPr>
          <w:rFonts w:ascii="宋体" w:hAnsi="宋体" w:cs="宋体"/>
          <w:b/>
          <w:bCs/>
          <w:color w:val="auto"/>
          <w:sz w:val="24"/>
          <w:highlight w:val="none"/>
          <w:lang w:val="zh-CN"/>
        </w:rPr>
      </w:pPr>
    </w:p>
    <w:p>
      <w:pPr>
        <w:pStyle w:val="9"/>
        <w:rPr>
          <w:rFonts w:ascii="宋体" w:hAnsi="宋体" w:cs="宋体"/>
          <w:color w:val="auto"/>
          <w:sz w:val="24"/>
          <w:highlight w:val="none"/>
        </w:rPr>
      </w:pPr>
    </w:p>
    <w:p>
      <w:pPr>
        <w:rPr>
          <w:rFonts w:ascii="宋体" w:hAnsi="宋体" w:cs="宋体"/>
          <w:b/>
          <w:bCs/>
          <w:color w:val="auto"/>
          <w:sz w:val="24"/>
          <w:highlight w:val="none"/>
          <w:lang w:val="zh-CN"/>
        </w:rPr>
      </w:pPr>
    </w:p>
    <w:p>
      <w:pPr>
        <w:rPr>
          <w:color w:val="auto"/>
          <w:highlight w:val="none"/>
          <w:lang w:val="zh-CN"/>
        </w:rPr>
      </w:pPr>
    </w:p>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w:t>
      </w:r>
      <w:r>
        <w:rPr>
          <w:rFonts w:hint="eastAsia" w:ascii="宋体" w:hAnsi="宋体" w:cs="宋体"/>
          <w:b/>
          <w:bCs/>
          <w:color w:val="auto"/>
          <w:sz w:val="24"/>
          <w:highlight w:val="none"/>
          <w:lang w:val="zh-CN"/>
        </w:rPr>
        <w:t>5）实验室技术团队</w:t>
      </w:r>
      <w:r>
        <w:rPr>
          <w:rFonts w:hint="eastAsia" w:ascii="宋体" w:hAnsi="宋体" w:cs="宋体"/>
          <w:b/>
          <w:bCs/>
          <w:color w:val="auto"/>
          <w:sz w:val="24"/>
          <w:highlight w:val="none"/>
        </w:rPr>
        <w:t>一览表及相关证明材料扫描件加盖公章（如有请提供）</w:t>
      </w:r>
      <w:r>
        <w:rPr>
          <w:rFonts w:hint="eastAsia" w:ascii="宋体" w:hAnsi="宋体" w:cs="宋体"/>
          <w:b/>
          <w:bCs/>
          <w:color w:val="auto"/>
          <w:sz w:val="24"/>
          <w:highlight w:val="none"/>
          <w:lang w:val="zh-CN"/>
        </w:rPr>
        <w:t>；</w:t>
      </w:r>
    </w:p>
    <w:p>
      <w:pPr>
        <w:pStyle w:val="9"/>
        <w:jc w:val="center"/>
        <w:rPr>
          <w:rFonts w:ascii="宋体" w:hAnsi="宋体" w:eastAsia="宋体" w:cs="宋体"/>
          <w:color w:val="auto"/>
          <w:sz w:val="24"/>
          <w:szCs w:val="24"/>
          <w:highlight w:val="none"/>
          <w:lang w:val="en-US"/>
        </w:rPr>
      </w:pPr>
      <w:r>
        <w:rPr>
          <w:rFonts w:ascii="宋体" w:hAnsi="宋体" w:eastAsia="宋体" w:cs="宋体"/>
          <w:color w:val="auto"/>
          <w:sz w:val="24"/>
          <w:szCs w:val="24"/>
          <w:highlight w:val="none"/>
          <w:lang w:val="en-US"/>
        </w:rPr>
        <w:t>实验室技术团队一览表</w:t>
      </w:r>
    </w:p>
    <w:tbl>
      <w:tblPr>
        <w:tblStyle w:val="63"/>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305"/>
        <w:gridCol w:w="1928"/>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305"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职称/上岗证书</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学位</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入职时间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bl>
    <w:p>
      <w:pPr>
        <w:snapToGrid w:val="0"/>
        <w:spacing w:line="348" w:lineRule="auto"/>
        <w:ind w:firstLine="422" w:firstLineChars="200"/>
        <w:rPr>
          <w:rFonts w:ascii="宋体" w:hAnsi="宋体" w:cs="宋体"/>
          <w:b/>
          <w:bCs/>
          <w:color w:val="auto"/>
          <w:sz w:val="24"/>
          <w:highlight w:val="none"/>
          <w:lang w:val="zh-CN"/>
        </w:rPr>
      </w:pPr>
      <w:r>
        <w:rPr>
          <w:rFonts w:ascii="宋体" w:hAnsi="宋体" w:cs="宋体"/>
          <w:b/>
          <w:bCs/>
          <w:color w:val="auto"/>
          <w:szCs w:val="21"/>
          <w:highlight w:val="none"/>
        </w:rPr>
        <w:t>备注：投标文件中提供以下资料：①</w:t>
      </w:r>
      <w:r>
        <w:rPr>
          <w:rFonts w:hint="eastAsia" w:ascii="宋体" w:hAnsi="宋体" w:cs="宋体"/>
          <w:b/>
          <w:bCs/>
          <w:color w:val="auto"/>
          <w:szCs w:val="21"/>
          <w:highlight w:val="none"/>
        </w:rPr>
        <w:t>人员相关职称、上岗证或学位证书扫描件</w:t>
      </w:r>
      <w:r>
        <w:rPr>
          <w:rFonts w:ascii="宋体" w:hAnsi="宋体" w:cs="宋体"/>
          <w:b/>
          <w:bCs/>
          <w:color w:val="auto"/>
          <w:szCs w:val="21"/>
          <w:highlight w:val="none"/>
        </w:rPr>
        <w:t>、②</w:t>
      </w:r>
      <w:r>
        <w:rPr>
          <w:rFonts w:hint="eastAsia" w:ascii="宋体" w:hAnsi="宋体" w:cs="宋体"/>
          <w:b/>
          <w:bCs/>
          <w:color w:val="auto"/>
          <w:szCs w:val="21"/>
          <w:highlight w:val="none"/>
        </w:rPr>
        <w:t>社保部门出具的上述人员近开标日前三个月任意</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个月的有效社保证明</w:t>
      </w:r>
      <w:r>
        <w:rPr>
          <w:rFonts w:ascii="宋体" w:hAnsi="宋体" w:cs="宋体"/>
          <w:b/>
          <w:bCs/>
          <w:color w:val="auto"/>
          <w:szCs w:val="21"/>
          <w:highlight w:val="none"/>
        </w:rPr>
        <w:t>扫描件加盖公章。</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b/>
          <w:bCs/>
          <w:color w:val="auto"/>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6</w:t>
      </w:r>
      <w:r>
        <w:rPr>
          <w:rFonts w:hint="eastAsia" w:ascii="宋体" w:hAnsi="宋体" w:cs="宋体"/>
          <w:b/>
          <w:bCs/>
          <w:color w:val="auto"/>
          <w:sz w:val="24"/>
          <w:highlight w:val="none"/>
          <w:lang w:val="zh-CN"/>
        </w:rPr>
        <w:t>）科研成果</w:t>
      </w:r>
      <w:r>
        <w:rPr>
          <w:rFonts w:hint="eastAsia" w:ascii="宋体" w:hAnsi="宋体" w:cs="宋体"/>
          <w:b/>
          <w:bCs/>
          <w:color w:val="auto"/>
          <w:sz w:val="24"/>
          <w:highlight w:val="none"/>
        </w:rPr>
        <w:t>一览表及相关证明材料扫描件加盖公章（如有请提供）</w:t>
      </w:r>
      <w:r>
        <w:rPr>
          <w:rFonts w:hint="eastAsia" w:ascii="宋体" w:hAnsi="宋体" w:cs="宋体"/>
          <w:b/>
          <w:bCs/>
          <w:color w:val="auto"/>
          <w:sz w:val="24"/>
          <w:highlight w:val="none"/>
          <w:lang w:val="zh-CN"/>
        </w:rPr>
        <w:t>；</w:t>
      </w:r>
    </w:p>
    <w:p>
      <w:pPr>
        <w:pStyle w:val="9"/>
        <w:jc w:val="center"/>
        <w:rPr>
          <w:rFonts w:ascii="宋体" w:hAnsi="宋体" w:eastAsia="宋体" w:cs="宋体"/>
          <w:color w:val="auto"/>
          <w:sz w:val="24"/>
          <w:szCs w:val="24"/>
          <w:highlight w:val="none"/>
          <w:lang w:val="en-US"/>
        </w:rPr>
      </w:pPr>
      <w:r>
        <w:rPr>
          <w:rFonts w:ascii="宋体" w:hAnsi="宋体" w:eastAsia="宋体" w:cs="宋体"/>
          <w:color w:val="auto"/>
          <w:sz w:val="24"/>
          <w:szCs w:val="24"/>
          <w:highlight w:val="none"/>
          <w:lang w:val="en-US"/>
        </w:rPr>
        <w:t>科研成果一览表</w:t>
      </w:r>
    </w:p>
    <w:tbl>
      <w:tblPr>
        <w:tblStyle w:val="63"/>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305"/>
        <w:gridCol w:w="1928"/>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项目/论文名称</w:t>
            </w:r>
          </w:p>
        </w:tc>
        <w:tc>
          <w:tcPr>
            <w:tcW w:w="1305"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ascii="宋体" w:hAnsi="宋体" w:cs="宋体"/>
                <w:color w:val="auto"/>
                <w:kern w:val="0"/>
                <w:sz w:val="24"/>
                <w:highlight w:val="none"/>
              </w:rPr>
              <w:t>发布时间</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ascii="宋体" w:hAnsi="宋体" w:cs="宋体"/>
                <w:color w:val="auto"/>
                <w:kern w:val="0"/>
                <w:sz w:val="24"/>
                <w:highlight w:val="none"/>
              </w:rPr>
              <w:t>SCI影响因子分数</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ascii="宋体" w:hAnsi="宋体" w:cs="宋体"/>
                <w:color w:val="auto"/>
                <w:kern w:val="0"/>
                <w:sz w:val="24"/>
                <w:highlight w:val="none"/>
              </w:rPr>
              <w:t>查新报告</w:t>
            </w:r>
            <w:r>
              <w:rPr>
                <w:rFonts w:hint="eastAsia" w:ascii="宋体" w:hAnsi="宋体" w:cs="宋体"/>
                <w:color w:val="auto"/>
                <w:kern w:val="0"/>
                <w:sz w:val="24"/>
                <w:highlight w:val="none"/>
              </w:rPr>
              <w:t>页码</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bl>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备注：1）投标人的科研成果必须与本项目相关，否则不予认可。2）国外公开期刊上发表论文的署名须为投标人，否则不予认可。3）投标文件中提供以下资料：①国外公开期刊上发表论文扫描件加盖公章、②权威部门的查新报告（提供每篇论文件的首页单位标红的扫描件加盖公章）。资料不全或未加盖公章的，均不得分。</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pStyle w:val="9"/>
        <w:rPr>
          <w:rFonts w:ascii="宋体" w:hAnsi="宋体" w:cs="宋体"/>
          <w:color w:val="auto"/>
          <w:sz w:val="24"/>
          <w:highlight w:val="none"/>
        </w:rPr>
      </w:pPr>
    </w:p>
    <w:p>
      <w:pPr>
        <w:rPr>
          <w:rFonts w:ascii="宋体" w:hAnsi="宋体" w:cs="宋体"/>
          <w:b/>
          <w:bCs/>
          <w:color w:val="auto"/>
          <w:sz w:val="24"/>
          <w:highlight w:val="none"/>
          <w:lang w:val="zh-CN"/>
        </w:rPr>
      </w:pPr>
    </w:p>
    <w:p>
      <w:pPr>
        <w:pStyle w:val="9"/>
        <w:rPr>
          <w:rFonts w:ascii="宋体" w:hAnsi="宋体" w:cs="宋体"/>
          <w:color w:val="auto"/>
          <w:sz w:val="24"/>
          <w:highlight w:val="none"/>
        </w:rPr>
      </w:pPr>
    </w:p>
    <w:p>
      <w:pPr>
        <w:rPr>
          <w:rFonts w:ascii="宋体" w:hAnsi="宋体" w:cs="宋体"/>
          <w:b/>
          <w:bCs/>
          <w:color w:val="auto"/>
          <w:sz w:val="24"/>
          <w:highlight w:val="none"/>
          <w:lang w:val="zh-CN"/>
        </w:rPr>
      </w:pPr>
    </w:p>
    <w:p>
      <w:pPr>
        <w:pStyle w:val="9"/>
        <w:rPr>
          <w:rFonts w:ascii="宋体" w:hAnsi="宋体" w:cs="宋体"/>
          <w:color w:val="auto"/>
          <w:sz w:val="24"/>
          <w:highlight w:val="none"/>
        </w:rPr>
      </w:pPr>
    </w:p>
    <w:p>
      <w:pPr>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7</w:t>
      </w:r>
      <w:r>
        <w:rPr>
          <w:rFonts w:hint="eastAsia" w:ascii="宋体" w:hAnsi="宋体" w:cs="宋体"/>
          <w:b/>
          <w:bCs/>
          <w:color w:val="auto"/>
          <w:sz w:val="24"/>
          <w:highlight w:val="none"/>
          <w:lang w:val="zh-CN"/>
        </w:rPr>
        <w:t>）专利证书</w:t>
      </w:r>
      <w:r>
        <w:rPr>
          <w:rFonts w:hint="eastAsia" w:ascii="宋体" w:hAnsi="宋体" w:cs="宋体"/>
          <w:b/>
          <w:bCs/>
          <w:color w:val="auto"/>
          <w:sz w:val="24"/>
          <w:highlight w:val="none"/>
        </w:rPr>
        <w:t>一览表及相关证明材料扫描件加盖公章（如有请提供）；</w:t>
      </w:r>
    </w:p>
    <w:p>
      <w:pPr>
        <w:pStyle w:val="9"/>
        <w:jc w:val="center"/>
        <w:rPr>
          <w:rFonts w:ascii="宋体" w:hAnsi="宋体" w:eastAsia="宋体" w:cs="宋体"/>
          <w:color w:val="auto"/>
          <w:sz w:val="24"/>
          <w:szCs w:val="24"/>
          <w:highlight w:val="none"/>
          <w:lang w:val="en-US"/>
        </w:rPr>
      </w:pPr>
      <w:r>
        <w:rPr>
          <w:rFonts w:ascii="宋体" w:hAnsi="宋体" w:eastAsia="宋体" w:cs="宋体"/>
          <w:color w:val="auto"/>
          <w:sz w:val="24"/>
          <w:szCs w:val="24"/>
          <w:highlight w:val="none"/>
          <w:lang w:val="en-US"/>
        </w:rPr>
        <w:t>专利证书一览表</w:t>
      </w:r>
    </w:p>
    <w:tbl>
      <w:tblPr>
        <w:tblStyle w:val="63"/>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305"/>
        <w:gridCol w:w="1928"/>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证书名称</w:t>
            </w:r>
          </w:p>
        </w:tc>
        <w:tc>
          <w:tcPr>
            <w:tcW w:w="1305"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授权公告时间</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证书所有人</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相应页码</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bl>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备注：1）投标文件中提供以上证书扫描件加盖公章，未提供或未加盖公章的不得分。2）证书内容须与本项目有关。</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napToGrid w:val="0"/>
        <w:spacing w:line="348" w:lineRule="auto"/>
        <w:ind w:firstLine="480" w:firstLineChars="200"/>
        <w:jc w:val="center"/>
        <w:rPr>
          <w:rFonts w:ascii="宋体" w:hAnsi="宋体" w:cs="宋体"/>
          <w:b/>
          <w:bCs/>
          <w:color w:val="auto"/>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8</w:t>
      </w:r>
      <w:r>
        <w:rPr>
          <w:rFonts w:hint="eastAsia" w:ascii="宋体" w:hAnsi="宋体" w:cs="宋体"/>
          <w:b/>
          <w:bCs/>
          <w:color w:val="auto"/>
          <w:sz w:val="24"/>
          <w:highlight w:val="none"/>
          <w:lang w:val="zh-CN"/>
        </w:rPr>
        <w:t>）企业资质</w:t>
      </w:r>
      <w:r>
        <w:rPr>
          <w:rFonts w:hint="eastAsia" w:ascii="宋体" w:hAnsi="宋体" w:cs="宋体"/>
          <w:b/>
          <w:bCs/>
          <w:color w:val="auto"/>
          <w:sz w:val="24"/>
          <w:highlight w:val="none"/>
        </w:rPr>
        <w:t>证书扫描件加盖公章（如有请提供）；</w:t>
      </w: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-9</w:t>
      </w:r>
      <w:r>
        <w:rPr>
          <w:rFonts w:hint="eastAsia" w:ascii="宋体" w:hAnsi="宋体" w:cs="宋体"/>
          <w:b/>
          <w:bCs/>
          <w:color w:val="auto"/>
          <w:sz w:val="24"/>
          <w:highlight w:val="none"/>
          <w:lang w:val="zh-CN"/>
        </w:rPr>
        <w:t>）实验室室内质控</w:t>
      </w:r>
      <w:r>
        <w:rPr>
          <w:rFonts w:hint="eastAsia" w:ascii="宋体" w:hAnsi="宋体" w:cs="宋体"/>
          <w:b/>
          <w:bCs/>
          <w:color w:val="auto"/>
          <w:sz w:val="24"/>
          <w:highlight w:val="none"/>
        </w:rPr>
        <w:t>相关材料扫描件加盖公章（如有请提供）；</w:t>
      </w: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10</w:t>
      </w:r>
      <w:r>
        <w:rPr>
          <w:rFonts w:hint="eastAsia" w:ascii="宋体" w:hAnsi="宋体" w:cs="宋体"/>
          <w:b/>
          <w:bCs/>
          <w:color w:val="auto"/>
          <w:sz w:val="24"/>
          <w:highlight w:val="none"/>
          <w:lang w:val="zh-CN"/>
        </w:rPr>
        <w:t>）业绩一览表</w:t>
      </w:r>
      <w:r>
        <w:rPr>
          <w:rFonts w:hint="eastAsia" w:ascii="宋体" w:hAnsi="宋体" w:cs="宋体"/>
          <w:b/>
          <w:bCs/>
          <w:color w:val="auto"/>
          <w:sz w:val="24"/>
          <w:highlight w:val="none"/>
        </w:rPr>
        <w:t>及相关合同扫描件加盖公章（如有请提供）；</w:t>
      </w:r>
    </w:p>
    <w:p>
      <w:pPr>
        <w:pStyle w:val="9"/>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业绩</w:t>
      </w:r>
      <w:r>
        <w:rPr>
          <w:rFonts w:ascii="宋体" w:hAnsi="宋体" w:eastAsia="宋体" w:cs="宋体"/>
          <w:color w:val="auto"/>
          <w:sz w:val="24"/>
          <w:szCs w:val="24"/>
          <w:highlight w:val="none"/>
          <w:lang w:val="en-US"/>
        </w:rPr>
        <w:t>一览表</w:t>
      </w:r>
    </w:p>
    <w:tbl>
      <w:tblPr>
        <w:tblStyle w:val="63"/>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305"/>
        <w:gridCol w:w="1928"/>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合同名称</w:t>
            </w:r>
          </w:p>
        </w:tc>
        <w:tc>
          <w:tcPr>
            <w:tcW w:w="1305"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合同签订时间</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合同甲方</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甲方联系人及联系方式</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bl>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备注：投标文件中有效的业绩合同扫描件加盖公章，未提供或未加盖公章的不得分。</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napToGrid w:val="0"/>
        <w:spacing w:line="348" w:lineRule="auto"/>
        <w:ind w:firstLine="480" w:firstLineChars="200"/>
        <w:rPr>
          <w:rFonts w:ascii="宋体" w:hAnsi="宋体" w:cs="宋体"/>
          <w:b/>
          <w:bCs/>
          <w:color w:val="auto"/>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p>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11</w:t>
      </w:r>
      <w:r>
        <w:rPr>
          <w:rFonts w:hint="eastAsia" w:ascii="宋体" w:hAnsi="宋体" w:cs="宋体"/>
          <w:b/>
          <w:bCs/>
          <w:color w:val="auto"/>
          <w:sz w:val="24"/>
          <w:highlight w:val="none"/>
          <w:lang w:val="zh-CN"/>
        </w:rPr>
        <w:t>）特色服务承诺；</w:t>
      </w:r>
    </w:p>
    <w:p>
      <w:pPr>
        <w:pStyle w:val="9"/>
        <w:rPr>
          <w:color w:val="auto"/>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开标一览表（报价表）………………………………………………………（页码）（2）中小企业声明函………………………………………………………………（页码）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残疾人福利性单位声明函……………………………………………………（页码）（4）由省级以上监狱管理局、戒毒管理局（含新疆生产建设兵团）出具的属于监狱企业的证明文件…………………………………………………………………………（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404" w:name="_Toc18859"/>
      <w:bookmarkStart w:id="405" w:name="_Toc26425"/>
      <w:r>
        <w:rPr>
          <w:rFonts w:hint="eastAsia" w:ascii="宋体" w:hAnsi="宋体" w:eastAsia="宋体" w:cs="宋体"/>
          <w:color w:val="auto"/>
          <w:kern w:val="2"/>
          <w:sz w:val="32"/>
          <w:szCs w:val="32"/>
          <w:highlight w:val="none"/>
        </w:rPr>
        <w:t>一-1、开标一览表（报价表）</w:t>
      </w:r>
      <w:bookmarkEnd w:id="404"/>
      <w:bookmarkEnd w:id="405"/>
      <w:r>
        <w:rPr>
          <w:rFonts w:hint="eastAsia" w:ascii="宋体" w:hAnsi="宋体" w:eastAsia="宋体" w:cs="宋体"/>
          <w:color w:val="auto"/>
          <w:kern w:val="2"/>
          <w:sz w:val="32"/>
          <w:szCs w:val="32"/>
          <w:highlight w:val="none"/>
        </w:rPr>
        <w:t>（适用于标项一至标项六）</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宁波市临床病理诊断中心精准医学检测外包服务采购项目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CBNB-20241094G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lang w:val="zh-CN"/>
        </w:rPr>
        <w:t>开标一览表（报价表）</w:t>
      </w:r>
    </w:p>
    <w:tbl>
      <w:tblPr>
        <w:tblStyle w:val="63"/>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6686"/>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auto"/>
                <w:sz w:val="24"/>
                <w:highlight w:val="none"/>
              </w:rPr>
            </w:pPr>
            <w:r>
              <w:rPr>
                <w:rFonts w:hint="eastAsia" w:ascii="宋体" w:hAnsi="宋体" w:cs="宋体"/>
                <w:color w:val="auto"/>
                <w:sz w:val="24"/>
                <w:highlight w:val="none"/>
                <w:lang w:bidi="ar"/>
              </w:rPr>
              <w:t>标项号</w:t>
            </w:r>
          </w:p>
        </w:tc>
        <w:tc>
          <w:tcPr>
            <w:tcW w:w="246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auto"/>
                <w:sz w:val="24"/>
                <w:highlight w:val="none"/>
              </w:rPr>
            </w:pPr>
            <w:r>
              <w:rPr>
                <w:rFonts w:hint="eastAsia" w:ascii="宋体" w:hAnsi="宋体" w:cs="宋体"/>
                <w:color w:val="auto"/>
                <w:sz w:val="24"/>
                <w:highlight w:val="none"/>
                <w:lang w:bidi="ar"/>
              </w:rPr>
              <w:t>采购内容</w:t>
            </w:r>
          </w:p>
        </w:tc>
        <w:tc>
          <w:tcPr>
            <w:tcW w:w="206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auto"/>
                <w:sz w:val="24"/>
                <w:highlight w:val="none"/>
              </w:rPr>
            </w:pPr>
            <w:r>
              <w:rPr>
                <w:rFonts w:hint="eastAsia" w:ascii="宋体" w:hAnsi="宋体" w:cs="宋体"/>
                <w:color w:val="auto"/>
                <w:sz w:val="24"/>
                <w:highlight w:val="none"/>
              </w:rPr>
              <w:t>服务比例投标报价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pPr>
              <w:pStyle w:val="60"/>
              <w:widowControl w:val="0"/>
              <w:snapToGrid w:val="0"/>
              <w:spacing w:after="120" w:line="360" w:lineRule="auto"/>
              <w:jc w:val="center"/>
              <w:rPr>
                <w:rFonts w:cs="宋体"/>
                <w:color w:val="auto"/>
                <w:highlight w:val="none"/>
              </w:rPr>
            </w:pPr>
          </w:p>
        </w:tc>
        <w:tc>
          <w:tcPr>
            <w:tcW w:w="2468"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color w:val="auto"/>
                <w:highlight w:val="none"/>
              </w:rPr>
            </w:pPr>
          </w:p>
        </w:tc>
        <w:tc>
          <w:tcPr>
            <w:tcW w:w="2066"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color w:val="auto"/>
                <w:highlight w:val="none"/>
              </w:rPr>
            </w:pPr>
            <w:r>
              <w:rPr>
                <w:rFonts w:hint="eastAsia" w:cs="宋体"/>
                <w:color w:val="auto"/>
                <w:highlight w:val="none"/>
              </w:rPr>
              <w:t>_</w:t>
            </w:r>
            <w:r>
              <w:rPr>
                <w:rFonts w:cs="宋体"/>
                <w:color w:val="auto"/>
                <w:highlight w:val="none"/>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pPr>
              <w:pStyle w:val="60"/>
              <w:widowControl w:val="0"/>
              <w:snapToGrid w:val="0"/>
              <w:spacing w:after="120" w:line="360" w:lineRule="auto"/>
              <w:jc w:val="center"/>
              <w:rPr>
                <w:rFonts w:cs="宋体"/>
                <w:color w:val="auto"/>
                <w:highlight w:val="none"/>
              </w:rPr>
            </w:pPr>
          </w:p>
        </w:tc>
        <w:tc>
          <w:tcPr>
            <w:tcW w:w="2468"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color w:val="auto"/>
                <w:highlight w:val="none"/>
              </w:rPr>
            </w:pPr>
          </w:p>
        </w:tc>
        <w:tc>
          <w:tcPr>
            <w:tcW w:w="2066"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color w:val="auto"/>
                <w:highlight w:val="none"/>
              </w:rPr>
            </w:pPr>
            <w:r>
              <w:rPr>
                <w:rFonts w:hint="eastAsia" w:cs="宋体"/>
                <w:color w:val="auto"/>
                <w:highlight w:val="none"/>
              </w:rPr>
              <w:t>_</w:t>
            </w:r>
            <w:r>
              <w:rPr>
                <w:rFonts w:cs="宋体"/>
                <w:color w:val="auto"/>
                <w:highlight w:val="none"/>
              </w:rPr>
              <w:t>____%</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一-2、开标一览表（报价表）（适用于标项七）</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宁波市临床病理诊断中心精准医学检测外包服务采购项目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CBNB-20241094G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lang w:val="zh-CN"/>
        </w:rPr>
        <w:t>开标一览表（报价表）</w:t>
      </w:r>
    </w:p>
    <w:tbl>
      <w:tblPr>
        <w:tblStyle w:val="63"/>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6686"/>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auto"/>
                <w:sz w:val="24"/>
                <w:highlight w:val="none"/>
              </w:rPr>
            </w:pPr>
            <w:r>
              <w:rPr>
                <w:rFonts w:hint="eastAsia" w:ascii="宋体" w:hAnsi="宋体" w:cs="宋体"/>
                <w:color w:val="auto"/>
                <w:sz w:val="24"/>
                <w:highlight w:val="none"/>
                <w:lang w:bidi="ar"/>
              </w:rPr>
              <w:t>标项号</w:t>
            </w:r>
          </w:p>
        </w:tc>
        <w:tc>
          <w:tcPr>
            <w:tcW w:w="246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auto"/>
                <w:sz w:val="24"/>
                <w:highlight w:val="none"/>
              </w:rPr>
            </w:pPr>
            <w:r>
              <w:rPr>
                <w:rFonts w:hint="eastAsia" w:ascii="宋体" w:hAnsi="宋体" w:cs="宋体"/>
                <w:color w:val="auto"/>
                <w:sz w:val="24"/>
                <w:highlight w:val="none"/>
                <w:lang w:bidi="ar"/>
              </w:rPr>
              <w:t>采购内容</w:t>
            </w:r>
          </w:p>
        </w:tc>
        <w:tc>
          <w:tcPr>
            <w:tcW w:w="206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auto"/>
                <w:sz w:val="24"/>
                <w:highlight w:val="none"/>
              </w:rPr>
            </w:pPr>
            <w:r>
              <w:rPr>
                <w:rFonts w:hint="eastAsia" w:ascii="宋体" w:hAnsi="宋体" w:cs="宋体"/>
                <w:color w:val="auto"/>
                <w:sz w:val="24"/>
                <w:highlight w:val="none"/>
              </w:rPr>
              <w:t>投标单价（元/人份）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65" w:type="pct"/>
            <w:vMerge w:val="restart"/>
            <w:tcBorders>
              <w:top w:val="single" w:color="auto" w:sz="4" w:space="0"/>
              <w:left w:val="single" w:color="auto" w:sz="4" w:space="0"/>
              <w:right w:val="single" w:color="auto" w:sz="4" w:space="0"/>
            </w:tcBorders>
            <w:vAlign w:val="center"/>
          </w:tcPr>
          <w:p>
            <w:pPr>
              <w:pStyle w:val="60"/>
              <w:widowControl w:val="0"/>
              <w:snapToGrid w:val="0"/>
              <w:spacing w:after="120" w:line="360" w:lineRule="auto"/>
              <w:jc w:val="center"/>
              <w:rPr>
                <w:rFonts w:cs="宋体"/>
                <w:color w:val="auto"/>
                <w:highlight w:val="none"/>
              </w:rPr>
            </w:pPr>
            <w:r>
              <w:rPr>
                <w:rFonts w:hint="eastAsia" w:cs="宋体"/>
                <w:color w:val="auto"/>
                <w:highlight w:val="none"/>
              </w:rPr>
              <w:t>七</w:t>
            </w:r>
          </w:p>
        </w:tc>
        <w:tc>
          <w:tcPr>
            <w:tcW w:w="2468"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color w:val="auto"/>
                <w:highlight w:val="none"/>
              </w:rPr>
            </w:pPr>
            <w:r>
              <w:rPr>
                <w:rFonts w:hint="eastAsia" w:cs="宋体"/>
                <w:color w:val="auto"/>
                <w:highlight w:val="none"/>
                <w:lang w:val="en-US" w:eastAsia="zh-CN"/>
              </w:rPr>
              <w:t>泛实体瘤</w:t>
            </w:r>
            <w:r>
              <w:rPr>
                <w:rFonts w:hint="eastAsia" w:cs="宋体"/>
                <w:color w:val="auto"/>
                <w:highlight w:val="none"/>
              </w:rPr>
              <w:t>DNA检测</w:t>
            </w:r>
          </w:p>
        </w:tc>
        <w:tc>
          <w:tcPr>
            <w:tcW w:w="2066"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65" w:type="pct"/>
            <w:vMerge w:val="continue"/>
            <w:tcBorders>
              <w:left w:val="single" w:color="auto" w:sz="4" w:space="0"/>
              <w:right w:val="single" w:color="auto" w:sz="4" w:space="0"/>
            </w:tcBorders>
            <w:vAlign w:val="center"/>
          </w:tcPr>
          <w:p>
            <w:pPr>
              <w:pStyle w:val="60"/>
              <w:widowControl w:val="0"/>
              <w:snapToGrid w:val="0"/>
              <w:spacing w:after="120" w:line="360" w:lineRule="auto"/>
              <w:jc w:val="center"/>
              <w:rPr>
                <w:rFonts w:cs="宋体"/>
                <w:color w:val="auto"/>
                <w:highlight w:val="none"/>
              </w:rPr>
            </w:pPr>
          </w:p>
        </w:tc>
        <w:tc>
          <w:tcPr>
            <w:tcW w:w="2468"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color w:val="auto"/>
                <w:highlight w:val="none"/>
              </w:rPr>
            </w:pPr>
            <w:r>
              <w:rPr>
                <w:rFonts w:hint="eastAsia" w:cs="宋体"/>
                <w:color w:val="auto"/>
                <w:highlight w:val="none"/>
                <w:lang w:val="en-US" w:eastAsia="zh-CN"/>
              </w:rPr>
              <w:t>泛实体瘤</w:t>
            </w:r>
            <w:r>
              <w:rPr>
                <w:rFonts w:hint="eastAsia" w:cs="宋体"/>
                <w:color w:val="auto"/>
                <w:highlight w:val="none"/>
              </w:rPr>
              <w:t>RNA检测</w:t>
            </w:r>
          </w:p>
        </w:tc>
        <w:tc>
          <w:tcPr>
            <w:tcW w:w="2066"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65" w:type="pct"/>
            <w:vMerge w:val="continue"/>
            <w:tcBorders>
              <w:left w:val="single" w:color="auto" w:sz="4" w:space="0"/>
              <w:bottom w:val="single" w:color="auto" w:sz="4" w:space="0"/>
              <w:right w:val="single" w:color="auto" w:sz="4" w:space="0"/>
            </w:tcBorders>
            <w:vAlign w:val="center"/>
          </w:tcPr>
          <w:p>
            <w:pPr>
              <w:pStyle w:val="60"/>
              <w:widowControl w:val="0"/>
              <w:snapToGrid w:val="0"/>
              <w:spacing w:after="120" w:line="360" w:lineRule="auto"/>
              <w:jc w:val="center"/>
              <w:rPr>
                <w:rFonts w:cs="宋体"/>
                <w:color w:val="auto"/>
                <w:highlight w:val="none"/>
              </w:rPr>
            </w:pPr>
          </w:p>
        </w:tc>
        <w:tc>
          <w:tcPr>
            <w:tcW w:w="2468"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color w:val="auto"/>
                <w:highlight w:val="none"/>
              </w:rPr>
            </w:pPr>
            <w:r>
              <w:rPr>
                <w:rFonts w:hint="eastAsia" w:cs="宋体"/>
                <w:color w:val="auto"/>
                <w:highlight w:val="none"/>
                <w:lang w:val="en-US" w:eastAsia="zh-CN"/>
              </w:rPr>
              <w:t>泛实体瘤</w:t>
            </w:r>
            <w:r>
              <w:rPr>
                <w:rFonts w:hint="eastAsia" w:cs="宋体"/>
                <w:color w:val="auto"/>
                <w:highlight w:val="none"/>
              </w:rPr>
              <w:t>DNA+RNA联合检测</w:t>
            </w:r>
          </w:p>
        </w:tc>
        <w:tc>
          <w:tcPr>
            <w:tcW w:w="2066"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color w:val="auto"/>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406" w:name="_Toc30621"/>
      <w:bookmarkStart w:id="407" w:name="_Toc25773"/>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08" w:name="_Hlk101259491"/>
      <w:r>
        <w:rPr>
          <w:rFonts w:hint="eastAsia" w:ascii="宋体" w:hAnsi="宋体" w:eastAsia="宋体" w:cs="宋体"/>
          <w:color w:val="auto"/>
          <w:sz w:val="32"/>
          <w:szCs w:val="32"/>
          <w:highlight w:val="none"/>
        </w:rPr>
        <w:t>（如果有）</w:t>
      </w:r>
      <w:bookmarkEnd w:id="406"/>
      <w:bookmarkEnd w:id="407"/>
      <w:bookmarkEnd w:id="408"/>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ageBreakBefore/>
        <w:widowControl/>
        <w:tabs>
          <w:tab w:val="left" w:pos="432"/>
        </w:tabs>
        <w:spacing w:before="100" w:beforeAutospacing="1" w:after="100" w:afterAutospacing="1" w:line="360" w:lineRule="auto"/>
        <w:jc w:val="center"/>
        <w:rPr>
          <w:rFonts w:ascii="宋体" w:hAnsi="宋体" w:cs="宋体"/>
          <w:b/>
          <w:bCs/>
          <w:color w:val="auto"/>
          <w:highlight w:val="none"/>
        </w:rPr>
      </w:pPr>
      <w:bookmarkStart w:id="409" w:name="_Toc465665161"/>
      <w:r>
        <w:rPr>
          <w:rFonts w:hint="eastAsia" w:ascii="宋体" w:hAnsi="宋体" w:cs="宋体"/>
          <w:b/>
          <w:bCs/>
          <w:color w:val="auto"/>
          <w:highlight w:val="none"/>
        </w:rPr>
        <w:t>附件</w:t>
      </w:r>
      <w:bookmarkEnd w:id="409"/>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10" w:name="OLE_LINK14"/>
      <w:bookmarkStart w:id="411" w:name="OLE_LINK13"/>
      <w:r>
        <w:rPr>
          <w:rFonts w:hint="eastAsia" w:ascii="宋体" w:hAnsi="宋体" w:cs="宋体"/>
          <w:b/>
          <w:color w:val="auto"/>
          <w:spacing w:val="6"/>
          <w:sz w:val="32"/>
          <w:szCs w:val="32"/>
          <w:highlight w:val="none"/>
        </w:rPr>
        <w:t>残疾人福利性单位声明函</w:t>
      </w:r>
    </w:p>
    <w:bookmarkEnd w:id="410"/>
    <w:bookmarkEnd w:id="4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w:t>
      </w:r>
      <w:r>
        <w:rPr>
          <w:rFonts w:hint="eastAsia" w:ascii="宋体" w:hAnsi="宋体" w:cs="宋体"/>
          <w:color w:val="auto"/>
          <w:sz w:val="24"/>
          <w:highlight w:val="none"/>
          <w:u w:val="single"/>
        </w:rPr>
        <w:t>宁波市临床病理诊断中心精准医学检测外包服务采购项目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CBNB-20241094G</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宁波市临床病理诊断中心精准医学检测外包服务采购项目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CBNB-20241094G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12" w:lineRule="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3</w:t>
      </w:r>
      <w:r>
        <w:rPr>
          <w:rFonts w:hint="eastAsia" w:ascii="宋体" w:hAnsi="宋体" w:cs="宋体"/>
          <w:b/>
          <w:color w:val="auto"/>
          <w:kern w:val="0"/>
          <w:sz w:val="32"/>
          <w:szCs w:val="32"/>
          <w:highlight w:val="none"/>
        </w:rPr>
        <w:t>：中小企业声明函</w:t>
      </w:r>
    </w:p>
    <w:p>
      <w:pPr>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宁波市临床病理诊断中心精准医学检测外包服务采购项目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CBNB-20241094G</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行业 ；承建（承接）为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行业 ；承建（承接）为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288"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288"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pPr>
        <w:spacing w:line="288"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288"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288" w:lineRule="auto"/>
        <w:ind w:right="420" w:firstLine="482" w:firstLineChars="200"/>
        <w:rPr>
          <w:rFonts w:ascii="宋体" w:hAnsi="宋体" w:cs="宋体"/>
          <w:b/>
          <w:bCs/>
          <w:color w:val="auto"/>
          <w:sz w:val="24"/>
          <w:highlight w:val="none"/>
        </w:rPr>
      </w:pPr>
      <w:r>
        <w:rPr>
          <w:rFonts w:hint="eastAsia" w:ascii="宋体" w:hAnsi="宋体" w:cs="宋体"/>
          <w:b/>
          <w:bCs/>
          <w:color w:val="auto"/>
          <w:sz w:val="24"/>
          <w:highlight w:val="none"/>
        </w:rPr>
        <w:t>3、其他未列明行业。从业人员300人以下的为中小微型企业。其中，从业人员100人及以上的为中型企业；从业人员10人及以上的为小型企业；从业人员10人以下的为微型企业。</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4"/>
      </w:pBdr>
      <w:jc w:val="right"/>
    </w:pPr>
    <w:r>
      <w:t></w:t>
    </w:r>
    <w:r>
      <w:rPr>
        <w:rFonts w:hint="eastAsia"/>
      </w:rPr>
      <w:t xml:space="preserve">             </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C7CA1"/>
    <w:multiLevelType w:val="singleLevel"/>
    <w:tmpl w:val="9A8C7CA1"/>
    <w:lvl w:ilvl="0" w:tentative="0">
      <w:start w:val="1"/>
      <w:numFmt w:val="decimal"/>
      <w:suff w:val="nothing"/>
      <w:lvlText w:val="（%1）"/>
      <w:lvlJc w:val="left"/>
    </w:lvl>
  </w:abstractNum>
  <w:abstractNum w:abstractNumId="1">
    <w:nsid w:val="A4D2CE69"/>
    <w:multiLevelType w:val="singleLevel"/>
    <w:tmpl w:val="A4D2CE69"/>
    <w:lvl w:ilvl="0" w:tentative="0">
      <w:start w:val="1"/>
      <w:numFmt w:val="chineseCounting"/>
      <w:suff w:val="nothing"/>
      <w:lvlText w:val="%1、"/>
      <w:lvlJc w:val="left"/>
      <w:rPr>
        <w:rFonts w:hint="eastAsia"/>
      </w:rPr>
    </w:lvl>
  </w:abstractNum>
  <w:abstractNum w:abstractNumId="2">
    <w:nsid w:val="E778D53E"/>
    <w:multiLevelType w:val="singleLevel"/>
    <w:tmpl w:val="E778D53E"/>
    <w:lvl w:ilvl="0" w:tentative="0">
      <w:start w:val="1"/>
      <w:numFmt w:val="decimal"/>
      <w:suff w:val="nothing"/>
      <w:lvlText w:val="%1、"/>
      <w:lvlJc w:val="left"/>
    </w:lvl>
  </w:abstractNum>
  <w:abstractNum w:abstractNumId="3">
    <w:nsid w:val="03248929"/>
    <w:multiLevelType w:val="singleLevel"/>
    <w:tmpl w:val="03248929"/>
    <w:lvl w:ilvl="0" w:tentative="0">
      <w:start w:val="2"/>
      <w:numFmt w:val="decimal"/>
      <w:suff w:val="nothing"/>
      <w:lvlText w:val="%1、"/>
      <w:lvlJc w:val="left"/>
    </w:lvl>
  </w:abstractNum>
  <w:abstractNum w:abstractNumId="4">
    <w:nsid w:val="41762B98"/>
    <w:multiLevelType w:val="singleLevel"/>
    <w:tmpl w:val="41762B98"/>
    <w:lvl w:ilvl="0" w:tentative="0">
      <w:start w:val="1"/>
      <w:numFmt w:val="decimal"/>
      <w:suff w:val="nothing"/>
      <w:lvlText w:val="%1、"/>
      <w:lvlJc w:val="left"/>
    </w:lvl>
  </w:abstractNum>
  <w:abstractNum w:abstractNumId="5">
    <w:nsid w:val="5F5D373E"/>
    <w:multiLevelType w:val="singleLevel"/>
    <w:tmpl w:val="5F5D373E"/>
    <w:lvl w:ilvl="0" w:tentative="0">
      <w:start w:val="6"/>
      <w:numFmt w:val="decimal"/>
      <w:suff w:val="nothing"/>
      <w:lvlText w:val="%1、"/>
      <w:lvlJc w:val="left"/>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ODcyYWIxMmZlMWY5MDRjYmIyYTIyOGY2MGIxM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7B5"/>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079"/>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3FD"/>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740"/>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0D5"/>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57C"/>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1C5"/>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2C1"/>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D3"/>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1AE"/>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D1C"/>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933"/>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33E"/>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25F1"/>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5D08"/>
    <w:rsid w:val="00C664FB"/>
    <w:rsid w:val="00C665DE"/>
    <w:rsid w:val="00C667C3"/>
    <w:rsid w:val="00C6728B"/>
    <w:rsid w:val="00C70718"/>
    <w:rsid w:val="00C70B25"/>
    <w:rsid w:val="00C71528"/>
    <w:rsid w:val="00C717E4"/>
    <w:rsid w:val="00C7191B"/>
    <w:rsid w:val="00C71F09"/>
    <w:rsid w:val="00C72588"/>
    <w:rsid w:val="00C7276E"/>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C51"/>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01A"/>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E04F0"/>
    <w:rsid w:val="01350093"/>
    <w:rsid w:val="019F7441"/>
    <w:rsid w:val="01B37585"/>
    <w:rsid w:val="01D55165"/>
    <w:rsid w:val="01DF6BF8"/>
    <w:rsid w:val="01EC2C57"/>
    <w:rsid w:val="01EF122A"/>
    <w:rsid w:val="02426589"/>
    <w:rsid w:val="02497FF4"/>
    <w:rsid w:val="025F0711"/>
    <w:rsid w:val="026B2E25"/>
    <w:rsid w:val="02824D4D"/>
    <w:rsid w:val="0284056C"/>
    <w:rsid w:val="0284231A"/>
    <w:rsid w:val="028F11AA"/>
    <w:rsid w:val="02BC0A7B"/>
    <w:rsid w:val="02C1531D"/>
    <w:rsid w:val="02DC4B10"/>
    <w:rsid w:val="02DD76CE"/>
    <w:rsid w:val="02F36323"/>
    <w:rsid w:val="02F5619C"/>
    <w:rsid w:val="0326446A"/>
    <w:rsid w:val="032A692E"/>
    <w:rsid w:val="032D5555"/>
    <w:rsid w:val="03514610"/>
    <w:rsid w:val="036634D2"/>
    <w:rsid w:val="03905ADC"/>
    <w:rsid w:val="03DA48E8"/>
    <w:rsid w:val="03DD35E4"/>
    <w:rsid w:val="03F74F94"/>
    <w:rsid w:val="04076900"/>
    <w:rsid w:val="041A5A3B"/>
    <w:rsid w:val="042042C5"/>
    <w:rsid w:val="042311BA"/>
    <w:rsid w:val="042B157A"/>
    <w:rsid w:val="0458719A"/>
    <w:rsid w:val="046F18B1"/>
    <w:rsid w:val="048F763B"/>
    <w:rsid w:val="04937D48"/>
    <w:rsid w:val="049F330E"/>
    <w:rsid w:val="04AA775C"/>
    <w:rsid w:val="04AF1889"/>
    <w:rsid w:val="04C15CE9"/>
    <w:rsid w:val="04C52A1F"/>
    <w:rsid w:val="04F66F48"/>
    <w:rsid w:val="050A242F"/>
    <w:rsid w:val="0518354E"/>
    <w:rsid w:val="05251E14"/>
    <w:rsid w:val="0534132C"/>
    <w:rsid w:val="059B00A7"/>
    <w:rsid w:val="05A16594"/>
    <w:rsid w:val="05A7762D"/>
    <w:rsid w:val="05FB57F0"/>
    <w:rsid w:val="060E5941"/>
    <w:rsid w:val="06110FAF"/>
    <w:rsid w:val="06493CA7"/>
    <w:rsid w:val="065A6178"/>
    <w:rsid w:val="06605C46"/>
    <w:rsid w:val="066F1CF3"/>
    <w:rsid w:val="067A7832"/>
    <w:rsid w:val="068E1A0C"/>
    <w:rsid w:val="06930BB8"/>
    <w:rsid w:val="06A26752"/>
    <w:rsid w:val="06AC2338"/>
    <w:rsid w:val="06E710CA"/>
    <w:rsid w:val="0705522E"/>
    <w:rsid w:val="07245D42"/>
    <w:rsid w:val="07261BF2"/>
    <w:rsid w:val="07264C62"/>
    <w:rsid w:val="072A7934"/>
    <w:rsid w:val="0779354C"/>
    <w:rsid w:val="07C35742"/>
    <w:rsid w:val="07F910B5"/>
    <w:rsid w:val="08061376"/>
    <w:rsid w:val="08123F24"/>
    <w:rsid w:val="08422A5C"/>
    <w:rsid w:val="0845254C"/>
    <w:rsid w:val="08452D77"/>
    <w:rsid w:val="086401F8"/>
    <w:rsid w:val="08751CAA"/>
    <w:rsid w:val="087E4C40"/>
    <w:rsid w:val="08A871D0"/>
    <w:rsid w:val="08C56DD9"/>
    <w:rsid w:val="08D66AD6"/>
    <w:rsid w:val="08DA33A3"/>
    <w:rsid w:val="08E80F13"/>
    <w:rsid w:val="092832A9"/>
    <w:rsid w:val="09335624"/>
    <w:rsid w:val="093403CB"/>
    <w:rsid w:val="0944690F"/>
    <w:rsid w:val="09535675"/>
    <w:rsid w:val="095F057D"/>
    <w:rsid w:val="09642282"/>
    <w:rsid w:val="096D5183"/>
    <w:rsid w:val="09733572"/>
    <w:rsid w:val="09772C16"/>
    <w:rsid w:val="098353B5"/>
    <w:rsid w:val="098F7F12"/>
    <w:rsid w:val="09A92330"/>
    <w:rsid w:val="09B06B87"/>
    <w:rsid w:val="09C13146"/>
    <w:rsid w:val="09D46C43"/>
    <w:rsid w:val="09D709B0"/>
    <w:rsid w:val="09E04166"/>
    <w:rsid w:val="0A1C0718"/>
    <w:rsid w:val="0A3E7710"/>
    <w:rsid w:val="0A5B7E63"/>
    <w:rsid w:val="0AA374A5"/>
    <w:rsid w:val="0AAB7649"/>
    <w:rsid w:val="0ABC5606"/>
    <w:rsid w:val="0B30404E"/>
    <w:rsid w:val="0B3351D8"/>
    <w:rsid w:val="0B492353"/>
    <w:rsid w:val="0B4C6C14"/>
    <w:rsid w:val="0B547599"/>
    <w:rsid w:val="0B560CBF"/>
    <w:rsid w:val="0B631A88"/>
    <w:rsid w:val="0B65609D"/>
    <w:rsid w:val="0B683D45"/>
    <w:rsid w:val="0B790772"/>
    <w:rsid w:val="0B7F3F11"/>
    <w:rsid w:val="0B884417"/>
    <w:rsid w:val="0B9526C4"/>
    <w:rsid w:val="0BB2024E"/>
    <w:rsid w:val="0BF6188C"/>
    <w:rsid w:val="0BF73C91"/>
    <w:rsid w:val="0C170175"/>
    <w:rsid w:val="0C1E558E"/>
    <w:rsid w:val="0C1F2F36"/>
    <w:rsid w:val="0C23311B"/>
    <w:rsid w:val="0C571A41"/>
    <w:rsid w:val="0C5C1171"/>
    <w:rsid w:val="0C5E1CBC"/>
    <w:rsid w:val="0C615B50"/>
    <w:rsid w:val="0C711B61"/>
    <w:rsid w:val="0C8445DA"/>
    <w:rsid w:val="0C87121B"/>
    <w:rsid w:val="0C8B7A9C"/>
    <w:rsid w:val="0C8C0B1C"/>
    <w:rsid w:val="0CC007F7"/>
    <w:rsid w:val="0CC021C4"/>
    <w:rsid w:val="0CC617AC"/>
    <w:rsid w:val="0CCC5321"/>
    <w:rsid w:val="0CD84B3B"/>
    <w:rsid w:val="0CDA32A3"/>
    <w:rsid w:val="0CE618DF"/>
    <w:rsid w:val="0CFE707A"/>
    <w:rsid w:val="0D063BDA"/>
    <w:rsid w:val="0D08375F"/>
    <w:rsid w:val="0D184CFB"/>
    <w:rsid w:val="0D4A7419"/>
    <w:rsid w:val="0D5F5E5E"/>
    <w:rsid w:val="0D800D49"/>
    <w:rsid w:val="0D827401"/>
    <w:rsid w:val="0D84094E"/>
    <w:rsid w:val="0D8A00E9"/>
    <w:rsid w:val="0D8D589E"/>
    <w:rsid w:val="0D8E5FAA"/>
    <w:rsid w:val="0DA01C73"/>
    <w:rsid w:val="0DCA2888"/>
    <w:rsid w:val="0DD63300"/>
    <w:rsid w:val="0DF50604"/>
    <w:rsid w:val="0DF5586B"/>
    <w:rsid w:val="0DF702FE"/>
    <w:rsid w:val="0E060E51"/>
    <w:rsid w:val="0E116AEE"/>
    <w:rsid w:val="0E1434A7"/>
    <w:rsid w:val="0E5604B2"/>
    <w:rsid w:val="0E6D5D79"/>
    <w:rsid w:val="0E7A570A"/>
    <w:rsid w:val="0E9A03FC"/>
    <w:rsid w:val="0E9D0089"/>
    <w:rsid w:val="0EA06CB7"/>
    <w:rsid w:val="0EA75D9A"/>
    <w:rsid w:val="0EAA7385"/>
    <w:rsid w:val="0EB803EE"/>
    <w:rsid w:val="0ECD3EA6"/>
    <w:rsid w:val="0ED71A24"/>
    <w:rsid w:val="0EDC3291"/>
    <w:rsid w:val="0EF94D4B"/>
    <w:rsid w:val="0F170CE4"/>
    <w:rsid w:val="0F1C6E00"/>
    <w:rsid w:val="0F4958DC"/>
    <w:rsid w:val="0F515DF7"/>
    <w:rsid w:val="0F563291"/>
    <w:rsid w:val="0F59068B"/>
    <w:rsid w:val="0F596BA8"/>
    <w:rsid w:val="0F6248D2"/>
    <w:rsid w:val="0F693536"/>
    <w:rsid w:val="0F7B0511"/>
    <w:rsid w:val="0F7B76D9"/>
    <w:rsid w:val="0F816ACD"/>
    <w:rsid w:val="0F8B4F2A"/>
    <w:rsid w:val="0F8C42DC"/>
    <w:rsid w:val="0F9832DB"/>
    <w:rsid w:val="0FBF3FD2"/>
    <w:rsid w:val="0FBF7FF3"/>
    <w:rsid w:val="10174821"/>
    <w:rsid w:val="104447E9"/>
    <w:rsid w:val="105A46BB"/>
    <w:rsid w:val="10646583"/>
    <w:rsid w:val="107514F4"/>
    <w:rsid w:val="107D4B15"/>
    <w:rsid w:val="108A3C80"/>
    <w:rsid w:val="10A42D21"/>
    <w:rsid w:val="10B478DD"/>
    <w:rsid w:val="10C02B10"/>
    <w:rsid w:val="10C26171"/>
    <w:rsid w:val="10F33360"/>
    <w:rsid w:val="10FC16EA"/>
    <w:rsid w:val="110F1D40"/>
    <w:rsid w:val="11194998"/>
    <w:rsid w:val="111E0C94"/>
    <w:rsid w:val="11266F33"/>
    <w:rsid w:val="116033DA"/>
    <w:rsid w:val="117669E6"/>
    <w:rsid w:val="11896203"/>
    <w:rsid w:val="118963A1"/>
    <w:rsid w:val="11C6522A"/>
    <w:rsid w:val="11D067E4"/>
    <w:rsid w:val="11D84431"/>
    <w:rsid w:val="11E069E9"/>
    <w:rsid w:val="11E104CC"/>
    <w:rsid w:val="11E20309"/>
    <w:rsid w:val="1201785C"/>
    <w:rsid w:val="12106436"/>
    <w:rsid w:val="12255233"/>
    <w:rsid w:val="12530213"/>
    <w:rsid w:val="12547EAC"/>
    <w:rsid w:val="125C0BBE"/>
    <w:rsid w:val="12691A06"/>
    <w:rsid w:val="12695089"/>
    <w:rsid w:val="127723A9"/>
    <w:rsid w:val="12862074"/>
    <w:rsid w:val="12883966"/>
    <w:rsid w:val="12937E5A"/>
    <w:rsid w:val="129E45B4"/>
    <w:rsid w:val="12AE6A32"/>
    <w:rsid w:val="12D81596"/>
    <w:rsid w:val="13072A44"/>
    <w:rsid w:val="1343264F"/>
    <w:rsid w:val="1346119F"/>
    <w:rsid w:val="134F407B"/>
    <w:rsid w:val="135A57EE"/>
    <w:rsid w:val="135F4BE2"/>
    <w:rsid w:val="136A10B9"/>
    <w:rsid w:val="13815EDF"/>
    <w:rsid w:val="139B1A0A"/>
    <w:rsid w:val="139D25C7"/>
    <w:rsid w:val="13BF3CE4"/>
    <w:rsid w:val="13CA16CE"/>
    <w:rsid w:val="13CB3740"/>
    <w:rsid w:val="140C03C2"/>
    <w:rsid w:val="141008D8"/>
    <w:rsid w:val="14125FE6"/>
    <w:rsid w:val="145B1162"/>
    <w:rsid w:val="146D271E"/>
    <w:rsid w:val="14857F38"/>
    <w:rsid w:val="14982588"/>
    <w:rsid w:val="149A5AD9"/>
    <w:rsid w:val="14A7619D"/>
    <w:rsid w:val="14AF55C1"/>
    <w:rsid w:val="14F70F66"/>
    <w:rsid w:val="150536C3"/>
    <w:rsid w:val="150C1963"/>
    <w:rsid w:val="151447A0"/>
    <w:rsid w:val="15163B8A"/>
    <w:rsid w:val="154A6454"/>
    <w:rsid w:val="156A0E93"/>
    <w:rsid w:val="15762120"/>
    <w:rsid w:val="15962639"/>
    <w:rsid w:val="15C30CAF"/>
    <w:rsid w:val="15D157AE"/>
    <w:rsid w:val="15EB309C"/>
    <w:rsid w:val="15F76776"/>
    <w:rsid w:val="15FE15DA"/>
    <w:rsid w:val="16A8729C"/>
    <w:rsid w:val="16AA277F"/>
    <w:rsid w:val="16B33777"/>
    <w:rsid w:val="16BC1C2B"/>
    <w:rsid w:val="16BC70A7"/>
    <w:rsid w:val="16C6103C"/>
    <w:rsid w:val="16C6339E"/>
    <w:rsid w:val="16E34270"/>
    <w:rsid w:val="16E551D0"/>
    <w:rsid w:val="171E28E6"/>
    <w:rsid w:val="172F2D79"/>
    <w:rsid w:val="173C2D6C"/>
    <w:rsid w:val="174538A9"/>
    <w:rsid w:val="17512E98"/>
    <w:rsid w:val="17557BEF"/>
    <w:rsid w:val="176959DC"/>
    <w:rsid w:val="17D349C1"/>
    <w:rsid w:val="17E908E2"/>
    <w:rsid w:val="18244F26"/>
    <w:rsid w:val="18245CDA"/>
    <w:rsid w:val="1830729E"/>
    <w:rsid w:val="183A5651"/>
    <w:rsid w:val="1870062C"/>
    <w:rsid w:val="18817102"/>
    <w:rsid w:val="18830A15"/>
    <w:rsid w:val="18852B28"/>
    <w:rsid w:val="188B5321"/>
    <w:rsid w:val="18903097"/>
    <w:rsid w:val="18B54CD5"/>
    <w:rsid w:val="18F71640"/>
    <w:rsid w:val="190D71AF"/>
    <w:rsid w:val="191C4C03"/>
    <w:rsid w:val="193E6394"/>
    <w:rsid w:val="197B5DCD"/>
    <w:rsid w:val="19932372"/>
    <w:rsid w:val="199B021E"/>
    <w:rsid w:val="19A20DD5"/>
    <w:rsid w:val="19AE03F1"/>
    <w:rsid w:val="1A042784"/>
    <w:rsid w:val="1A071A03"/>
    <w:rsid w:val="1A0C4C78"/>
    <w:rsid w:val="1A1F16AE"/>
    <w:rsid w:val="1A3B5C77"/>
    <w:rsid w:val="1A7C1916"/>
    <w:rsid w:val="1A846F04"/>
    <w:rsid w:val="1A984BAD"/>
    <w:rsid w:val="1AB8220E"/>
    <w:rsid w:val="1ABA46D4"/>
    <w:rsid w:val="1AE4166C"/>
    <w:rsid w:val="1AF06CFB"/>
    <w:rsid w:val="1AF11B8D"/>
    <w:rsid w:val="1B11359C"/>
    <w:rsid w:val="1B214753"/>
    <w:rsid w:val="1B2A271F"/>
    <w:rsid w:val="1B530544"/>
    <w:rsid w:val="1B570174"/>
    <w:rsid w:val="1B713184"/>
    <w:rsid w:val="1BA209CF"/>
    <w:rsid w:val="1BB4777D"/>
    <w:rsid w:val="1BBA7F95"/>
    <w:rsid w:val="1BBF058C"/>
    <w:rsid w:val="1BC752A5"/>
    <w:rsid w:val="1BCC110E"/>
    <w:rsid w:val="1BD75AB8"/>
    <w:rsid w:val="1C0459C2"/>
    <w:rsid w:val="1C0E7EC3"/>
    <w:rsid w:val="1C1B3B4A"/>
    <w:rsid w:val="1C3563B8"/>
    <w:rsid w:val="1C7E0123"/>
    <w:rsid w:val="1C88086E"/>
    <w:rsid w:val="1C915908"/>
    <w:rsid w:val="1C990B3C"/>
    <w:rsid w:val="1CAE4877"/>
    <w:rsid w:val="1CC1038E"/>
    <w:rsid w:val="1CC17F9B"/>
    <w:rsid w:val="1CC6160B"/>
    <w:rsid w:val="1CEB6DC6"/>
    <w:rsid w:val="1D0E0D07"/>
    <w:rsid w:val="1D1E62D0"/>
    <w:rsid w:val="1D266CE1"/>
    <w:rsid w:val="1D3963AF"/>
    <w:rsid w:val="1D417B50"/>
    <w:rsid w:val="1D6A673C"/>
    <w:rsid w:val="1D6B6159"/>
    <w:rsid w:val="1D9247AE"/>
    <w:rsid w:val="1DB567EC"/>
    <w:rsid w:val="1DEC706D"/>
    <w:rsid w:val="1DF51A98"/>
    <w:rsid w:val="1E051CD9"/>
    <w:rsid w:val="1E3D060F"/>
    <w:rsid w:val="1E3F7D2E"/>
    <w:rsid w:val="1E4134E4"/>
    <w:rsid w:val="1E5062B3"/>
    <w:rsid w:val="1E523514"/>
    <w:rsid w:val="1E714A66"/>
    <w:rsid w:val="1E802593"/>
    <w:rsid w:val="1E814BE5"/>
    <w:rsid w:val="1E8B6156"/>
    <w:rsid w:val="1EA703CC"/>
    <w:rsid w:val="1EB7330C"/>
    <w:rsid w:val="1EC876F6"/>
    <w:rsid w:val="1EC94328"/>
    <w:rsid w:val="1EEC27E3"/>
    <w:rsid w:val="1F0A0FF3"/>
    <w:rsid w:val="1F446C62"/>
    <w:rsid w:val="1F462D95"/>
    <w:rsid w:val="1F47684D"/>
    <w:rsid w:val="1F5771FF"/>
    <w:rsid w:val="1FB57B5F"/>
    <w:rsid w:val="1FC73600"/>
    <w:rsid w:val="1FD52574"/>
    <w:rsid w:val="1FE868A9"/>
    <w:rsid w:val="20014B53"/>
    <w:rsid w:val="20032EF5"/>
    <w:rsid w:val="20034907"/>
    <w:rsid w:val="200E08AD"/>
    <w:rsid w:val="20173E4B"/>
    <w:rsid w:val="20390790"/>
    <w:rsid w:val="204E48BC"/>
    <w:rsid w:val="208921B3"/>
    <w:rsid w:val="20973DEB"/>
    <w:rsid w:val="20B26522"/>
    <w:rsid w:val="20B44310"/>
    <w:rsid w:val="20D858B3"/>
    <w:rsid w:val="21035A46"/>
    <w:rsid w:val="211116EB"/>
    <w:rsid w:val="21432B39"/>
    <w:rsid w:val="215018EE"/>
    <w:rsid w:val="215A6C10"/>
    <w:rsid w:val="216133FC"/>
    <w:rsid w:val="21821CC3"/>
    <w:rsid w:val="21B60677"/>
    <w:rsid w:val="21C45D42"/>
    <w:rsid w:val="21D56769"/>
    <w:rsid w:val="21E52EF3"/>
    <w:rsid w:val="21FB5D7B"/>
    <w:rsid w:val="22015E94"/>
    <w:rsid w:val="220B1C3D"/>
    <w:rsid w:val="221D1D20"/>
    <w:rsid w:val="221F7512"/>
    <w:rsid w:val="22326F75"/>
    <w:rsid w:val="22334A87"/>
    <w:rsid w:val="22370D00"/>
    <w:rsid w:val="22575A61"/>
    <w:rsid w:val="2278012F"/>
    <w:rsid w:val="227C4964"/>
    <w:rsid w:val="22883128"/>
    <w:rsid w:val="22B42350"/>
    <w:rsid w:val="22BE6801"/>
    <w:rsid w:val="22C71D57"/>
    <w:rsid w:val="22EC3898"/>
    <w:rsid w:val="2302000B"/>
    <w:rsid w:val="23104268"/>
    <w:rsid w:val="233500BF"/>
    <w:rsid w:val="23377FF7"/>
    <w:rsid w:val="233E43F8"/>
    <w:rsid w:val="234F5CFB"/>
    <w:rsid w:val="236B425F"/>
    <w:rsid w:val="2379726B"/>
    <w:rsid w:val="23836192"/>
    <w:rsid w:val="23901F29"/>
    <w:rsid w:val="239960D7"/>
    <w:rsid w:val="239C0061"/>
    <w:rsid w:val="23B2407F"/>
    <w:rsid w:val="23B908A4"/>
    <w:rsid w:val="23CC7199"/>
    <w:rsid w:val="23E95BEF"/>
    <w:rsid w:val="23FD0064"/>
    <w:rsid w:val="24077A99"/>
    <w:rsid w:val="241C1F5B"/>
    <w:rsid w:val="2433524F"/>
    <w:rsid w:val="245375B0"/>
    <w:rsid w:val="245B6DB7"/>
    <w:rsid w:val="246279E1"/>
    <w:rsid w:val="24642C0A"/>
    <w:rsid w:val="249E762F"/>
    <w:rsid w:val="24B22173"/>
    <w:rsid w:val="24B95AD9"/>
    <w:rsid w:val="24BE24DA"/>
    <w:rsid w:val="24C3687B"/>
    <w:rsid w:val="24CF5825"/>
    <w:rsid w:val="24D663E6"/>
    <w:rsid w:val="24D757B6"/>
    <w:rsid w:val="24D77F2B"/>
    <w:rsid w:val="24DE5879"/>
    <w:rsid w:val="256718FC"/>
    <w:rsid w:val="257A6A46"/>
    <w:rsid w:val="258B00E2"/>
    <w:rsid w:val="259C15A5"/>
    <w:rsid w:val="25A917A6"/>
    <w:rsid w:val="25BD151C"/>
    <w:rsid w:val="25BE27CC"/>
    <w:rsid w:val="25D435EF"/>
    <w:rsid w:val="25F0544D"/>
    <w:rsid w:val="25F74A5C"/>
    <w:rsid w:val="261513AF"/>
    <w:rsid w:val="261D2AB6"/>
    <w:rsid w:val="2628662C"/>
    <w:rsid w:val="262D45DE"/>
    <w:rsid w:val="26342023"/>
    <w:rsid w:val="26871DC8"/>
    <w:rsid w:val="26A53EF9"/>
    <w:rsid w:val="26A544E4"/>
    <w:rsid w:val="26A94201"/>
    <w:rsid w:val="26AC274F"/>
    <w:rsid w:val="26BA01F3"/>
    <w:rsid w:val="27044A29"/>
    <w:rsid w:val="271D34C8"/>
    <w:rsid w:val="272730F1"/>
    <w:rsid w:val="27457CE6"/>
    <w:rsid w:val="276142BF"/>
    <w:rsid w:val="27783712"/>
    <w:rsid w:val="278D4EE0"/>
    <w:rsid w:val="27907362"/>
    <w:rsid w:val="27CB3CE5"/>
    <w:rsid w:val="280276BA"/>
    <w:rsid w:val="28333E1D"/>
    <w:rsid w:val="28454BD6"/>
    <w:rsid w:val="28455253"/>
    <w:rsid w:val="28551971"/>
    <w:rsid w:val="285A2FA5"/>
    <w:rsid w:val="285B1C53"/>
    <w:rsid w:val="287702CA"/>
    <w:rsid w:val="288B5901"/>
    <w:rsid w:val="289F7086"/>
    <w:rsid w:val="28C32028"/>
    <w:rsid w:val="28C73C72"/>
    <w:rsid w:val="28CC490F"/>
    <w:rsid w:val="28DE40AA"/>
    <w:rsid w:val="28FE7C39"/>
    <w:rsid w:val="292B69C5"/>
    <w:rsid w:val="29333963"/>
    <w:rsid w:val="29345E77"/>
    <w:rsid w:val="293D27B5"/>
    <w:rsid w:val="29475CCC"/>
    <w:rsid w:val="29491D18"/>
    <w:rsid w:val="294C65AD"/>
    <w:rsid w:val="2965010A"/>
    <w:rsid w:val="29806583"/>
    <w:rsid w:val="298B3C4C"/>
    <w:rsid w:val="298F19EC"/>
    <w:rsid w:val="298F27C5"/>
    <w:rsid w:val="29A70519"/>
    <w:rsid w:val="29AB0437"/>
    <w:rsid w:val="29E344D0"/>
    <w:rsid w:val="29F10CFD"/>
    <w:rsid w:val="29F26D24"/>
    <w:rsid w:val="2A040E8C"/>
    <w:rsid w:val="2A15033F"/>
    <w:rsid w:val="2A1662C1"/>
    <w:rsid w:val="2A1C7367"/>
    <w:rsid w:val="2A2815FA"/>
    <w:rsid w:val="2A636B36"/>
    <w:rsid w:val="2A6D6092"/>
    <w:rsid w:val="2A715F67"/>
    <w:rsid w:val="2A7D76B4"/>
    <w:rsid w:val="2A9767DF"/>
    <w:rsid w:val="2AB56C65"/>
    <w:rsid w:val="2AD9581A"/>
    <w:rsid w:val="2AEA4B61"/>
    <w:rsid w:val="2B09293F"/>
    <w:rsid w:val="2B255206"/>
    <w:rsid w:val="2B437463"/>
    <w:rsid w:val="2B5A3674"/>
    <w:rsid w:val="2B66117D"/>
    <w:rsid w:val="2B7807EE"/>
    <w:rsid w:val="2B807273"/>
    <w:rsid w:val="2BA50BF7"/>
    <w:rsid w:val="2BB96CF1"/>
    <w:rsid w:val="2BBD6AEF"/>
    <w:rsid w:val="2BBF00EC"/>
    <w:rsid w:val="2BC162D3"/>
    <w:rsid w:val="2BC37CFD"/>
    <w:rsid w:val="2BD5237F"/>
    <w:rsid w:val="2BE536CE"/>
    <w:rsid w:val="2BE758D9"/>
    <w:rsid w:val="2BE9496F"/>
    <w:rsid w:val="2BF10171"/>
    <w:rsid w:val="2BF346BB"/>
    <w:rsid w:val="2C09049E"/>
    <w:rsid w:val="2C0A653C"/>
    <w:rsid w:val="2C191F85"/>
    <w:rsid w:val="2C587AAB"/>
    <w:rsid w:val="2C5933A3"/>
    <w:rsid w:val="2C5F332D"/>
    <w:rsid w:val="2C6022DB"/>
    <w:rsid w:val="2C6554BB"/>
    <w:rsid w:val="2C872785"/>
    <w:rsid w:val="2CE82D6F"/>
    <w:rsid w:val="2D0B17AA"/>
    <w:rsid w:val="2D197980"/>
    <w:rsid w:val="2D343236"/>
    <w:rsid w:val="2D4C5411"/>
    <w:rsid w:val="2D575011"/>
    <w:rsid w:val="2D892D64"/>
    <w:rsid w:val="2DA4662B"/>
    <w:rsid w:val="2DAC5EA2"/>
    <w:rsid w:val="2DB11966"/>
    <w:rsid w:val="2DBE0ECB"/>
    <w:rsid w:val="2DD15014"/>
    <w:rsid w:val="2DF72DE4"/>
    <w:rsid w:val="2E0220AF"/>
    <w:rsid w:val="2E19750B"/>
    <w:rsid w:val="2E4B082A"/>
    <w:rsid w:val="2E5D4E86"/>
    <w:rsid w:val="2E5D790B"/>
    <w:rsid w:val="2E840A66"/>
    <w:rsid w:val="2E9A3C18"/>
    <w:rsid w:val="2EAB2AE1"/>
    <w:rsid w:val="2EBB0FEE"/>
    <w:rsid w:val="2EC63002"/>
    <w:rsid w:val="2ECE0A3B"/>
    <w:rsid w:val="2EDA7AD7"/>
    <w:rsid w:val="2EE93D0A"/>
    <w:rsid w:val="2F0A6B38"/>
    <w:rsid w:val="2F616D81"/>
    <w:rsid w:val="2F7760A6"/>
    <w:rsid w:val="2F7960D4"/>
    <w:rsid w:val="2F8A246F"/>
    <w:rsid w:val="2F946CCB"/>
    <w:rsid w:val="2F9C74D9"/>
    <w:rsid w:val="2FC732A7"/>
    <w:rsid w:val="2FD25781"/>
    <w:rsid w:val="2FDC745C"/>
    <w:rsid w:val="2FFD7934"/>
    <w:rsid w:val="30052AFA"/>
    <w:rsid w:val="30134B5A"/>
    <w:rsid w:val="301B5344"/>
    <w:rsid w:val="30733ACD"/>
    <w:rsid w:val="308C3862"/>
    <w:rsid w:val="308F7342"/>
    <w:rsid w:val="309317F7"/>
    <w:rsid w:val="309379D8"/>
    <w:rsid w:val="30A270F7"/>
    <w:rsid w:val="30B04157"/>
    <w:rsid w:val="30C25A2F"/>
    <w:rsid w:val="30DF1478"/>
    <w:rsid w:val="30E6702B"/>
    <w:rsid w:val="30EC586F"/>
    <w:rsid w:val="30FD3EF5"/>
    <w:rsid w:val="311734C2"/>
    <w:rsid w:val="311961A0"/>
    <w:rsid w:val="31501496"/>
    <w:rsid w:val="319C6071"/>
    <w:rsid w:val="31AC537E"/>
    <w:rsid w:val="31AE2A82"/>
    <w:rsid w:val="31C9409A"/>
    <w:rsid w:val="31E3679B"/>
    <w:rsid w:val="31E732FD"/>
    <w:rsid w:val="31E8264B"/>
    <w:rsid w:val="32517576"/>
    <w:rsid w:val="32586354"/>
    <w:rsid w:val="32BE5C2C"/>
    <w:rsid w:val="32FA790B"/>
    <w:rsid w:val="32FB6478"/>
    <w:rsid w:val="332629BB"/>
    <w:rsid w:val="33263B3F"/>
    <w:rsid w:val="332B572C"/>
    <w:rsid w:val="33497548"/>
    <w:rsid w:val="336963EB"/>
    <w:rsid w:val="33816EEB"/>
    <w:rsid w:val="339A10EE"/>
    <w:rsid w:val="33A87EEA"/>
    <w:rsid w:val="33EB55CD"/>
    <w:rsid w:val="33EC4C02"/>
    <w:rsid w:val="34016FE1"/>
    <w:rsid w:val="340D2360"/>
    <w:rsid w:val="3410665D"/>
    <w:rsid w:val="34211214"/>
    <w:rsid w:val="342E63AB"/>
    <w:rsid w:val="34321327"/>
    <w:rsid w:val="345A1D9D"/>
    <w:rsid w:val="348C54F9"/>
    <w:rsid w:val="34950E68"/>
    <w:rsid w:val="34986E94"/>
    <w:rsid w:val="34AF62C9"/>
    <w:rsid w:val="34CB4388"/>
    <w:rsid w:val="34E602EB"/>
    <w:rsid w:val="34F90942"/>
    <w:rsid w:val="34FA6E12"/>
    <w:rsid w:val="35375AC2"/>
    <w:rsid w:val="354D7158"/>
    <w:rsid w:val="35774A21"/>
    <w:rsid w:val="358B23EF"/>
    <w:rsid w:val="358D5588"/>
    <w:rsid w:val="35A145D6"/>
    <w:rsid w:val="35BA6F50"/>
    <w:rsid w:val="36025094"/>
    <w:rsid w:val="36174C78"/>
    <w:rsid w:val="363A3B40"/>
    <w:rsid w:val="363B0967"/>
    <w:rsid w:val="365302AE"/>
    <w:rsid w:val="3660217B"/>
    <w:rsid w:val="36607A0A"/>
    <w:rsid w:val="36657837"/>
    <w:rsid w:val="366E227C"/>
    <w:rsid w:val="366F2E0D"/>
    <w:rsid w:val="367B6A5C"/>
    <w:rsid w:val="369C0E1F"/>
    <w:rsid w:val="369D2EA4"/>
    <w:rsid w:val="36A74ADA"/>
    <w:rsid w:val="36AD60D5"/>
    <w:rsid w:val="36B224F9"/>
    <w:rsid w:val="36D121FD"/>
    <w:rsid w:val="36E44D2C"/>
    <w:rsid w:val="36EC0CC9"/>
    <w:rsid w:val="373F410B"/>
    <w:rsid w:val="374A3159"/>
    <w:rsid w:val="37851B90"/>
    <w:rsid w:val="378B3228"/>
    <w:rsid w:val="37B24C58"/>
    <w:rsid w:val="37D72911"/>
    <w:rsid w:val="37E1553E"/>
    <w:rsid w:val="37EE7094"/>
    <w:rsid w:val="38296C89"/>
    <w:rsid w:val="383002EB"/>
    <w:rsid w:val="384D53B1"/>
    <w:rsid w:val="384F0EE0"/>
    <w:rsid w:val="38586797"/>
    <w:rsid w:val="385D15DF"/>
    <w:rsid w:val="386F25DF"/>
    <w:rsid w:val="38AC5B4C"/>
    <w:rsid w:val="38BC0149"/>
    <w:rsid w:val="38CD0DC8"/>
    <w:rsid w:val="38D87D1C"/>
    <w:rsid w:val="392576AC"/>
    <w:rsid w:val="393D0618"/>
    <w:rsid w:val="39636459"/>
    <w:rsid w:val="396B7F6C"/>
    <w:rsid w:val="39715F8D"/>
    <w:rsid w:val="39A25A25"/>
    <w:rsid w:val="39B417A9"/>
    <w:rsid w:val="39B55FD7"/>
    <w:rsid w:val="39C66799"/>
    <w:rsid w:val="39EF72AE"/>
    <w:rsid w:val="39FC5695"/>
    <w:rsid w:val="3A006D8E"/>
    <w:rsid w:val="3A3651E5"/>
    <w:rsid w:val="3A3F1290"/>
    <w:rsid w:val="3A5A6066"/>
    <w:rsid w:val="3A744481"/>
    <w:rsid w:val="3A872C19"/>
    <w:rsid w:val="3A8C7BEF"/>
    <w:rsid w:val="3A8F302F"/>
    <w:rsid w:val="3A906246"/>
    <w:rsid w:val="3AFF6407"/>
    <w:rsid w:val="3B0D493A"/>
    <w:rsid w:val="3B120584"/>
    <w:rsid w:val="3B160056"/>
    <w:rsid w:val="3B233260"/>
    <w:rsid w:val="3B2349B7"/>
    <w:rsid w:val="3B616CFF"/>
    <w:rsid w:val="3B6259F6"/>
    <w:rsid w:val="3B976654"/>
    <w:rsid w:val="3B9C37F1"/>
    <w:rsid w:val="3BBD3BCC"/>
    <w:rsid w:val="3BC01EFC"/>
    <w:rsid w:val="3BCA786A"/>
    <w:rsid w:val="3BD31E2F"/>
    <w:rsid w:val="3BD83BCF"/>
    <w:rsid w:val="3BEB698B"/>
    <w:rsid w:val="3BF15831"/>
    <w:rsid w:val="3C105946"/>
    <w:rsid w:val="3C1F4887"/>
    <w:rsid w:val="3C471448"/>
    <w:rsid w:val="3C536A3E"/>
    <w:rsid w:val="3C5F759A"/>
    <w:rsid w:val="3C6C525A"/>
    <w:rsid w:val="3CB44AC3"/>
    <w:rsid w:val="3CC03AAB"/>
    <w:rsid w:val="3CCE23CB"/>
    <w:rsid w:val="3CD17D17"/>
    <w:rsid w:val="3CF41147"/>
    <w:rsid w:val="3D2F6D2F"/>
    <w:rsid w:val="3D3C7F39"/>
    <w:rsid w:val="3D440F09"/>
    <w:rsid w:val="3D4504A0"/>
    <w:rsid w:val="3D4A29CB"/>
    <w:rsid w:val="3D4A5E08"/>
    <w:rsid w:val="3D6458FA"/>
    <w:rsid w:val="3D6A1B31"/>
    <w:rsid w:val="3D8734BB"/>
    <w:rsid w:val="3D8C5F4C"/>
    <w:rsid w:val="3D9A11D4"/>
    <w:rsid w:val="3DA16D89"/>
    <w:rsid w:val="3DA364BE"/>
    <w:rsid w:val="3DB50FFF"/>
    <w:rsid w:val="3DCB6A74"/>
    <w:rsid w:val="3DCD3E19"/>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778AF"/>
    <w:rsid w:val="3F756B8F"/>
    <w:rsid w:val="3F7A747A"/>
    <w:rsid w:val="3F95482B"/>
    <w:rsid w:val="3FA330D9"/>
    <w:rsid w:val="3FB86B84"/>
    <w:rsid w:val="3FFF47B3"/>
    <w:rsid w:val="400D04E5"/>
    <w:rsid w:val="4019356B"/>
    <w:rsid w:val="40356D15"/>
    <w:rsid w:val="404B17A6"/>
    <w:rsid w:val="40592157"/>
    <w:rsid w:val="406E1CAE"/>
    <w:rsid w:val="40A0133A"/>
    <w:rsid w:val="40B530C4"/>
    <w:rsid w:val="40C31A53"/>
    <w:rsid w:val="40C70712"/>
    <w:rsid w:val="40FF545D"/>
    <w:rsid w:val="410067C8"/>
    <w:rsid w:val="411F0533"/>
    <w:rsid w:val="418F0D2A"/>
    <w:rsid w:val="419034F1"/>
    <w:rsid w:val="41921B42"/>
    <w:rsid w:val="419B49AF"/>
    <w:rsid w:val="41D01505"/>
    <w:rsid w:val="41D21EC1"/>
    <w:rsid w:val="41EE2D31"/>
    <w:rsid w:val="41F93484"/>
    <w:rsid w:val="41F95062"/>
    <w:rsid w:val="42474939"/>
    <w:rsid w:val="424C3C57"/>
    <w:rsid w:val="42613FF3"/>
    <w:rsid w:val="42660D96"/>
    <w:rsid w:val="428667D2"/>
    <w:rsid w:val="429C0C25"/>
    <w:rsid w:val="42B1494A"/>
    <w:rsid w:val="42CA38FC"/>
    <w:rsid w:val="42CD1CE0"/>
    <w:rsid w:val="42D727D3"/>
    <w:rsid w:val="42D9578F"/>
    <w:rsid w:val="42E1381E"/>
    <w:rsid w:val="42ED6459"/>
    <w:rsid w:val="42FE33C9"/>
    <w:rsid w:val="42FE58DD"/>
    <w:rsid w:val="43065E58"/>
    <w:rsid w:val="43174B3D"/>
    <w:rsid w:val="434B790E"/>
    <w:rsid w:val="4360274F"/>
    <w:rsid w:val="436074C4"/>
    <w:rsid w:val="43802C03"/>
    <w:rsid w:val="43977AB6"/>
    <w:rsid w:val="43A3342B"/>
    <w:rsid w:val="43C77C27"/>
    <w:rsid w:val="43DB20E4"/>
    <w:rsid w:val="43DE09EE"/>
    <w:rsid w:val="44002FAD"/>
    <w:rsid w:val="441B764E"/>
    <w:rsid w:val="4479751F"/>
    <w:rsid w:val="449101DD"/>
    <w:rsid w:val="44DE1391"/>
    <w:rsid w:val="44E75C60"/>
    <w:rsid w:val="451B225C"/>
    <w:rsid w:val="452410C9"/>
    <w:rsid w:val="45317DFB"/>
    <w:rsid w:val="455E1F7C"/>
    <w:rsid w:val="45605CF4"/>
    <w:rsid w:val="45616D69"/>
    <w:rsid w:val="456D3CE4"/>
    <w:rsid w:val="45701CAF"/>
    <w:rsid w:val="4579042C"/>
    <w:rsid w:val="457B37B3"/>
    <w:rsid w:val="457F0571"/>
    <w:rsid w:val="45851176"/>
    <w:rsid w:val="45B65E71"/>
    <w:rsid w:val="45C63B94"/>
    <w:rsid w:val="45D65FB6"/>
    <w:rsid w:val="460E7DA5"/>
    <w:rsid w:val="4628284A"/>
    <w:rsid w:val="46422483"/>
    <w:rsid w:val="4647199E"/>
    <w:rsid w:val="464C40B9"/>
    <w:rsid w:val="4659254A"/>
    <w:rsid w:val="465B0637"/>
    <w:rsid w:val="465E3F0D"/>
    <w:rsid w:val="466A16E6"/>
    <w:rsid w:val="467A1037"/>
    <w:rsid w:val="46893F2B"/>
    <w:rsid w:val="46B72338"/>
    <w:rsid w:val="46C4686E"/>
    <w:rsid w:val="47156B58"/>
    <w:rsid w:val="477B778F"/>
    <w:rsid w:val="478203EC"/>
    <w:rsid w:val="47B025FA"/>
    <w:rsid w:val="4809698F"/>
    <w:rsid w:val="480C3F11"/>
    <w:rsid w:val="4811697D"/>
    <w:rsid w:val="4812283E"/>
    <w:rsid w:val="4836049D"/>
    <w:rsid w:val="487230E1"/>
    <w:rsid w:val="487A3E25"/>
    <w:rsid w:val="488B5503"/>
    <w:rsid w:val="48937E21"/>
    <w:rsid w:val="489A0361"/>
    <w:rsid w:val="489D7C35"/>
    <w:rsid w:val="48A653A7"/>
    <w:rsid w:val="48B94FF3"/>
    <w:rsid w:val="48C4659A"/>
    <w:rsid w:val="48D82443"/>
    <w:rsid w:val="48E1714C"/>
    <w:rsid w:val="48E37AAB"/>
    <w:rsid w:val="48F9135C"/>
    <w:rsid w:val="48FD4B4C"/>
    <w:rsid w:val="48FD77BB"/>
    <w:rsid w:val="490A68E0"/>
    <w:rsid w:val="491055FE"/>
    <w:rsid w:val="49115557"/>
    <w:rsid w:val="492002C5"/>
    <w:rsid w:val="493D634C"/>
    <w:rsid w:val="495F5B3E"/>
    <w:rsid w:val="496F77D7"/>
    <w:rsid w:val="497654FD"/>
    <w:rsid w:val="49892E51"/>
    <w:rsid w:val="498C1E3F"/>
    <w:rsid w:val="49B64211"/>
    <w:rsid w:val="49F6167F"/>
    <w:rsid w:val="4A032B66"/>
    <w:rsid w:val="4A064FA0"/>
    <w:rsid w:val="4A0A26D2"/>
    <w:rsid w:val="4A16615C"/>
    <w:rsid w:val="4A1A0F09"/>
    <w:rsid w:val="4A1B043B"/>
    <w:rsid w:val="4A365779"/>
    <w:rsid w:val="4A4424D7"/>
    <w:rsid w:val="4A565766"/>
    <w:rsid w:val="4A5971B6"/>
    <w:rsid w:val="4A7E7A76"/>
    <w:rsid w:val="4A9E5367"/>
    <w:rsid w:val="4AA2007C"/>
    <w:rsid w:val="4AAB5F38"/>
    <w:rsid w:val="4AAE7B89"/>
    <w:rsid w:val="4AB82D0F"/>
    <w:rsid w:val="4AC26649"/>
    <w:rsid w:val="4AE64290"/>
    <w:rsid w:val="4AEB7664"/>
    <w:rsid w:val="4AED7781"/>
    <w:rsid w:val="4AF34F14"/>
    <w:rsid w:val="4AFD3FE5"/>
    <w:rsid w:val="4AFD7C19"/>
    <w:rsid w:val="4B0567D1"/>
    <w:rsid w:val="4B0E747A"/>
    <w:rsid w:val="4B236AAE"/>
    <w:rsid w:val="4B412124"/>
    <w:rsid w:val="4B707271"/>
    <w:rsid w:val="4B8D2F5C"/>
    <w:rsid w:val="4B9739F7"/>
    <w:rsid w:val="4B9A27B6"/>
    <w:rsid w:val="4BB604C9"/>
    <w:rsid w:val="4BBF5506"/>
    <w:rsid w:val="4BC0573E"/>
    <w:rsid w:val="4BEE2503"/>
    <w:rsid w:val="4C245A30"/>
    <w:rsid w:val="4C281285"/>
    <w:rsid w:val="4C352698"/>
    <w:rsid w:val="4CB6685F"/>
    <w:rsid w:val="4CC367FE"/>
    <w:rsid w:val="4D077F3C"/>
    <w:rsid w:val="4D123355"/>
    <w:rsid w:val="4D2A3B31"/>
    <w:rsid w:val="4D312C52"/>
    <w:rsid w:val="4D475CA8"/>
    <w:rsid w:val="4D702327"/>
    <w:rsid w:val="4D82012B"/>
    <w:rsid w:val="4D905305"/>
    <w:rsid w:val="4D964A72"/>
    <w:rsid w:val="4D9B1643"/>
    <w:rsid w:val="4D9C1254"/>
    <w:rsid w:val="4DB1031F"/>
    <w:rsid w:val="4DB52955"/>
    <w:rsid w:val="4DCB4CA4"/>
    <w:rsid w:val="4DD21759"/>
    <w:rsid w:val="4DD55028"/>
    <w:rsid w:val="4DF63804"/>
    <w:rsid w:val="4DFF11DE"/>
    <w:rsid w:val="4E083A40"/>
    <w:rsid w:val="4E1B207A"/>
    <w:rsid w:val="4E28680F"/>
    <w:rsid w:val="4E5E768F"/>
    <w:rsid w:val="4E793892"/>
    <w:rsid w:val="4E800872"/>
    <w:rsid w:val="4E90715E"/>
    <w:rsid w:val="4EB20454"/>
    <w:rsid w:val="4EBB7A56"/>
    <w:rsid w:val="4EC569ED"/>
    <w:rsid w:val="4ED50EA1"/>
    <w:rsid w:val="4EEC050C"/>
    <w:rsid w:val="4EEE3BC3"/>
    <w:rsid w:val="4F022BC1"/>
    <w:rsid w:val="4F104EC3"/>
    <w:rsid w:val="4F47354A"/>
    <w:rsid w:val="4F62571C"/>
    <w:rsid w:val="4F911C54"/>
    <w:rsid w:val="4F9A62A6"/>
    <w:rsid w:val="4FC5018F"/>
    <w:rsid w:val="4FE625E0"/>
    <w:rsid w:val="5021480F"/>
    <w:rsid w:val="5058544D"/>
    <w:rsid w:val="5076676F"/>
    <w:rsid w:val="50962ECB"/>
    <w:rsid w:val="50A42E38"/>
    <w:rsid w:val="50A4577F"/>
    <w:rsid w:val="50B73D1F"/>
    <w:rsid w:val="50BD5BC9"/>
    <w:rsid w:val="50C11EEE"/>
    <w:rsid w:val="50E905CA"/>
    <w:rsid w:val="50E97CFC"/>
    <w:rsid w:val="50EF43D0"/>
    <w:rsid w:val="50FA4028"/>
    <w:rsid w:val="510D65B7"/>
    <w:rsid w:val="511157AB"/>
    <w:rsid w:val="51256043"/>
    <w:rsid w:val="512E2A8A"/>
    <w:rsid w:val="5142540C"/>
    <w:rsid w:val="516A07DB"/>
    <w:rsid w:val="518832C8"/>
    <w:rsid w:val="518B42B6"/>
    <w:rsid w:val="519D3C50"/>
    <w:rsid w:val="519D6B66"/>
    <w:rsid w:val="51A0432A"/>
    <w:rsid w:val="51A4340C"/>
    <w:rsid w:val="51A86090"/>
    <w:rsid w:val="51A90A23"/>
    <w:rsid w:val="51B7396D"/>
    <w:rsid w:val="51CC6EC2"/>
    <w:rsid w:val="52171E30"/>
    <w:rsid w:val="52263AC6"/>
    <w:rsid w:val="522916A8"/>
    <w:rsid w:val="522956BF"/>
    <w:rsid w:val="522E4CC3"/>
    <w:rsid w:val="5244713B"/>
    <w:rsid w:val="52615633"/>
    <w:rsid w:val="526F4DE4"/>
    <w:rsid w:val="528F19C6"/>
    <w:rsid w:val="529214B7"/>
    <w:rsid w:val="52977FD4"/>
    <w:rsid w:val="529813CF"/>
    <w:rsid w:val="52A25790"/>
    <w:rsid w:val="52A96B6F"/>
    <w:rsid w:val="52B45975"/>
    <w:rsid w:val="52D753D2"/>
    <w:rsid w:val="52D94AA4"/>
    <w:rsid w:val="52EA3A62"/>
    <w:rsid w:val="52EC0BF4"/>
    <w:rsid w:val="52F50BB8"/>
    <w:rsid w:val="53097272"/>
    <w:rsid w:val="533A2C81"/>
    <w:rsid w:val="53544462"/>
    <w:rsid w:val="53591FD4"/>
    <w:rsid w:val="5397158E"/>
    <w:rsid w:val="53F817ED"/>
    <w:rsid w:val="54013861"/>
    <w:rsid w:val="540208BE"/>
    <w:rsid w:val="540F3ADB"/>
    <w:rsid w:val="543C16DA"/>
    <w:rsid w:val="5444720F"/>
    <w:rsid w:val="54487265"/>
    <w:rsid w:val="544D6070"/>
    <w:rsid w:val="54605E1E"/>
    <w:rsid w:val="54613836"/>
    <w:rsid w:val="54B3506A"/>
    <w:rsid w:val="54CA0D16"/>
    <w:rsid w:val="54DD4057"/>
    <w:rsid w:val="54E7490F"/>
    <w:rsid w:val="550764A4"/>
    <w:rsid w:val="550B2BF6"/>
    <w:rsid w:val="550F3998"/>
    <w:rsid w:val="55214EB5"/>
    <w:rsid w:val="55364EFD"/>
    <w:rsid w:val="555D4828"/>
    <w:rsid w:val="557A4C8B"/>
    <w:rsid w:val="558931E1"/>
    <w:rsid w:val="55923347"/>
    <w:rsid w:val="55925180"/>
    <w:rsid w:val="55983B1B"/>
    <w:rsid w:val="55A8376B"/>
    <w:rsid w:val="55AF1B1C"/>
    <w:rsid w:val="55B611EB"/>
    <w:rsid w:val="55DC29B6"/>
    <w:rsid w:val="55DD4241"/>
    <w:rsid w:val="55E262B1"/>
    <w:rsid w:val="55F85AD5"/>
    <w:rsid w:val="562763BA"/>
    <w:rsid w:val="565A18B0"/>
    <w:rsid w:val="566B6D1E"/>
    <w:rsid w:val="56892BD1"/>
    <w:rsid w:val="56990EDA"/>
    <w:rsid w:val="56A51578"/>
    <w:rsid w:val="56CC38D1"/>
    <w:rsid w:val="57032A2C"/>
    <w:rsid w:val="570F5219"/>
    <w:rsid w:val="571E4796"/>
    <w:rsid w:val="575D12B5"/>
    <w:rsid w:val="57610A87"/>
    <w:rsid w:val="576178A6"/>
    <w:rsid w:val="577B1140"/>
    <w:rsid w:val="577B7F21"/>
    <w:rsid w:val="577F181B"/>
    <w:rsid w:val="57921984"/>
    <w:rsid w:val="579737F0"/>
    <w:rsid w:val="579B49ED"/>
    <w:rsid w:val="57A35F14"/>
    <w:rsid w:val="57AB7B30"/>
    <w:rsid w:val="57AF5251"/>
    <w:rsid w:val="57B26373"/>
    <w:rsid w:val="57B63F04"/>
    <w:rsid w:val="57CD20C2"/>
    <w:rsid w:val="57D675AB"/>
    <w:rsid w:val="57D73717"/>
    <w:rsid w:val="57D95FDD"/>
    <w:rsid w:val="57E22784"/>
    <w:rsid w:val="57E82409"/>
    <w:rsid w:val="58160876"/>
    <w:rsid w:val="587C3B8A"/>
    <w:rsid w:val="58900246"/>
    <w:rsid w:val="58917D2F"/>
    <w:rsid w:val="5894085C"/>
    <w:rsid w:val="58AE4F0C"/>
    <w:rsid w:val="58B033C6"/>
    <w:rsid w:val="58B716A6"/>
    <w:rsid w:val="58B85899"/>
    <w:rsid w:val="58C15992"/>
    <w:rsid w:val="58E363A9"/>
    <w:rsid w:val="58EF598F"/>
    <w:rsid w:val="59166304"/>
    <w:rsid w:val="59372DB8"/>
    <w:rsid w:val="595E1678"/>
    <w:rsid w:val="59645A89"/>
    <w:rsid w:val="596D5BD4"/>
    <w:rsid w:val="597332A9"/>
    <w:rsid w:val="597436C4"/>
    <w:rsid w:val="5978041C"/>
    <w:rsid w:val="597E3DD8"/>
    <w:rsid w:val="59A0672C"/>
    <w:rsid w:val="59AC5554"/>
    <w:rsid w:val="59B352CD"/>
    <w:rsid w:val="59EF245F"/>
    <w:rsid w:val="59F80043"/>
    <w:rsid w:val="5A09252F"/>
    <w:rsid w:val="5A0B2778"/>
    <w:rsid w:val="5A2A7C7B"/>
    <w:rsid w:val="5A3E2560"/>
    <w:rsid w:val="5A5D3B6E"/>
    <w:rsid w:val="5A637A76"/>
    <w:rsid w:val="5A694668"/>
    <w:rsid w:val="5A6D33BA"/>
    <w:rsid w:val="5A762C88"/>
    <w:rsid w:val="5A792B1F"/>
    <w:rsid w:val="5A874767"/>
    <w:rsid w:val="5AA85BE2"/>
    <w:rsid w:val="5AAD6F28"/>
    <w:rsid w:val="5AB07062"/>
    <w:rsid w:val="5AC0437F"/>
    <w:rsid w:val="5AD63A24"/>
    <w:rsid w:val="5AEB1E12"/>
    <w:rsid w:val="5B2E1A1D"/>
    <w:rsid w:val="5B547D1D"/>
    <w:rsid w:val="5B5601F4"/>
    <w:rsid w:val="5B5E0B79"/>
    <w:rsid w:val="5B843A1C"/>
    <w:rsid w:val="5B873E3F"/>
    <w:rsid w:val="5BBB1A7E"/>
    <w:rsid w:val="5BEA4CF5"/>
    <w:rsid w:val="5BF1724E"/>
    <w:rsid w:val="5C02690E"/>
    <w:rsid w:val="5C146F5E"/>
    <w:rsid w:val="5C196DA7"/>
    <w:rsid w:val="5C2A048C"/>
    <w:rsid w:val="5C4A5F64"/>
    <w:rsid w:val="5C80234E"/>
    <w:rsid w:val="5C8A680C"/>
    <w:rsid w:val="5CB541B6"/>
    <w:rsid w:val="5CD21A5C"/>
    <w:rsid w:val="5CF76771"/>
    <w:rsid w:val="5CFA1A85"/>
    <w:rsid w:val="5D0C4701"/>
    <w:rsid w:val="5D0F0395"/>
    <w:rsid w:val="5D1B2CA8"/>
    <w:rsid w:val="5D221076"/>
    <w:rsid w:val="5D2B1F4F"/>
    <w:rsid w:val="5D2C42B6"/>
    <w:rsid w:val="5D39559B"/>
    <w:rsid w:val="5D397964"/>
    <w:rsid w:val="5D562BB6"/>
    <w:rsid w:val="5D5A391C"/>
    <w:rsid w:val="5D5B5CB9"/>
    <w:rsid w:val="5D5F10C0"/>
    <w:rsid w:val="5D794F45"/>
    <w:rsid w:val="5D891B7B"/>
    <w:rsid w:val="5DA75383"/>
    <w:rsid w:val="5DAD38EE"/>
    <w:rsid w:val="5DB524FD"/>
    <w:rsid w:val="5DDE1A54"/>
    <w:rsid w:val="5E006862"/>
    <w:rsid w:val="5E0207B9"/>
    <w:rsid w:val="5E1834A1"/>
    <w:rsid w:val="5E261785"/>
    <w:rsid w:val="5E4A7017"/>
    <w:rsid w:val="5E552BBA"/>
    <w:rsid w:val="5E611C10"/>
    <w:rsid w:val="5E762B94"/>
    <w:rsid w:val="5E7A0F3F"/>
    <w:rsid w:val="5EDD7F5D"/>
    <w:rsid w:val="5EF37781"/>
    <w:rsid w:val="5EFA28BD"/>
    <w:rsid w:val="5EFC7377"/>
    <w:rsid w:val="5F06174D"/>
    <w:rsid w:val="5F3A3602"/>
    <w:rsid w:val="5F45733B"/>
    <w:rsid w:val="5F6277C6"/>
    <w:rsid w:val="5F637C1F"/>
    <w:rsid w:val="5F6D0B1D"/>
    <w:rsid w:val="5F7B6E87"/>
    <w:rsid w:val="5F8D0B82"/>
    <w:rsid w:val="5FCC5339"/>
    <w:rsid w:val="5FE34A5B"/>
    <w:rsid w:val="5FF94273"/>
    <w:rsid w:val="5FFE1E36"/>
    <w:rsid w:val="60232584"/>
    <w:rsid w:val="60252844"/>
    <w:rsid w:val="605B7A0D"/>
    <w:rsid w:val="605F4B84"/>
    <w:rsid w:val="607330CE"/>
    <w:rsid w:val="607A5019"/>
    <w:rsid w:val="60813A22"/>
    <w:rsid w:val="60825176"/>
    <w:rsid w:val="608A419C"/>
    <w:rsid w:val="608A5EC3"/>
    <w:rsid w:val="609F2AC4"/>
    <w:rsid w:val="60B82A30"/>
    <w:rsid w:val="60C330AE"/>
    <w:rsid w:val="60E0295D"/>
    <w:rsid w:val="60FA2EE8"/>
    <w:rsid w:val="61054A27"/>
    <w:rsid w:val="61073070"/>
    <w:rsid w:val="610A52BC"/>
    <w:rsid w:val="610C0686"/>
    <w:rsid w:val="611A2082"/>
    <w:rsid w:val="611D2366"/>
    <w:rsid w:val="613C10ED"/>
    <w:rsid w:val="6141056D"/>
    <w:rsid w:val="61421856"/>
    <w:rsid w:val="615227C4"/>
    <w:rsid w:val="61551709"/>
    <w:rsid w:val="615E238B"/>
    <w:rsid w:val="61654E3F"/>
    <w:rsid w:val="6182292A"/>
    <w:rsid w:val="619F0B73"/>
    <w:rsid w:val="619F7F92"/>
    <w:rsid w:val="61C15914"/>
    <w:rsid w:val="61C807BC"/>
    <w:rsid w:val="61E81EE3"/>
    <w:rsid w:val="61F03696"/>
    <w:rsid w:val="61F94C26"/>
    <w:rsid w:val="62000E56"/>
    <w:rsid w:val="62043966"/>
    <w:rsid w:val="62112765"/>
    <w:rsid w:val="621912AD"/>
    <w:rsid w:val="6228716A"/>
    <w:rsid w:val="624F3E49"/>
    <w:rsid w:val="6254620F"/>
    <w:rsid w:val="62632286"/>
    <w:rsid w:val="627961EF"/>
    <w:rsid w:val="627B1F67"/>
    <w:rsid w:val="62885958"/>
    <w:rsid w:val="629F538A"/>
    <w:rsid w:val="62F31C3F"/>
    <w:rsid w:val="62F40B65"/>
    <w:rsid w:val="62F6339C"/>
    <w:rsid w:val="62FC2CFE"/>
    <w:rsid w:val="63024505"/>
    <w:rsid w:val="63027F93"/>
    <w:rsid w:val="630737FB"/>
    <w:rsid w:val="635600A5"/>
    <w:rsid w:val="635B0463"/>
    <w:rsid w:val="635B1DB5"/>
    <w:rsid w:val="636E5628"/>
    <w:rsid w:val="63711FED"/>
    <w:rsid w:val="63880DDC"/>
    <w:rsid w:val="638D750D"/>
    <w:rsid w:val="63AC6CC0"/>
    <w:rsid w:val="63B07EEF"/>
    <w:rsid w:val="63E84000"/>
    <w:rsid w:val="64055776"/>
    <w:rsid w:val="64240056"/>
    <w:rsid w:val="642E5AB4"/>
    <w:rsid w:val="64394CBF"/>
    <w:rsid w:val="643E143A"/>
    <w:rsid w:val="64491666"/>
    <w:rsid w:val="648B6EEF"/>
    <w:rsid w:val="64925D9F"/>
    <w:rsid w:val="649536C6"/>
    <w:rsid w:val="64C158BF"/>
    <w:rsid w:val="64CE2EAA"/>
    <w:rsid w:val="64EA7F45"/>
    <w:rsid w:val="65294F03"/>
    <w:rsid w:val="653308D7"/>
    <w:rsid w:val="653C3090"/>
    <w:rsid w:val="655B2F90"/>
    <w:rsid w:val="655F0EAE"/>
    <w:rsid w:val="657B402C"/>
    <w:rsid w:val="658347D1"/>
    <w:rsid w:val="65853702"/>
    <w:rsid w:val="65854376"/>
    <w:rsid w:val="658767BE"/>
    <w:rsid w:val="658820E9"/>
    <w:rsid w:val="65892531"/>
    <w:rsid w:val="65B57B97"/>
    <w:rsid w:val="65DE26ED"/>
    <w:rsid w:val="65E41BD1"/>
    <w:rsid w:val="660D3E2D"/>
    <w:rsid w:val="66183441"/>
    <w:rsid w:val="66195831"/>
    <w:rsid w:val="661B0E4D"/>
    <w:rsid w:val="66205116"/>
    <w:rsid w:val="662D5327"/>
    <w:rsid w:val="662E75B1"/>
    <w:rsid w:val="663012BB"/>
    <w:rsid w:val="66342C2E"/>
    <w:rsid w:val="663E784C"/>
    <w:rsid w:val="665A00E6"/>
    <w:rsid w:val="66805E20"/>
    <w:rsid w:val="668B6A45"/>
    <w:rsid w:val="66CB16E9"/>
    <w:rsid w:val="66D61807"/>
    <w:rsid w:val="66F96425"/>
    <w:rsid w:val="67194F69"/>
    <w:rsid w:val="672F3F24"/>
    <w:rsid w:val="673E055F"/>
    <w:rsid w:val="6751439C"/>
    <w:rsid w:val="67551CE3"/>
    <w:rsid w:val="67632F3A"/>
    <w:rsid w:val="67A22552"/>
    <w:rsid w:val="67B22DCC"/>
    <w:rsid w:val="67BE71AA"/>
    <w:rsid w:val="67D90273"/>
    <w:rsid w:val="67DE5875"/>
    <w:rsid w:val="67E55852"/>
    <w:rsid w:val="67EA7CCE"/>
    <w:rsid w:val="67EB1AB4"/>
    <w:rsid w:val="67ED7463"/>
    <w:rsid w:val="67FA1285"/>
    <w:rsid w:val="684E345F"/>
    <w:rsid w:val="68551F4F"/>
    <w:rsid w:val="687C10C9"/>
    <w:rsid w:val="68840C16"/>
    <w:rsid w:val="68866387"/>
    <w:rsid w:val="68876EFB"/>
    <w:rsid w:val="68884654"/>
    <w:rsid w:val="689F444F"/>
    <w:rsid w:val="68B96DBB"/>
    <w:rsid w:val="68BA3DE1"/>
    <w:rsid w:val="68CA2805"/>
    <w:rsid w:val="68D0468F"/>
    <w:rsid w:val="68D27724"/>
    <w:rsid w:val="68E937A3"/>
    <w:rsid w:val="690E7641"/>
    <w:rsid w:val="693E15D3"/>
    <w:rsid w:val="69407A67"/>
    <w:rsid w:val="69482477"/>
    <w:rsid w:val="695B6585"/>
    <w:rsid w:val="69627681"/>
    <w:rsid w:val="6977531D"/>
    <w:rsid w:val="69990490"/>
    <w:rsid w:val="69C4359B"/>
    <w:rsid w:val="69CC2BFF"/>
    <w:rsid w:val="69DC778F"/>
    <w:rsid w:val="69F30635"/>
    <w:rsid w:val="69FD55B8"/>
    <w:rsid w:val="6A0B1C62"/>
    <w:rsid w:val="6A2406C8"/>
    <w:rsid w:val="6A7554EE"/>
    <w:rsid w:val="6AA43E1A"/>
    <w:rsid w:val="6AAB0F10"/>
    <w:rsid w:val="6AB003A8"/>
    <w:rsid w:val="6AB50B02"/>
    <w:rsid w:val="6ADE0BD1"/>
    <w:rsid w:val="6AE96859"/>
    <w:rsid w:val="6AED1528"/>
    <w:rsid w:val="6B147746"/>
    <w:rsid w:val="6B24787C"/>
    <w:rsid w:val="6B4A1675"/>
    <w:rsid w:val="6B573233"/>
    <w:rsid w:val="6B5B6274"/>
    <w:rsid w:val="6B847F5E"/>
    <w:rsid w:val="6B935D53"/>
    <w:rsid w:val="6BC81E18"/>
    <w:rsid w:val="6C196F71"/>
    <w:rsid w:val="6C226FCB"/>
    <w:rsid w:val="6C2B5723"/>
    <w:rsid w:val="6C31226F"/>
    <w:rsid w:val="6C552F0B"/>
    <w:rsid w:val="6C700663"/>
    <w:rsid w:val="6C8C67B7"/>
    <w:rsid w:val="6C9D744C"/>
    <w:rsid w:val="6D080A78"/>
    <w:rsid w:val="6D167928"/>
    <w:rsid w:val="6D1A237D"/>
    <w:rsid w:val="6D26299B"/>
    <w:rsid w:val="6D4037C7"/>
    <w:rsid w:val="6D4772EC"/>
    <w:rsid w:val="6D5076EA"/>
    <w:rsid w:val="6D8228B3"/>
    <w:rsid w:val="6D9078AF"/>
    <w:rsid w:val="6DA00AD4"/>
    <w:rsid w:val="6DA0348B"/>
    <w:rsid w:val="6DAA3FEF"/>
    <w:rsid w:val="6DB12CE1"/>
    <w:rsid w:val="6DC0172B"/>
    <w:rsid w:val="6DC87E48"/>
    <w:rsid w:val="6DCB690C"/>
    <w:rsid w:val="6DCE5641"/>
    <w:rsid w:val="6DCF4A21"/>
    <w:rsid w:val="6DD41A5B"/>
    <w:rsid w:val="6DE12E9C"/>
    <w:rsid w:val="6DF43C2E"/>
    <w:rsid w:val="6DF51CA3"/>
    <w:rsid w:val="6E191184"/>
    <w:rsid w:val="6E3D53ED"/>
    <w:rsid w:val="6E8335BD"/>
    <w:rsid w:val="6E8E12EF"/>
    <w:rsid w:val="6E972936"/>
    <w:rsid w:val="6EB40202"/>
    <w:rsid w:val="6ED446C5"/>
    <w:rsid w:val="6F130D38"/>
    <w:rsid w:val="6F2A7D94"/>
    <w:rsid w:val="6F491927"/>
    <w:rsid w:val="6F79782E"/>
    <w:rsid w:val="6F8331F1"/>
    <w:rsid w:val="6FA01CFF"/>
    <w:rsid w:val="6FAE1A09"/>
    <w:rsid w:val="6FC564EC"/>
    <w:rsid w:val="6FCE7B7A"/>
    <w:rsid w:val="6FD75BF8"/>
    <w:rsid w:val="6FD76303"/>
    <w:rsid w:val="6FF922DA"/>
    <w:rsid w:val="700D583A"/>
    <w:rsid w:val="704020FA"/>
    <w:rsid w:val="70505B3A"/>
    <w:rsid w:val="707723D0"/>
    <w:rsid w:val="708F2CC4"/>
    <w:rsid w:val="70961D03"/>
    <w:rsid w:val="70B9559C"/>
    <w:rsid w:val="70D2369A"/>
    <w:rsid w:val="70F5661B"/>
    <w:rsid w:val="71125845"/>
    <w:rsid w:val="71357CB6"/>
    <w:rsid w:val="71360107"/>
    <w:rsid w:val="713B688E"/>
    <w:rsid w:val="714A4C8C"/>
    <w:rsid w:val="716342F2"/>
    <w:rsid w:val="71A6677C"/>
    <w:rsid w:val="71AF1970"/>
    <w:rsid w:val="71D43752"/>
    <w:rsid w:val="71F1796A"/>
    <w:rsid w:val="72154626"/>
    <w:rsid w:val="72262B5D"/>
    <w:rsid w:val="72283FF7"/>
    <w:rsid w:val="722E7212"/>
    <w:rsid w:val="7232489D"/>
    <w:rsid w:val="723A0474"/>
    <w:rsid w:val="725923E4"/>
    <w:rsid w:val="7262796D"/>
    <w:rsid w:val="72773728"/>
    <w:rsid w:val="72864BF7"/>
    <w:rsid w:val="729023FC"/>
    <w:rsid w:val="72F25F5A"/>
    <w:rsid w:val="733803EB"/>
    <w:rsid w:val="735A1831"/>
    <w:rsid w:val="739376ED"/>
    <w:rsid w:val="73B015F5"/>
    <w:rsid w:val="73C0646E"/>
    <w:rsid w:val="73CB43D1"/>
    <w:rsid w:val="742222F5"/>
    <w:rsid w:val="74476126"/>
    <w:rsid w:val="74706664"/>
    <w:rsid w:val="747F3682"/>
    <w:rsid w:val="74930F19"/>
    <w:rsid w:val="749C4185"/>
    <w:rsid w:val="74A16D28"/>
    <w:rsid w:val="74B801CE"/>
    <w:rsid w:val="74D04DC6"/>
    <w:rsid w:val="74F45691"/>
    <w:rsid w:val="75067759"/>
    <w:rsid w:val="75153B55"/>
    <w:rsid w:val="752E6DCD"/>
    <w:rsid w:val="7551380D"/>
    <w:rsid w:val="75600BE5"/>
    <w:rsid w:val="7564475C"/>
    <w:rsid w:val="757E5B9F"/>
    <w:rsid w:val="757F6616"/>
    <w:rsid w:val="7583797F"/>
    <w:rsid w:val="75917B29"/>
    <w:rsid w:val="75B74C0D"/>
    <w:rsid w:val="75B92F09"/>
    <w:rsid w:val="75C01326"/>
    <w:rsid w:val="75CC1203"/>
    <w:rsid w:val="75D20F1D"/>
    <w:rsid w:val="75DA2C18"/>
    <w:rsid w:val="75F54412"/>
    <w:rsid w:val="760D694D"/>
    <w:rsid w:val="761D08E0"/>
    <w:rsid w:val="76592EEE"/>
    <w:rsid w:val="765D347C"/>
    <w:rsid w:val="76607052"/>
    <w:rsid w:val="766755D0"/>
    <w:rsid w:val="76826699"/>
    <w:rsid w:val="76A870A5"/>
    <w:rsid w:val="76BD00E5"/>
    <w:rsid w:val="76C87133"/>
    <w:rsid w:val="76CD08D5"/>
    <w:rsid w:val="76DB4B92"/>
    <w:rsid w:val="77052AA4"/>
    <w:rsid w:val="77136511"/>
    <w:rsid w:val="77170059"/>
    <w:rsid w:val="77340A39"/>
    <w:rsid w:val="77351FD0"/>
    <w:rsid w:val="77393902"/>
    <w:rsid w:val="773E6363"/>
    <w:rsid w:val="7744462F"/>
    <w:rsid w:val="77472422"/>
    <w:rsid w:val="777F31F2"/>
    <w:rsid w:val="77A40B0C"/>
    <w:rsid w:val="77C6261E"/>
    <w:rsid w:val="77CD629B"/>
    <w:rsid w:val="77D1700D"/>
    <w:rsid w:val="77D31AA6"/>
    <w:rsid w:val="77E44E04"/>
    <w:rsid w:val="77EC04CC"/>
    <w:rsid w:val="78075902"/>
    <w:rsid w:val="784F55D0"/>
    <w:rsid w:val="78775729"/>
    <w:rsid w:val="788D60F9"/>
    <w:rsid w:val="789B20FA"/>
    <w:rsid w:val="78A42DB0"/>
    <w:rsid w:val="78A656AB"/>
    <w:rsid w:val="78B2245C"/>
    <w:rsid w:val="78B81351"/>
    <w:rsid w:val="78E172CC"/>
    <w:rsid w:val="78EA1D1F"/>
    <w:rsid w:val="7904172F"/>
    <w:rsid w:val="790C1713"/>
    <w:rsid w:val="790F7E27"/>
    <w:rsid w:val="79163840"/>
    <w:rsid w:val="79272A8A"/>
    <w:rsid w:val="792A231A"/>
    <w:rsid w:val="79316829"/>
    <w:rsid w:val="79340C5D"/>
    <w:rsid w:val="79441EE8"/>
    <w:rsid w:val="7956298E"/>
    <w:rsid w:val="797E66A9"/>
    <w:rsid w:val="798518A4"/>
    <w:rsid w:val="79A77132"/>
    <w:rsid w:val="79A97383"/>
    <w:rsid w:val="79DD3184"/>
    <w:rsid w:val="79E27E8B"/>
    <w:rsid w:val="79E47F9A"/>
    <w:rsid w:val="79ED50A1"/>
    <w:rsid w:val="79F850CE"/>
    <w:rsid w:val="79FD443C"/>
    <w:rsid w:val="7A1D1975"/>
    <w:rsid w:val="7A3E5150"/>
    <w:rsid w:val="7A4670D6"/>
    <w:rsid w:val="7A487BF8"/>
    <w:rsid w:val="7A490096"/>
    <w:rsid w:val="7A534B63"/>
    <w:rsid w:val="7A615382"/>
    <w:rsid w:val="7A67303B"/>
    <w:rsid w:val="7A707A80"/>
    <w:rsid w:val="7A721A4A"/>
    <w:rsid w:val="7AA51642"/>
    <w:rsid w:val="7AAB1D04"/>
    <w:rsid w:val="7ABA3349"/>
    <w:rsid w:val="7ABA4368"/>
    <w:rsid w:val="7AC57DCC"/>
    <w:rsid w:val="7AD05746"/>
    <w:rsid w:val="7B072192"/>
    <w:rsid w:val="7B0B0CDB"/>
    <w:rsid w:val="7B257FFD"/>
    <w:rsid w:val="7B343476"/>
    <w:rsid w:val="7B413A1E"/>
    <w:rsid w:val="7B5A2978"/>
    <w:rsid w:val="7B5A7E4C"/>
    <w:rsid w:val="7B667AF9"/>
    <w:rsid w:val="7B7468F8"/>
    <w:rsid w:val="7B7C5E03"/>
    <w:rsid w:val="7B9559F0"/>
    <w:rsid w:val="7BE60BC8"/>
    <w:rsid w:val="7BEE0103"/>
    <w:rsid w:val="7C0A0FE4"/>
    <w:rsid w:val="7C254906"/>
    <w:rsid w:val="7C3242A6"/>
    <w:rsid w:val="7C590818"/>
    <w:rsid w:val="7C7C10F6"/>
    <w:rsid w:val="7C853BEA"/>
    <w:rsid w:val="7C881368"/>
    <w:rsid w:val="7C8820A3"/>
    <w:rsid w:val="7CDC13FD"/>
    <w:rsid w:val="7CE27788"/>
    <w:rsid w:val="7D080444"/>
    <w:rsid w:val="7D0C32F1"/>
    <w:rsid w:val="7D0F408D"/>
    <w:rsid w:val="7D276B1C"/>
    <w:rsid w:val="7D491C6C"/>
    <w:rsid w:val="7D5429C0"/>
    <w:rsid w:val="7D6E6D43"/>
    <w:rsid w:val="7D896CEA"/>
    <w:rsid w:val="7DB57A34"/>
    <w:rsid w:val="7DE60973"/>
    <w:rsid w:val="7DE65520"/>
    <w:rsid w:val="7DEF0916"/>
    <w:rsid w:val="7E105802"/>
    <w:rsid w:val="7E1E5218"/>
    <w:rsid w:val="7E2C27CE"/>
    <w:rsid w:val="7E4C41F6"/>
    <w:rsid w:val="7E507EF1"/>
    <w:rsid w:val="7E7E6747"/>
    <w:rsid w:val="7E8946B4"/>
    <w:rsid w:val="7E947E7A"/>
    <w:rsid w:val="7E9A4E1F"/>
    <w:rsid w:val="7EA7723A"/>
    <w:rsid w:val="7EC34F75"/>
    <w:rsid w:val="7ECF1219"/>
    <w:rsid w:val="7ED755DB"/>
    <w:rsid w:val="7ED83EEB"/>
    <w:rsid w:val="7EF56FBB"/>
    <w:rsid w:val="7F064380"/>
    <w:rsid w:val="7F0768EB"/>
    <w:rsid w:val="7F143BEC"/>
    <w:rsid w:val="7F17788E"/>
    <w:rsid w:val="7F3215D4"/>
    <w:rsid w:val="7F531E4A"/>
    <w:rsid w:val="7F6477A9"/>
    <w:rsid w:val="7F715AF2"/>
    <w:rsid w:val="7F886E69"/>
    <w:rsid w:val="7F8E145F"/>
    <w:rsid w:val="7F9B734D"/>
    <w:rsid w:val="7FBC7F69"/>
    <w:rsid w:val="7FE74B3D"/>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autoRedefine/>
    <w:qFormat/>
    <w:uiPriority w:val="0"/>
    <w:pPr>
      <w:adjustRightInd/>
      <w:spacing w:after="120" w:line="240" w:lineRule="auto"/>
      <w:ind w:left="420" w:leftChars="200" w:firstLine="210"/>
    </w:pPr>
    <w:rPr>
      <w:sz w:val="21"/>
    </w:rPr>
  </w:style>
  <w:style w:type="paragraph" w:styleId="3">
    <w:name w:val="Body Text Indent"/>
    <w:basedOn w:val="1"/>
    <w:next w:val="4"/>
    <w:link w:val="265"/>
    <w:autoRedefine/>
    <w:qFormat/>
    <w:uiPriority w:val="0"/>
    <w:pPr>
      <w:spacing w:line="480" w:lineRule="exact"/>
      <w:ind w:firstLine="480" w:firstLineChars="200"/>
    </w:pPr>
    <w:rPr>
      <w:rFonts w:ascii="宋体" w:hAnsi="宋体"/>
      <w:sz w:val="24"/>
    </w:rPr>
  </w:style>
  <w:style w:type="paragraph" w:styleId="4">
    <w:name w:val="envelope return"/>
    <w:basedOn w:val="1"/>
    <w:autoRedefine/>
    <w:qFormat/>
    <w:uiPriority w:val="0"/>
    <w:pPr>
      <w:snapToGrid w:val="0"/>
    </w:pPr>
    <w:rPr>
      <w:rFonts w:ascii="Arial" w:hAnsi="Arial"/>
    </w:rPr>
  </w:style>
  <w:style w:type="paragraph" w:styleId="8">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0"/>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3"/>
    <w:autoRedefine/>
    <w:qFormat/>
    <w:uiPriority w:val="0"/>
    <w:pPr>
      <w:shd w:val="clear" w:color="auto" w:fill="000080"/>
    </w:pPr>
  </w:style>
  <w:style w:type="paragraph" w:styleId="22">
    <w:name w:val="annotation text"/>
    <w:basedOn w:val="1"/>
    <w:link w:val="344"/>
    <w:autoRedefine/>
    <w:qFormat/>
    <w:uiPriority w:val="99"/>
    <w:pPr>
      <w:jc w:val="left"/>
    </w:pPr>
  </w:style>
  <w:style w:type="paragraph" w:styleId="23">
    <w:name w:val="Salutation"/>
    <w:basedOn w:val="1"/>
    <w:next w:val="1"/>
    <w:link w:val="298"/>
    <w:autoRedefine/>
    <w:qFormat/>
    <w:uiPriority w:val="0"/>
    <w:rPr>
      <w:rFonts w:ascii="仿宋_GB2312" w:eastAsia="仿宋_GB2312"/>
      <w:sz w:val="28"/>
      <w:szCs w:val="20"/>
    </w:rPr>
  </w:style>
  <w:style w:type="paragraph" w:styleId="24">
    <w:name w:val="Body Text 3"/>
    <w:basedOn w:val="1"/>
    <w:link w:val="330"/>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1"/>
    <w:autoRedefine/>
    <w:qFormat/>
    <w:uiPriority w:val="0"/>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next w:val="1"/>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8"/>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2"/>
    <w:autoRedefine/>
    <w:qFormat/>
    <w:uiPriority w:val="0"/>
    <w:pPr>
      <w:spacing w:after="120" w:line="480" w:lineRule="auto"/>
    </w:pPr>
  </w:style>
  <w:style w:type="paragraph" w:styleId="59">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7"/>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styleId="80">
    <w:name w:val="No Spacing"/>
    <w:basedOn w:val="1"/>
    <w:link w:val="931"/>
    <w:autoRedefine/>
    <w:qFormat/>
    <w:uiPriority w:val="99"/>
    <w:rPr>
      <w:szCs w:val="22"/>
    </w:rPr>
  </w:style>
  <w:style w:type="paragraph" w:customStyle="1" w:styleId="81">
    <w:name w:val="_Style 3"/>
    <w:basedOn w:val="1"/>
    <w:autoRedefine/>
    <w:qFormat/>
    <w:uiPriority w:val="0"/>
    <w:pPr>
      <w:adjustRightInd/>
      <w:ind w:firstLine="420" w:firstLineChars="200"/>
    </w:pPr>
    <w:rPr>
      <w:rFonts w:eastAsia="仿宋_GB2312"/>
      <w:sz w:val="28"/>
    </w:rPr>
  </w:style>
  <w:style w:type="paragraph" w:styleId="8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2"/>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2"/>
    <w:autoRedefine/>
    <w:qFormat/>
    <w:uiPriority w:val="0"/>
    <w:rPr>
      <w:rFonts w:ascii="宋体" w:hAnsi="宋体"/>
      <w:kern w:val="2"/>
      <w:sz w:val="21"/>
      <w:szCs w:val="24"/>
    </w:rPr>
  </w:style>
  <w:style w:type="character" w:customStyle="1" w:styleId="123">
    <w:name w:val="font11"/>
    <w:basedOn w:val="70"/>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70"/>
    <w:autoRedefine/>
    <w:qFormat/>
    <w:uiPriority w:val="0"/>
    <w:rPr>
      <w:rFonts w:hint="eastAsia" w:ascii="仿宋_GB2312" w:eastAsia="仿宋_GB2312" w:cs="仿宋_GB2312"/>
      <w:color w:val="000000"/>
      <w:sz w:val="22"/>
      <w:szCs w:val="22"/>
      <w:u w:val="none"/>
    </w:rPr>
  </w:style>
  <w:style w:type="character" w:customStyle="1" w:styleId="148">
    <w:name w:val="标题 6 Char"/>
    <w:link w:val="11"/>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6"/>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8"/>
    <w:autoRedefine/>
    <w:qFormat/>
    <w:uiPriority w:val="0"/>
    <w:rPr>
      <w:rFonts w:ascii="宋体"/>
      <w:kern w:val="2"/>
      <w:sz w:val="24"/>
      <w:szCs w:val="21"/>
      <w:lang w:val="zh-CN"/>
    </w:rPr>
  </w:style>
  <w:style w:type="character" w:customStyle="1" w:styleId="183">
    <w:name w:val="标题 9 Char"/>
    <w:link w:val="14"/>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1"/>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1"/>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basedOn w:val="70"/>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9"/>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9"/>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82"/>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3"/>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5"/>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1"/>
    <w:autoRedefine/>
    <w:qFormat/>
    <w:uiPriority w:val="10"/>
    <w:rPr>
      <w:b/>
      <w:sz w:val="24"/>
      <w:lang w:val="en-GB"/>
    </w:rPr>
  </w:style>
  <w:style w:type="character" w:customStyle="1" w:styleId="287">
    <w:name w:val="font81"/>
    <w:basedOn w:val="70"/>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10"/>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3"/>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9"/>
    <w:autoRedefine/>
    <w:qFormat/>
    <w:uiPriority w:val="0"/>
    <w:rPr>
      <w:rFonts w:ascii="黑体" w:hAnsi="Courier New" w:eastAsia="黑体"/>
    </w:rPr>
  </w:style>
  <w:style w:type="character" w:customStyle="1" w:styleId="302">
    <w:name w:val="正文文本 2 Char1"/>
    <w:link w:val="58"/>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9"/>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2"/>
    <w:autoRedefine/>
    <w:qFormat/>
    <w:uiPriority w:val="0"/>
    <w:rPr>
      <w:b/>
      <w:bCs/>
      <w:kern w:val="2"/>
      <w:sz w:val="24"/>
      <w:szCs w:val="24"/>
    </w:rPr>
  </w:style>
  <w:style w:type="character" w:customStyle="1" w:styleId="308">
    <w:name w:val="正文文本缩进 2 Char"/>
    <w:link w:val="39"/>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7"/>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9"/>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4"/>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autoRedefine/>
    <w:qFormat/>
    <w:uiPriority w:val="0"/>
    <w:rPr>
      <w:kern w:val="2"/>
      <w:sz w:val="21"/>
      <w:szCs w:val="24"/>
    </w:rPr>
  </w:style>
  <w:style w:type="character" w:customStyle="1" w:styleId="345">
    <w:name w:val="签名 Char"/>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basedOn w:val="70"/>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2"/>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8"/>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7"/>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10"/>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5"/>
    <w:autoRedefine/>
    <w:qFormat/>
    <w:uiPriority w:val="0"/>
    <w:pPr>
      <w:tabs>
        <w:tab w:val="left" w:pos="840"/>
      </w:tabs>
      <w:adjustRightInd/>
      <w:ind w:left="840" w:hanging="420"/>
    </w:pPr>
  </w:style>
  <w:style w:type="paragraph" w:customStyle="1" w:styleId="624">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7"/>
    <w:next w:val="55"/>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1"/>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autoRedefine/>
    <w:qFormat/>
    <w:uiPriority w:val="0"/>
    <w:pPr>
      <w:tabs>
        <w:tab w:val="left" w:pos="1080"/>
      </w:tabs>
      <w:ind w:left="1080" w:hanging="1080"/>
    </w:pPr>
  </w:style>
  <w:style w:type="paragraph" w:customStyle="1" w:styleId="895">
    <w:name w:val="数字标题1"/>
    <w:basedOn w:val="5"/>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0"/>
    <w:autoRedefine/>
    <w:qFormat/>
    <w:uiPriority w:val="0"/>
    <w:rPr>
      <w:kern w:val="2"/>
      <w:sz w:val="21"/>
      <w:szCs w:val="24"/>
      <w:lang w:val="zh-CN"/>
    </w:rPr>
  </w:style>
  <w:style w:type="character" w:customStyle="1" w:styleId="931">
    <w:name w:val="无间隔 Char"/>
    <w:link w:val="80"/>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2"/>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autoRedefine/>
    <w:qFormat/>
    <w:uiPriority w:val="0"/>
    <w:pPr>
      <w:spacing w:line="318" w:lineRule="atLeast"/>
      <w:ind w:left="369" w:firstLine="369"/>
      <w:textAlignment w:val="baseline"/>
    </w:pPr>
    <w:rPr>
      <w:rFonts w:ascii="宋体"/>
      <w:szCs w:val="20"/>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autoRedefine/>
    <w:qFormat/>
    <w:uiPriority w:val="0"/>
    <w:rPr>
      <w:rFonts w:ascii="Times New Roman" w:hAnsi="Times New Roman" w:eastAsia="宋体" w:cs="Times New Roman"/>
      <w:lang w:val="en-US" w:eastAsia="zh-CN" w:bidi="ar-SA"/>
    </w:rPr>
  </w:style>
  <w:style w:type="paragraph" w:customStyle="1" w:styleId="966">
    <w:name w:val="列表段落2"/>
    <w:basedOn w:val="1"/>
    <w:autoRedefine/>
    <w:qFormat/>
    <w:uiPriority w:val="99"/>
    <w:pPr>
      <w:adjustRightInd/>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6685</Words>
  <Characters>38109</Characters>
  <Lines>317</Lines>
  <Paragraphs>89</Paragraphs>
  <TotalTime>6</TotalTime>
  <ScaleCrop>false</ScaleCrop>
  <LinksUpToDate>false</LinksUpToDate>
  <CharactersWithSpaces>44705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2024-03-20T03:32:00Z</dcterms:created>
  <dc:creator>玥</dc:creator>
  <cp:lastModifiedBy>BigBearΨ熊﹏</cp:lastModifiedBy>
  <cp:lastPrinted>2024-03-25T07:04:00Z</cp:lastPrinted>
  <dcterms:modified xsi:type="dcterms:W3CDTF">2024-03-29T02:57:10Z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4CB69A3BFB224E378E37E2F84CE789F7_13</vt:lpwstr>
  </property>
</Properties>
</file>