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bookmarkStart w:id="0" w:name="_Toc4543"/>
    </w:p>
    <w:bookmarkEnd w:id="0"/>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lang w:eastAsia="zh-CN"/>
          <w14:textFill>
            <w14:solidFill>
              <w14:schemeClr w14:val="tx1"/>
            </w14:solidFill>
          </w14:textFill>
        </w:rPr>
        <w:t>宁波大学附属第一医院外滩院区</w:t>
      </w:r>
      <w:r>
        <w:rPr>
          <w:rFonts w:hint="eastAsia" w:ascii="宋体" w:hAnsi="宋体" w:eastAsia="宋体" w:cs="宋体"/>
          <w:color w:val="000000" w:themeColor="text1"/>
          <w:sz w:val="48"/>
          <w:szCs w:val="48"/>
          <w:highlight w:val="none"/>
          <w14:textFill>
            <w14:solidFill>
              <w14:schemeClr w14:val="tx1"/>
            </w14:solidFill>
          </w14:textFill>
        </w:rPr>
        <w:t>医学检验中心合作共建运营项目</w:t>
      </w:r>
    </w:p>
    <w:p>
      <w:pPr>
        <w:adjustRightInd/>
        <w:spacing w:line="360" w:lineRule="auto"/>
        <w:jc w:val="center"/>
        <w:rPr>
          <w:rFonts w:hint="default"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w:t>
      </w:r>
      <w:r>
        <w:rPr>
          <w:rFonts w:hint="eastAsia" w:ascii="宋体" w:hAnsi="宋体" w:cs="宋体"/>
          <w:color w:val="000000" w:themeColor="text1"/>
          <w:sz w:val="30"/>
          <w:szCs w:val="30"/>
          <w:highlight w:val="none"/>
          <w:lang w:val="en-US" w:eastAsia="zh-CN"/>
          <w14:textFill>
            <w14:solidFill>
              <w14:schemeClr w14:val="tx1"/>
            </w14:solidFill>
          </w14:textFill>
        </w:rPr>
        <w:t>41011</w:t>
      </w:r>
      <w:r>
        <w:rPr>
          <w:rFonts w:hint="eastAsia" w:ascii="宋体" w:hAnsi="宋体" w:cs="宋体"/>
          <w:color w:val="000000" w:themeColor="text1"/>
          <w:sz w:val="30"/>
          <w:szCs w:val="30"/>
          <w:highlight w:val="none"/>
          <w14:textFill>
            <w14:solidFill>
              <w14:schemeClr w14:val="tx1"/>
            </w14:solidFill>
          </w14:textFill>
        </w:rPr>
        <w:t>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pStyle w:val="2"/>
      </w:pPr>
    </w:p>
    <w:p>
      <w:pPr>
        <w:pStyle w:val="63"/>
        <w:rPr>
          <w:rFonts w:ascii="宋体" w:hAnsi="宋体" w:cs="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采购人：</w:t>
      </w:r>
      <w:r>
        <w:rPr>
          <w:rFonts w:hint="eastAsia" w:ascii="宋体" w:hAnsi="宋体" w:cs="宋体"/>
          <w:bCs/>
          <w:color w:val="000000" w:themeColor="text1"/>
          <w:sz w:val="32"/>
          <w:szCs w:val="32"/>
          <w:highlight w:val="none"/>
          <w14:textFill>
            <w14:solidFill>
              <w14:schemeClr w14:val="tx1"/>
            </w14:solidFill>
          </w14:textFill>
        </w:rPr>
        <w:t>宁波</w:t>
      </w:r>
      <w:r>
        <w:rPr>
          <w:rFonts w:hint="eastAsia" w:ascii="宋体" w:hAnsi="宋体" w:cs="宋体"/>
          <w:bCs/>
          <w:color w:val="000000" w:themeColor="text1"/>
          <w:sz w:val="32"/>
          <w:szCs w:val="32"/>
          <w:highlight w:val="none"/>
          <w:lang w:val="en-US" w:eastAsia="zh-CN"/>
          <w14:textFill>
            <w14:solidFill>
              <w14:schemeClr w14:val="tx1"/>
            </w14:solidFill>
          </w14:textFill>
        </w:rPr>
        <w:t>大学附属第一医院</w:t>
      </w:r>
    </w:p>
    <w:p>
      <w:pPr>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bookmarkStart w:id="1" w:name="_Toc2466"/>
      <w:r>
        <w:rPr>
          <w:rFonts w:hint="eastAsia" w:ascii="宋体" w:hAnsi="宋体" w:eastAsia="宋体" w:cs="宋体"/>
          <w:bCs/>
          <w:color w:val="000000" w:themeColor="text1"/>
          <w:sz w:val="32"/>
          <w:szCs w:val="32"/>
          <w:highlight w:val="none"/>
          <w:lang w:val="en-US" w:eastAsia="zh-CN"/>
          <w14:textFill>
            <w14:solidFill>
              <w14:schemeClr w14:val="tx1"/>
            </w14:solidFill>
          </w14:textFill>
        </w:rPr>
        <w:t>采购代理机构：宁波中基国际招标有限公司</w:t>
      </w:r>
      <w:bookmarkEnd w:id="1"/>
    </w:p>
    <w:p>
      <w:pPr>
        <w:snapToGrid w:val="0"/>
        <w:spacing w:line="360" w:lineRule="auto"/>
        <w:jc w:val="center"/>
        <w:rPr>
          <w:rFonts w:hint="eastAsia" w:ascii="宋体" w:hAnsi="宋体" w:cs="宋体"/>
          <w:bCs/>
          <w:color w:val="000000" w:themeColor="text1"/>
          <w:sz w:val="32"/>
          <w:szCs w:val="32"/>
          <w:highlight w:val="none"/>
          <w:lang w:val="en-US" w:eastAsia="zh-CN"/>
          <w14:textFill>
            <w14:solidFill>
              <w14:schemeClr w14:val="tx1"/>
            </w14:solidFill>
          </w14:textFill>
        </w:rPr>
      </w:pP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2024</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3</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outlineLvl w:val="9"/>
        <w:rPr>
          <w:rFonts w:ascii="宋体" w:hAnsi="宋体" w:cs="宋体"/>
          <w:color w:val="000000" w:themeColor="text1"/>
          <w:sz w:val="32"/>
          <w:szCs w:val="32"/>
          <w:highlight w:val="none"/>
          <w14:textFill>
            <w14:solidFill>
              <w14:schemeClr w14:val="tx1"/>
            </w14:solidFill>
          </w14:textFill>
        </w:rPr>
      </w:pPr>
    </w:p>
    <w:sdt>
      <w:sdt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id w:val="147476114"/>
        <w15:color w:val="DBDBDB"/>
        <w:docPartObj>
          <w:docPartGallery w:val="Table of Contents"/>
          <w:docPartUnique/>
        </w:docPartObj>
      </w:sdtPr>
      <w:sdtEnd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olor w:val="000000" w:themeColor="text1"/>
              <w:sz w:val="48"/>
              <w:szCs w:val="48"/>
              <w:highlight w:val="none"/>
              <w14:textFill>
                <w14:solidFill>
                  <w14:schemeClr w14:val="tx1"/>
                </w14:solidFill>
              </w14:textFill>
            </w:rPr>
          </w:pPr>
          <w:r>
            <w:rPr>
              <w:rFonts w:ascii="宋体" w:hAnsi="宋体" w:eastAsia="宋体"/>
              <w:color w:val="000000" w:themeColor="text1"/>
              <w:sz w:val="48"/>
              <w:szCs w:val="48"/>
              <w:highlight w:val="none"/>
              <w14:textFill>
                <w14:solidFill>
                  <w14:schemeClr w14:val="tx1"/>
                </w14:solidFill>
              </w14:textFill>
            </w:rPr>
            <w:t>目</w:t>
          </w:r>
          <w:r>
            <w:rPr>
              <w:rFonts w:hint="eastAsia" w:ascii="宋体" w:hAnsi="宋体" w:eastAsia="宋体"/>
              <w:color w:val="000000" w:themeColor="text1"/>
              <w:sz w:val="48"/>
              <w:szCs w:val="48"/>
              <w:highlight w:val="none"/>
              <w:lang w:val="en-US" w:eastAsia="zh-CN"/>
              <w14:textFill>
                <w14:solidFill>
                  <w14:schemeClr w14:val="tx1"/>
                </w14:solidFill>
              </w14:textFill>
            </w:rPr>
            <w:t xml:space="preserve">  </w:t>
          </w:r>
          <w:r>
            <w:rPr>
              <w:rFonts w:ascii="宋体" w:hAnsi="宋体" w:eastAsia="宋体"/>
              <w:color w:val="000000" w:themeColor="text1"/>
              <w:sz w:val="48"/>
              <w:szCs w:val="48"/>
              <w:highlight w:val="none"/>
              <w14:textFill>
                <w14:solidFill>
                  <w14:schemeClr w14:val="tx1"/>
                </w14:solidFill>
              </w14:textFill>
            </w:rPr>
            <w:t>录</w:t>
          </w:r>
        </w:p>
        <w:p>
          <w:pPr>
            <w:pStyle w:val="63"/>
            <w:rPr>
              <w:rFonts w:ascii="宋体" w:hAnsi="宋体" w:eastAsia="宋体"/>
              <w:color w:val="000000" w:themeColor="text1"/>
              <w:sz w:val="48"/>
              <w:szCs w:val="4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_Toc32263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第一部分 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_Toc1745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第二部分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_Toc9424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第三部分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_Toc22578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第四部分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5</w:t>
          </w: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_Toc12957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拟签订的合同文本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5"/>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_Toc12182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snapToGrid/>
            <w:spacing w:line="600" w:lineRule="exac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07423"/>
      <w:bookmarkEnd w:id="6"/>
      <w:bookmarkStart w:id="7" w:name="_Hlt74649545"/>
      <w:bookmarkEnd w:id="7"/>
      <w:bookmarkStart w:id="8" w:name="_Hlt74728647"/>
      <w:bookmarkEnd w:id="8"/>
      <w:bookmarkStart w:id="9" w:name="_Hlt74729822"/>
      <w:bookmarkEnd w:id="9"/>
      <w:bookmarkStart w:id="10" w:name="_Toc15656"/>
      <w:bookmarkStart w:id="11" w:name="_Toc32263"/>
      <w:bookmarkStart w:id="12" w:name="第二部分"/>
      <w:bookmarkStart w:id="13" w:name="_Toc91899870"/>
      <w:bookmarkStart w:id="14" w:name="_Toc91899871"/>
      <w:r>
        <w:rPr>
          <w:rStyle w:val="284"/>
          <w:rFonts w:hint="eastAsia"/>
          <w:color w:val="000000" w:themeColor="text1"/>
          <w:highlight w:val="none"/>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宁波大学附属第一医院外滩院区医学检验中心合作共建运营项目</w:t>
      </w:r>
      <w:r>
        <w:rPr>
          <w:rFonts w:hint="eastAsia" w:asciiTheme="minorEastAsia" w:hAnsiTheme="minorEastAsia" w:eastAsiaTheme="minorEastAsia"/>
          <w:color w:val="000000" w:themeColor="text1"/>
          <w:sz w:val="24"/>
          <w:szCs w:val="24"/>
          <w:highlight w:val="none"/>
          <w14:textFill>
            <w14:solidFill>
              <w14:schemeClr w14:val="tx1"/>
            </w14:solidFill>
          </w14:textFill>
        </w:rPr>
        <w:t>招</w:t>
      </w:r>
      <w:r>
        <w:rPr>
          <w:rFonts w:hint="eastAsia" w:asciiTheme="minorEastAsia" w:hAnsiTheme="minorEastAsia" w:eastAsiaTheme="minorEastAsia"/>
          <w:color w:val="000000" w:themeColor="text1"/>
          <w:sz w:val="24"/>
          <w:highlight w:val="none"/>
          <w14:textFill>
            <w14:solidFill>
              <w14:schemeClr w14:val="tx1"/>
            </w14:solidFill>
          </w14:textFill>
        </w:rPr>
        <w:t>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4</w:t>
      </w:r>
      <w:r>
        <w:rPr>
          <w:rStyle w:val="7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3</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27</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09</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7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7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bookmarkStart w:id="15" w:name="_Toc23734"/>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val="0"/>
          <w:bCs/>
          <w:color w:val="000000" w:themeColor="text1"/>
          <w:sz w:val="24"/>
          <w:highlight w:val="none"/>
          <w14:textFill>
            <w14:solidFill>
              <w14:schemeClr w14:val="tx1"/>
            </w14:solidFill>
          </w14:textFill>
        </w:rPr>
        <w:t>CBNB-202</w:t>
      </w:r>
      <w:r>
        <w:rPr>
          <w:rFonts w:hint="eastAsia" w:ascii="宋体" w:hAnsi="宋体" w:cs="宋体"/>
          <w:b w:val="0"/>
          <w:bCs/>
          <w:color w:val="000000" w:themeColor="text1"/>
          <w:sz w:val="24"/>
          <w:highlight w:val="none"/>
          <w:lang w:val="en-US" w:eastAsia="zh-CN"/>
          <w14:textFill>
            <w14:solidFill>
              <w14:schemeClr w14:val="tx1"/>
            </w14:solidFill>
          </w14:textFill>
        </w:rPr>
        <w:t>41011</w:t>
      </w:r>
      <w:r>
        <w:rPr>
          <w:rFonts w:hint="eastAsia" w:ascii="宋体" w:hAnsi="宋体" w:cs="宋体"/>
          <w:b w:val="0"/>
          <w:bCs/>
          <w:color w:val="000000" w:themeColor="text1"/>
          <w:sz w:val="24"/>
          <w:highlight w:val="none"/>
          <w14:textFill>
            <w14:solidFill>
              <w14:schemeClr w14:val="tx1"/>
            </w14:solidFill>
          </w14:textFill>
        </w:rPr>
        <w:t>G </w:t>
      </w:r>
      <w:bookmarkEnd w:id="15"/>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bCs/>
          <w:color w:val="000000" w:themeColor="text1"/>
          <w:sz w:val="24"/>
          <w:szCs w:val="24"/>
          <w:highlight w:val="none"/>
          <w:u w:val="none"/>
          <w14:textFill>
            <w14:solidFill>
              <w14:schemeClr w14:val="tx1"/>
            </w14:solidFill>
          </w14:textFill>
        </w:rPr>
        <w:t>宁波大学附属第一医院外滩院区医学检验中心合作共建运营项目</w:t>
      </w:r>
    </w:p>
    <w:p>
      <w:pPr>
        <w:spacing w:line="360" w:lineRule="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 xml:space="preserve"> 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5000000.00</w:t>
      </w:r>
    </w:p>
    <w:p>
      <w:pPr>
        <w:spacing w:line="360" w:lineRule="auto"/>
        <w:ind w:firstLine="48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5000000.00</w:t>
      </w:r>
    </w:p>
    <w:p>
      <w:pPr>
        <w:pStyle w:val="2"/>
        <w:rPr>
          <w:rFonts w:hint="default"/>
          <w:b/>
          <w:bCs/>
          <w:color w:val="000000" w:themeColor="text1"/>
          <w:highlight w:val="none"/>
          <w:lang w:val="en-US" w:eastAsia="zh-CN"/>
          <w14:textFill>
            <w14:solidFill>
              <w14:schemeClr w14:val="tx1"/>
            </w14:solidFill>
          </w14:textFill>
        </w:rPr>
      </w:pPr>
      <w:r>
        <w:rPr>
          <w:rFonts w:hint="eastAsia" w:hAnsi="宋体" w:cs="宋体"/>
          <w:b/>
          <w:bCs/>
          <w:color w:val="000000" w:themeColor="text1"/>
          <w:sz w:val="24"/>
          <w:highlight w:val="none"/>
          <w:lang w:val="en-US" w:eastAsia="zh-CN"/>
          <w14:textFill>
            <w14:solidFill>
              <w14:schemeClr w14:val="tx1"/>
            </w14:solidFill>
          </w14:textFill>
        </w:rPr>
        <w:t>采购需求：</w:t>
      </w:r>
    </w:p>
    <w:p>
      <w:pPr>
        <w:spacing w:line="360" w:lineRule="auto"/>
        <w:ind w:firstLine="480" w:firstLineChars="200"/>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标项一：</w:t>
      </w:r>
    </w:p>
    <w:p>
      <w:pPr>
        <w:spacing w:line="360" w:lineRule="auto"/>
        <w:ind w:firstLine="480" w:firstLineChars="200"/>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标项名称:宁波</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大学附属</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第一医院</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外滩</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院区医学检验中心合作共建</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运营</w:t>
      </w:r>
    </w:p>
    <w:p>
      <w:pPr>
        <w:spacing w:line="360" w:lineRule="auto"/>
        <w:ind w:firstLine="480" w:firstLineChars="200"/>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数量:</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br w:type="textWrapping"/>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   预算金额（元）:</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5000000.00</w:t>
      </w:r>
    </w:p>
    <w:p>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简要规格描述或项目基本概况介绍、用途：采购检验设备一批，用于</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宁波大学附属第一医院外滩院区</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医学检验中心合作共建，合作期限五年，具体详见招标文件。</w:t>
      </w:r>
    </w:p>
    <w:p>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备注</w:t>
      </w:r>
      <w:r>
        <w:rPr>
          <w:rFonts w:hint="eastAsia" w:cs="Times New Roman" w:asciiTheme="minorEastAsia" w:hAnsiTheme="minorEastAsia" w:eastAsiaTheme="minorEastAsia"/>
          <w:snapToGrid/>
          <w:color w:val="000000" w:themeColor="text1"/>
          <w:kern w:val="2"/>
          <w:sz w:val="24"/>
          <w:szCs w:val="24"/>
          <w:highlight w:val="none"/>
          <w:lang w:val="en-US" w:eastAsia="zh-CN" w:bidi="ar-SA"/>
          <w14:textFill>
            <w14:solidFill>
              <w14:schemeClr w14:val="tx1"/>
            </w14:solidFill>
          </w14:textFill>
        </w:rPr>
        <w:t>：其中</w:t>
      </w:r>
      <w:r>
        <w:rPr>
          <w:rFonts w:hint="default" w:ascii="宋体" w:hAnsi="宋体" w:eastAsia="宋体" w:cs="宋体"/>
          <w:color w:val="000000" w:themeColor="text1"/>
          <w:sz w:val="24"/>
          <w:szCs w:val="24"/>
          <w:lang w:val="en-US" w:eastAsia="zh-CN"/>
          <w14:textFill>
            <w14:solidFill>
              <w14:schemeClr w14:val="tx1"/>
            </w14:solidFill>
          </w14:textFill>
        </w:rPr>
        <w:t>全自动生化免疫流水线</w:t>
      </w:r>
      <w:r>
        <w:rPr>
          <w:rFonts w:hint="eastAsia" w:ascii="宋体" w:hAnsi="宋体" w:eastAsia="宋体" w:cs="宋体"/>
          <w:color w:val="000000" w:themeColor="text1"/>
          <w:sz w:val="24"/>
          <w:szCs w:val="24"/>
          <w:lang w:val="en-US" w:eastAsia="zh-CN"/>
          <w14:textFill>
            <w14:solidFill>
              <w14:schemeClr w14:val="tx1"/>
            </w14:solidFill>
          </w14:textFill>
        </w:rPr>
        <w:t>、全自动凝血分析仪、全自动免疫发光分析仪</w:t>
      </w:r>
      <w:r>
        <w:rPr>
          <w:rFonts w:hint="eastAsia" w:cs="Times New Roman" w:asciiTheme="minorEastAsia" w:hAnsiTheme="minorEastAsia" w:eastAsiaTheme="minorEastAsia"/>
          <w:snapToGrid/>
          <w:color w:val="000000" w:themeColor="text1"/>
          <w:kern w:val="2"/>
          <w:sz w:val="24"/>
          <w:szCs w:val="24"/>
          <w:highlight w:val="none"/>
          <w:lang w:val="en-US" w:eastAsia="zh-CN" w:bidi="ar-SA"/>
          <w14:textFill>
            <w14:solidFill>
              <w14:schemeClr w14:val="tx1"/>
            </w14:solidFill>
          </w14:textFill>
        </w:rPr>
        <w:t>可采购进口设备，具体详见招标文件。</w:t>
      </w:r>
    </w:p>
    <w:p>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eastAsia" w:ascii="宋体" w:hAnsi="宋体" w:cs="宋体"/>
          <w:b/>
          <w:color w:val="000000" w:themeColor="text1"/>
          <w:highlight w:val="none"/>
          <w14:textFill>
            <w14:solidFill>
              <w14:schemeClr w14:val="tx1"/>
            </w14:solidFill>
          </w14:textFill>
        </w:rPr>
      </w:pPr>
      <w:bookmarkStart w:id="16" w:name="_Toc27797"/>
      <w:r>
        <w:rPr>
          <w:rFonts w:hint="eastAsia" w:ascii="宋体" w:hAnsi="宋体" w:cs="宋体"/>
          <w:b w:val="0"/>
          <w:bCs/>
          <w:color w:val="000000" w:themeColor="text1"/>
          <w:highlight w:val="none"/>
          <w14:textFill>
            <w14:solidFill>
              <w14:schemeClr w14:val="tx1"/>
            </w14:solidFill>
          </w14:textFill>
        </w:rPr>
        <w:t>合同履约期限：</w:t>
      </w:r>
      <w:bookmarkEnd w:id="16"/>
      <w:r>
        <w:rPr>
          <w:rFonts w:hint="eastAsia" w:ascii="宋体" w:hAnsi="宋体" w:cs="宋体"/>
          <w:b w:val="0"/>
          <w:bCs/>
          <w:color w:val="000000" w:themeColor="text1"/>
          <w:szCs w:val="21"/>
          <w:highlight w:val="none"/>
          <w14:textFill>
            <w14:solidFill>
              <w14:schemeClr w14:val="tx1"/>
            </w14:solidFill>
          </w14:textFill>
        </w:rPr>
        <w:t>自合同签订生效后开始至双方合同义务完全履行后截止。</w:t>
      </w:r>
      <w:r>
        <w:rPr>
          <w:rFonts w:hint="eastAsia" w:ascii="宋体" w:hAnsi="宋体" w:cs="宋体"/>
          <w:b/>
          <w:color w:val="000000" w:themeColor="text1"/>
          <w:highlight w:val="none"/>
          <w14:textFill>
            <w14:solidFill>
              <w14:schemeClr w14:val="tx1"/>
            </w14:solidFill>
          </w14:textFill>
        </w:rPr>
        <w:t xml:space="preserve"> </w:t>
      </w:r>
    </w:p>
    <w:p>
      <w:pPr>
        <w:pStyle w:val="7"/>
        <w:spacing w:line="360" w:lineRule="auto"/>
        <w:ind w:firstLine="480"/>
        <w:rPr>
          <w:rFonts w:hint="eastAsia" w:hAnsi="宋体" w:eastAsia="宋体" w:cs="宋体"/>
          <w:color w:val="000000" w:themeColor="text1"/>
          <w:kern w:val="0"/>
          <w:sz w:val="24"/>
          <w:highlight w:val="none"/>
          <w:lang w:eastAsia="zh-CN"/>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失信</w:t>
      </w:r>
      <w:r>
        <w:rPr>
          <w:rFonts w:hint="eastAsia" w:ascii="宋体" w:hAnsi="宋体" w:cs="宋体"/>
          <w:snapToGrid w:val="0"/>
          <w:color w:val="000000" w:themeColor="text1"/>
          <w:kern w:val="28"/>
          <w:sz w:val="24"/>
          <w:szCs w:val="20"/>
          <w:highlight w:val="none"/>
          <w14:textFill>
            <w14:solidFill>
              <w14:schemeClr w14:val="tx1"/>
            </w14:solidFill>
          </w14:textFill>
        </w:rPr>
        <w:t>名单、政府采购严重违法失信行为记录名单；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
        <w:rPr>
          <w:rFonts w:hint="default" w:eastAsia="宋体"/>
          <w:color w:val="000000" w:themeColor="text1"/>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5.如为联合体投标的，联合体牵头人应为提供运营服务的供应商，联合体成员家数应不超过2家。</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9" w:name="_Toc15435"/>
      <w:r>
        <w:rPr>
          <w:rFonts w:hint="eastAsia" w:ascii="宋体" w:hAnsi="宋体" w:cs="宋体"/>
          <w:b/>
          <w:color w:val="000000" w:themeColor="text1"/>
          <w:sz w:val="24"/>
          <w:highlight w:val="none"/>
          <w14:textFill>
            <w14:solidFill>
              <w14:schemeClr w14:val="tx1"/>
            </w14:solidFill>
          </w14:textFill>
        </w:rPr>
        <w:t>三、获取招标文件</w:t>
      </w:r>
      <w:bookmarkEnd w:id="19"/>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时间：</w:t>
      </w:r>
      <w:r>
        <w:rPr>
          <w:rFonts w:hint="eastAsia" w:ascii="宋体" w:hAnsi="宋体" w:cs="宋体"/>
          <w:b w:val="0"/>
          <w:bCs/>
          <w:color w:val="000000" w:themeColor="text1"/>
          <w:sz w:val="24"/>
          <w:highlight w:val="none"/>
          <w:u w:val="single"/>
          <w14:textFill>
            <w14:solidFill>
              <w14:schemeClr w14:val="tx1"/>
            </w14:solidFill>
          </w14:textFill>
        </w:rPr>
        <w:t>20</w:t>
      </w:r>
      <w:r>
        <w:rPr>
          <w:rFonts w:hint="eastAsia" w:ascii="宋体" w:hAnsi="宋体" w:cs="宋体"/>
          <w:b w:val="0"/>
          <w:bCs/>
          <w:color w:val="000000" w:themeColor="text1"/>
          <w:sz w:val="24"/>
          <w:highlight w:val="none"/>
          <w:u w:val="single"/>
          <w:lang w:val="en-US" w:eastAsia="zh-CN"/>
          <w14:textFill>
            <w14:solidFill>
              <w14:schemeClr w14:val="tx1"/>
            </w14:solidFill>
          </w14:textFill>
        </w:rPr>
        <w:t>24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3</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6</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至</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3</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13</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售价（元）：0 </w:t>
      </w:r>
      <w:r>
        <w:rPr>
          <w:rFonts w:hint="eastAsia" w:ascii="宋体" w:hAnsi="宋体" w:cs="宋体"/>
          <w:b w:val="0"/>
          <w:bCs/>
          <w:color w:val="000000" w:themeColor="text1"/>
          <w:sz w:val="24"/>
          <w:highlight w:val="none"/>
          <w14:textFill>
            <w14:solidFill>
              <w14:schemeClr w14:val="tx1"/>
            </w14:solidFill>
          </w14:textFill>
        </w:rPr>
        <w:tab/>
      </w:r>
    </w:p>
    <w:p>
      <w:pPr>
        <w:spacing w:line="360" w:lineRule="auto"/>
        <w:outlineLvl w:val="1"/>
        <w:rPr>
          <w:rFonts w:ascii="宋体" w:hAnsi="宋体" w:cs="宋体"/>
          <w:b/>
          <w:bCs w:val="0"/>
          <w:color w:val="000000" w:themeColor="text1"/>
          <w:sz w:val="24"/>
          <w:highlight w:val="none"/>
          <w14:textFill>
            <w14:solidFill>
              <w14:schemeClr w14:val="tx1"/>
            </w14:solidFill>
          </w14:textFill>
        </w:rPr>
      </w:pPr>
      <w:bookmarkStart w:id="20" w:name="_Toc18115"/>
      <w:r>
        <w:rPr>
          <w:rFonts w:hint="eastAsia" w:ascii="宋体" w:hAnsi="宋体" w:cs="宋体"/>
          <w:b/>
          <w:bCs w:val="0"/>
          <w:color w:val="000000" w:themeColor="text1"/>
          <w:sz w:val="24"/>
          <w:highlight w:val="none"/>
          <w14:textFill>
            <w14:solidFill>
              <w14:schemeClr w14:val="tx1"/>
            </w14:solidFill>
          </w14:textFill>
        </w:rPr>
        <w:t>四、提交投标文件截止时间、开标时间和地点</w:t>
      </w:r>
      <w:bookmarkEnd w:id="20"/>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14:textFill>
            <w14:solidFill>
              <w14:schemeClr w14:val="tx1"/>
            </w14:solidFill>
          </w14:textFill>
        </w:rPr>
        <w:t xml:space="preserve"> 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3</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27</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09</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 w:val="0"/>
          <w:bCs/>
          <w:color w:val="000000" w:themeColor="text1"/>
          <w:sz w:val="24"/>
          <w:highlight w:val="none"/>
          <w:u w:val="singl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3月27</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09</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21" w:name="_Toc16463"/>
      <w:r>
        <w:rPr>
          <w:rFonts w:hint="eastAsia" w:ascii="宋体" w:hAnsi="宋体" w:cs="宋体"/>
          <w:b/>
          <w:color w:val="000000" w:themeColor="text1"/>
          <w:sz w:val="24"/>
          <w:highlight w:val="none"/>
          <w14:textFill>
            <w14:solidFill>
              <w14:schemeClr w14:val="tx1"/>
            </w14:solidFill>
          </w14:textFill>
        </w:rPr>
        <w:t>五、公告期限</w:t>
      </w:r>
      <w:bookmarkEnd w:id="21"/>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2" w:name="_Toc20735"/>
      <w:r>
        <w:rPr>
          <w:rFonts w:hint="eastAsia" w:ascii="宋体" w:hAnsi="宋体" w:cs="宋体"/>
          <w:b/>
          <w:color w:val="000000" w:themeColor="text1"/>
          <w:sz w:val="24"/>
          <w:highlight w:val="none"/>
          <w14:textFill>
            <w14:solidFill>
              <w14:schemeClr w14:val="tx1"/>
            </w14:solidFill>
          </w14:textFill>
        </w:rPr>
        <w:t>六、其他补充事宜</w:t>
      </w:r>
      <w:bookmarkEnd w:id="22"/>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000000" w:themeColor="text1"/>
          <w:sz w:val="24"/>
          <w:highlight w:val="none"/>
          <w14:textFill>
            <w14:solidFill>
              <w14:schemeClr w14:val="tx1"/>
            </w14:solidFill>
          </w14:textFill>
        </w:rPr>
        <w:t>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z w:val="24"/>
          <w:highlight w:val="none"/>
          <w14:textFill>
            <w14:solidFill>
              <w14:schemeClr w14:val="tx1"/>
            </w14:solidFill>
          </w14:textFill>
        </w:rPr>
        <w:t>其他事项：</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w:t>
      </w:r>
      <w:r>
        <w:rPr>
          <w:rFonts w:hint="eastAsia" w:ascii="宋体" w:hAnsi="宋体" w:cs="宋体"/>
          <w:i/>
          <w:i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000000" w:themeColor="text1"/>
          <w:sz w:val="24"/>
          <w:highlight w:val="none"/>
          <w:lang w:val="en-US" w:eastAsia="zh-CN"/>
          <w14:textFill>
            <w14:solidFill>
              <w14:schemeClr w14:val="tx1"/>
            </w14:solidFill>
          </w14:textFill>
        </w:rPr>
        <w:t>寄</w:t>
      </w:r>
      <w:r>
        <w:rPr>
          <w:rFonts w:hint="eastAsia" w:ascii="宋体" w:hAnsi="宋体" w:cs="宋体"/>
          <w:color w:val="000000" w:themeColor="text1"/>
          <w:sz w:val="24"/>
          <w:highlight w:val="none"/>
          <w14:textFill>
            <w14:solidFill>
              <w14:schemeClr w14:val="tx1"/>
            </w14:solidFill>
          </w14:textFill>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000000" w:themeColor="text1"/>
          <w:sz w:val="24"/>
          <w:highlight w:val="none"/>
          <w14:textFill>
            <w14:solidFill>
              <w14:schemeClr w14:val="tx1"/>
            </w14:solidFill>
          </w14:textFill>
        </w:rPr>
        <w:t>中心-帮助文档-项目采购-操作流程-电子招投标-政府采购项目电子交易管理操作指南-供应商”。</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）招标文件公告期限与招标公告的公告期限一致。</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3"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3"/>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名称：宁波大学附属第一医院</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w:t>
      </w:r>
      <w:r>
        <w:rPr>
          <w:rFonts w:hint="eastAsia" w:ascii="宋体" w:hAnsi="宋体" w:cs="宋体"/>
          <w:bCs/>
          <w:color w:val="000000" w:themeColor="text1"/>
          <w:sz w:val="24"/>
          <w:szCs w:val="24"/>
          <w:highlight w:val="none"/>
          <w14:textFill>
            <w14:solidFill>
              <w14:schemeClr w14:val="tx1"/>
            </w14:solidFill>
          </w14:textFill>
        </w:rPr>
        <w:t>宁波市柳汀街59号</w:t>
      </w:r>
      <w:r>
        <w:rPr>
          <w:rFonts w:hint="eastAsia" w:ascii="宋体" w:hAnsi="宋体" w:cs="宋体"/>
          <w:color w:val="000000" w:themeColor="text1"/>
          <w:sz w:val="24"/>
          <w:szCs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w:t>
      </w:r>
      <w:r>
        <w:rPr>
          <w:rFonts w:hint="eastAsia" w:ascii="宋体" w:hAnsi="宋体" w:cs="宋体"/>
          <w:color w:val="000000" w:themeColor="text1"/>
          <w:sz w:val="24"/>
          <w:szCs w:val="24"/>
          <w:highlight w:val="none"/>
          <w14:textFill>
            <w14:solidFill>
              <w14:schemeClr w14:val="tx1"/>
            </w14:solidFill>
          </w14:textFill>
        </w:rPr>
        <w:t>陈老师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项目联系方式（询问）：</w:t>
      </w:r>
      <w:r>
        <w:rPr>
          <w:rFonts w:hint="eastAsia" w:ascii="宋体" w:hAnsi="宋体" w:cs="宋体"/>
          <w:color w:val="000000" w:themeColor="text1"/>
          <w:sz w:val="24"/>
          <w:szCs w:val="24"/>
          <w:highlight w:val="none"/>
          <w14:textFill>
            <w14:solidFill>
              <w14:schemeClr w14:val="tx1"/>
            </w14:solidFill>
          </w14:textFill>
        </w:rPr>
        <w:t>0574-87085047 </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w:t>
      </w:r>
      <w:r>
        <w:rPr>
          <w:rFonts w:hint="eastAsia" w:ascii="宋体" w:hAnsi="宋体" w:cs="宋体"/>
          <w:color w:val="000000" w:themeColor="text1"/>
          <w:sz w:val="24"/>
          <w:szCs w:val="24"/>
          <w:highlight w:val="none"/>
          <w:lang w:eastAsia="zh-CN"/>
          <w14:textFill>
            <w14:solidFill>
              <w14:schemeClr w14:val="tx1"/>
            </w14:solidFill>
          </w14:textFill>
        </w:rPr>
        <w:t>傅</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w:t>
      </w:r>
      <w:r>
        <w:rPr>
          <w:rFonts w:hint="eastAsia" w:ascii="宋体" w:hAnsi="宋体" w:cs="宋体"/>
          <w:color w:val="000000" w:themeColor="text1"/>
          <w:sz w:val="24"/>
          <w:szCs w:val="24"/>
          <w:highlight w:val="none"/>
          <w14:textFill>
            <w14:solidFill>
              <w14:schemeClr w14:val="tx1"/>
            </w14:solidFill>
          </w14:textFill>
        </w:rPr>
        <w:t>0574-87085047</w:t>
      </w: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名称：宁波中基国际招标有限公司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地址：宁波市鄞州区天童南路666号中基大厦19楼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传真：0574-87425386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项目联系人（询问）：印莹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项目联系方式（询问）：0574-8742</w:t>
      </w:r>
      <w:r>
        <w:rPr>
          <w:rFonts w:hint="eastAsia" w:ascii="宋体" w:hAnsi="宋体" w:eastAsia="宋体" w:cs="宋体"/>
          <w:color w:val="000000" w:themeColor="text1"/>
          <w:sz w:val="24"/>
          <w:highlight w:val="none"/>
          <w:lang w:val="en-US" w:eastAsia="zh-CN"/>
          <w14:textFill>
            <w14:solidFill>
              <w14:schemeClr w14:val="tx1"/>
            </w14:solidFill>
          </w14:textFill>
        </w:rPr>
        <w:t>0768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质疑联系人：徐承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质疑联系方式：0574-87423685 　　　</w:t>
      </w:r>
      <w:r>
        <w:rPr>
          <w:rFonts w:hint="eastAsia" w:ascii="宋体" w:hAnsi="宋体" w:cs="宋体"/>
          <w:color w:val="000000" w:themeColor="text1"/>
          <w:szCs w:val="21"/>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名称：宁波市政府采购管理办公室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地址：宁波市海曙区中山西路19号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李</w:t>
      </w:r>
      <w:r>
        <w:rPr>
          <w:rFonts w:hint="eastAsia" w:ascii="宋体" w:hAnsi="宋体" w:eastAsia="宋体" w:cs="宋体"/>
          <w:color w:val="000000" w:themeColor="text1"/>
          <w:sz w:val="24"/>
          <w:highlight w:val="none"/>
          <w14:textFill>
            <w14:solidFill>
              <w14:schemeClr w14:val="tx1"/>
            </w14:solidFill>
          </w14:textFill>
        </w:rPr>
        <w:t>老师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24" w:name="_Toc4479"/>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0574-</w:t>
      </w:r>
      <w:r>
        <w:rPr>
          <w:rFonts w:hint="eastAsia" w:ascii="宋体" w:hAnsi="宋体" w:eastAsia="宋体" w:cs="宋体"/>
          <w:color w:val="000000" w:themeColor="text1"/>
          <w:sz w:val="24"/>
          <w:highlight w:val="none"/>
          <w14:textFill>
            <w14:solidFill>
              <w14:schemeClr w14:val="tx1"/>
            </w14:solidFill>
          </w14:textFill>
        </w:rPr>
        <w:t>89388042</w:t>
      </w:r>
      <w:bookmarkEnd w:id="24"/>
    </w:p>
    <w:p>
      <w:pPr>
        <w:pStyle w:val="2"/>
        <w:rPr>
          <w:rFonts w:hint="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w:t>
      </w:r>
      <w:r>
        <w:rPr>
          <w:rFonts w:hint="eastAsia" w:ascii="宋体" w:hAnsi="宋体" w:cs="宋体"/>
          <w:color w:val="000000" w:themeColor="text1"/>
          <w:sz w:val="21"/>
          <w:szCs w:val="21"/>
          <w:highlight w:val="none"/>
          <w14:textFill>
            <w14:solidFill>
              <w14:schemeClr w14:val="tx1"/>
            </w14:solidFill>
          </w14:textFill>
        </w:rPr>
        <w:t>（https://www.zcygov.cn/），点击右侧咨询小采，获取采小蜜智能服务管家帮助，或拨打政采云服务热线95763获取热线服务帮助。</w:t>
      </w:r>
    </w:p>
    <w:p>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CA问题联系电话（人工）：汇信CA 400-888-4636；天谷CA 400-087-8198。</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pPr>
        <w:pStyle w:val="5"/>
        <w:outlineLvl w:val="9"/>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5" w:name="_Toc1745"/>
      <w:bookmarkStart w:id="26"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5"/>
      <w:bookmarkEnd w:id="26"/>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27" w:name="_Toc17934"/>
      <w:r>
        <w:rPr>
          <w:rFonts w:hint="eastAsia" w:ascii="宋体" w:hAnsi="宋体" w:cs="宋体"/>
          <w:b/>
          <w:color w:val="000000" w:themeColor="text1"/>
          <w:sz w:val="32"/>
          <w:szCs w:val="20"/>
          <w:highlight w:val="none"/>
          <w14:textFill>
            <w14:solidFill>
              <w14:schemeClr w14:val="tx1"/>
            </w14:solidFill>
          </w14:textFill>
        </w:rPr>
        <w:t>前附表</w:t>
      </w:r>
      <w:bookmarkEnd w:id="27"/>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50"/>
        <w:gridCol w:w="1619"/>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5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1619" w:type="dxa"/>
            <w:tcBorders>
              <w:top w:val="single" w:color="000000" w:sz="8" w:space="0"/>
              <w:left w:val="single" w:color="auto" w:sz="4" w:space="0"/>
              <w:bottom w:val="single" w:color="000000" w:sz="8" w:space="0"/>
              <w:right w:val="single" w:color="000000" w:sz="8" w:space="0"/>
            </w:tcBorders>
            <w:vAlign w:val="center"/>
          </w:tcPr>
          <w:p>
            <w:pPr>
              <w:numPr>
                <w:ilvl w:val="0"/>
                <w:numId w:val="0"/>
              </w:numPr>
              <w:snapToGrid w:val="0"/>
              <w:spacing w:line="360" w:lineRule="auto"/>
              <w:jc w:val="center"/>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项目属性与核心产品</w:t>
            </w:r>
          </w:p>
        </w:tc>
        <w:tc>
          <w:tcPr>
            <w:tcW w:w="7513"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货物类，单一产品或核心产品为：</w:t>
            </w:r>
            <w:r>
              <w:rPr>
                <w:rFonts w:hint="eastAsia"/>
                <w:color w:val="000000" w:themeColor="text1"/>
                <w:sz w:val="24"/>
                <w:szCs w:val="24"/>
                <w:u w:val="single"/>
                <w:lang w:val="en-US" w:eastAsia="zh-CN"/>
                <w14:textFill>
                  <w14:solidFill>
                    <w14:schemeClr w14:val="tx1"/>
                  </w14:solidFill>
                </w14:textFill>
              </w:rPr>
              <w:t>全自动生化免疫流水线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513"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全自动生化免疫流水线</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bookmarkStart w:id="28" w:name="_Toc15395"/>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离心机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立式离心机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全自动阅片机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医用冰箱（双开门）</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医用冰箱（单开门）</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全自动糖化血红蛋白分析仪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UPS</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全自动化学发光免疫分析仪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全自动凝血分析仪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医用冷藏冷冻冰箱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医用低温保存箱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全自动免疫分析仪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恒温培养箱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1"/>
              </w:num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全自动免疫发光分析仪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numPr>
                <w:ilvl w:val="0"/>
                <w:numId w:val="0"/>
              </w:numPr>
              <w:snapToGrid w:val="0"/>
              <w:spacing w:line="360" w:lineRule="auto"/>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备注：《关于印发中小企业划型标准规定的通知》（工信</w:t>
            </w:r>
            <w:bookmarkEnd w:id="28"/>
            <w:bookmarkStart w:id="29" w:name="_Toc11782"/>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部联企业〔2011〕300）：</w:t>
            </w:r>
            <w:bookmarkEnd w:id="29"/>
          </w:p>
          <w:p>
            <w:pPr>
              <w:pStyle w:val="5"/>
              <w:keepNext/>
              <w:keepLines/>
              <w:pageBreakBefore w:val="0"/>
              <w:widowControl w:val="0"/>
              <w:kinsoku/>
              <w:wordWrap/>
              <w:overflowPunct/>
              <w:topLinePunct w:val="0"/>
              <w:autoSpaceDE/>
              <w:autoSpaceDN/>
              <w:bidi w:val="0"/>
              <w:adjustRightInd w:val="0"/>
              <w:snapToGrid w:val="0"/>
              <w:ind w:left="0" w:firstLine="0"/>
              <w:jc w:val="both"/>
              <w:textAlignment w:val="auto"/>
              <w:rPr>
                <w:rFonts w:ascii="宋体" w:hAnsi="宋体" w:eastAsia="宋体" w:cs="宋体"/>
                <w:color w:val="000000" w:themeColor="text1"/>
                <w:highlight w:val="none"/>
                <w:lang w:val="en-US"/>
                <w14:textFill>
                  <w14:solidFill>
                    <w14:schemeClr w14:val="tx1"/>
                  </w14:solidFill>
                </w14:textFill>
              </w:rPr>
            </w:pPr>
            <w:bookmarkStart w:id="30" w:name="_Toc30940"/>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工业：从业人员1000人以下或营业收入40000万元以</w:t>
            </w:r>
            <w:bookmarkEnd w:id="30"/>
            <w:bookmarkStart w:id="31" w:name="_Toc13384"/>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下的为中小微型企业。其中，从业人员300人及以上，且</w:t>
            </w:r>
            <w:bookmarkEnd w:id="31"/>
            <w:bookmarkStart w:id="32" w:name="_Toc30185"/>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营业收入2000万元及以上的为中型企业；从业人员20人</w:t>
            </w:r>
            <w:bookmarkEnd w:id="32"/>
            <w:bookmarkStart w:id="33" w:name="_Toc1594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及以上，且营业收入300万元及以上的为小型企业；从业</w:t>
            </w:r>
            <w:bookmarkEnd w:id="33"/>
            <w:bookmarkStart w:id="34" w:name="_Toc1705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人员20人以下或营业收入300万元以下的为微型企业。</w:t>
            </w:r>
            <w:bookmarkEnd w:id="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default" w:ascii="宋体" w:hAnsi="宋体" w:eastAsia="宋体" w:cs="宋体"/>
                <w:color w:val="000000" w:themeColor="text1"/>
                <w:sz w:val="24"/>
                <w:szCs w:val="24"/>
                <w:u w:val="single"/>
                <w:lang w:val="en-US" w:eastAsia="zh-CN"/>
                <w14:textFill>
                  <w14:solidFill>
                    <w14:schemeClr w14:val="tx1"/>
                  </w14:solidFill>
                </w14:textFill>
              </w:rPr>
              <w:t>全自动生化免疫流水线</w:t>
            </w:r>
            <w:r>
              <w:rPr>
                <w:rFonts w:hint="eastAsia" w:ascii="宋体" w:hAnsi="宋体" w:eastAsia="宋体" w:cs="宋体"/>
                <w:color w:val="000000" w:themeColor="text1"/>
                <w:sz w:val="24"/>
                <w:szCs w:val="24"/>
                <w:u w:val="single"/>
                <w:lang w:val="en-US" w:eastAsia="zh-CN"/>
                <w14:textFill>
                  <w14:solidFill>
                    <w14:schemeClr w14:val="tx1"/>
                  </w14:solidFill>
                </w14:textFill>
              </w:rPr>
              <w:t>、全自动凝血分析仪、全自动免疫发光分析仪</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经招标人书面批准的，本项目非主体部分（仅限物流及施工）允许分包，分包单位的资格条件必须满足招标文件的相关要求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p>
        </w:tc>
        <w:tc>
          <w:tcPr>
            <w:tcW w:w="16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val="en-US" w:eastAsia="zh-CN"/>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105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161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7513" w:type="dxa"/>
            <w:tcBorders>
              <w:top w:val="single" w:color="000000" w:sz="8" w:space="0"/>
              <w:left w:val="single" w:color="000000" w:sz="2" w:space="0"/>
              <w:bottom w:val="single" w:color="auto" w:sz="4"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jc w:val="both"/>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105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1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7513"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16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75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16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75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161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513"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16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供应商如提供备份投标文件的，可采用邮寄方式或直接提交方式递交备份投标文件</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供应商需</w:t>
            </w:r>
            <w:r>
              <w:rPr>
                <w:rFonts w:hint="eastAsia" w:ascii="宋体" w:hAnsi="宋体" w:eastAsia="宋体" w:cs="宋体"/>
                <w:snapToGrid w:val="0"/>
                <w:color w:val="000000" w:themeColor="text1"/>
                <w:kern w:val="28"/>
                <w:sz w:val="24"/>
                <w:highlight w:val="none"/>
                <w14:textFill>
                  <w14:solidFill>
                    <w14:schemeClr w14:val="tx1"/>
                  </w14:solidFill>
                </w14:textFill>
              </w:rPr>
              <w:t>将以U盘存储的备份投标文件密封递交，逾期送达或未密封将予以拒收。</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采用邮寄方式递交备份投标文件，需按以下要求递交：</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供应商应在</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开标</w:t>
            </w:r>
            <w:r>
              <w:rPr>
                <w:rFonts w:hint="eastAsia" w:ascii="宋体" w:hAnsi="宋体" w:eastAsia="宋体" w:cs="宋体"/>
                <w:snapToGrid w:val="0"/>
                <w:color w:val="000000" w:themeColor="text1"/>
                <w:kern w:val="28"/>
                <w:sz w:val="24"/>
                <w:highlight w:val="none"/>
                <w14:textFill>
                  <w14:solidFill>
                    <w14:schemeClr w14:val="tx1"/>
                  </w14:solidFill>
                </w14:textFill>
              </w:rPr>
              <w:t>前</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一日</w:t>
            </w:r>
            <w:r>
              <w:rPr>
                <w:rFonts w:hint="eastAsia" w:ascii="宋体" w:hAnsi="宋体" w:eastAsia="宋体" w:cs="宋体"/>
                <w:snapToGrid w:val="0"/>
                <w:color w:val="000000" w:themeColor="text1"/>
                <w:kern w:val="28"/>
                <w:sz w:val="24"/>
                <w:highlight w:val="none"/>
                <w14:textFill>
                  <w14:solidFill>
                    <w14:schemeClr w14:val="tx1"/>
                  </w14:solidFill>
                </w14:textFill>
              </w:rPr>
              <w:t>17：00（含）前将备份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28"/>
                <w:sz w:val="24"/>
                <w:highlight w:val="none"/>
                <w14:textFill>
                  <w14:solidFill>
                    <w14:schemeClr w14:val="tx1"/>
                  </w14:solidFill>
                </w14:textFill>
              </w:rPr>
              <w:t>邮寄至规定地点，邮寄地址为：宁波市鄞州区天童南路666号中基大厦19楼业务</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kern w:val="28"/>
                <w:sz w:val="24"/>
                <w:highlight w:val="none"/>
                <w14:textFill>
                  <w14:solidFill>
                    <w14:schemeClr w14:val="tx1"/>
                  </w14:solidFill>
                </w14:textFill>
              </w:rPr>
              <w:t>部，收件人</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印莹</w:t>
            </w:r>
            <w:r>
              <w:rPr>
                <w:rFonts w:hint="eastAsia" w:ascii="宋体" w:hAnsi="宋体" w:eastAsia="宋体" w:cs="宋体"/>
                <w:snapToGrid w:val="0"/>
                <w:color w:val="000000" w:themeColor="text1"/>
                <w:kern w:val="28"/>
                <w:sz w:val="24"/>
                <w:highlight w:val="none"/>
                <w14:textFill>
                  <w14:solidFill>
                    <w14:schemeClr w14:val="tx1"/>
                  </w14:solidFill>
                </w14:textFill>
              </w:rPr>
              <w:t>，联系方式：0574-8742</w:t>
            </w:r>
            <w:r>
              <w:rPr>
                <w:rFonts w:hint="eastAsia" w:ascii="宋体" w:hAnsi="宋体" w:cs="宋体"/>
                <w:snapToGrid w:val="0"/>
                <w:color w:val="000000" w:themeColor="text1"/>
                <w:kern w:val="28"/>
                <w:sz w:val="24"/>
                <w:highlight w:val="none"/>
                <w:lang w:val="en-US" w:eastAsia="zh-CN"/>
                <w14:textFill>
                  <w14:solidFill>
                    <w14:schemeClr w14:val="tx1"/>
                  </w14:solidFill>
                </w14:textFill>
              </w:rPr>
              <w:t>0768</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highlight w:val="none"/>
                <w14:textFill>
                  <w14:solidFill>
                    <w14:schemeClr w14:val="tx1"/>
                  </w14:solidFill>
                </w14:textFill>
              </w:rPr>
              <w:t>。由采购代理工作人员进行签收，各供应商自行考虑邮寄在途时间，邮寄过程中无论何种因素导致备份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文件未按时递交的后果，均由供应商自行负责。备份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文件递交时间以采购代理实际收到备份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文件的时间为准。</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（3）采用直接提交方式递交备份投标文件，需按以下要求递交：在投标截止时间前将备份投标文件送至</w:t>
            </w:r>
            <w:r>
              <w:rPr>
                <w:rFonts w:hint="eastAsia" w:ascii="宋体" w:hAnsi="宋体" w:eastAsia="宋体" w:cs="宋体"/>
                <w:snapToGrid w:val="0"/>
                <w:color w:val="000000" w:themeColor="text1"/>
                <w:kern w:val="28"/>
                <w:sz w:val="24"/>
                <w:highlight w:val="none"/>
                <w:u w:val="single"/>
                <w:lang w:val="en-US" w:eastAsia="zh-CN"/>
                <w14:textFill>
                  <w14:solidFill>
                    <w14:schemeClr w14:val="tx1"/>
                  </w14:solidFill>
                </w14:textFill>
              </w:rPr>
              <w:t xml:space="preserve"> 中基招标会议中心1楼开标室（宁波市鄞州区天童南路666号中基大厦1楼）</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bCs/>
                <w:snapToGrid w:val="0"/>
                <w:color w:val="000000" w:themeColor="text1"/>
                <w:kern w:val="28"/>
                <w:sz w:val="24"/>
                <w:highlight w:val="none"/>
                <w14:textFill>
                  <w14:solidFill>
                    <w14:schemeClr w14:val="tx1"/>
                  </w14:solidFill>
                </w14:textFill>
              </w:rPr>
              <w:t>采购人、</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采购代理机构</w:t>
            </w:r>
            <w:r>
              <w:rPr>
                <w:rFonts w:hint="eastAsia" w:ascii="宋体" w:hAnsi="宋体" w:eastAsia="宋体" w:cs="宋体"/>
                <w:b/>
                <w:bCs/>
                <w:snapToGrid w:val="0"/>
                <w:color w:val="000000" w:themeColor="text1"/>
                <w:kern w:val="28"/>
                <w:sz w:val="24"/>
                <w:highlight w:val="none"/>
                <w14:textFill>
                  <w14:solidFill>
                    <w14:schemeClr w14:val="tx1"/>
                  </w14:solidFill>
                </w14:textFill>
              </w:rPr>
              <w:t>不强制投标人提交备份投标文件</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99"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1619"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5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4</w:t>
            </w:r>
          </w:p>
        </w:tc>
        <w:tc>
          <w:tcPr>
            <w:tcW w:w="161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75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收取方式：</w:t>
            </w:r>
            <w:r>
              <w:rPr>
                <w:rFonts w:hint="eastAsia" w:ascii="宋体" w:hAnsi="宋体" w:cs="宋体"/>
                <w:snapToGrid w:val="0"/>
                <w:color w:val="000000" w:themeColor="text1"/>
                <w:kern w:val="28"/>
                <w:sz w:val="24"/>
                <w:highlight w:val="none"/>
                <w14:textFill>
                  <w14:solidFill>
                    <w14:schemeClr w14:val="tx1"/>
                  </w14:solidFill>
                </w14:textFill>
              </w:rPr>
              <w:t>供应商应当自</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结果公告发布之日起5个工作日内一次性向采购代理机构支付代理服务费。</w:t>
            </w:r>
          </w:p>
          <w:p>
            <w:pPr>
              <w:spacing w:line="360" w:lineRule="auto"/>
              <w:rPr>
                <w:rFonts w:hint="default" w:ascii="宋体" w:hAnsi="宋体" w:eastAsia="宋体" w:cs="宋体"/>
                <w:snapToGrid w:val="0"/>
                <w:color w:val="000000" w:themeColor="text1"/>
                <w:kern w:val="28"/>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（2）采购</w:t>
            </w:r>
            <w:r>
              <w:rPr>
                <w:rFonts w:hint="eastAsia" w:ascii="宋体" w:hAnsi="宋体" w:eastAsia="宋体" w:cs="宋体"/>
                <w:snapToGrid w:val="0"/>
                <w:color w:val="000000" w:themeColor="text1"/>
                <w:kern w:val="28"/>
                <w:sz w:val="24"/>
                <w:highlight w:val="none"/>
                <w14:textFill>
                  <w14:solidFill>
                    <w14:schemeClr w14:val="tx1"/>
                  </w14:solidFill>
                </w14:textFill>
              </w:rPr>
              <w:t>代理服务费用收取标准：</w:t>
            </w:r>
            <w:r>
              <w:rPr>
                <w:rFonts w:hint="eastAsia" w:ascii="宋体" w:hAnsi="宋体" w:cs="宋体"/>
                <w:snapToGrid w:val="0"/>
                <w:color w:val="000000" w:themeColor="text1"/>
                <w:kern w:val="28"/>
                <w:sz w:val="24"/>
                <w:highlight w:val="none"/>
                <w14:textFill>
                  <w14:solidFill>
                    <w14:schemeClr w14:val="tx1"/>
                  </w14:solidFill>
                </w14:textFill>
              </w:rPr>
              <w:t>本项目</w:t>
            </w:r>
            <w:r>
              <w:rPr>
                <w:rFonts w:hint="eastAsia" w:ascii="宋体" w:hAnsi="宋体" w:cs="宋体"/>
                <w:snapToGrid w:val="0"/>
                <w:color w:val="000000" w:themeColor="text1"/>
                <w:kern w:val="28"/>
                <w:sz w:val="24"/>
                <w:highlight w:val="none"/>
                <w:lang w:val="en-US" w:eastAsia="zh-CN"/>
                <w14:textFill>
                  <w14:solidFill>
                    <w14:schemeClr w14:val="tx1"/>
                  </w14:solidFill>
                </w14:textFill>
              </w:rPr>
              <w:t>向中标人收取5.3万元代理服务费。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highlight w:val="none"/>
                <w14:textFill>
                  <w14:solidFill>
                    <w14:schemeClr w14:val="tx1"/>
                  </w14:solidFill>
                </w14:textFill>
              </w:rPr>
              <w:t>）支付形式及账号：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 ：</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w:t>
            </w:r>
            <w:r>
              <w:rPr>
                <w:rFonts w:hint="eastAsia" w:ascii="宋体" w:hAnsi="宋体" w:eastAsia="宋体" w:cs="宋体"/>
                <w:snapToGrid w:val="0"/>
                <w:color w:val="000000" w:themeColor="text1"/>
                <w:kern w:val="28"/>
                <w:sz w:val="24"/>
                <w:highlight w:val="none"/>
                <w14:textFill>
                  <w14:solidFill>
                    <w14:schemeClr w14:val="tx1"/>
                  </w14:solidFill>
                </w14:textFill>
              </w:rPr>
              <w:t>31010122000005488</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（4）</w:t>
            </w:r>
            <w:r>
              <w:rPr>
                <w:rFonts w:hint="eastAsia" w:ascii="宋体" w:hAnsi="宋体" w:cs="宋体"/>
                <w:snapToGrid w:val="0"/>
                <w:color w:val="000000" w:themeColor="text1"/>
                <w:kern w:val="28"/>
                <w:sz w:val="24"/>
                <w:highlight w:val="none"/>
                <w14:textFill>
                  <w14:solidFill>
                    <w14:schemeClr w14:val="tx1"/>
                  </w14:solidFill>
                </w14:textFill>
              </w:rPr>
              <w:t>支付流程：</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供应商按照</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pPr>
        <w:rPr>
          <w:rFonts w:hint="eastAsia" w:ascii="宋体" w:hAnsi="宋体" w:cs="宋体"/>
          <w:b/>
          <w:color w:val="000000" w:themeColor="text1"/>
          <w:sz w:val="32"/>
          <w:szCs w:val="20"/>
          <w:highlight w:val="none"/>
          <w14:textFill>
            <w14:solidFill>
              <w14:schemeClr w14:val="tx1"/>
            </w14:solidFill>
          </w14:textFill>
        </w:rPr>
      </w:pPr>
      <w:bookmarkStart w:id="35" w:name="第三部分"/>
      <w:bookmarkStart w:id="36" w:name="_Toc164416483"/>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7" w:name="_Toc19896"/>
      <w:r>
        <w:rPr>
          <w:rFonts w:hint="eastAsia" w:ascii="宋体" w:hAnsi="宋体" w:cs="宋体"/>
          <w:b/>
          <w:color w:val="000000" w:themeColor="text1"/>
          <w:sz w:val="32"/>
          <w:szCs w:val="20"/>
          <w:highlight w:val="none"/>
          <w14:textFill>
            <w14:solidFill>
              <w14:schemeClr w14:val="tx1"/>
            </w14:solidFill>
          </w14:textFill>
        </w:rPr>
        <w:t>一、总则</w:t>
      </w:r>
      <w:bookmarkEnd w:id="37"/>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bookmarkStart w:id="38" w:name="_Toc4803"/>
      <w:r>
        <w:rPr>
          <w:rFonts w:hint="eastAsia" w:ascii="宋体" w:hAnsi="宋体" w:cs="宋体"/>
          <w:b/>
          <w:color w:val="000000" w:themeColor="text1"/>
          <w:sz w:val="24"/>
          <w:highlight w:val="none"/>
          <w14:textFill>
            <w14:solidFill>
              <w14:schemeClr w14:val="tx1"/>
            </w14:solidFill>
          </w14:textFill>
        </w:rPr>
        <w:t>1. 适用范围</w:t>
      </w:r>
      <w:bookmarkEnd w:id="38"/>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39" w:name="_Toc17533"/>
      <w:r>
        <w:rPr>
          <w:rFonts w:hint="eastAsia" w:ascii="宋体" w:hAnsi="宋体" w:eastAsia="宋体" w:cs="宋体"/>
          <w:b/>
          <w:color w:val="000000" w:themeColor="text1"/>
          <w:sz w:val="24"/>
          <w:highlight w:val="none"/>
          <w14:textFill>
            <w14:solidFill>
              <w14:schemeClr w14:val="tx1"/>
            </w14:solidFill>
          </w14:textFill>
        </w:rPr>
        <w:t>2.定义</w:t>
      </w:r>
      <w:bookmarkEnd w:id="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0" w:name="_Hlk1075685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 鼓励供应商在参加政府采购过程中开展绿色设计、选择绿色材料、打造绿色制造工艺、开展绿色运输、做好废弃产品回收处理，实现产品全周期的绿色环保。</w:t>
      </w:r>
      <w:bookmarkEnd w:id="40"/>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1"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41"/>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w:t>
      </w:r>
      <w:r>
        <w:rPr>
          <w:rFonts w:hint="eastAsia" w:hAnsi="宋体" w:cs="宋体"/>
          <w:snapToGrid/>
          <w:color w:val="000000" w:themeColor="text1"/>
          <w:kern w:val="2"/>
          <w:sz w:val="24"/>
          <w:highlight w:val="none"/>
          <w:lang w:val="en-US" w:eastAsia="zh-CN"/>
          <w14:textFill>
            <w14:solidFill>
              <w14:schemeClr w14:val="tx1"/>
            </w14:solidFill>
          </w14:textFill>
        </w:rPr>
        <w:t>2</w:t>
      </w:r>
      <w:r>
        <w:rPr>
          <w:rFonts w:hint="eastAsia" w:hAnsi="宋体" w:cs="宋体"/>
          <w:snapToGrid/>
          <w:color w:val="000000" w:themeColor="text1"/>
          <w:kern w:val="2"/>
          <w:sz w:val="24"/>
          <w:highlight w:val="none"/>
          <w14:textFill>
            <w14:solidFill>
              <w14:schemeClr w14:val="tx1"/>
            </w14:solidFill>
          </w14:textFill>
        </w:rPr>
        <w:t>.2.1对招标文件提出质疑的，质疑期限为供应商获得招标文件之日或者招标文件公告期限届满之日起计算。</w:t>
      </w:r>
    </w:p>
    <w:p>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.2.2对采购过程提出质疑的，质疑期限为各采购程序环节结束之日起计算。4.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.2.3对采购结果提出质疑的，质疑期限自采购结果公告期限届满之日起计算。</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3"/>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.3.6提出质疑的日期。</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质疑函范本请到浙江政府采购网下载专区下载。</w:t>
      </w:r>
    </w:p>
    <w:p>
      <w:pPr>
        <w:pStyle w:val="33"/>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4.2.4</w:t>
      </w:r>
      <w:r>
        <w:rPr>
          <w:rFonts w:hint="eastAsia" w:ascii="宋体" w:hAnsi="宋体" w:eastAsia="宋体" w:cs="宋体"/>
          <w:color w:val="000000" w:themeColor="text1"/>
          <w:kern w:val="0"/>
          <w:sz w:val="24"/>
          <w:highlight w:val="none"/>
          <w:lang w:val="zh-CN" w:eastAsia="zh-CN"/>
          <w14:textFill>
            <w14:solidFill>
              <w14:schemeClr w14:val="tx1"/>
            </w14:solidFill>
          </w14:textFill>
        </w:rPr>
        <w:t>对同一采购程序环节的质疑，供应商须在法定质疑期内一次性提出。</w:t>
      </w:r>
    </w:p>
    <w:p>
      <w:pPr>
        <w:pStyle w:val="33"/>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4.2.5</w:t>
      </w:r>
      <w:r>
        <w:rPr>
          <w:rFonts w:hint="eastAsia" w:ascii="宋体" w:hAnsi="宋体" w:eastAsia="宋体" w:cs="宋体"/>
          <w:color w:val="000000" w:themeColor="text1"/>
          <w:kern w:val="0"/>
          <w:sz w:val="24"/>
          <w:highlight w:val="none"/>
          <w:lang w:val="zh-CN" w:eastAsia="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000000" w:themeColor="text1"/>
          <w:kern w:val="0"/>
          <w:sz w:val="24"/>
          <w:highlight w:val="none"/>
          <w:lang w:val="en-US" w:eastAsia="zh-CN"/>
          <w14:textFill>
            <w14:solidFill>
              <w14:schemeClr w14:val="tx1"/>
            </w14:solidFill>
          </w14:textFill>
        </w:rPr>
        <w:t>浙江省财政厅关于进一步加强政府采购公平竞争打造最优营商环境的通知</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浙财</w:t>
      </w:r>
      <w:r>
        <w:rPr>
          <w:rFonts w:hint="eastAsia" w:ascii="宋体" w:hAnsi="宋体" w:eastAsia="宋体" w:cs="宋体"/>
          <w:color w:val="000000" w:themeColor="text1"/>
          <w:kern w:val="0"/>
          <w:sz w:val="24"/>
          <w:highlight w:val="none"/>
          <w:lang w:val="zh-CN" w:eastAsia="zh-CN"/>
          <w14:textFill>
            <w14:solidFill>
              <w14:schemeClr w14:val="tx1"/>
            </w14:solidFill>
          </w14:textFill>
        </w:rPr>
        <w:t>采监〔2021〕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eastAsia="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val="en-US" w:eastAsia="zh-CN"/>
          <w14:textFill>
            <w14:solidFill>
              <w14:schemeClr w14:val="tx1"/>
            </w14:solidFill>
          </w14:textFill>
        </w:rPr>
        <w:t>询问或者质疑事项可能影响采购结果的，采购人应当暂停签订合同，已经签订合同的，应当中止履行合同。</w:t>
      </w:r>
    </w:p>
    <w:p>
      <w:pPr>
        <w:pStyle w:val="33"/>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.3供应商投诉</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供应商投诉的事项不得超出已质疑事项的范围，基于质疑答复内容提出的投诉事项除外。</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4.3.3供应商投诉应当有明确的请求和必要的证明材料。</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4.3.5 以联合体形式参加政府采购活动的，其投诉应当由组成联合体的所有供应商共同提出。</w:t>
      </w:r>
    </w:p>
    <w:p>
      <w:pPr>
        <w:pStyle w:val="33"/>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投诉书范本请到浙江政府采购网下载专区下载。</w:t>
      </w:r>
    </w:p>
    <w:p>
      <w:pPr>
        <w:pStyle w:val="133"/>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w:t>
      </w:r>
      <w:bookmarkStart w:id="42"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42"/>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43" w:name="_Toc6708"/>
      <w:r>
        <w:rPr>
          <w:rFonts w:hint="eastAsia" w:ascii="宋体" w:hAnsi="宋体" w:cs="宋体"/>
          <w:b/>
          <w:color w:val="000000" w:themeColor="text1"/>
          <w:sz w:val="30"/>
          <w:szCs w:val="20"/>
          <w:highlight w:val="none"/>
          <w14:textFill>
            <w14:solidFill>
              <w14:schemeClr w14:val="tx1"/>
            </w14:solidFill>
          </w14:textFill>
        </w:rPr>
        <w:t>三、投标</w:t>
      </w:r>
      <w:bookmarkEnd w:id="43"/>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11.1.2</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bookmarkStart w:id="44" w:name="_Hlk101259339"/>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44"/>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不适用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不适用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pStyle w:val="3"/>
        <w:rPr>
          <w:rFonts w:hint="eastAsia"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        11.1.6</w:t>
      </w:r>
      <w:r>
        <w:rPr>
          <w:rFonts w:hint="eastAsia" w:hAnsi="宋体"/>
          <w:color w:val="000000" w:themeColor="text1"/>
          <w:kern w:val="0"/>
          <w:sz w:val="24"/>
          <w:highlight w:val="none"/>
          <w14:textFill>
            <w14:solidFill>
              <w14:schemeClr w14:val="tx1"/>
            </w14:solidFill>
          </w14:textFill>
        </w:rPr>
        <w:t>业务专用章使用说明函（如适用）</w:t>
      </w:r>
      <w:r>
        <w:rPr>
          <w:rFonts w:hint="eastAsia" w:hAnsi="宋体"/>
          <w:color w:val="000000" w:themeColor="text1"/>
          <w:kern w:val="0"/>
          <w:sz w:val="24"/>
          <w:highlight w:val="none"/>
          <w:lang w:eastAsia="zh-CN"/>
          <w14:textFill>
            <w14:solidFill>
              <w14:schemeClr w14:val="tx1"/>
            </w14:solidFill>
          </w14:textFill>
        </w:rPr>
        <w:t>。</w:t>
      </w:r>
    </w:p>
    <w:p>
      <w:pPr>
        <w:spacing w:line="360" w:lineRule="auto"/>
        <w:rPr>
          <w:rFonts w:hint="eastAsia" w:ascii="宋体" w:hAnsi="宋体" w:cs="宋体"/>
          <w:b/>
          <w:bCs/>
          <w:color w:val="000000" w:themeColor="text1"/>
          <w:sz w:val="24"/>
          <w:highlight w:val="none"/>
          <w:lang w:val="zh-CN"/>
          <w14:textFill>
            <w14:solidFill>
              <w14:schemeClr w14:val="tx1"/>
            </w14:solidFill>
          </w14:textFill>
        </w:rPr>
      </w:pPr>
    </w:p>
    <w:p>
      <w:pP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br w:type="page"/>
      </w:r>
    </w:p>
    <w:p>
      <w:pPr>
        <w:spacing w:line="360" w:lineRule="auto"/>
        <w:ind w:firstLine="482"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left="958" w:leftChars="456"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授权委托书或法定代表人（单位负责人、自然人本人）身份证明</w:t>
      </w:r>
      <w:r>
        <w:rPr>
          <w:rFonts w:hint="eastAsia" w:ascii="宋体" w:hAnsi="宋体" w:cs="宋体"/>
          <w:color w:val="000000" w:themeColor="text1"/>
          <w:highlight w:val="none"/>
          <w:lang w:val="en-US" w:eastAsia="zh-CN"/>
          <w14:textFill>
            <w14:solidFill>
              <w14:schemeClr w14:val="tx1"/>
            </w14:solidFill>
          </w14:textFill>
        </w:rPr>
        <w:t>；</w:t>
      </w:r>
    </w:p>
    <w:p>
      <w:pPr>
        <w:snapToGrid w:val="0"/>
        <w:spacing w:line="360" w:lineRule="auto"/>
        <w:ind w:left="958" w:leftChars="456"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olor w:val="000000" w:themeColor="text1"/>
          <w:kern w:val="0"/>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符合性审查资料</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投标标的清单</w:t>
      </w:r>
      <w:r>
        <w:rPr>
          <w:rFonts w:hint="eastAsia" w:ascii="宋体" w:hAnsi="宋体" w:eastAsia="宋体" w:cs="宋体"/>
          <w:color w:val="000000" w:themeColor="text1"/>
          <w:highlight w:val="none"/>
          <w:lang w:val="en-US" w:eastAsia="zh-CN"/>
          <w14:textFill>
            <w14:solidFill>
              <w14:schemeClr w14:val="tx1"/>
            </w14:solidFill>
          </w14:textFill>
        </w:rPr>
        <w:t>；</w:t>
      </w:r>
    </w:p>
    <w:p>
      <w:pPr>
        <w:snapToGrid w:val="0"/>
        <w:spacing w:line="360" w:lineRule="auto"/>
        <w:ind w:firstLine="960" w:firstLineChars="400"/>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商务技术偏离表</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3"/>
        <w:ind w:firstLine="960" w:firstLineChars="4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评</w:t>
      </w:r>
      <w:r>
        <w:rPr>
          <w:rFonts w:hint="eastAsia" w:ascii="宋体" w:hAnsi="宋体" w:eastAsia="宋体" w:cs="宋体"/>
          <w:color w:val="000000" w:themeColor="text1"/>
          <w:sz w:val="24"/>
          <w:highlight w:val="none"/>
          <w:lang w:val="en-US" w:eastAsia="zh-CN"/>
          <w14:textFill>
            <w14:solidFill>
              <w14:schemeClr w14:val="tx1"/>
            </w14:solidFill>
          </w14:textFill>
        </w:rPr>
        <w:t>标标准相应的商务技术资料</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11.2.8-1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）检验中心装修设计方案</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11.2.8-2</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）ISO 15189实验室检测能力（</w:t>
      </w:r>
      <w:r>
        <w:rPr>
          <w:rFonts w:hint="eastAsia" w:ascii="宋体" w:hAnsi="宋体" w:eastAsia="宋体" w:cs="宋体"/>
          <w:color w:val="000000" w:themeColor="text1"/>
          <w:sz w:val="24"/>
          <w:highlight w:val="none"/>
          <w14:textFill>
            <w14:solidFill>
              <w14:schemeClr w14:val="tx1"/>
            </w14:solidFill>
          </w14:textFill>
        </w:rPr>
        <w:t>如有，请按评分标准要求提供</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11.2.8-3</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）运营管理与服务方案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11.2.8-4</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）运营团队人员配备</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11.2.8-5</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）冷链物流方案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11.2.8-6</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）信息化网络建设方案</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）售后服务方案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其他特色服务情况</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业绩一览表</w:t>
      </w:r>
      <w:r>
        <w:rPr>
          <w:rFonts w:hint="eastAsia" w:ascii="宋体" w:hAnsi="宋体" w:cs="宋体"/>
          <w:color w:val="000000" w:themeColor="text1"/>
          <w:sz w:val="24"/>
          <w:highlight w:val="none"/>
          <w:lang w:val="en-US" w:eastAsia="zh-CN"/>
          <w14:textFill>
            <w14:solidFill>
              <w14:schemeClr w14:val="tx1"/>
            </w14:solidFill>
          </w14:textFill>
        </w:rPr>
        <w:t>(附合同复印件加盖公章）</w:t>
      </w:r>
    </w:p>
    <w:p>
      <w:pPr>
        <w:snapToGrid w:val="0"/>
        <w:spacing w:line="360" w:lineRule="auto"/>
        <w:ind w:firstLine="960" w:firstLineChars="4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11.2.8-10</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节能环保产品证明材料（如有，请按评分标准要求提供）</w:t>
      </w:r>
    </w:p>
    <w:p>
      <w:pPr>
        <w:pStyle w:val="3"/>
        <w:ind w:firstLine="960" w:firstLineChars="400"/>
        <w:rPr>
          <w:rFonts w:hint="default"/>
          <w:color w:val="000000" w:themeColor="text1"/>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（11.2.8-11）评分标准中要求提供的其他资料；</w:t>
      </w:r>
    </w:p>
    <w:p>
      <w:pPr>
        <w:snapToGrid w:val="0"/>
        <w:spacing w:line="360" w:lineRule="auto"/>
        <w:ind w:firstLine="482" w:firstLineChars="200"/>
        <w:rPr>
          <w:rFonts w:hint="eastAsia" w:ascii="宋体" w:hAnsi="宋体" w:cs="宋体"/>
          <w:b/>
          <w:bCs/>
          <w:color w:val="000000" w:themeColor="text1"/>
          <w:kern w:val="0"/>
          <w:sz w:val="24"/>
          <w:highlight w:val="none"/>
          <w:lang w:val="zh-CN"/>
          <w14:textFill>
            <w14:solidFill>
              <w14:schemeClr w14:val="tx1"/>
            </w14:solidFill>
          </w14:textFill>
        </w:rPr>
      </w:pPr>
    </w:p>
    <w:p>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pPr>
        <w:snapToGrid w:val="0"/>
        <w:spacing w:line="360" w:lineRule="auto"/>
        <w:ind w:firstLine="720" w:firstLineChars="3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11.3.2投标报价明细表；</w:t>
      </w:r>
    </w:p>
    <w:p>
      <w:pPr>
        <w:snapToGrid w:val="0"/>
        <w:spacing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11.3.3质保期后备品备件清单；</w:t>
      </w:r>
    </w:p>
    <w:p>
      <w:pPr>
        <w:snapToGrid w:val="0"/>
        <w:spacing w:line="360" w:lineRule="auto"/>
        <w:ind w:firstLine="720" w:firstLineChars="3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11.3.5残疾人福利性单位声明函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11.3.6由省级以上监狱管理局、戒毒管理局（含新疆生产建设兵团）出具的属于监狱企业的证明文件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45" w:name="_Toc14413"/>
      <w:r>
        <w:rPr>
          <w:rFonts w:hint="eastAsia" w:ascii="宋体" w:hAnsi="宋体" w:eastAsia="宋体" w:cs="宋体"/>
          <w:b/>
          <w:color w:val="000000" w:themeColor="text1"/>
          <w:sz w:val="24"/>
          <w:highlight w:val="none"/>
          <w14:textFill>
            <w14:solidFill>
              <w14:schemeClr w14:val="tx1"/>
            </w14:solidFill>
          </w14:textFill>
        </w:rPr>
        <w:t>12</w:t>
      </w:r>
      <w:r>
        <w:rPr>
          <w:rFonts w:hint="eastAsia" w:ascii="宋体" w:hAnsi="宋体" w:eastAsia="宋体" w:cs="宋体"/>
          <w:b/>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投标文件的编制</w:t>
      </w:r>
      <w:bookmarkEnd w:id="45"/>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3"/>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w:t>
      </w:r>
      <w:r>
        <w:rPr>
          <w:rFonts w:hint="eastAsia" w:hAnsi="宋体" w:cs="宋体"/>
          <w:color w:val="000000" w:themeColor="text1"/>
          <w:sz w:val="24"/>
          <w:szCs w:val="24"/>
          <w:highlight w:val="none"/>
          <w:lang w:val="en-US" w:eastAsia="zh-CN"/>
          <w14:textFill>
            <w14:solidFill>
              <w14:schemeClr w14:val="tx1"/>
            </w14:solidFill>
          </w14:textFill>
        </w:rPr>
        <w:t>寄</w:t>
      </w:r>
      <w:r>
        <w:rPr>
          <w:rFonts w:hint="eastAsia" w:hAnsi="宋体" w:cs="宋体"/>
          <w:color w:val="000000" w:themeColor="text1"/>
          <w:sz w:val="24"/>
          <w:szCs w:val="24"/>
          <w:highlight w:val="none"/>
          <w14:textFill>
            <w14:solidFill>
              <w14:schemeClr w14:val="tx1"/>
            </w14:solidFill>
          </w14:textFill>
        </w:rPr>
        <w:t>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不强制投标人提交备份投标文件。</w:t>
      </w:r>
    </w:p>
    <w:p>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snapToGrid w:val="0"/>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lang w:val="en-US" w:eastAsia="zh-CN"/>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w:t>
      </w:r>
      <w:r>
        <w:rPr>
          <w:rFonts w:hint="eastAsia" w:hAnsi="宋体" w:cs="宋体"/>
          <w:color w:val="000000" w:themeColor="text1"/>
          <w:sz w:val="24"/>
          <w:szCs w:val="24"/>
          <w:highlight w:val="none"/>
          <w:lang w:val="en-US" w:eastAsia="zh-CN"/>
          <w14:textFill>
            <w14:solidFill>
              <w14:schemeClr w14:val="tx1"/>
            </w14:solidFill>
          </w14:textFill>
        </w:rPr>
        <w:t>邮寄</w:t>
      </w:r>
      <w:r>
        <w:rPr>
          <w:rFonts w:hint="eastAsia" w:hAnsi="宋体" w:cs="宋体"/>
          <w:color w:val="000000" w:themeColor="text1"/>
          <w:sz w:val="24"/>
          <w:szCs w:val="24"/>
          <w:highlight w:val="none"/>
          <w14:textFill>
            <w14:solidFill>
              <w14:schemeClr w14:val="tx1"/>
            </w14:solidFill>
          </w14:textFill>
        </w:rPr>
        <w:t>方式递交备份投标文件的，投标人应先将备份投标文件按要求密封和标记，再进行</w:t>
      </w:r>
      <w:r>
        <w:rPr>
          <w:rFonts w:hint="eastAsia" w:hAnsi="宋体" w:cs="宋体"/>
          <w:color w:val="000000" w:themeColor="text1"/>
          <w:sz w:val="24"/>
          <w:szCs w:val="24"/>
          <w:highlight w:val="none"/>
          <w:lang w:val="en-US" w:eastAsia="zh-CN"/>
          <w14:textFill>
            <w14:solidFill>
              <w14:schemeClr w14:val="tx1"/>
            </w14:solidFill>
          </w14:textFill>
        </w:rPr>
        <w:t>邮件外</w:t>
      </w:r>
      <w:r>
        <w:rPr>
          <w:rFonts w:hint="eastAsia" w:hAnsi="宋体" w:cs="宋体"/>
          <w:color w:val="000000" w:themeColor="text1"/>
          <w:sz w:val="24"/>
          <w:szCs w:val="24"/>
          <w:highlight w:val="none"/>
          <w14:textFill>
            <w14:solidFill>
              <w14:schemeClr w14:val="tx1"/>
            </w14:solidFill>
          </w14:textFill>
        </w:rPr>
        <w:t>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000000" w:themeColor="text1"/>
          <w:sz w:val="32"/>
          <w:highlight w:val="none"/>
          <w14:textFill>
            <w14:solidFill>
              <w14:schemeClr w14:val="tx1"/>
            </w14:solidFill>
          </w14:textFill>
        </w:rPr>
      </w:pPr>
    </w:p>
    <w:p>
      <w:pPr>
        <w:pStyle w:val="133"/>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6"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6"/>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6"/>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资格审查</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3"/>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7" w:name="_Toc23139"/>
      <w:r>
        <w:rPr>
          <w:rFonts w:hint="eastAsia" w:ascii="宋体" w:hAnsi="宋体" w:cs="宋体"/>
          <w:b/>
          <w:color w:val="000000" w:themeColor="text1"/>
          <w:sz w:val="36"/>
          <w:szCs w:val="36"/>
          <w:highlight w:val="none"/>
          <w14:textFill>
            <w14:solidFill>
              <w14:schemeClr w14:val="tx1"/>
            </w14:solidFill>
          </w14:textFill>
        </w:rPr>
        <w:t>五、评</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标</w:t>
      </w:r>
      <w:bookmarkEnd w:id="47"/>
    </w:p>
    <w:p>
      <w:pPr>
        <w:spacing w:line="360" w:lineRule="auto"/>
        <w:rPr>
          <w:rFonts w:hint="eastAsia" w:ascii="宋体" w:hAnsi="宋体" w:cs="宋体"/>
          <w:color w:val="000000" w:themeColor="text1"/>
          <w:sz w:val="24"/>
          <w:highlight w:val="none"/>
          <w14:textFill>
            <w14:solidFill>
              <w14:schemeClr w14:val="tx1"/>
            </w14:solidFill>
          </w14:textFill>
        </w:rPr>
      </w:pPr>
      <w:bookmarkStart w:id="48" w:name="_Toc91899903"/>
      <w:r>
        <w:rPr>
          <w:rFonts w:hint="eastAsia" w:ascii="宋体" w:hAnsi="宋体" w:cs="宋体"/>
          <w:b w:val="0"/>
          <w:bCs/>
          <w:color w:val="000000" w:themeColor="text1"/>
          <w:sz w:val="24"/>
          <w:highlight w:val="none"/>
          <w14:textFill>
            <w14:solidFill>
              <w14:schemeClr w14:val="tx1"/>
            </w14:solidFill>
          </w14:textFill>
        </w:rPr>
        <w:t>21.</w:t>
      </w:r>
      <w:r>
        <w:rPr>
          <w:rFonts w:hint="eastAsia" w:ascii="宋体" w:hAnsi="宋体" w:cs="宋体"/>
          <w:b w:val="0"/>
          <w:bCs/>
          <w:color w:val="000000" w:themeColor="text1"/>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9" w:name="_Toc32708"/>
      <w:r>
        <w:rPr>
          <w:rFonts w:hint="eastAsia" w:ascii="宋体" w:hAnsi="宋体" w:cs="宋体"/>
          <w:b/>
          <w:color w:val="000000" w:themeColor="text1"/>
          <w:sz w:val="36"/>
          <w:szCs w:val="36"/>
          <w:highlight w:val="none"/>
          <w14:textFill>
            <w14:solidFill>
              <w14:schemeClr w14:val="tx1"/>
            </w14:solidFill>
          </w14:textFill>
        </w:rPr>
        <w:t>六、定 标</w:t>
      </w:r>
      <w:bookmarkEnd w:id="49"/>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numPr>
          <w:ilvl w:val="0"/>
          <w:numId w:val="2"/>
        </w:numPr>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pPr>
        <w:pStyle w:val="133"/>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.1自中标人确定之日起2个工作日内，采购代理机构通过电子交易平台向中标人发出中标通知书，同时编制发布采购结果公告。采购代理机构也可以以纸质形式进行中标通知。</w:t>
      </w:r>
    </w:p>
    <w:p>
      <w:pPr>
        <w:pStyle w:val="133"/>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.2中标结果公告内容包括采购人及其委托的采购代理机构的名称、地址、联系方式，项目名称和项目编号，中标人名称、地址和中标金额，主要中标标的的名称、规格型号、数量、单价</w:t>
      </w:r>
      <w:r>
        <w:rPr>
          <w:rFonts w:hint="eastAsia" w:ascii="宋体" w:hAnsi="宋体" w:eastAsia="宋体" w:cs="宋体"/>
          <w:color w:val="000000" w:themeColor="text1"/>
          <w:szCs w:val="24"/>
          <w:highlight w:val="none"/>
          <w:lang w:val="en-US" w:eastAsia="zh-CN"/>
          <w14:textFill>
            <w14:solidFill>
              <w14:schemeClr w14:val="tx1"/>
            </w14:solidFill>
          </w14:textFill>
        </w:rPr>
        <w:t>或者标的基本概况</w:t>
      </w:r>
      <w:r>
        <w:rPr>
          <w:rFonts w:hint="eastAsia" w:ascii="宋体" w:hAnsi="宋体" w:cs="宋体"/>
          <w:color w:val="000000" w:themeColor="text1"/>
          <w:szCs w:val="24"/>
          <w:highlight w:val="none"/>
          <w:lang w:val="en-US" w:eastAsia="zh-CN"/>
          <w14:textFill>
            <w14:solidFill>
              <w14:schemeClr w14:val="tx1"/>
            </w14:solidFill>
          </w14:textFill>
        </w:rPr>
        <w:t>等</w:t>
      </w:r>
      <w:r>
        <w:rPr>
          <w:rFonts w:hint="eastAsia" w:ascii="宋体" w:hAnsi="宋体" w:eastAsia="宋体" w:cs="宋体"/>
          <w:color w:val="000000" w:themeColor="text1"/>
          <w:szCs w:val="24"/>
          <w:highlight w:val="none"/>
          <w14:textFill>
            <w14:solidFill>
              <w14:schemeClr w14:val="tx1"/>
            </w14:solidFill>
          </w14:textFill>
        </w:rPr>
        <w:t>、中标公告期限以及评审专家名单、评分汇总。</w:t>
      </w:r>
    </w:p>
    <w:p>
      <w:pPr>
        <w:pStyle w:val="133"/>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0" w:name="_Toc22272"/>
      <w:r>
        <w:rPr>
          <w:rFonts w:hint="eastAsia" w:ascii="宋体" w:hAnsi="宋体" w:cs="宋体"/>
          <w:b/>
          <w:color w:val="000000" w:themeColor="text1"/>
          <w:sz w:val="32"/>
          <w:highlight w:val="none"/>
          <w14:textFill>
            <w14:solidFill>
              <w14:schemeClr w14:val="tx1"/>
            </w14:solidFill>
          </w14:textFill>
        </w:rPr>
        <w:t>七、合同授予</w:t>
      </w:r>
      <w:bookmarkEnd w:id="50"/>
    </w:p>
    <w:p>
      <w:pPr>
        <w:pStyle w:val="25"/>
        <w:spacing w:line="360" w:lineRule="auto"/>
        <w:ind w:left="479" w:hanging="479" w:hangingChars="199"/>
        <w:rPr>
          <w:rFonts w:cs="宋体"/>
          <w:b/>
          <w:bCs w:val="0"/>
          <w:color w:val="000000" w:themeColor="text1"/>
          <w:highlight w:val="none"/>
          <w14:textFill>
            <w14:solidFill>
              <w14:schemeClr w14:val="tx1"/>
            </w14:solidFill>
          </w14:textFill>
        </w:rPr>
      </w:pPr>
      <w:r>
        <w:rPr>
          <w:rFonts w:hint="eastAsia" w:cs="宋体"/>
          <w:b/>
          <w:bCs w:val="0"/>
          <w:color w:val="000000" w:themeColor="text1"/>
          <w:highlight w:val="none"/>
          <w14:textFill>
            <w14:solidFill>
              <w14:schemeClr w14:val="tx1"/>
            </w14:solidFill>
          </w14:textFill>
        </w:rPr>
        <w:t>24. 合同主要条款详见第五部分拟签订的合同文本。</w:t>
      </w:r>
    </w:p>
    <w:p>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pStyle w:val="133"/>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rPr>
          <w:rFonts w:hint="eastAsia" w:cs="宋体"/>
          <w:b/>
          <w:color w:val="000000" w:themeColor="text1"/>
          <w:highlight w:val="none"/>
          <w14:textFill>
            <w14:solidFill>
              <w14:schemeClr w14:val="tx1"/>
            </w14:solidFill>
          </w14:textFill>
        </w:rPr>
      </w:pPr>
    </w:p>
    <w:p>
      <w:pPr>
        <w:pStyle w:val="25"/>
        <w:spacing w:line="360" w:lineRule="auto"/>
        <w:ind w:left="479" w:hanging="479" w:hangingChars="199"/>
        <w:rPr>
          <w:rFonts w:hint="eastAsia" w:eastAsia="宋体" w:cs="宋体"/>
          <w:b/>
          <w:color w:val="000000" w:themeColor="text1"/>
          <w:highlight w:val="none"/>
          <w:lang w:eastAsia="zh-CN"/>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r>
        <w:rPr>
          <w:rFonts w:hint="eastAsia" w:cs="宋体"/>
          <w:b/>
          <w:color w:val="000000" w:themeColor="text1"/>
          <w:highlight w:val="none"/>
          <w:lang w:eastAsia="zh-CN"/>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如有</w:t>
      </w:r>
      <w:r>
        <w:rPr>
          <w:rFonts w:hint="eastAsia" w:cs="宋体"/>
          <w:b/>
          <w:color w:val="000000" w:themeColor="text1"/>
          <w:highlight w:val="none"/>
          <w:lang w:eastAsia="zh-CN"/>
          <w14:textFill>
            <w14:solidFill>
              <w14:schemeClr w14:val="tx1"/>
            </w14:solidFill>
          </w14:textFill>
        </w:rPr>
        <w:t>）</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w:t>
      </w:r>
      <w:r>
        <w:rPr>
          <w:rFonts w:hint="eastAsia" w:ascii="宋体" w:hAnsi="宋体" w:cs="宋体"/>
          <w:color w:val="000000" w:themeColor="text1"/>
          <w:kern w:val="0"/>
          <w:sz w:val="24"/>
          <w:highlight w:val="none"/>
          <w:lang w:val="en-US" w:eastAsia="zh-CN"/>
          <w14:textFill>
            <w14:solidFill>
              <w14:schemeClr w14:val="tx1"/>
            </w14:solidFill>
          </w14:textFill>
        </w:rPr>
        <w:t>如</w:t>
      </w:r>
      <w:r>
        <w:rPr>
          <w:rFonts w:hint="eastAsia" w:ascii="宋体" w:hAnsi="宋体" w:cs="宋体"/>
          <w:color w:val="000000" w:themeColor="text1"/>
          <w:kern w:val="0"/>
          <w:sz w:val="24"/>
          <w:highlight w:val="none"/>
          <w14:textFill>
            <w14:solidFill>
              <w14:schemeClr w14:val="tx1"/>
            </w14:solidFill>
          </w14:textFill>
        </w:rPr>
        <w:t>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pStyle w:val="5"/>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bookmarkStart w:id="51" w:name="_Toc5410"/>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1"/>
    </w:p>
    <w:p>
      <w:pPr>
        <w:rPr>
          <w:color w:val="000000" w:themeColor="text1"/>
          <w:highlight w:val="none"/>
          <w14:textFill>
            <w14:solidFill>
              <w14:schemeClr w14:val="tx1"/>
            </w14:solidFill>
          </w14:textFill>
        </w:rPr>
      </w:pPr>
    </w:p>
    <w:p>
      <w:pPr>
        <w:rPr>
          <w:rFonts w:hint="eastAsia" w:ascii="宋体" w:hAnsi="宋体" w:cs="宋体"/>
          <w:b/>
          <w:color w:val="000000" w:themeColor="text1"/>
          <w:sz w:val="32"/>
          <w:highlight w:val="none"/>
          <w14:textFill>
            <w14:solidFill>
              <w14:schemeClr w14:val="tx1"/>
            </w14:solidFill>
          </w14:textFill>
        </w:rPr>
      </w:pPr>
      <w:bookmarkStart w:id="52" w:name="_Toc362"/>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52"/>
    </w:p>
    <w:p>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2"/>
          <w:sz w:val="24"/>
          <w:szCs w:val="20"/>
          <w:highlight w:val="none"/>
          <w:lang w:val="en-US" w:eastAsia="zh-CN"/>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3" w:name="_Toc12798"/>
      <w:r>
        <w:rPr>
          <w:rFonts w:hint="eastAsia" w:ascii="宋体" w:hAnsi="宋体" w:cs="宋体"/>
          <w:b/>
          <w:color w:val="000000" w:themeColor="text1"/>
          <w:sz w:val="32"/>
          <w:highlight w:val="none"/>
          <w14:textFill>
            <w14:solidFill>
              <w14:schemeClr w14:val="tx1"/>
            </w14:solidFill>
          </w14:textFill>
        </w:rPr>
        <w:t>九、验收</w:t>
      </w:r>
      <w:bookmarkEnd w:id="53"/>
    </w:p>
    <w:p>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29</w:t>
      </w:r>
      <w:r>
        <w:rPr>
          <w:rFonts w:hint="eastAsia" w:cs="宋体"/>
          <w:b/>
          <w:color w:val="000000" w:themeColor="text1"/>
          <w:highlight w:val="none"/>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8"/>
      <w:bookmarkStart w:id="54" w:name="_Hlt75236290"/>
      <w:bookmarkEnd w:id="54"/>
      <w:bookmarkStart w:id="55" w:name="_Hlt68057669"/>
      <w:bookmarkEnd w:id="55"/>
      <w:bookmarkStart w:id="56" w:name="_Hlt68073093"/>
      <w:bookmarkEnd w:id="56"/>
      <w:bookmarkStart w:id="57" w:name="_Hlt74729768"/>
      <w:bookmarkEnd w:id="57"/>
      <w:bookmarkStart w:id="58" w:name="_Hlt75236011"/>
      <w:bookmarkEnd w:id="58"/>
      <w:bookmarkStart w:id="59" w:name="_Hlt74707468"/>
      <w:bookmarkEnd w:id="59"/>
      <w:bookmarkStart w:id="60" w:name="_Hlt75236101"/>
      <w:bookmarkEnd w:id="60"/>
      <w:bookmarkStart w:id="61" w:name="_Hlt74730295"/>
      <w:bookmarkEnd w:id="61"/>
      <w:bookmarkStart w:id="62" w:name="_Hlt68072998"/>
      <w:bookmarkEnd w:id="62"/>
      <w:bookmarkStart w:id="63" w:name="_Hlt74714665"/>
      <w:bookmarkEnd w:id="63"/>
      <w:bookmarkStart w:id="64" w:name="_Hlt68403820"/>
      <w:bookmarkEnd w:id="64"/>
      <w:bookmarkStart w:id="65" w:name="_Hlt68072990"/>
      <w:bookmarkEnd w:id="65"/>
    </w:p>
    <w:bookmarkEnd w:id="35"/>
    <w:bookmarkEnd w:id="36"/>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66" w:name="_Toc17321"/>
      <w:bookmarkStart w:id="67" w:name="_Toc9424"/>
      <w:bookmarkStart w:id="68"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66"/>
      <w:bookmarkEnd w:id="67"/>
    </w:p>
    <w:p>
      <w:pPr>
        <w:spacing w:line="360" w:lineRule="auto"/>
        <w:ind w:firstLine="120" w:firstLineChars="5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一、技术需求</w:t>
      </w:r>
    </w:p>
    <w:p>
      <w:pPr>
        <w:snapToGrid w:val="0"/>
        <w:spacing w:before="360" w:beforeLines="150" w:line="360" w:lineRule="auto"/>
        <w:jc w:val="left"/>
        <w:rPr>
          <w:rFonts w:hint="eastAsia" w:ascii="宋体" w:hAnsi="宋体"/>
          <w:b/>
          <w:snapToGrid w:val="0"/>
          <w:color w:val="000000"/>
          <w:kern w:val="0"/>
          <w:szCs w:val="21"/>
        </w:rPr>
      </w:pPr>
      <w:bookmarkStart w:id="69" w:name="_Toc394629570"/>
      <w:bookmarkStart w:id="70" w:name="_Toc458775783"/>
      <w:r>
        <w:rPr>
          <w:rFonts w:hint="eastAsia" w:ascii="宋体" w:hAnsi="宋体"/>
          <w:b/>
          <w:snapToGrid w:val="0"/>
          <w:color w:val="000000"/>
          <w:kern w:val="0"/>
          <w:szCs w:val="21"/>
        </w:rPr>
        <w:t>（一）项目概述</w:t>
      </w:r>
      <w:bookmarkEnd w:id="69"/>
      <w:bookmarkEnd w:id="70"/>
    </w:p>
    <w:p>
      <w:pPr>
        <w:pStyle w:val="60"/>
        <w:spacing w:before="0" w:beforeAutospacing="0" w:after="0" w:afterAutospacing="0" w:line="360" w:lineRule="auto"/>
        <w:ind w:firstLine="420" w:firstLineChars="200"/>
        <w:jc w:val="both"/>
        <w:rPr>
          <w:rFonts w:hint="eastAsia" w:cs="宋体"/>
          <w:color w:val="000000"/>
          <w:kern w:val="2"/>
          <w:sz w:val="21"/>
          <w:szCs w:val="21"/>
        </w:rPr>
      </w:pPr>
      <w:bookmarkStart w:id="71" w:name="_Toc458775784"/>
      <w:bookmarkStart w:id="72" w:name="_Toc394629572"/>
      <w:r>
        <w:rPr>
          <w:rFonts w:hint="eastAsia" w:cs="宋体"/>
          <w:color w:val="000000"/>
          <w:kern w:val="2"/>
          <w:sz w:val="21"/>
          <w:szCs w:val="21"/>
        </w:rPr>
        <w:t>根据国务院进一步深化医改的指导意见，切实推进</w:t>
      </w:r>
      <w:r>
        <w:rPr>
          <w:rFonts w:hint="eastAsia" w:cs="宋体"/>
          <w:color w:val="000000"/>
          <w:kern w:val="2"/>
          <w:sz w:val="21"/>
          <w:szCs w:val="21"/>
          <w:lang w:eastAsia="zh-CN"/>
        </w:rPr>
        <w:t>宁波大学附属第一医院</w:t>
      </w:r>
      <w:r>
        <w:rPr>
          <w:rFonts w:hint="eastAsia" w:cs="宋体"/>
          <w:color w:val="000000"/>
          <w:kern w:val="2"/>
          <w:sz w:val="21"/>
          <w:szCs w:val="21"/>
          <w:lang w:val="en-US" w:eastAsia="zh-CN"/>
        </w:rPr>
        <w:t>外滩院区</w:t>
      </w:r>
      <w:r>
        <w:rPr>
          <w:rFonts w:hint="eastAsia" w:cs="宋体"/>
          <w:color w:val="000000"/>
          <w:kern w:val="2"/>
          <w:sz w:val="21"/>
          <w:szCs w:val="21"/>
        </w:rPr>
        <w:t>医学检验中心建设的相关要求，经相关部门备案同意，</w:t>
      </w:r>
      <w:r>
        <w:rPr>
          <w:rFonts w:hint="eastAsia" w:cs="宋体"/>
          <w:color w:val="000000"/>
          <w:kern w:val="2"/>
          <w:sz w:val="21"/>
          <w:szCs w:val="21"/>
          <w:lang w:eastAsia="zh-CN"/>
        </w:rPr>
        <w:t>宁波大学附属第一医院</w:t>
      </w:r>
      <w:r>
        <w:rPr>
          <w:rFonts w:hint="eastAsia" w:cs="宋体"/>
          <w:color w:val="000000"/>
          <w:kern w:val="2"/>
          <w:sz w:val="21"/>
          <w:szCs w:val="21"/>
          <w:lang w:val="en-US" w:eastAsia="zh-CN"/>
        </w:rPr>
        <w:t>外滩院区</w:t>
      </w:r>
      <w:r>
        <w:rPr>
          <w:rFonts w:hint="eastAsia" w:cs="宋体"/>
          <w:color w:val="000000"/>
          <w:kern w:val="2"/>
          <w:sz w:val="21"/>
          <w:szCs w:val="21"/>
        </w:rPr>
        <w:t>拟引入专业检验类服务机构，合作共建针对</w:t>
      </w:r>
      <w:r>
        <w:rPr>
          <w:rFonts w:hint="eastAsia" w:cs="宋体"/>
          <w:color w:val="000000"/>
          <w:kern w:val="2"/>
          <w:sz w:val="21"/>
          <w:szCs w:val="21"/>
          <w:lang w:eastAsia="zh-CN"/>
        </w:rPr>
        <w:t>宁波大学附属第一医院外滩院区</w:t>
      </w:r>
      <w:r>
        <w:rPr>
          <w:rFonts w:hint="eastAsia" w:cs="宋体"/>
          <w:color w:val="000000"/>
          <w:kern w:val="2"/>
          <w:sz w:val="21"/>
          <w:szCs w:val="21"/>
        </w:rPr>
        <w:t>医学检验中心，导入国际化质量标准体系，减少财政支出，降低运行成本，提高医院整体诊疗技术水平，提升医疗服务的质量与效率。</w:t>
      </w:r>
    </w:p>
    <w:p>
      <w:pPr>
        <w:pStyle w:val="60"/>
        <w:spacing w:before="0" w:beforeAutospacing="0" w:after="0" w:afterAutospacing="0" w:line="360" w:lineRule="auto"/>
        <w:jc w:val="both"/>
        <w:rPr>
          <w:rFonts w:hint="eastAsia"/>
          <w:b/>
          <w:snapToGrid w:val="0"/>
          <w:color w:val="000000"/>
          <w:sz w:val="21"/>
          <w:szCs w:val="21"/>
        </w:rPr>
      </w:pPr>
      <w:r>
        <w:rPr>
          <w:rFonts w:hint="eastAsia"/>
          <w:b/>
          <w:snapToGrid w:val="0"/>
          <w:color w:val="000000"/>
          <w:sz w:val="21"/>
          <w:szCs w:val="21"/>
        </w:rPr>
        <w:t>（二）项目共建模式</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.由政府主导、卫生行政部门监督下，在</w:t>
      </w:r>
      <w:r>
        <w:rPr>
          <w:rFonts w:hint="eastAsia" w:ascii="宋体" w:hAnsi="宋体"/>
          <w:color w:val="000000"/>
          <w:szCs w:val="21"/>
          <w:lang w:eastAsia="zh-CN"/>
        </w:rPr>
        <w:t>宁波大学附属第一医院外滩院区</w:t>
      </w:r>
      <w:r>
        <w:rPr>
          <w:rFonts w:hint="eastAsia" w:ascii="宋体" w:hAnsi="宋体"/>
          <w:color w:val="000000"/>
          <w:szCs w:val="21"/>
        </w:rPr>
        <w:t>建立医学检验中心。</w:t>
      </w:r>
    </w:p>
    <w:p>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.医院委托中标人负责检验中心的设计装修、技术平台建设、建立</w:t>
      </w:r>
      <w:r>
        <w:rPr>
          <w:rFonts w:hint="eastAsia" w:ascii="宋体" w:hAnsi="宋体"/>
          <w:color w:val="000000"/>
          <w:szCs w:val="21"/>
          <w:lang w:val="en-US" w:eastAsia="zh-CN"/>
        </w:rPr>
        <w:t>标本转运、</w:t>
      </w:r>
      <w:r>
        <w:rPr>
          <w:rFonts w:hint="eastAsia" w:ascii="宋体" w:hAnsi="宋体"/>
          <w:color w:val="000000"/>
          <w:szCs w:val="21"/>
        </w:rPr>
        <w:t>物流系统与信息系统，负责试剂耗材的采购与提供，并负责协助医院检验中心所有日常工作的正常开展；其中，主要检验设备由投标人选型报价，招标人负责采购，产权归属招标人。</w:t>
      </w:r>
    </w:p>
    <w:p>
      <w:pPr>
        <w:spacing w:line="360" w:lineRule="auto"/>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.检验中心承担医院全部检验业务，包括医学样本的采集验收、样本检测、检验报告的出具等。</w:t>
      </w:r>
    </w:p>
    <w:p>
      <w:pPr>
        <w:spacing w:line="360" w:lineRule="auto"/>
        <w:rPr>
          <w:rFonts w:hint="eastAsia" w:ascii="宋体" w:hAnsi="宋体"/>
          <w:b/>
          <w:snapToGrid w:val="0"/>
          <w:color w:val="000000"/>
          <w:kern w:val="0"/>
          <w:szCs w:val="21"/>
        </w:rPr>
      </w:pPr>
      <w:r>
        <w:rPr>
          <w:rFonts w:hint="eastAsia" w:ascii="宋体" w:hAnsi="宋体"/>
          <w:b/>
          <w:snapToGrid w:val="0"/>
          <w:color w:val="000000"/>
          <w:kern w:val="0"/>
          <w:szCs w:val="21"/>
        </w:rPr>
        <w:t>（三）项目需求一览表</w:t>
      </w:r>
      <w:bookmarkEnd w:id="71"/>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600"/>
        <w:gridCol w:w="720"/>
        <w:gridCol w:w="720"/>
        <w:gridCol w:w="37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648" w:type="dxa"/>
            <w:noWrap w:val="0"/>
            <w:vAlign w:val="center"/>
          </w:tcPr>
          <w:p>
            <w:pPr>
              <w:snapToGrid w:val="0"/>
              <w:jc w:val="center"/>
              <w:rPr>
                <w:rFonts w:ascii="宋体" w:hAnsi="宋体"/>
                <w:b/>
                <w:snapToGrid w:val="0"/>
                <w:color w:val="000000"/>
                <w:kern w:val="0"/>
                <w:szCs w:val="21"/>
              </w:rPr>
            </w:pPr>
            <w:r>
              <w:rPr>
                <w:rFonts w:hint="eastAsia" w:ascii="宋体" w:hAnsi="宋体"/>
                <w:b/>
                <w:snapToGrid w:val="0"/>
                <w:color w:val="000000"/>
                <w:kern w:val="0"/>
                <w:szCs w:val="21"/>
              </w:rPr>
              <w:t>序号</w:t>
            </w:r>
          </w:p>
        </w:tc>
        <w:tc>
          <w:tcPr>
            <w:tcW w:w="3600" w:type="dxa"/>
            <w:noWrap w:val="0"/>
            <w:vAlign w:val="center"/>
          </w:tcPr>
          <w:p>
            <w:pPr>
              <w:snapToGrid w:val="0"/>
              <w:jc w:val="center"/>
              <w:rPr>
                <w:rFonts w:ascii="宋体" w:hAnsi="宋体"/>
                <w:b/>
                <w:snapToGrid w:val="0"/>
                <w:color w:val="000000"/>
                <w:kern w:val="0"/>
                <w:szCs w:val="21"/>
              </w:rPr>
            </w:pPr>
            <w:r>
              <w:rPr>
                <w:rFonts w:hint="eastAsia" w:ascii="宋体" w:hAnsi="宋体"/>
                <w:b/>
                <w:snapToGrid w:val="0"/>
                <w:color w:val="000000"/>
                <w:kern w:val="0"/>
                <w:szCs w:val="21"/>
              </w:rPr>
              <w:t>需求内容</w:t>
            </w:r>
          </w:p>
        </w:tc>
        <w:tc>
          <w:tcPr>
            <w:tcW w:w="720" w:type="dxa"/>
            <w:noWrap w:val="0"/>
            <w:vAlign w:val="center"/>
          </w:tcPr>
          <w:p>
            <w:pPr>
              <w:jc w:val="center"/>
              <w:rPr>
                <w:rFonts w:ascii="宋体" w:hAnsi="宋体" w:cs="Arial"/>
                <w:b/>
                <w:color w:val="000000"/>
                <w:szCs w:val="21"/>
              </w:rPr>
            </w:pPr>
            <w:r>
              <w:rPr>
                <w:rFonts w:hint="eastAsia" w:ascii="宋体" w:hAnsi="宋体" w:cs="Arial"/>
                <w:b/>
                <w:color w:val="000000"/>
                <w:szCs w:val="21"/>
              </w:rPr>
              <w:t>数量</w:t>
            </w:r>
          </w:p>
        </w:tc>
        <w:tc>
          <w:tcPr>
            <w:tcW w:w="720" w:type="dxa"/>
            <w:noWrap w:val="0"/>
            <w:vAlign w:val="center"/>
          </w:tcPr>
          <w:p>
            <w:pPr>
              <w:jc w:val="center"/>
              <w:rPr>
                <w:rFonts w:ascii="宋体" w:hAnsi="宋体" w:cs="Arial"/>
                <w:b/>
                <w:color w:val="000000"/>
                <w:szCs w:val="21"/>
              </w:rPr>
            </w:pPr>
            <w:r>
              <w:rPr>
                <w:rFonts w:hint="eastAsia" w:ascii="宋体" w:hAnsi="宋体" w:cs="Arial"/>
                <w:b/>
                <w:color w:val="000000"/>
                <w:szCs w:val="21"/>
              </w:rPr>
              <w:t>单位</w:t>
            </w:r>
          </w:p>
        </w:tc>
        <w:tc>
          <w:tcPr>
            <w:tcW w:w="3712" w:type="dxa"/>
            <w:noWrap w:val="0"/>
            <w:vAlign w:val="center"/>
          </w:tcPr>
          <w:p>
            <w:pPr>
              <w:jc w:val="center"/>
              <w:rPr>
                <w:rFonts w:ascii="宋体" w:hAnsi="宋体" w:cs="Arial"/>
                <w:b/>
                <w:color w:val="000000"/>
                <w:szCs w:val="21"/>
              </w:rPr>
            </w:pPr>
            <w:r>
              <w:rPr>
                <w:rFonts w:hint="eastAsia" w:ascii="宋体" w:hAnsi="宋体" w:cs="Arial"/>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dxa"/>
            <w:noWrap w:val="0"/>
            <w:vAlign w:val="center"/>
          </w:tcPr>
          <w:p>
            <w:pPr>
              <w:jc w:val="center"/>
              <w:rPr>
                <w:rFonts w:ascii="宋体" w:hAnsi="宋体" w:cs="Arial"/>
                <w:color w:val="000000"/>
                <w:szCs w:val="21"/>
              </w:rPr>
            </w:pPr>
            <w:r>
              <w:rPr>
                <w:rFonts w:hint="eastAsia" w:ascii="宋体" w:hAnsi="宋体" w:cs="Arial"/>
                <w:color w:val="000000"/>
                <w:szCs w:val="21"/>
              </w:rPr>
              <w:t>1</w:t>
            </w:r>
          </w:p>
        </w:tc>
        <w:tc>
          <w:tcPr>
            <w:tcW w:w="3600" w:type="dxa"/>
            <w:noWrap w:val="0"/>
            <w:vAlign w:val="center"/>
          </w:tcPr>
          <w:p>
            <w:pPr>
              <w:jc w:val="center"/>
              <w:rPr>
                <w:rFonts w:ascii="宋体" w:hAnsi="宋体" w:cs="Arial"/>
                <w:color w:val="000000"/>
                <w:szCs w:val="21"/>
                <w:highlight w:val="none"/>
              </w:rPr>
            </w:pPr>
            <w:r>
              <w:rPr>
                <w:rFonts w:hint="eastAsia" w:ascii="宋体" w:hAnsi="宋体" w:cs="Arial"/>
                <w:color w:val="000000"/>
                <w:szCs w:val="21"/>
                <w:highlight w:val="none"/>
              </w:rPr>
              <w:t>工程建设</w:t>
            </w:r>
          </w:p>
          <w:p>
            <w:pPr>
              <w:jc w:val="center"/>
              <w:rPr>
                <w:rFonts w:ascii="宋体" w:hAnsi="宋体" w:cs="Arial"/>
                <w:color w:val="000000"/>
                <w:szCs w:val="21"/>
                <w:highlight w:val="none"/>
              </w:rPr>
            </w:pPr>
            <w:r>
              <w:rPr>
                <w:rFonts w:hint="eastAsia" w:ascii="宋体" w:hAnsi="宋体" w:cs="Arial"/>
                <w:color w:val="000000"/>
                <w:szCs w:val="21"/>
                <w:highlight w:val="none"/>
              </w:rPr>
              <w:t>(包括检验中心装修设计)</w:t>
            </w:r>
          </w:p>
        </w:tc>
        <w:tc>
          <w:tcPr>
            <w:tcW w:w="720" w:type="dxa"/>
            <w:noWrap w:val="0"/>
            <w:vAlign w:val="center"/>
          </w:tcPr>
          <w:p>
            <w:pPr>
              <w:jc w:val="center"/>
              <w:rPr>
                <w:rFonts w:ascii="宋体" w:hAnsi="宋体" w:cs="Arial"/>
                <w:color w:val="000000"/>
                <w:szCs w:val="21"/>
                <w:highlight w:val="none"/>
              </w:rPr>
            </w:pPr>
            <w:r>
              <w:rPr>
                <w:rFonts w:hint="eastAsia" w:ascii="宋体" w:hAnsi="宋体" w:cs="Arial"/>
                <w:color w:val="000000"/>
                <w:szCs w:val="21"/>
                <w:highlight w:val="none"/>
              </w:rPr>
              <w:t>1</w:t>
            </w:r>
          </w:p>
        </w:tc>
        <w:tc>
          <w:tcPr>
            <w:tcW w:w="720" w:type="dxa"/>
            <w:noWrap w:val="0"/>
            <w:vAlign w:val="center"/>
          </w:tcPr>
          <w:p>
            <w:pPr>
              <w:jc w:val="center"/>
              <w:rPr>
                <w:rFonts w:ascii="宋体" w:hAnsi="宋体" w:cs="Arial"/>
                <w:color w:val="000000"/>
                <w:szCs w:val="21"/>
              </w:rPr>
            </w:pPr>
            <w:r>
              <w:rPr>
                <w:rFonts w:hint="eastAsia" w:ascii="宋体" w:hAnsi="宋体" w:cs="Arial"/>
                <w:color w:val="000000"/>
                <w:szCs w:val="21"/>
              </w:rPr>
              <w:t>项</w:t>
            </w:r>
          </w:p>
        </w:tc>
        <w:tc>
          <w:tcPr>
            <w:tcW w:w="3712" w:type="dxa"/>
            <w:noWrap w:val="0"/>
            <w:vAlign w:val="center"/>
          </w:tcPr>
          <w:p>
            <w:pPr>
              <w:jc w:val="center"/>
              <w:rPr>
                <w:rFonts w:ascii="宋体" w:hAnsi="宋体" w:cs="Arial"/>
                <w:color w:val="000000"/>
                <w:szCs w:val="21"/>
              </w:rPr>
            </w:pPr>
            <w:r>
              <w:rPr>
                <w:rFonts w:hint="eastAsia" w:ascii="宋体" w:hAnsi="宋体"/>
                <w:color w:val="000000"/>
              </w:rPr>
              <w:t>三级甲等医院</w:t>
            </w:r>
            <w:r>
              <w:rPr>
                <w:rFonts w:hint="eastAsia" w:ascii="宋体" w:hAnsi="宋体"/>
                <w:color w:val="000000"/>
                <w:szCs w:val="21"/>
              </w:rPr>
              <w:t>的建设标准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dxa"/>
            <w:noWrap w:val="0"/>
            <w:vAlign w:val="center"/>
          </w:tcPr>
          <w:p>
            <w:pPr>
              <w:jc w:val="center"/>
              <w:rPr>
                <w:rFonts w:ascii="宋体" w:hAnsi="宋体" w:cs="Arial"/>
                <w:color w:val="000000"/>
                <w:szCs w:val="21"/>
              </w:rPr>
            </w:pPr>
            <w:r>
              <w:rPr>
                <w:rFonts w:hint="eastAsia" w:ascii="宋体" w:hAnsi="宋体" w:cs="Arial"/>
                <w:color w:val="000000"/>
                <w:szCs w:val="21"/>
              </w:rPr>
              <w:t>2</w:t>
            </w:r>
          </w:p>
        </w:tc>
        <w:tc>
          <w:tcPr>
            <w:tcW w:w="3600"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检验及配套设备</w:t>
            </w:r>
          </w:p>
          <w:p>
            <w:pPr>
              <w:jc w:val="center"/>
              <w:rPr>
                <w:rFonts w:ascii="宋体" w:hAnsi="宋体" w:cs="Arial"/>
                <w:color w:val="000000"/>
                <w:szCs w:val="21"/>
                <w:highlight w:val="none"/>
              </w:rPr>
            </w:pPr>
            <w:r>
              <w:rPr>
                <w:rFonts w:hint="eastAsia" w:ascii="宋体" w:hAnsi="宋体" w:cs="Arial"/>
                <w:color w:val="000000"/>
                <w:szCs w:val="21"/>
                <w:highlight w:val="none"/>
              </w:rPr>
              <w:t>(包括安装调试和验收等技术服务)</w:t>
            </w:r>
          </w:p>
        </w:tc>
        <w:tc>
          <w:tcPr>
            <w:tcW w:w="720" w:type="dxa"/>
            <w:noWrap w:val="0"/>
            <w:vAlign w:val="center"/>
          </w:tcPr>
          <w:p>
            <w:pPr>
              <w:jc w:val="center"/>
              <w:rPr>
                <w:rFonts w:ascii="宋体" w:hAnsi="宋体" w:cs="Arial"/>
                <w:color w:val="000000"/>
                <w:szCs w:val="21"/>
                <w:highlight w:val="none"/>
              </w:rPr>
            </w:pPr>
            <w:r>
              <w:rPr>
                <w:rFonts w:hint="eastAsia" w:ascii="宋体" w:hAnsi="宋体" w:cs="Arial"/>
                <w:color w:val="000000"/>
                <w:szCs w:val="21"/>
                <w:highlight w:val="none"/>
              </w:rPr>
              <w:t>1</w:t>
            </w:r>
          </w:p>
        </w:tc>
        <w:tc>
          <w:tcPr>
            <w:tcW w:w="720" w:type="dxa"/>
            <w:noWrap w:val="0"/>
            <w:vAlign w:val="center"/>
          </w:tcPr>
          <w:p>
            <w:pPr>
              <w:jc w:val="center"/>
              <w:rPr>
                <w:rFonts w:ascii="宋体" w:hAnsi="宋体" w:cs="Arial"/>
                <w:color w:val="000000"/>
                <w:szCs w:val="21"/>
              </w:rPr>
            </w:pPr>
            <w:r>
              <w:rPr>
                <w:rFonts w:hint="eastAsia" w:ascii="宋体" w:hAnsi="宋体" w:cs="Arial"/>
                <w:color w:val="000000"/>
                <w:szCs w:val="21"/>
              </w:rPr>
              <w:t>项</w:t>
            </w:r>
          </w:p>
        </w:tc>
        <w:tc>
          <w:tcPr>
            <w:tcW w:w="3712" w:type="dxa"/>
            <w:noWrap w:val="0"/>
            <w:vAlign w:val="center"/>
          </w:tcPr>
          <w:p>
            <w:pPr>
              <w:jc w:val="center"/>
              <w:rPr>
                <w:rFonts w:hint="eastAsia" w:ascii="宋体" w:hAnsi="宋体" w:cs="Arial"/>
                <w:color w:val="000000"/>
                <w:szCs w:val="21"/>
              </w:rPr>
            </w:pP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dxa"/>
            <w:noWrap w:val="0"/>
            <w:vAlign w:val="center"/>
          </w:tcPr>
          <w:p>
            <w:pPr>
              <w:jc w:val="center"/>
              <w:rPr>
                <w:rFonts w:hint="eastAsia" w:ascii="宋体" w:hAnsi="宋体" w:cs="Arial"/>
                <w:color w:val="000000"/>
                <w:szCs w:val="21"/>
              </w:rPr>
            </w:pPr>
            <w:r>
              <w:rPr>
                <w:rFonts w:hint="eastAsia" w:ascii="宋体" w:hAnsi="宋体" w:cs="Arial"/>
                <w:color w:val="000000"/>
                <w:szCs w:val="21"/>
              </w:rPr>
              <w:t>3</w:t>
            </w:r>
          </w:p>
        </w:tc>
        <w:tc>
          <w:tcPr>
            <w:tcW w:w="3600" w:type="dxa"/>
            <w:noWrap w:val="0"/>
            <w:vAlign w:val="center"/>
          </w:tcPr>
          <w:p>
            <w:pPr>
              <w:jc w:val="center"/>
              <w:rPr>
                <w:rFonts w:hint="eastAsia" w:ascii="宋体" w:hAnsi="宋体"/>
                <w:color w:val="000000"/>
                <w:szCs w:val="21"/>
                <w:highlight w:val="none"/>
              </w:rPr>
            </w:pPr>
            <w:r>
              <w:rPr>
                <w:rFonts w:hint="eastAsia" w:ascii="宋体" w:hAnsi="宋体"/>
                <w:color w:val="auto"/>
                <w:szCs w:val="21"/>
                <w:highlight w:val="none"/>
              </w:rPr>
              <w:t>检验中心运营服务</w:t>
            </w:r>
          </w:p>
        </w:tc>
        <w:tc>
          <w:tcPr>
            <w:tcW w:w="720" w:type="dxa"/>
            <w:noWrap w:val="0"/>
            <w:vAlign w:val="center"/>
          </w:tcPr>
          <w:p>
            <w:pPr>
              <w:jc w:val="center"/>
              <w:rPr>
                <w:rFonts w:hint="eastAsia" w:ascii="宋体" w:hAnsi="宋体" w:cs="Arial"/>
                <w:color w:val="000000"/>
                <w:szCs w:val="21"/>
                <w:highlight w:val="none"/>
              </w:rPr>
            </w:pPr>
            <w:r>
              <w:rPr>
                <w:rFonts w:hint="eastAsia" w:ascii="宋体" w:hAnsi="宋体" w:cs="Arial"/>
                <w:color w:val="000000"/>
                <w:szCs w:val="21"/>
                <w:highlight w:val="none"/>
              </w:rPr>
              <w:t>5</w:t>
            </w:r>
          </w:p>
        </w:tc>
        <w:tc>
          <w:tcPr>
            <w:tcW w:w="720" w:type="dxa"/>
            <w:noWrap w:val="0"/>
            <w:vAlign w:val="center"/>
          </w:tcPr>
          <w:p>
            <w:pPr>
              <w:jc w:val="center"/>
              <w:rPr>
                <w:rFonts w:hint="eastAsia" w:ascii="宋体" w:hAnsi="宋体" w:cs="Arial"/>
                <w:color w:val="000000"/>
                <w:szCs w:val="21"/>
              </w:rPr>
            </w:pPr>
            <w:r>
              <w:rPr>
                <w:rFonts w:hint="eastAsia" w:ascii="宋体" w:hAnsi="宋体" w:cs="Arial"/>
                <w:color w:val="000000"/>
                <w:szCs w:val="21"/>
              </w:rPr>
              <w:t>年</w:t>
            </w:r>
          </w:p>
        </w:tc>
        <w:tc>
          <w:tcPr>
            <w:tcW w:w="3712" w:type="dxa"/>
            <w:noWrap w:val="0"/>
            <w:vAlign w:val="center"/>
          </w:tcPr>
          <w:p>
            <w:pPr>
              <w:jc w:val="center"/>
              <w:rPr>
                <w:rFonts w:hint="default" w:ascii="宋体" w:hAnsi="宋体" w:eastAsia="宋体" w:cs="Arial"/>
                <w:color w:val="000000"/>
                <w:szCs w:val="21"/>
                <w:lang w:val="en-US" w:eastAsia="zh-CN"/>
              </w:rPr>
            </w:pPr>
            <w:r>
              <w:rPr>
                <w:rFonts w:hint="eastAsia" w:ascii="宋体" w:hAnsi="宋体" w:cs="Arial"/>
                <w:color w:val="000000"/>
                <w:szCs w:val="21"/>
              </w:rPr>
              <w:t>提供运营管理方案</w:t>
            </w:r>
            <w:r>
              <w:rPr>
                <w:rFonts w:hint="eastAsia" w:ascii="宋体" w:hAnsi="宋体" w:cs="Arial"/>
                <w:color w:val="000000"/>
                <w:szCs w:val="21"/>
                <w:lang w:eastAsia="zh-CN"/>
              </w:rPr>
              <w:t>，</w:t>
            </w:r>
            <w:r>
              <w:rPr>
                <w:rFonts w:hint="eastAsia" w:ascii="宋体" w:hAnsi="宋体" w:cs="Arial"/>
                <w:color w:val="000000"/>
                <w:szCs w:val="21"/>
                <w:lang w:val="en-US" w:eastAsia="zh-CN"/>
              </w:rPr>
              <w:t>含多院区物流转运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4</w:t>
            </w:r>
          </w:p>
        </w:tc>
        <w:tc>
          <w:tcPr>
            <w:tcW w:w="360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检验中心ISO15189认可认证</w:t>
            </w:r>
          </w:p>
        </w:tc>
        <w:tc>
          <w:tcPr>
            <w:tcW w:w="72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72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项</w:t>
            </w:r>
          </w:p>
        </w:tc>
        <w:tc>
          <w:tcPr>
            <w:tcW w:w="3712" w:type="dxa"/>
            <w:noWrap w:val="0"/>
            <w:vAlign w:val="center"/>
          </w:tcPr>
          <w:p>
            <w:pPr>
              <w:spacing w:line="360" w:lineRule="auto"/>
              <w:jc w:val="left"/>
              <w:rPr>
                <w:rFonts w:hint="eastAsia" w:ascii="宋体" w:hAnsi="宋体" w:cs="宋体"/>
                <w:color w:val="000000"/>
              </w:rPr>
            </w:pPr>
            <w:r>
              <w:rPr>
                <w:rFonts w:hint="eastAsia" w:ascii="宋体" w:hAnsi="宋体" w:cs="宋体"/>
                <w:color w:val="000000"/>
              </w:rPr>
              <w:t>按照ISO15189搭建质量体系，指定的专业要求4年内通过质量认证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5</w:t>
            </w:r>
          </w:p>
        </w:tc>
        <w:tc>
          <w:tcPr>
            <w:tcW w:w="3600" w:type="dxa"/>
            <w:noWrap w:val="0"/>
            <w:vAlign w:val="center"/>
          </w:tcPr>
          <w:p>
            <w:pPr>
              <w:jc w:val="center"/>
              <w:rPr>
                <w:rFonts w:ascii="宋体" w:hAnsi="宋体" w:cs="宋体"/>
                <w:color w:val="000000"/>
                <w:szCs w:val="21"/>
              </w:rPr>
            </w:pPr>
            <w:r>
              <w:rPr>
                <w:rFonts w:hint="eastAsia" w:ascii="宋体" w:hAnsi="宋体" w:cs="宋体"/>
                <w:color w:val="auto"/>
                <w:szCs w:val="21"/>
              </w:rPr>
              <w:t>检验中心学科建设</w:t>
            </w:r>
          </w:p>
        </w:tc>
        <w:tc>
          <w:tcPr>
            <w:tcW w:w="720" w:type="dxa"/>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720" w:type="dxa"/>
            <w:noWrap w:val="0"/>
            <w:vAlign w:val="center"/>
          </w:tcPr>
          <w:p>
            <w:pPr>
              <w:jc w:val="center"/>
              <w:rPr>
                <w:rFonts w:ascii="宋体" w:hAnsi="宋体" w:cs="宋体"/>
                <w:color w:val="000000"/>
                <w:szCs w:val="21"/>
              </w:rPr>
            </w:pPr>
            <w:r>
              <w:rPr>
                <w:rFonts w:hint="eastAsia" w:ascii="宋体" w:hAnsi="宋体" w:cs="宋体"/>
                <w:color w:val="000000"/>
                <w:szCs w:val="21"/>
              </w:rPr>
              <w:t>项</w:t>
            </w:r>
          </w:p>
        </w:tc>
        <w:tc>
          <w:tcPr>
            <w:tcW w:w="3712" w:type="dxa"/>
            <w:noWrap w:val="0"/>
            <w:vAlign w:val="center"/>
          </w:tcPr>
          <w:p>
            <w:pPr>
              <w:spacing w:line="360" w:lineRule="auto"/>
              <w:jc w:val="left"/>
              <w:rPr>
                <w:rFonts w:ascii="宋体" w:hAnsi="宋体" w:cs="宋体"/>
                <w:color w:val="000000"/>
              </w:rPr>
            </w:pPr>
            <w:r>
              <w:rPr>
                <w:rFonts w:hint="eastAsia" w:ascii="宋体" w:hAnsi="宋体" w:cs="宋体"/>
                <w:color w:val="000000"/>
              </w:rPr>
              <w:t>6S管理、人员培训、进修、科研和继续教育的申报</w:t>
            </w:r>
          </w:p>
        </w:tc>
      </w:tr>
      <w:bookmarkEnd w:id="72"/>
    </w:tbl>
    <w:p>
      <w:pPr>
        <w:spacing w:line="360" w:lineRule="auto"/>
        <w:rPr>
          <w:rFonts w:hint="eastAsia" w:ascii="宋体" w:hAnsi="宋体"/>
          <w:b/>
          <w:snapToGrid w:val="0"/>
          <w:color w:val="000000"/>
          <w:kern w:val="0"/>
          <w:szCs w:val="21"/>
        </w:rPr>
      </w:pPr>
    </w:p>
    <w:p>
      <w:pPr>
        <w:spacing w:line="360" w:lineRule="auto"/>
        <w:rPr>
          <w:rFonts w:hint="eastAsia" w:ascii="宋体" w:hAnsi="宋体"/>
          <w:b/>
          <w:snapToGrid w:val="0"/>
          <w:color w:val="000000"/>
          <w:kern w:val="0"/>
          <w:szCs w:val="21"/>
        </w:rPr>
      </w:pPr>
      <w:r>
        <w:rPr>
          <w:rFonts w:hint="eastAsia" w:ascii="宋体" w:hAnsi="宋体"/>
          <w:b/>
          <w:snapToGrid w:val="0"/>
          <w:color w:val="000000"/>
          <w:kern w:val="0"/>
          <w:szCs w:val="21"/>
        </w:rPr>
        <w:t>（四）项目范围</w:t>
      </w:r>
    </w:p>
    <w:p>
      <w:pPr>
        <w:spacing w:before="120" w:beforeLines="50" w:line="360" w:lineRule="auto"/>
        <w:ind w:left="422" w:hanging="422" w:hangingChars="200"/>
        <w:rPr>
          <w:rFonts w:hint="eastAsia" w:ascii="宋体" w:hAnsi="宋体"/>
          <w:b/>
          <w:color w:val="000000"/>
          <w:szCs w:val="21"/>
        </w:rPr>
      </w:pPr>
      <w:r>
        <w:rPr>
          <w:rFonts w:hint="eastAsia" w:ascii="宋体" w:hAnsi="宋体"/>
          <w:b/>
          <w:color w:val="000000"/>
          <w:szCs w:val="21"/>
        </w:rPr>
        <w:t>4.1工程建设范围：</w:t>
      </w:r>
    </w:p>
    <w:p>
      <w:pPr>
        <w:spacing w:line="360" w:lineRule="auto"/>
        <w:ind w:firstLine="420" w:firstLineChars="200"/>
        <w:rPr>
          <w:rFonts w:hint="eastAsia" w:ascii="宋体" w:hAnsi="宋体"/>
          <w:color w:val="000000"/>
        </w:rPr>
      </w:pPr>
      <w:r>
        <w:rPr>
          <w:rFonts w:hint="eastAsia" w:ascii="宋体" w:hAnsi="宋体"/>
          <w:color w:val="000000"/>
        </w:rPr>
        <w:t>按照三级甲等综合性医院科室的建设标准，由投标人负责相关科室的装修设计、投资建设、工程实施、完成和缺陷修复。详见附件：《医院原始平面图》。</w:t>
      </w:r>
    </w:p>
    <w:p>
      <w:pPr>
        <w:spacing w:line="360" w:lineRule="auto"/>
        <w:ind w:firstLine="420" w:firstLineChars="200"/>
        <w:rPr>
          <w:rFonts w:hint="eastAsia" w:ascii="宋体" w:hAnsi="宋体"/>
          <w:color w:val="000000"/>
        </w:rPr>
      </w:pPr>
      <w:r>
        <w:rPr>
          <w:rFonts w:hint="eastAsia" w:ascii="宋体" w:hAnsi="宋体"/>
          <w:color w:val="000000"/>
        </w:rPr>
        <w:t>请投标人在投标文件中提供“医院检验中心实验室及部门设置、布局平面图”，并附详细文字说明。</w:t>
      </w:r>
    </w:p>
    <w:p>
      <w:pPr>
        <w:spacing w:before="120" w:beforeLines="50" w:line="360" w:lineRule="auto"/>
        <w:ind w:left="422" w:hanging="422" w:hangingChars="200"/>
        <w:rPr>
          <w:rFonts w:ascii="宋体" w:hAnsi="宋体"/>
          <w:b/>
          <w:color w:val="000000"/>
          <w:szCs w:val="21"/>
        </w:rPr>
      </w:pPr>
      <w:r>
        <w:rPr>
          <w:rFonts w:hint="eastAsia" w:ascii="宋体" w:hAnsi="宋体"/>
          <w:b/>
          <w:color w:val="000000"/>
          <w:szCs w:val="21"/>
        </w:rPr>
        <w:t>4.2检验及配套设备：</w:t>
      </w:r>
    </w:p>
    <w:p>
      <w:pPr>
        <w:spacing w:line="360" w:lineRule="auto"/>
        <w:ind w:firstLine="420" w:firstLineChars="200"/>
        <w:rPr>
          <w:rFonts w:hint="eastAsia" w:ascii="宋体" w:hAnsi="宋体"/>
          <w:bCs/>
          <w:color w:val="000000"/>
        </w:rPr>
      </w:pPr>
      <w:r>
        <w:rPr>
          <w:rFonts w:hint="eastAsia" w:ascii="宋体" w:hAnsi="宋体"/>
          <w:color w:val="000000"/>
        </w:rPr>
        <w:t>在医院现有设备基础上，按照三级甲等综合医院科室的建设标准，</w:t>
      </w:r>
      <w:r>
        <w:rPr>
          <w:rFonts w:hint="eastAsia" w:ascii="宋体" w:hAnsi="宋体"/>
          <w:color w:val="000000"/>
          <w:szCs w:val="21"/>
        </w:rPr>
        <w:t>由投标人</w:t>
      </w:r>
      <w:r>
        <w:rPr>
          <w:rFonts w:hint="eastAsia" w:ascii="宋体" w:hAnsi="宋体"/>
          <w:color w:val="000000"/>
        </w:rPr>
        <w:t>负责医院检验科中心所需一切</w:t>
      </w:r>
      <w:r>
        <w:rPr>
          <w:rFonts w:hint="eastAsia" w:ascii="宋体" w:hAnsi="宋体"/>
          <w:bCs/>
          <w:color w:val="000000"/>
        </w:rPr>
        <w:t>实验家具、设备、试剂、耗材冷链系统等的供应，并且在合作期内独立承担家具、设备的添置更新、设备的定期检定、校准、年检以及维护保养（包括仪器配件耗材）等。投入的设备、实验家具等产权属招标人。</w:t>
      </w:r>
    </w:p>
    <w:p>
      <w:pPr>
        <w:spacing w:before="120" w:beforeLines="50" w:line="360" w:lineRule="auto"/>
        <w:ind w:left="422" w:hanging="422" w:hangingChars="200"/>
        <w:rPr>
          <w:rFonts w:hint="eastAsia" w:ascii="宋体" w:hAnsi="宋体"/>
          <w:b/>
          <w:color w:val="000000"/>
          <w:szCs w:val="21"/>
        </w:rPr>
      </w:pPr>
      <w:r>
        <w:rPr>
          <w:rFonts w:hint="eastAsia" w:ascii="宋体" w:hAnsi="宋体"/>
          <w:b/>
          <w:color w:val="000000"/>
          <w:szCs w:val="21"/>
        </w:rPr>
        <w:t xml:space="preserve">4.3运营管理服务范围： </w:t>
      </w:r>
    </w:p>
    <w:p>
      <w:pPr>
        <w:spacing w:line="360" w:lineRule="auto"/>
        <w:ind w:firstLine="420" w:firstLineChars="200"/>
        <w:jc w:val="left"/>
        <w:rPr>
          <w:rFonts w:hint="eastAsia" w:ascii="宋体" w:hAnsi="宋体"/>
          <w:color w:val="000000"/>
          <w:szCs w:val="21"/>
        </w:rPr>
      </w:pPr>
      <w:r>
        <w:rPr>
          <w:rFonts w:hint="eastAsia" w:ascii="宋体" w:hAnsi="宋体"/>
          <w:color w:val="000000"/>
        </w:rPr>
        <w:t>投标人应根据三级甲等医院科室建设标准，组建专家技术团队，提供可靠的运营管理服务，如：新项目开展管理、试剂集采及规范管理、检测质量控制、质量体系建设与管理、专业试剂和样本冷链物流配送、增值服务等；投标人应提供必要的先进管理经验供医院参考，参与增收节支方面的管理，支持学科建设发展，并保证提供</w:t>
      </w:r>
      <w:r>
        <w:rPr>
          <w:rFonts w:ascii="宋体" w:hAnsi="宋体"/>
          <w:color w:val="000000"/>
        </w:rPr>
        <w:t>ISO15189</w:t>
      </w:r>
      <w:r>
        <w:rPr>
          <w:rFonts w:hint="eastAsia" w:ascii="宋体" w:hAnsi="宋体"/>
          <w:color w:val="000000"/>
        </w:rPr>
        <w:t>质量体系认可认证所要求的试剂及耗材，在技术上给予支持；定期开展继教项目、人员进修及培训、科研和学术论文写作支持等。</w:t>
      </w:r>
    </w:p>
    <w:p>
      <w:pPr>
        <w:spacing w:before="120" w:beforeLines="50" w:line="360" w:lineRule="auto"/>
        <w:ind w:left="422" w:hanging="422" w:hangingChars="200"/>
        <w:rPr>
          <w:rFonts w:hint="eastAsia" w:ascii="宋体" w:hAnsi="宋体"/>
          <w:b/>
          <w:color w:val="000000"/>
          <w:szCs w:val="21"/>
        </w:rPr>
      </w:pPr>
      <w:r>
        <w:rPr>
          <w:rFonts w:hint="eastAsia" w:ascii="宋体" w:hAnsi="宋体"/>
          <w:b/>
          <w:color w:val="000000"/>
          <w:szCs w:val="21"/>
        </w:rPr>
        <w:t>（五）项目技术规范及要求</w:t>
      </w:r>
    </w:p>
    <w:p>
      <w:pPr>
        <w:spacing w:before="120" w:beforeLines="50" w:line="360" w:lineRule="auto"/>
        <w:ind w:left="421" w:leftChars="100" w:hanging="211" w:hangingChars="100"/>
        <w:rPr>
          <w:rFonts w:hint="eastAsia" w:ascii="宋体" w:hAnsi="宋体"/>
          <w:b/>
          <w:color w:val="000000"/>
          <w:szCs w:val="21"/>
        </w:rPr>
      </w:pPr>
      <w:r>
        <w:rPr>
          <w:rFonts w:hint="eastAsia" w:ascii="宋体" w:hAnsi="宋体"/>
          <w:b/>
          <w:color w:val="000000"/>
          <w:szCs w:val="21"/>
        </w:rPr>
        <w:t>5.1工程建设要求</w:t>
      </w:r>
    </w:p>
    <w:p>
      <w:pPr>
        <w:spacing w:line="360" w:lineRule="auto"/>
        <w:ind w:firstLine="424" w:firstLineChars="201"/>
        <w:rPr>
          <w:rFonts w:hint="eastAsia" w:ascii="宋体" w:hAnsi="宋体"/>
          <w:b/>
          <w:color w:val="000000"/>
          <w:szCs w:val="21"/>
        </w:rPr>
      </w:pPr>
      <w:r>
        <w:rPr>
          <w:rFonts w:hint="eastAsia" w:ascii="宋体" w:hAnsi="宋体"/>
          <w:b/>
          <w:color w:val="000000"/>
          <w:szCs w:val="21"/>
        </w:rPr>
        <w:t>1)设计依据:</w:t>
      </w:r>
    </w:p>
    <w:p>
      <w:pPr>
        <w:spacing w:line="360" w:lineRule="auto"/>
        <w:ind w:firstLine="424" w:firstLineChars="202"/>
        <w:rPr>
          <w:rFonts w:hint="eastAsia" w:ascii="宋体" w:hAnsi="宋体"/>
          <w:color w:val="000000"/>
          <w:szCs w:val="21"/>
        </w:rPr>
      </w:pPr>
      <w:r>
        <w:rPr>
          <w:rFonts w:hint="eastAsia" w:ascii="宋体" w:hAnsi="宋体"/>
          <w:color w:val="000000"/>
          <w:szCs w:val="21"/>
        </w:rPr>
        <w:t>1.1 国家有关的法律法规、现行技术标准等；</w:t>
      </w:r>
    </w:p>
    <w:p>
      <w:pPr>
        <w:spacing w:line="360" w:lineRule="auto"/>
        <w:ind w:firstLine="424" w:firstLineChars="202"/>
        <w:rPr>
          <w:rFonts w:hint="eastAsia" w:ascii="宋体" w:hAnsi="宋体"/>
          <w:color w:val="000000"/>
          <w:szCs w:val="21"/>
        </w:rPr>
      </w:pPr>
      <w:r>
        <w:rPr>
          <w:rFonts w:hint="eastAsia" w:ascii="宋体" w:hAnsi="宋体"/>
          <w:color w:val="000000"/>
          <w:szCs w:val="21"/>
        </w:rPr>
        <w:t>1.2 本项目招标文件；</w:t>
      </w:r>
    </w:p>
    <w:p>
      <w:pPr>
        <w:spacing w:line="360" w:lineRule="auto"/>
        <w:ind w:firstLine="424" w:firstLineChars="202"/>
        <w:rPr>
          <w:rFonts w:hint="eastAsia" w:ascii="宋体" w:hAnsi="宋体"/>
          <w:color w:val="000000"/>
          <w:szCs w:val="21"/>
        </w:rPr>
      </w:pPr>
      <w:r>
        <w:rPr>
          <w:rFonts w:hint="eastAsia" w:ascii="宋体" w:hAnsi="宋体"/>
          <w:color w:val="000000"/>
          <w:szCs w:val="21"/>
        </w:rPr>
        <w:t>1.3 招标补充文件。</w:t>
      </w:r>
    </w:p>
    <w:p>
      <w:pPr>
        <w:spacing w:line="360" w:lineRule="auto"/>
        <w:ind w:firstLine="424" w:firstLineChars="201"/>
        <w:rPr>
          <w:rFonts w:hint="eastAsia" w:ascii="宋体" w:hAnsi="宋体"/>
          <w:b/>
          <w:bCs/>
          <w:color w:val="000000"/>
          <w:szCs w:val="21"/>
        </w:rPr>
      </w:pPr>
      <w:r>
        <w:rPr>
          <w:rFonts w:hint="eastAsia" w:ascii="宋体" w:hAnsi="宋体"/>
          <w:b/>
          <w:bCs/>
          <w:color w:val="000000"/>
          <w:szCs w:val="21"/>
        </w:rPr>
        <w:t>2)设计内容、设计阶段和深度及其要求：</w:t>
      </w:r>
    </w:p>
    <w:p>
      <w:pPr>
        <w:spacing w:line="360" w:lineRule="auto"/>
        <w:ind w:firstLine="422" w:firstLineChars="201"/>
        <w:rPr>
          <w:rFonts w:hint="eastAsia" w:ascii="宋体" w:hAnsi="宋体"/>
          <w:color w:val="000000"/>
          <w:szCs w:val="21"/>
        </w:rPr>
      </w:pPr>
      <w:r>
        <w:rPr>
          <w:rFonts w:hint="eastAsia" w:ascii="宋体" w:hAnsi="宋体"/>
          <w:color w:val="000000"/>
          <w:szCs w:val="21"/>
        </w:rPr>
        <w:t>2.1 设计内容：</w:t>
      </w:r>
      <w:r>
        <w:rPr>
          <w:rFonts w:hint="eastAsia" w:ascii="宋体" w:hAnsi="宋体"/>
          <w:color w:val="000000"/>
          <w:szCs w:val="21"/>
          <w:lang w:eastAsia="zh-CN"/>
        </w:rPr>
        <w:t>宁波大学附属第一医院外滩院区</w:t>
      </w:r>
      <w:r>
        <w:rPr>
          <w:rFonts w:hint="eastAsia" w:ascii="宋体" w:hAnsi="宋体"/>
          <w:color w:val="000000"/>
          <w:szCs w:val="21"/>
        </w:rPr>
        <w:t>检验中心实验室的装修设计；</w:t>
      </w:r>
    </w:p>
    <w:p>
      <w:pPr>
        <w:spacing w:line="360" w:lineRule="auto"/>
        <w:ind w:firstLine="422" w:firstLineChars="201"/>
        <w:rPr>
          <w:rFonts w:hint="eastAsia" w:ascii="宋体" w:hAnsi="宋体"/>
          <w:color w:val="000000"/>
          <w:szCs w:val="21"/>
        </w:rPr>
      </w:pPr>
      <w:r>
        <w:rPr>
          <w:rFonts w:hint="eastAsia" w:ascii="宋体" w:hAnsi="宋体"/>
          <w:color w:val="000000"/>
          <w:szCs w:val="21"/>
        </w:rPr>
        <w:t>2.2 设计阶段及深度：达到施工阶段要求；</w:t>
      </w:r>
    </w:p>
    <w:p>
      <w:pPr>
        <w:spacing w:line="360" w:lineRule="auto"/>
        <w:ind w:firstLine="422" w:firstLineChars="201"/>
        <w:rPr>
          <w:rFonts w:hint="eastAsia" w:ascii="宋体" w:hAnsi="宋体"/>
          <w:color w:val="000000"/>
          <w:szCs w:val="21"/>
        </w:rPr>
      </w:pPr>
      <w:r>
        <w:rPr>
          <w:rFonts w:hint="eastAsia" w:ascii="宋体" w:hAnsi="宋体"/>
          <w:color w:val="000000"/>
          <w:szCs w:val="21"/>
        </w:rPr>
        <w:t>2.3 设计要求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应按照招标人的要求，至少应按照三级甲等医院的标准，对招标人现有实验室进行全面的装修，使之既能够满足国家相关法律、法规对临床医学实验室面积大小、空间布局、生物安全，消防安全等的所用要求的，又能够符合招标人对医院检验中心实验室的定位。</w:t>
      </w:r>
    </w:p>
    <w:p>
      <w:pPr>
        <w:spacing w:line="360" w:lineRule="auto"/>
        <w:ind w:firstLine="420" w:firstLineChars="200"/>
        <w:rPr>
          <w:rFonts w:hint="eastAsia" w:ascii="宋体" w:hAnsi="宋体"/>
          <w:color w:val="000000"/>
          <w:szCs w:val="21"/>
        </w:rPr>
      </w:pPr>
      <w:r>
        <w:rPr>
          <w:rFonts w:hint="eastAsia" w:ascii="宋体" w:hAnsi="宋体"/>
          <w:color w:val="000000"/>
          <w:szCs w:val="21"/>
        </w:rPr>
        <w:t>最终的目的是：通过对实验室的合理布局，符合ISO15189要求，把检验中心打造成一个分区合理（污染区、半污染区、清洁区等）、专业组布局得当、人流、物流、消防通道满足要求的示范性、区域性的临床医学实验室。使之既要能满足日常工作需求，又要能保障患者就诊和实验室人员工作的便利性和舒适感；既要能充分考虑实验室自身的特色，又要能兼顾整体色调和环境美学，最终实现实验室和整个医院的有机统一、运转高效。</w:t>
      </w:r>
    </w:p>
    <w:p>
      <w:pPr>
        <w:spacing w:line="360" w:lineRule="auto"/>
        <w:ind w:firstLine="420" w:firstLineChars="200"/>
        <w:rPr>
          <w:rFonts w:hint="eastAsia" w:ascii="宋体" w:hAnsi="宋体"/>
          <w:color w:val="000000"/>
          <w:szCs w:val="21"/>
        </w:rPr>
      </w:pPr>
      <w:r>
        <w:rPr>
          <w:rFonts w:hint="eastAsia" w:ascii="宋体" w:hAnsi="宋体"/>
          <w:color w:val="000000"/>
          <w:szCs w:val="21"/>
        </w:rPr>
        <w:t>2.4设计具体内容</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投标人在提供的实验室设计方案，应充分考虑招标人的意见，并因地制宜，特别应注意合理预留未来储备空间。</w:t>
      </w:r>
    </w:p>
    <w:p>
      <w:pPr>
        <w:spacing w:line="360" w:lineRule="auto"/>
        <w:ind w:firstLine="310" w:firstLineChars="147"/>
        <w:rPr>
          <w:rFonts w:ascii="宋体" w:hAnsi="宋体"/>
          <w:b/>
          <w:color w:val="000000"/>
          <w:szCs w:val="21"/>
        </w:rPr>
      </w:pPr>
      <w:r>
        <w:rPr>
          <w:rFonts w:hint="eastAsia" w:ascii="宋体" w:hAnsi="宋体"/>
          <w:b/>
          <w:color w:val="000000"/>
          <w:szCs w:val="21"/>
        </w:rPr>
        <w:t>3)设计成果：投标文件中提供设计方案说明和设计图，并报送包括文字及图纸成果的U盘或电子光盘一套。</w:t>
      </w:r>
    </w:p>
    <w:p>
      <w:pPr>
        <w:rPr>
          <w:rFonts w:hint="eastAsia" w:ascii="宋体" w:hAnsi="宋体"/>
          <w:b/>
          <w:color w:val="000000"/>
          <w:szCs w:val="21"/>
        </w:rPr>
      </w:pPr>
      <w:r>
        <w:rPr>
          <w:rFonts w:hint="eastAsia" w:ascii="宋体" w:hAnsi="宋体"/>
          <w:b/>
          <w:color w:val="000000"/>
          <w:szCs w:val="21"/>
        </w:rPr>
        <w:br w:type="page"/>
      </w:r>
    </w:p>
    <w:p>
      <w:pPr>
        <w:spacing w:line="360" w:lineRule="auto"/>
        <w:rPr>
          <w:rFonts w:ascii="宋体" w:hAnsi="宋体"/>
          <w:b/>
          <w:color w:val="000000"/>
          <w:szCs w:val="21"/>
        </w:rPr>
      </w:pPr>
      <w:r>
        <w:rPr>
          <w:rFonts w:hint="eastAsia" w:ascii="宋体" w:hAnsi="宋体"/>
          <w:b/>
          <w:color w:val="000000"/>
          <w:szCs w:val="21"/>
        </w:rPr>
        <w:t>5.2</w:t>
      </w:r>
      <w:r>
        <w:rPr>
          <w:rFonts w:hint="eastAsia" w:ascii="宋体" w:hAnsi="宋体"/>
          <w:b/>
          <w:color w:val="000000"/>
          <w:szCs w:val="21"/>
          <w:lang w:eastAsia="zh-CN"/>
        </w:rPr>
        <w:t>宁波大学附属第一医院外滩院区</w:t>
      </w:r>
      <w:r>
        <w:rPr>
          <w:rFonts w:hint="eastAsia" w:ascii="宋体" w:hAnsi="宋体"/>
          <w:b/>
          <w:color w:val="000000"/>
          <w:szCs w:val="21"/>
        </w:rPr>
        <w:t>检验中心检验需采购的设备及技术需求</w:t>
      </w:r>
    </w:p>
    <w:p>
      <w:pPr>
        <w:rPr>
          <w:rFonts w:hint="eastAsia" w:ascii="宋体" w:hAnsi="宋体"/>
          <w:b/>
          <w:color w:val="000000"/>
          <w:szCs w:val="21"/>
        </w:rPr>
      </w:pPr>
    </w:p>
    <w:p>
      <w:pPr>
        <w:spacing w:line="360" w:lineRule="auto"/>
        <w:ind w:firstLine="211" w:firstLineChars="100"/>
        <w:jc w:val="center"/>
        <w:rPr>
          <w:rFonts w:ascii="宋体" w:hAnsi="宋体"/>
          <w:b/>
          <w:color w:val="000000"/>
          <w:szCs w:val="21"/>
        </w:rPr>
      </w:pPr>
      <w:r>
        <w:rPr>
          <w:rFonts w:hint="eastAsia" w:ascii="宋体" w:hAnsi="宋体"/>
          <w:b/>
          <w:color w:val="000000"/>
          <w:szCs w:val="21"/>
        </w:rPr>
        <w:t>设备采购一览表</w:t>
      </w:r>
    </w:p>
    <w:tbl>
      <w:tblPr>
        <w:tblStyle w:val="64"/>
        <w:tblW w:w="0" w:type="auto"/>
        <w:jc w:val="center"/>
        <w:tblLayout w:type="fixed"/>
        <w:tblCellMar>
          <w:top w:w="0" w:type="dxa"/>
          <w:left w:w="108" w:type="dxa"/>
          <w:bottom w:w="0" w:type="dxa"/>
          <w:right w:w="108" w:type="dxa"/>
        </w:tblCellMar>
      </w:tblPr>
      <w:tblGrid>
        <w:gridCol w:w="1014"/>
        <w:gridCol w:w="3938"/>
        <w:gridCol w:w="1426"/>
        <w:gridCol w:w="1784"/>
      </w:tblGrid>
      <w:tr>
        <w:tblPrEx>
          <w:tblCellMar>
            <w:top w:w="0" w:type="dxa"/>
            <w:left w:w="108" w:type="dxa"/>
            <w:bottom w:w="0" w:type="dxa"/>
            <w:right w:w="108" w:type="dxa"/>
          </w:tblCellMar>
        </w:tblPrEx>
        <w:trPr>
          <w:trHeight w:val="421"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39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仪器设备名称</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17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采购预算</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万元</w:t>
            </w:r>
            <w:r>
              <w:rPr>
                <w:rFonts w:hint="eastAsia" w:ascii="宋体" w:hAnsi="宋体" w:cs="宋体"/>
                <w:b/>
                <w:bCs/>
                <w:color w:val="000000"/>
                <w:kern w:val="0"/>
                <w:szCs w:val="21"/>
                <w:lang w:eastAsia="zh-CN"/>
              </w:rPr>
              <w:t>）</w:t>
            </w:r>
          </w:p>
        </w:tc>
      </w:tr>
      <w:tr>
        <w:tblPrEx>
          <w:tblCellMar>
            <w:top w:w="0" w:type="dxa"/>
            <w:left w:w="108" w:type="dxa"/>
            <w:bottom w:w="0" w:type="dxa"/>
            <w:right w:w="108" w:type="dxa"/>
          </w:tblCellMar>
        </w:tblPrEx>
        <w:trPr>
          <w:trHeight w:val="579" w:hRule="atLeast"/>
          <w:jc w:val="center"/>
        </w:trPr>
        <w:tc>
          <w:tcPr>
            <w:tcW w:w="101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93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eastAsia="宋体" w:cs="宋体"/>
                <w:color w:val="000000"/>
                <w:kern w:val="0"/>
                <w:szCs w:val="21"/>
                <w:lang w:val="en-US" w:eastAsia="zh-CN"/>
              </w:rPr>
              <w:t>全自动生化免疫流水线</w:t>
            </w:r>
          </w:p>
        </w:tc>
        <w:tc>
          <w:tcPr>
            <w:tcW w:w="1426"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331.8</w:t>
            </w:r>
          </w:p>
        </w:tc>
      </w:tr>
      <w:tr>
        <w:tblPrEx>
          <w:tblCellMar>
            <w:top w:w="0" w:type="dxa"/>
            <w:left w:w="108" w:type="dxa"/>
            <w:bottom w:w="0" w:type="dxa"/>
            <w:right w:w="108" w:type="dxa"/>
          </w:tblCellMar>
        </w:tblPrEx>
        <w:trPr>
          <w:trHeight w:val="699" w:hRule="atLeast"/>
          <w:jc w:val="center"/>
        </w:trPr>
        <w:tc>
          <w:tcPr>
            <w:tcW w:w="101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93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离心机</w:t>
            </w:r>
          </w:p>
        </w:tc>
        <w:tc>
          <w:tcPr>
            <w:tcW w:w="1426"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r>
      <w:tr>
        <w:tblPrEx>
          <w:tblCellMar>
            <w:top w:w="0" w:type="dxa"/>
            <w:left w:w="108" w:type="dxa"/>
            <w:bottom w:w="0" w:type="dxa"/>
            <w:right w:w="108" w:type="dxa"/>
          </w:tblCellMar>
        </w:tblPrEx>
        <w:trPr>
          <w:trHeight w:val="579" w:hRule="atLeast"/>
          <w:jc w:val="center"/>
        </w:trPr>
        <w:tc>
          <w:tcPr>
            <w:tcW w:w="101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9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auto"/>
                <w:kern w:val="0"/>
                <w:szCs w:val="21"/>
                <w:highlight w:val="none"/>
                <w:lang w:val="en-US" w:eastAsia="zh-CN"/>
              </w:rPr>
              <w:t>立式</w:t>
            </w:r>
            <w:r>
              <w:rPr>
                <w:rFonts w:hint="eastAsia" w:ascii="宋体" w:hAnsi="宋体" w:cs="宋体"/>
                <w:color w:val="auto"/>
                <w:kern w:val="0"/>
                <w:szCs w:val="21"/>
                <w:highlight w:val="none"/>
                <w:lang w:eastAsia="zh-CN"/>
              </w:rPr>
              <w:t>离心机</w:t>
            </w:r>
          </w:p>
        </w:tc>
        <w:tc>
          <w:tcPr>
            <w:tcW w:w="1426"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CellMar>
            <w:top w:w="0" w:type="dxa"/>
            <w:left w:w="108" w:type="dxa"/>
            <w:bottom w:w="0" w:type="dxa"/>
            <w:right w:w="108" w:type="dxa"/>
          </w:tblCellMar>
        </w:tblPrEx>
        <w:trPr>
          <w:trHeight w:val="597" w:hRule="atLeast"/>
          <w:jc w:val="center"/>
        </w:trPr>
        <w:tc>
          <w:tcPr>
            <w:tcW w:w="101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93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全自动阅片机</w:t>
            </w:r>
          </w:p>
        </w:tc>
        <w:tc>
          <w:tcPr>
            <w:tcW w:w="1426"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w:t>
            </w:r>
          </w:p>
        </w:tc>
      </w:tr>
      <w:tr>
        <w:tblPrEx>
          <w:tblCellMar>
            <w:top w:w="0" w:type="dxa"/>
            <w:left w:w="108" w:type="dxa"/>
            <w:bottom w:w="0" w:type="dxa"/>
            <w:right w:w="108" w:type="dxa"/>
          </w:tblCellMar>
        </w:tblPrEx>
        <w:trPr>
          <w:trHeight w:val="597" w:hRule="atLeast"/>
          <w:jc w:val="center"/>
        </w:trPr>
        <w:tc>
          <w:tcPr>
            <w:tcW w:w="1014"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93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医用冰箱</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双开门</w:t>
            </w:r>
            <w:r>
              <w:rPr>
                <w:rFonts w:hint="eastAsia" w:ascii="宋体" w:hAnsi="宋体" w:cs="宋体"/>
                <w:color w:val="000000"/>
                <w:kern w:val="0"/>
                <w:szCs w:val="21"/>
                <w:lang w:eastAsia="zh-CN"/>
              </w:rPr>
              <w:t>）</w:t>
            </w:r>
          </w:p>
        </w:tc>
        <w:tc>
          <w:tcPr>
            <w:tcW w:w="1426"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1784" w:type="dxa"/>
            <w:tcBorders>
              <w:top w:val="nil"/>
              <w:left w:val="nil"/>
              <w:bottom w:val="single" w:color="auto" w:sz="4" w:space="0"/>
              <w:right w:val="single" w:color="auto"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17.1</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医用冰箱</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单开门</w:t>
            </w:r>
            <w:r>
              <w:rPr>
                <w:rFonts w:hint="eastAsia" w:ascii="宋体" w:hAnsi="宋体" w:cs="宋体"/>
                <w:color w:val="000000"/>
                <w:kern w:val="0"/>
                <w:szCs w:val="21"/>
                <w:lang w:eastAsia="zh-CN"/>
              </w:rPr>
              <w:t>）</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全自动糖化血红蛋白分析仪</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UPS</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35</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全自动化学发光免疫分析仪</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全自动凝血分析仪</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医用冷藏冷冻冰箱</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医用低温保存箱</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全自动免疫分析仪</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恒温培养箱</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r>
      <w:tr>
        <w:tblPrEx>
          <w:tblCellMar>
            <w:top w:w="0" w:type="dxa"/>
            <w:left w:w="108" w:type="dxa"/>
            <w:bottom w:w="0" w:type="dxa"/>
            <w:right w:w="108" w:type="dxa"/>
          </w:tblCellMar>
        </w:tblPrEx>
        <w:trPr>
          <w:trHeight w:val="597"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highlight w:val="none"/>
                <w:lang w:val="en-US" w:eastAsia="zh-CN"/>
              </w:rPr>
              <w:t>全自动免疫发光分析仪</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r>
    </w:tbl>
    <w:p>
      <w:pPr>
        <w:snapToGrid w:val="0"/>
        <w:spacing w:line="360" w:lineRule="auto"/>
        <w:jc w:val="left"/>
        <w:rPr>
          <w:rFonts w:hint="eastAsia" w:ascii="宋体" w:hAnsi="宋体"/>
          <w:color w:val="000000"/>
        </w:rPr>
      </w:pPr>
      <w:r>
        <w:rPr>
          <w:rFonts w:hint="eastAsia" w:ascii="宋体" w:hAnsi="宋体"/>
          <w:color w:val="000000"/>
        </w:rPr>
        <w:t>说明：</w:t>
      </w:r>
    </w:p>
    <w:p>
      <w:pPr>
        <w:snapToGrid w:val="0"/>
        <w:spacing w:line="360" w:lineRule="auto"/>
        <w:jc w:val="left"/>
        <w:rPr>
          <w:rFonts w:hint="eastAsia" w:ascii="宋体" w:hAnsi="宋体"/>
          <w:color w:val="000000"/>
        </w:rPr>
      </w:pPr>
      <w:r>
        <w:rPr>
          <w:rFonts w:hint="eastAsia" w:ascii="宋体" w:hAnsi="宋体"/>
          <w:color w:val="000000"/>
        </w:rPr>
        <w:t>1）本表所列新增设备仅代表检验中心初期需投入的主要设备，并非指合作共建期内检验中心为了开展项目所需要的所有设备。因此，中标人不能据此免除后期因</w:t>
      </w:r>
      <w:r>
        <w:rPr>
          <w:rFonts w:hint="eastAsia" w:ascii="宋体" w:hAnsi="宋体"/>
          <w:color w:val="000000"/>
          <w:highlight w:val="none"/>
        </w:rPr>
        <w:t>开展项目需要提供设备</w:t>
      </w:r>
      <w:r>
        <w:rPr>
          <w:rFonts w:hint="eastAsia" w:ascii="宋体" w:hAnsi="宋体"/>
          <w:color w:val="000000"/>
          <w:highlight w:val="none"/>
          <w:lang w:val="en-US" w:eastAsia="zh-CN"/>
        </w:rPr>
        <w:t>支持</w:t>
      </w:r>
      <w:r>
        <w:rPr>
          <w:rFonts w:hint="eastAsia" w:ascii="宋体" w:hAnsi="宋体"/>
          <w:color w:val="000000"/>
          <w:highlight w:val="none"/>
        </w:rPr>
        <w:t>的义</w:t>
      </w:r>
      <w:r>
        <w:rPr>
          <w:rFonts w:hint="eastAsia" w:ascii="宋体" w:hAnsi="宋体"/>
          <w:color w:val="000000"/>
        </w:rPr>
        <w:t>务。也就是说后期仍有需要新增设备时也应视为本次招标文件所列清单的范畴之内；且新增设备的各项参数应满足采购人的要求。</w:t>
      </w:r>
    </w:p>
    <w:p>
      <w:pPr>
        <w:snapToGrid w:val="0"/>
        <w:spacing w:line="360" w:lineRule="auto"/>
        <w:jc w:val="left"/>
        <w:rPr>
          <w:rFonts w:hint="eastAsia" w:ascii="宋体" w:hAnsi="宋体"/>
          <w:color w:val="000000"/>
        </w:rPr>
      </w:pPr>
      <w:r>
        <w:rPr>
          <w:rFonts w:hint="eastAsia" w:ascii="宋体" w:hAnsi="宋体"/>
          <w:color w:val="000000"/>
        </w:rPr>
        <w:t>2）投标人针对本项目提供的仪器设备必须是全新原装设备。</w:t>
      </w:r>
    </w:p>
    <w:p>
      <w:pPr>
        <w:snapToGrid w:val="0"/>
        <w:spacing w:line="360" w:lineRule="auto"/>
        <w:jc w:val="left"/>
        <w:rPr>
          <w:rFonts w:hint="eastAsia" w:ascii="宋体" w:hAnsi="宋体"/>
          <w:color w:val="000000"/>
        </w:rPr>
      </w:pPr>
      <w:r>
        <w:rPr>
          <w:rFonts w:hint="eastAsia" w:ascii="宋体" w:hAnsi="宋体"/>
          <w:color w:val="000000"/>
        </w:rPr>
        <w:t>3）同一项目在多台仪器检测时，所用的仪器原则上均应保证是同一品牌、同一试剂、同一方法。</w:t>
      </w:r>
    </w:p>
    <w:p>
      <w:r>
        <w:br w:type="page"/>
      </w:r>
    </w:p>
    <w:tbl>
      <w:tblPr>
        <w:tblStyle w:val="64"/>
        <w:tblpPr w:leftFromText="180" w:rightFromText="180" w:vertAnchor="text" w:horzAnchor="page" w:tblpX="1132" w:tblpY="748"/>
        <w:tblOverlap w:val="never"/>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tcBorders>
              <w:top w:val="nil"/>
              <w:left w:val="nil"/>
              <w:bottom w:val="single" w:color="auto" w:sz="4" w:space="0"/>
              <w:right w:val="nil"/>
            </w:tcBorders>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sz w:val="21"/>
                <w:szCs w:val="21"/>
                <w:highlight w:val="none"/>
              </w:rPr>
              <w:t>设备技术、功能需求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tcBorders>
              <w:top w:val="single" w:color="auto" w:sz="4" w:space="0"/>
            </w:tcBorders>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序号</w:t>
            </w:r>
          </w:p>
        </w:tc>
        <w:tc>
          <w:tcPr>
            <w:tcW w:w="8467" w:type="dxa"/>
            <w:tcBorders>
              <w:top w:val="single" w:color="auto" w:sz="4" w:space="0"/>
            </w:tcBorders>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1.</w:t>
            </w:r>
            <w:r>
              <w:rPr>
                <w:rFonts w:hint="eastAsia" w:ascii="宋体" w:hAnsi="宋体" w:eastAsia="宋体" w:cs="宋体"/>
                <w:b/>
                <w:bCs/>
                <w:kern w:val="0"/>
                <w:sz w:val="21"/>
                <w:szCs w:val="21"/>
                <w:lang w:val="en-US" w:eastAsia="zh-CN" w:bidi="ar"/>
              </w:rPr>
              <w:t>全自动生化免疫流水线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1.1</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线上免疫总测试速度≥1200测试/小时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1.2</w:t>
            </w:r>
          </w:p>
        </w:tc>
        <w:tc>
          <w:tcPr>
            <w:tcW w:w="8467" w:type="dxa"/>
            <w:noWrap/>
            <w:tcMar>
              <w:top w:w="0" w:type="dxa"/>
              <w:left w:w="108" w:type="dxa"/>
              <w:bottom w:w="0" w:type="dxa"/>
              <w:right w:w="108" w:type="dxa"/>
            </w:tcMar>
            <w:vAlign w:val="top"/>
          </w:tcPr>
          <w:p>
            <w:pPr>
              <w:pStyle w:val="259"/>
              <w:ind w:left="420" w:leftChars="0" w:hanging="420" w:hanging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最小检测模块试剂位≥50个（有冷藏功能）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1.3</w:t>
            </w:r>
          </w:p>
        </w:tc>
        <w:tc>
          <w:tcPr>
            <w:tcW w:w="8467" w:type="dxa"/>
            <w:noWrap/>
            <w:tcMar>
              <w:top w:w="0" w:type="dxa"/>
              <w:left w:w="108" w:type="dxa"/>
              <w:bottom w:w="0" w:type="dxa"/>
              <w:right w:w="108" w:type="dxa"/>
            </w:tcMar>
            <w:vAlign w:val="top"/>
          </w:tcPr>
          <w:p>
            <w:pPr>
              <w:pStyle w:val="259"/>
              <w:ind w:left="420" w:leftChars="0" w:hanging="420" w:hanging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具备样本预分杯功能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1.4</w:t>
            </w:r>
          </w:p>
        </w:tc>
        <w:tc>
          <w:tcPr>
            <w:tcW w:w="8467" w:type="dxa"/>
            <w:noWrap/>
            <w:tcMar>
              <w:top w:w="0" w:type="dxa"/>
              <w:left w:w="108" w:type="dxa"/>
              <w:bottom w:w="0" w:type="dxa"/>
              <w:right w:w="108" w:type="dxa"/>
            </w:tcMar>
            <w:vAlign w:val="center"/>
          </w:tcPr>
          <w:p>
            <w:pPr>
              <w:pStyle w:val="60"/>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最小检测模块光学速度≥2000测试/小时，总光学速度≥6000测试/小时；在线离子速度≥1800测试/小时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1.5</w:t>
            </w:r>
          </w:p>
        </w:tc>
        <w:tc>
          <w:tcPr>
            <w:tcW w:w="8467" w:type="dxa"/>
            <w:noWrap/>
            <w:tcMar>
              <w:top w:w="0" w:type="dxa"/>
              <w:left w:w="108" w:type="dxa"/>
              <w:bottom w:w="0" w:type="dxa"/>
              <w:right w:w="108" w:type="dxa"/>
            </w:tcMar>
            <w:vAlign w:val="center"/>
          </w:tcPr>
          <w:p>
            <w:pPr>
              <w:pStyle w:val="60"/>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生化仪模块配备专用的急诊样品轨道，可优先处理急诊标本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1.6</w:t>
            </w:r>
          </w:p>
        </w:tc>
        <w:tc>
          <w:tcPr>
            <w:tcW w:w="8467" w:type="dxa"/>
            <w:noWrap/>
            <w:tcMar>
              <w:top w:w="0" w:type="dxa"/>
              <w:left w:w="108" w:type="dxa"/>
              <w:bottom w:w="0" w:type="dxa"/>
              <w:right w:w="108" w:type="dxa"/>
            </w:tcMar>
            <w:vAlign w:val="center"/>
          </w:tcPr>
          <w:p>
            <w:pPr>
              <w:pStyle w:val="60"/>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比色控温方式：干式孵育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1.7</w:t>
            </w:r>
          </w:p>
        </w:tc>
        <w:tc>
          <w:tcPr>
            <w:tcW w:w="8467" w:type="dxa"/>
            <w:noWrap/>
            <w:tcMar>
              <w:top w:w="0" w:type="dxa"/>
              <w:left w:w="108" w:type="dxa"/>
              <w:bottom w:w="0" w:type="dxa"/>
              <w:right w:w="108" w:type="dxa"/>
            </w:tcMar>
            <w:vAlign w:val="center"/>
          </w:tcPr>
          <w:p>
            <w:pPr>
              <w:pStyle w:val="60"/>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单测试最小反应总体积：≤80μl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8467" w:type="dxa"/>
            <w:noWrap/>
            <w:tcMar>
              <w:top w:w="0" w:type="dxa"/>
              <w:left w:w="108" w:type="dxa"/>
              <w:bottom w:w="0" w:type="dxa"/>
              <w:right w:w="108" w:type="dxa"/>
            </w:tcMar>
            <w:vAlign w:val="center"/>
          </w:tcPr>
          <w:p>
            <w:pPr>
              <w:pStyle w:val="259"/>
              <w:spacing w:line="400" w:lineRule="exact"/>
              <w:ind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单测试最小样本体积≤1μL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自动化设备整体要求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设备须包括自动进样单元，自动出样单元、自动离心单元、自动去盖单元、条形码阅读器以及数据信息管理系统、样本分析系统、轨道及后处理单元。所有功能模块均由轨道连接实现全程自动化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进样单元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前处理进样单元一台，进样单元容量≥400管，每个进样单元纯进样处理速度≥1450样本/小时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去盖单元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4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每个去盖单元去盖速度≥1200样本/小时。每个去盖单元均具备双脱盖模块设计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离心单元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根据实际标本量配置低温离心机，要求每台离心机速度≥300管/小时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分类及出样单元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出样单元一套，每个出样单元容量≥400管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1.19</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轨道传输系统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1.20</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样品管从前处理到分析仪器采用单管，通过RFID技术追踪定位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后处理系统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后处理系统存储冰箱容量（样本）≥5000管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配置自动加盖单元，每个加盖单元处理速度≥1200管/小时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配置二次去盖单元，每个单元去盖速度≥600管/小时, 当样品管从存储单元中取出时可自动去除样品管盖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在存储满时能自动报警提示。并可在运行时实时移走存储样本架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w:t>
            </w:r>
            <w:r>
              <w:rPr>
                <w:rFonts w:hint="eastAsia" w:ascii="宋体" w:hAnsi="宋体" w:eastAsia="宋体" w:cs="宋体"/>
                <w:b/>
                <w:bCs/>
                <w:kern w:val="0"/>
                <w:sz w:val="21"/>
                <w:szCs w:val="21"/>
                <w:lang w:val="en-US" w:eastAsia="zh-CN" w:bidi="ar"/>
              </w:rPr>
              <w:t>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金属机箱，不锈钢离心腔，确保人身和机器安全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最高转速：水平转子4000r/min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转速偏差：±1%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最大相对离心力：水平转子3400×g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定时范围：1-99min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2</w:t>
            </w:r>
            <w:r>
              <w:rPr>
                <w:rFonts w:hint="eastAsia" w:ascii="宋体" w:hAnsi="宋体" w:eastAsia="宋体" w:cs="宋体"/>
                <w:color w:val="000000"/>
                <w:kern w:val="0"/>
                <w:sz w:val="21"/>
                <w:szCs w:val="21"/>
                <w:lang w:bidi="ar"/>
              </w:rPr>
              <w:t>.6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电源：220V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具有开盖自动停机以及多种保护功能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离心机上盖有运行指示灯，可远观离心机运行状态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sz w:val="21"/>
                <w:szCs w:val="21"/>
                <w:lang w:val="en-US" w:eastAsia="zh-CN"/>
              </w:rPr>
            </w:pPr>
            <w:r>
              <w:rPr>
                <w:rFonts w:hint="eastAsia" w:ascii="宋体" w:hAnsi="宋体" w:eastAsia="宋体" w:cs="宋体"/>
                <w:b/>
                <w:bCs/>
                <w:color w:val="000000"/>
                <w:kern w:val="0"/>
                <w:sz w:val="21"/>
                <w:szCs w:val="21"/>
                <w:lang w:val="en-US" w:eastAsia="zh-CN" w:bidi="ar"/>
              </w:rPr>
              <w:t>3</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highlight w:val="none"/>
                <w:lang w:val="en-US" w:eastAsia="zh-CN" w:bidi="ar"/>
              </w:rPr>
              <w:t>立式</w:t>
            </w:r>
            <w:r>
              <w:rPr>
                <w:rFonts w:hint="eastAsia" w:ascii="宋体" w:hAnsi="宋体" w:eastAsia="宋体" w:cs="宋体"/>
                <w:b/>
                <w:bCs/>
                <w:kern w:val="0"/>
                <w:sz w:val="21"/>
                <w:szCs w:val="21"/>
                <w:lang w:val="en-US" w:eastAsia="zh-CN" w:bidi="ar"/>
              </w:rPr>
              <w:t>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.1</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可根据样本特性选择升降速度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.2</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转速/离心力可以相互设定、同步显示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.3</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门盖有双锁杆，启动后自动锁紧门盖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.4</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最高转速：4000rpm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5</w:t>
            </w:r>
          </w:p>
        </w:tc>
        <w:tc>
          <w:tcPr>
            <w:tcW w:w="8467" w:type="dxa"/>
            <w:noWrap/>
            <w:tcMar>
              <w:top w:w="0" w:type="dxa"/>
              <w:left w:w="108" w:type="dxa"/>
              <w:bottom w:w="0" w:type="dxa"/>
              <w:right w:w="108" w:type="dxa"/>
            </w:tcMar>
            <w:vAlign w:val="top"/>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最大相对离心力：3381×g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电源：220V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转子最大容量＞100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运行中可以随时更改参数，不需停机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3</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9</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离心结束时有声音提醒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top"/>
          </w:tcPr>
          <w:p>
            <w:pPr>
              <w:rPr>
                <w:rFonts w:hint="eastAsia" w:ascii="宋体" w:hAnsi="宋体" w:eastAsia="宋体" w:cs="宋体"/>
                <w:sz w:val="21"/>
                <w:szCs w:val="21"/>
                <w:lang w:eastAsia="zh-CN"/>
              </w:rPr>
            </w:pPr>
            <w:r>
              <w:rPr>
                <w:rFonts w:hint="eastAsia" w:ascii="宋体" w:hAnsi="宋体" w:eastAsia="宋体" w:cs="宋体"/>
                <w:b/>
                <w:bCs/>
                <w:color w:val="000000"/>
                <w:kern w:val="0"/>
                <w:sz w:val="21"/>
                <w:szCs w:val="21"/>
                <w:lang w:val="en-US" w:eastAsia="zh-CN" w:bidi="ar"/>
              </w:rPr>
              <w:t>4</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全自动阅片机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.1</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可对外周血涂片血细胞的形态图像摄取、可视化观察及描述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.2</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全自动处理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3</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非白细胞预分类参数不少于5类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红细胞形态定性类型不少于6类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白细胞识别符合率大于85%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一次最多可以通过进样器装载量≥70个玻片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有单片进样模式，以支持插队分析样本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支持外周血玻片的数据和细胞图片存档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系统可以接受二维码和条形码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能与</w:t>
            </w:r>
            <w:r>
              <w:rPr>
                <w:rFonts w:hint="eastAsia" w:ascii="宋体" w:hAnsi="宋体" w:eastAsia="宋体" w:cs="宋体"/>
                <w:color w:val="000000"/>
                <w:sz w:val="21"/>
                <w:szCs w:val="21"/>
                <w:lang w:val="en-US" w:eastAsia="zh-CN"/>
              </w:rPr>
              <w:t>血球设备、</w:t>
            </w:r>
            <w:r>
              <w:rPr>
                <w:rFonts w:hint="eastAsia" w:ascii="宋体" w:hAnsi="宋体" w:eastAsia="宋体" w:cs="宋体"/>
                <w:color w:val="000000"/>
                <w:sz w:val="21"/>
                <w:szCs w:val="21"/>
              </w:rPr>
              <w:t>CRP设备联机或连接成流水线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cs="宋体"/>
                <w:sz w:val="21"/>
                <w:szCs w:val="21"/>
                <w:lang w:val="en-US" w:eastAsia="zh-CN"/>
              </w:rPr>
              <w:t>1</w:t>
            </w:r>
          </w:p>
        </w:tc>
        <w:tc>
          <w:tcPr>
            <w:tcW w:w="8467" w:type="dxa"/>
            <w:noWrap/>
            <w:tcMar>
              <w:top w:w="0" w:type="dxa"/>
              <w:left w:w="108" w:type="dxa"/>
              <w:bottom w:w="0" w:type="dxa"/>
              <w:right w:w="108" w:type="dxa"/>
            </w:tcMar>
            <w:vAlign w:val="top"/>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拥有血涂片数字扫描功能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kern w:val="0"/>
                <w:sz w:val="21"/>
                <w:szCs w:val="21"/>
                <w:lang w:val="en-US" w:eastAsia="zh-CN" w:bidi="ar"/>
              </w:rPr>
              <w:t>5</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医用冰箱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5</w:t>
            </w:r>
            <w:r>
              <w:rPr>
                <w:rFonts w:hint="eastAsia" w:ascii="宋体" w:hAnsi="宋体" w:eastAsia="宋体" w:cs="宋体"/>
                <w:color w:val="000000"/>
                <w:kern w:val="0"/>
                <w:sz w:val="21"/>
                <w:szCs w:val="21"/>
                <w:lang w:bidi="ar"/>
              </w:rPr>
              <w:t>.1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立式，有双玻璃门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5</w:t>
            </w:r>
            <w:r>
              <w:rPr>
                <w:rFonts w:hint="eastAsia" w:ascii="宋体" w:hAnsi="宋体" w:eastAsia="宋体" w:cs="宋体"/>
                <w:color w:val="000000"/>
                <w:kern w:val="0"/>
                <w:sz w:val="21"/>
                <w:szCs w:val="21"/>
                <w:lang w:bidi="ar"/>
              </w:rPr>
              <w:t>.2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保温材料：无CFC聚氨酯发泡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5</w:t>
            </w:r>
            <w:r>
              <w:rPr>
                <w:rFonts w:hint="eastAsia" w:ascii="宋体" w:hAnsi="宋体" w:eastAsia="宋体" w:cs="宋体"/>
                <w:color w:val="000000"/>
                <w:kern w:val="0"/>
                <w:sz w:val="21"/>
                <w:szCs w:val="21"/>
                <w:lang w:bidi="ar"/>
              </w:rPr>
              <w:t>.3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箱内温度波动范围±3℃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5</w:t>
            </w:r>
            <w:r>
              <w:rPr>
                <w:rFonts w:hint="eastAsia" w:ascii="宋体" w:hAnsi="宋体" w:eastAsia="宋体" w:cs="宋体"/>
                <w:color w:val="000000"/>
                <w:kern w:val="0"/>
                <w:sz w:val="21"/>
                <w:szCs w:val="21"/>
                <w:lang w:bidi="ar"/>
              </w:rPr>
              <w:t>.4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通过设定温度使箱内温度保持在2-8℃范围内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风道式强制冷气循环系统，以确保箱体内部温度均匀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拥有自然化霜功能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门体带锁，防止随意开启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门开风扇电机停止运行，门关风扇电机自动开始运行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5.9</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大屏可温度显示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b/>
                <w:bCs/>
                <w:color w:val="000000"/>
                <w:kern w:val="0"/>
                <w:sz w:val="21"/>
                <w:szCs w:val="21"/>
                <w:lang w:val="en-US" w:eastAsia="zh-CN" w:bidi="ar"/>
              </w:rPr>
              <w:t>6</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医用冰箱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立式，有玻璃门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有效容积＞500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门体带锁，防止随意开启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门开风扇电机停止运行，门关风扇电机自动开始运行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可打印当天以及一周内数据，也能打印定义时间内数据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箱内温度波动范围±3℃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通过设定温度使箱内温度保持在2~8℃范围内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可确保运行状态安全稳定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spacing w:line="400" w:lineRule="exact"/>
              <w:rPr>
                <w:rFonts w:hint="eastAsia" w:ascii="宋体" w:hAnsi="宋体" w:eastAsia="宋体" w:cs="宋体"/>
                <w:b w:val="0"/>
                <w:bCs w:val="0"/>
                <w:sz w:val="21"/>
                <w:szCs w:val="21"/>
                <w:lang w:eastAsia="zh-CN"/>
              </w:rPr>
            </w:pPr>
            <w:r>
              <w:rPr>
                <w:rFonts w:hint="eastAsia" w:ascii="宋体" w:hAnsi="宋体" w:eastAsia="宋体" w:cs="宋体"/>
                <w:b/>
                <w:bCs/>
                <w:color w:val="000000"/>
                <w:kern w:val="0"/>
                <w:sz w:val="21"/>
                <w:szCs w:val="21"/>
                <w:lang w:val="en-US" w:eastAsia="zh-CN" w:bidi="ar"/>
              </w:rPr>
              <w:t>7</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全自动糖化血红蛋白分析仪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分析原理：离子交换高效液相色谱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检测方法：双波长吸光度法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测量模式：标准模式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主机可选择扩展内存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中文操作系统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带内置或外接打印机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样品杯自动进样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有专用急诊样本位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b/>
                <w:bCs/>
                <w:color w:val="000000"/>
                <w:kern w:val="0"/>
                <w:sz w:val="21"/>
                <w:szCs w:val="21"/>
                <w:lang w:val="en-US" w:eastAsia="zh-CN" w:bidi="ar"/>
              </w:rPr>
              <w:t>8</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容量200KVA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与市电同步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转换时间：0ms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有指示面板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b/>
                <w:bCs/>
                <w:color w:val="000000"/>
                <w:kern w:val="0"/>
                <w:sz w:val="21"/>
                <w:szCs w:val="21"/>
                <w:lang w:val="en-US" w:eastAsia="zh-CN" w:bidi="ar"/>
              </w:rPr>
              <w:t>9</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全自动化学发光免疫分析仪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发光原理：吖啶酯直接化学发光。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设备检测速度：分析速度200T/h，任意项目首个结果报告时间≤30分钟，缩短TAT时间；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.3</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样本加样方式：采用一次性Tip头，避免样本间交叉污染风险；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.4</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试剂仓容量：50组试剂位，可支持50个项目同机检测；带有独立电源，试剂装载后28天无需管理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.5</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试剂盒规格：试剂盒规格≥200 T /盒，避免频繁拆取和加载试剂；（需提供证明材料）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.6</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样本位：110个样本位、10个优先位设置，满足临床需要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.7</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操作便利性要求：试剂、吸头、反应杯等均支持在线添加，备用试剂可自动切换，随时补充，检测不间断；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tabs>
                <w:tab w:val="center" w:pos="807"/>
              </w:tabs>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8</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反应杯特性：反应杯和吸头均成盒独立包装，装载量均可&gt;900T，可满足大部分用户一天的检测量；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9</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试剂仓冷藏功能：试剂仓具有2-8°C独立冷藏功能，仪器关机时试剂仓仍可保持冷藏；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9</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10</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试剂自动混匀功能：磁微粒自动底部旋转混匀，保证试剂的均一性；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0"/>
                <w:sz w:val="21"/>
                <w:szCs w:val="21"/>
                <w:lang w:val="en-US" w:eastAsia="zh-CN" w:bidi="ar"/>
              </w:rPr>
              <w:t>10</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全自动凝血分析仪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.1</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PT检测速度≥330T/h；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.2</w:t>
            </w:r>
          </w:p>
        </w:tc>
        <w:tc>
          <w:tcPr>
            <w:tcW w:w="8467" w:type="dxa"/>
            <w:noWrap/>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检测波长＞2个；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检测方法学凝固法、发色底物法和免疫法，且不固定方法学检测通道≥14个；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仪器通过CE和FDA认证；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可显示/查阅样本凝固曲线，以便更好地了解样本凝固反应的过程，并且能够提示结果检测失败的原因，便于用户追踪异常结果；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10.6</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具有因子平行实验，并能提示是否存在因子抑制物；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10.7</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单台仪器试剂位≥55个，抽拉式，不停机连续装载；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10.8</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试剂识别系统：仪器内置条码和外置条码阅读器两种方式；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10.9</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试剂和仪器是同一品牌的项目数量＞10个，并有完整的溯源体系，还可以开放使用其他试剂；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10.10</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FIB检测: PT衍生FIB法和Clauss法可自动互换；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0"/>
                <w:sz w:val="21"/>
                <w:szCs w:val="21"/>
                <w:lang w:val="en-US" w:eastAsia="zh-CN" w:bidi="ar"/>
              </w:rPr>
              <w:t>11</w:t>
            </w:r>
            <w:r>
              <w:rPr>
                <w:rFonts w:hint="eastAsia" w:ascii="宋体" w:hAnsi="宋体" w:eastAsia="宋体" w:cs="宋体"/>
                <w:b/>
                <w:bCs/>
                <w:color w:val="000000"/>
                <w:kern w:val="0"/>
                <w:sz w:val="21"/>
                <w:szCs w:val="21"/>
                <w:lang w:bidi="ar"/>
              </w:rPr>
              <w:t>.</w:t>
            </w:r>
            <w:r>
              <w:rPr>
                <w:rFonts w:hint="eastAsia" w:ascii="宋体" w:hAnsi="宋体" w:eastAsia="宋体" w:cs="宋体"/>
                <w:b/>
                <w:bCs/>
                <w:kern w:val="0"/>
                <w:sz w:val="21"/>
                <w:szCs w:val="21"/>
                <w:lang w:val="en-US" w:eastAsia="zh-CN" w:bidi="ar"/>
              </w:rPr>
              <w:t>医用冷藏冷冻冰箱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11.1</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双门、立式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11.2</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输入电压：220±10%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冷藏室控温范围：2℃～8℃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冷冻室控温范围：-10~-25℃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有多重报警功能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11.6</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冷藏室和冷冻室可以独立控制、运行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11.7</w:t>
            </w:r>
          </w:p>
        </w:tc>
        <w:tc>
          <w:tcPr>
            <w:tcW w:w="8467" w:type="dxa"/>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制冷高效，环保节能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11.8</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冷冻多重密封保温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kern w:val="0"/>
                <w:sz w:val="21"/>
                <w:szCs w:val="21"/>
                <w:lang w:val="en-US" w:eastAsia="zh-CN" w:bidi="ar"/>
              </w:rPr>
              <w:t>12.医用低温保存箱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12.1</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输入电压：220±10%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12.2</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立式，单门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冰箱有转锁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底部配2个万向轮、2个定向轮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制冷高效，环保节能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12.6</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设定温度在-20℃~-40℃范围调节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12.7</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有多种报警功能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12.8</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可显示箱内实时温度数据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val="0"/>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12.9</w:t>
            </w:r>
          </w:p>
        </w:tc>
        <w:tc>
          <w:tcPr>
            <w:tcW w:w="8467" w:type="dxa"/>
            <w:noWrap w:val="0"/>
            <w:vAlign w:val="center"/>
          </w:tcPr>
          <w:p>
            <w:pPr>
              <w:pStyle w:val="60"/>
              <w:keepNext w:val="0"/>
              <w:keepLines w:val="0"/>
              <w:widowControl/>
              <w:suppressLineNumbers w:val="0"/>
              <w:spacing w:before="0" w:beforeAutospacing="0" w:after="0" w:afterAutospacing="0"/>
              <w:ind w:left="0" w:leftChars="0" w:firstLine="0" w:firstLineChars="0"/>
              <w:jc w:val="left"/>
              <w:rPr>
                <w:rFonts w:hint="eastAsia" w:ascii="宋体" w:hAnsi="宋体" w:eastAsia="宋体" w:cs="宋体"/>
                <w:b w:val="0"/>
                <w:kern w:val="0"/>
                <w:sz w:val="21"/>
                <w:szCs w:val="21"/>
                <w:lang w:val="en-US" w:eastAsia="zh-CN" w:bidi="ar-SA"/>
              </w:rPr>
            </w:pPr>
            <w:r>
              <w:rPr>
                <w:rFonts w:hint="eastAsia" w:ascii="宋体" w:hAnsi="宋体" w:eastAsia="宋体" w:cs="宋体"/>
                <w:kern w:val="0"/>
                <w:sz w:val="21"/>
                <w:szCs w:val="21"/>
                <w:lang w:val="en-US" w:eastAsia="zh-CN" w:bidi="ar"/>
              </w:rPr>
              <w:t>密封效果好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kern w:val="0"/>
                <w:sz w:val="21"/>
                <w:szCs w:val="21"/>
                <w:lang w:val="en-US" w:eastAsia="zh-CN" w:bidi="ar"/>
              </w:rPr>
              <w:t>13.全自动化学发光免疫分析仪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13.1</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带冷藏功能，支持自动稀释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13.2</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可自动排杯，可随时在线添加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可自动扫描样本条码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交叉污染率：≤1ppm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可支持纯化水、洗涤液和强化洗涤液的加注针内外壁清洗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13.6</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随时可以进行急诊检测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13.7</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开放式检测平台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13.8</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可测发光值有效线性范围：＞500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val="0"/>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13.9</w:t>
            </w:r>
          </w:p>
        </w:tc>
        <w:tc>
          <w:tcPr>
            <w:tcW w:w="8467" w:type="dxa"/>
            <w:noWrap w:val="0"/>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可支持洗涤液加热功能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kern w:val="0"/>
                <w:sz w:val="21"/>
                <w:szCs w:val="21"/>
                <w:lang w:val="en-US" w:eastAsia="zh-CN" w:bidi="ar"/>
              </w:rPr>
              <w:t>14.恒温培养箱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14.1</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控温范围：10-50℃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14.2</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恒温波动温度：±0.5℃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电压：220V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有报警设置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有电子锁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0" w:type="dxa"/>
            <w:gridSpan w:val="2"/>
            <w:noWrap/>
            <w:tcMar>
              <w:top w:w="0" w:type="dxa"/>
              <w:left w:w="108" w:type="dxa"/>
              <w:bottom w:w="0" w:type="dxa"/>
              <w:right w:w="108" w:type="dxa"/>
            </w:tcMar>
            <w:vAlign w:val="center"/>
          </w:tcPr>
          <w:p>
            <w:pPr>
              <w:widowControl/>
              <w:spacing w:line="360" w:lineRule="auto"/>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bCs/>
                <w:kern w:val="0"/>
                <w:sz w:val="21"/>
                <w:szCs w:val="21"/>
                <w:lang w:val="en-US" w:eastAsia="zh-CN" w:bidi="ar"/>
              </w:rPr>
              <w:t>15.</w:t>
            </w:r>
            <w:r>
              <w:rPr>
                <w:rFonts w:hint="eastAsia" w:ascii="宋体" w:hAnsi="宋体" w:eastAsia="宋体" w:cs="宋体"/>
                <w:b/>
                <w:bCs/>
                <w:kern w:val="0"/>
                <w:sz w:val="21"/>
                <w:szCs w:val="21"/>
                <w:highlight w:val="none"/>
                <w:lang w:val="en-US" w:eastAsia="zh-CN" w:bidi="ar"/>
              </w:rPr>
              <w:t>全自动免疫发光分析仪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15.1</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检测方法：化学发光法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15.2</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具备预分杯功能，有冷藏样本存储位，可存储≥280/台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15.3</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试剂混匀：超声波混匀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15.4</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试剂盒具有多层覆膜密封，有弹性膜进行保护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试剂和样品探针内部和外部的清洗：超声波及缓冲液清洗，携带率&lt;1ppm;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15.6</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具备实时不停机急诊样本插入功能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15.7</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进样位≥120/台，原始管上机，可连续不停机进样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tcMar>
              <w:top w:w="0" w:type="dxa"/>
              <w:left w:w="108" w:type="dxa"/>
              <w:bottom w:w="0" w:type="dxa"/>
              <w:right w:w="108" w:type="dxa"/>
            </w:tcMar>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15.8</w:t>
            </w:r>
          </w:p>
        </w:tc>
        <w:tc>
          <w:tcPr>
            <w:tcW w:w="8467" w:type="dxa"/>
            <w:noWrap/>
            <w:tcMar>
              <w:top w:w="0" w:type="dxa"/>
              <w:left w:w="108" w:type="dxa"/>
              <w:bottom w:w="0" w:type="dxa"/>
              <w:right w:w="108" w:type="dxa"/>
            </w:tcMar>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具备相同品牌的、可溯源的配套试剂、定标品、质控品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val="0"/>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15.9</w:t>
            </w:r>
          </w:p>
        </w:tc>
        <w:tc>
          <w:tcPr>
            <w:tcW w:w="8467" w:type="dxa"/>
            <w:noWrap w:val="0"/>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具备根据检测结果自动追加测试项目功能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noWrap w:val="0"/>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15.10</w:t>
            </w:r>
          </w:p>
        </w:tc>
        <w:tc>
          <w:tcPr>
            <w:tcW w:w="8467" w:type="dxa"/>
            <w:noWrap w:val="0"/>
            <w:vAlign w:val="center"/>
          </w:tcPr>
          <w:p>
            <w:pPr>
              <w:pStyle w:val="60"/>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具备血凝块监测及纠正功能</w:t>
            </w:r>
          </w:p>
        </w:tc>
      </w:tr>
    </w:tbl>
    <w:p>
      <w:pPr>
        <w:spacing w:line="360" w:lineRule="auto"/>
        <w:rPr>
          <w:rFonts w:hint="eastAsia" w:ascii="宋体" w:hAnsi="宋体"/>
          <w:b/>
          <w:color w:val="000000"/>
          <w:szCs w:val="21"/>
        </w:rPr>
      </w:pPr>
    </w:p>
    <w:p>
      <w:pPr>
        <w:spacing w:line="360" w:lineRule="auto"/>
        <w:rPr>
          <w:rFonts w:hint="eastAsia" w:ascii="宋体" w:hAnsi="宋体"/>
          <w:b/>
          <w:color w:val="000000"/>
          <w:sz w:val="20"/>
          <w:szCs w:val="20"/>
        </w:rPr>
      </w:pPr>
    </w:p>
    <w:p>
      <w:pPr>
        <w:snapToGrid w:val="0"/>
        <w:spacing w:line="360" w:lineRule="auto"/>
        <w:jc w:val="left"/>
        <w:rPr>
          <w:rFonts w:hint="eastAsia" w:ascii="宋体" w:hAnsi="宋体"/>
          <w:color w:val="000000"/>
        </w:rPr>
        <w:sectPr>
          <w:footerReference r:id="rId8" w:type="first"/>
          <w:footerReference r:id="rId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286" w:charSpace="0"/>
        </w:sectPr>
      </w:pPr>
    </w:p>
    <w:p>
      <w:pPr>
        <w:snapToGrid w:val="0"/>
        <w:spacing w:line="360" w:lineRule="auto"/>
        <w:jc w:val="left"/>
        <w:rPr>
          <w:rFonts w:hint="eastAsia" w:ascii="宋体" w:hAnsi="宋体"/>
          <w:b/>
          <w:color w:val="000000"/>
          <w:szCs w:val="21"/>
        </w:rPr>
      </w:pPr>
      <w:r>
        <w:rPr>
          <w:rFonts w:hint="eastAsia" w:ascii="宋体" w:hAnsi="宋体"/>
          <w:b/>
          <w:bCs/>
          <w:color w:val="000000"/>
        </w:rPr>
        <w:t>5.3医院检验中心关于仪器、试剂、冷链物流及学科建设等的相关要求</w:t>
      </w:r>
    </w:p>
    <w:p>
      <w:pPr>
        <w:spacing w:line="360" w:lineRule="auto"/>
        <w:rPr>
          <w:rFonts w:hint="eastAsia" w:ascii="宋体" w:hAnsi="宋体"/>
          <w:color w:val="000000"/>
          <w:szCs w:val="21"/>
        </w:rPr>
      </w:pPr>
      <w:r>
        <w:rPr>
          <w:rFonts w:hint="eastAsia" w:ascii="宋体" w:hAnsi="宋体"/>
          <w:color w:val="000000"/>
          <w:szCs w:val="21"/>
        </w:rPr>
        <w:t>1)中标人在合作期间，应能提供满足检验中心日常检测所需要的一切仪器、辅助设备和试剂、耗材。为了保障招标人对检测性能、检测质量等的要求，中标人在提供仪器、辅助设备和耗材时，应优先征求和考虑招标人的意向。</w:t>
      </w:r>
    </w:p>
    <w:p>
      <w:pPr>
        <w:spacing w:line="360" w:lineRule="auto"/>
        <w:rPr>
          <w:rFonts w:hint="eastAsia" w:ascii="宋体" w:hAnsi="宋体"/>
          <w:color w:val="000000"/>
          <w:szCs w:val="21"/>
        </w:rPr>
      </w:pPr>
      <w:r>
        <w:rPr>
          <w:rFonts w:hint="eastAsia" w:ascii="宋体" w:hAnsi="宋体"/>
          <w:color w:val="000000"/>
          <w:szCs w:val="21"/>
        </w:rPr>
        <w:t>2)关于原装试剂的配套：</w:t>
      </w:r>
    </w:p>
    <w:p>
      <w:pPr>
        <w:spacing w:line="360" w:lineRule="auto"/>
        <w:rPr>
          <w:rFonts w:hint="eastAsia" w:ascii="宋体" w:hAnsi="宋体"/>
          <w:color w:val="000000"/>
          <w:szCs w:val="21"/>
        </w:rPr>
      </w:pPr>
      <w:r>
        <w:rPr>
          <w:rFonts w:hint="eastAsia" w:ascii="宋体" w:hAnsi="宋体"/>
          <w:color w:val="000000"/>
          <w:szCs w:val="21"/>
        </w:rPr>
        <w:t>2.1为保障检测结果的质量，医院检验中心使用的所有品牌的仪器在进行日常的项目校准/定标、标本检测和维护保养时，有原装配套试剂的，原则上，中标人必须保证其所提供的试剂（包括但不限于主检测试剂及定标液、保养液、清洗液、缓冲液等配套试剂）均应是与所用仪器品牌相匹配的原装配套试剂。</w:t>
      </w:r>
    </w:p>
    <w:p>
      <w:pPr>
        <w:spacing w:line="360" w:lineRule="auto"/>
        <w:rPr>
          <w:rFonts w:hint="eastAsia" w:ascii="宋体" w:hAnsi="宋体"/>
          <w:color w:val="000000"/>
          <w:szCs w:val="21"/>
        </w:rPr>
      </w:pPr>
      <w:r>
        <w:rPr>
          <w:rFonts w:hint="eastAsia" w:ascii="宋体" w:hAnsi="宋体"/>
          <w:color w:val="000000"/>
          <w:szCs w:val="21"/>
        </w:rPr>
        <w:t>2.2在未得到招标人认可的情况下，中标人不得私自使用非原装品牌的替代试剂。</w:t>
      </w:r>
    </w:p>
    <w:p>
      <w:pPr>
        <w:spacing w:line="360" w:lineRule="auto"/>
        <w:rPr>
          <w:rFonts w:hint="eastAsia" w:ascii="宋体" w:hAnsi="宋体"/>
          <w:color w:val="000000"/>
          <w:szCs w:val="21"/>
        </w:rPr>
      </w:pPr>
      <w:r>
        <w:rPr>
          <w:rFonts w:hint="eastAsia" w:ascii="宋体" w:hAnsi="宋体"/>
          <w:color w:val="000000"/>
          <w:szCs w:val="21"/>
        </w:rPr>
        <w:t>3)关于具有开放试剂通道的仪器：</w:t>
      </w:r>
    </w:p>
    <w:p>
      <w:pPr>
        <w:spacing w:line="360" w:lineRule="auto"/>
        <w:rPr>
          <w:rFonts w:hint="eastAsia" w:ascii="宋体" w:hAnsi="宋体"/>
          <w:color w:val="000000"/>
          <w:szCs w:val="21"/>
        </w:rPr>
      </w:pPr>
      <w:r>
        <w:rPr>
          <w:rFonts w:hint="eastAsia" w:ascii="宋体" w:hAnsi="宋体"/>
          <w:color w:val="000000"/>
          <w:szCs w:val="21"/>
        </w:rPr>
        <w:t>3.1中标人在采购试剂时必须首先要充分考虑招标人对于开放试剂品牌和质量的要求。</w:t>
      </w:r>
    </w:p>
    <w:p>
      <w:pPr>
        <w:spacing w:line="360" w:lineRule="auto"/>
        <w:rPr>
          <w:rFonts w:hint="eastAsia" w:ascii="宋体" w:hAnsi="宋体"/>
          <w:color w:val="000000"/>
          <w:szCs w:val="21"/>
        </w:rPr>
      </w:pPr>
      <w:r>
        <w:rPr>
          <w:rFonts w:hint="eastAsia" w:ascii="宋体" w:hAnsi="宋体"/>
          <w:color w:val="000000"/>
          <w:szCs w:val="21"/>
        </w:rPr>
        <w:t>3.2在使用开放试剂前，中标人必须按照试剂说明书声明的参数或国家相关行业标准进行试剂性能验证，并承担性能验证的费用支出。试剂性能验证的结果在符合说明书的基础上，同时还不应低于省内三级甲等医院现有品牌或同类试剂的质量。</w:t>
      </w:r>
    </w:p>
    <w:p>
      <w:pPr>
        <w:spacing w:line="360" w:lineRule="auto"/>
        <w:rPr>
          <w:rFonts w:ascii="宋体" w:hAnsi="宋体"/>
          <w:color w:val="000000"/>
          <w:szCs w:val="21"/>
        </w:rPr>
      </w:pPr>
      <w:r>
        <w:rPr>
          <w:rFonts w:hint="eastAsia" w:ascii="宋体" w:hAnsi="宋体"/>
          <w:color w:val="000000"/>
          <w:szCs w:val="21"/>
        </w:rPr>
        <w:t>3.3开放品牌的试剂只有在性能验证通过并备案后方可使用，否则禁止使用。</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在实际运营过程中，因临床要求需要更换试剂品牌，需招标人认可后方可执行。</w:t>
      </w:r>
    </w:p>
    <w:p>
      <w:pPr>
        <w:spacing w:line="360" w:lineRule="auto"/>
        <w:rPr>
          <w:rFonts w:hint="eastAsia" w:ascii="宋体" w:hAnsi="宋体"/>
          <w:color w:val="000000"/>
          <w:szCs w:val="21"/>
        </w:rPr>
      </w:pPr>
      <w:r>
        <w:rPr>
          <w:rFonts w:hint="eastAsia" w:ascii="宋体" w:hAnsi="宋体"/>
          <w:color w:val="000000"/>
          <w:szCs w:val="21"/>
        </w:rPr>
        <w:t>4)关于生化免疫流水线检测不全项目的线下补充方案的要求：</w:t>
      </w:r>
    </w:p>
    <w:p>
      <w:pPr>
        <w:spacing w:line="360" w:lineRule="auto"/>
        <w:rPr>
          <w:rFonts w:hint="eastAsia" w:ascii="宋体" w:hAnsi="宋体"/>
          <w:color w:val="000000"/>
          <w:szCs w:val="21"/>
        </w:rPr>
      </w:pPr>
      <w:r>
        <w:rPr>
          <w:rFonts w:hint="eastAsia" w:ascii="宋体" w:hAnsi="宋体"/>
          <w:color w:val="000000"/>
          <w:szCs w:val="21"/>
        </w:rPr>
        <w:t>4.1在生化免疫流水线，特别是当生化免疫流水线所连接的化学发光免疫分析仪对部分项目不能检测，或检测结果的敏感性、特异性、稳定性等指标既不能满足临床需求，也不符合ISO15189的质量要求时，投标人应向招标人提供符合质量要求的线下补充或替代解决方案，且该线下补充解决方案应首先立足于检验中心能够自己实现检测，如引进符合要求的替代仪器设备等，而不应是首先考虑外送到第三方实验室。检验中心确有检测困难需要外送第三方实验室检测时，应征得招标人的同意，必要时需提供相关的说明材料。</w:t>
      </w:r>
    </w:p>
    <w:p>
      <w:pPr>
        <w:spacing w:line="360" w:lineRule="auto"/>
        <w:rPr>
          <w:rFonts w:hint="eastAsia" w:ascii="宋体" w:hAnsi="宋体"/>
          <w:color w:val="000000"/>
          <w:szCs w:val="21"/>
        </w:rPr>
      </w:pPr>
      <w:r>
        <w:rPr>
          <w:rFonts w:hint="eastAsia" w:ascii="宋体" w:hAnsi="宋体"/>
          <w:color w:val="000000"/>
          <w:szCs w:val="21"/>
        </w:rPr>
        <w:t>5)关于常规耗材的配置要求：</w:t>
      </w:r>
    </w:p>
    <w:p>
      <w:pPr>
        <w:spacing w:line="360" w:lineRule="auto"/>
        <w:rPr>
          <w:rFonts w:hint="eastAsia" w:ascii="宋体" w:hAnsi="宋体"/>
          <w:color w:val="000000"/>
          <w:szCs w:val="21"/>
        </w:rPr>
      </w:pPr>
      <w:r>
        <w:rPr>
          <w:rFonts w:hint="eastAsia" w:ascii="宋体" w:hAnsi="宋体"/>
          <w:color w:val="000000"/>
          <w:szCs w:val="21"/>
        </w:rPr>
        <w:t>5.1投标人负责配置及承担成本，配置品牌和质量需先与招标人共同协商，并得到招标人的认可。投标人因私自引进或更换质量不合格的耗材产品而造成的一切后果，应由投标人承担。</w:t>
      </w:r>
    </w:p>
    <w:p>
      <w:pPr>
        <w:snapToGrid w:val="0"/>
        <w:spacing w:line="360" w:lineRule="auto"/>
        <w:jc w:val="left"/>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)新增临床检验项目和新增设备投入必须按招标人相关医疗器械管理制度规定实行同质化管理。</w:t>
      </w:r>
    </w:p>
    <w:p>
      <w:pPr>
        <w:snapToGrid w:val="0"/>
        <w:spacing w:line="360" w:lineRule="auto"/>
        <w:jc w:val="left"/>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根据招标人所列的新增设备清单（包含但不仅限于清单内容），投标人必须详细列出新增设备投入的实施细则方案（投入时间表、辅助设备等）。提供相对应的设备品牌、型号、技术参数、生产厂家或几级代理授权、性能、市场占有率、售后服务等内容。</w:t>
      </w:r>
    </w:p>
    <w:p>
      <w:pPr>
        <w:snapToGrid w:val="0"/>
        <w:spacing w:line="360" w:lineRule="auto"/>
        <w:jc w:val="left"/>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)关于仪器、试剂需要更换或更新的相关要求：</w:t>
      </w:r>
    </w:p>
    <w:p>
      <w:pPr>
        <w:snapToGrid w:val="0"/>
        <w:spacing w:line="360" w:lineRule="auto"/>
        <w:jc w:val="left"/>
        <w:rPr>
          <w:rFonts w:hint="eastAsia" w:ascii="宋体" w:hAnsi="宋体"/>
          <w:color w:val="000000"/>
          <w:szCs w:val="21"/>
        </w:rPr>
      </w:pPr>
      <w:r>
        <w:rPr>
          <w:rFonts w:hint="eastAsia" w:ascii="宋体" w:hAnsi="宋体"/>
          <w:color w:val="000000"/>
          <w:szCs w:val="21"/>
        </w:rPr>
        <w:t>9.1使用中的仪器、试剂在合作期间需要更换时，中标人应至少提供3个同档次且当前最新型号的品牌交招标人选择；中标人必须对新更换的仪器、试剂进行性能验证；验证通过后，经招标人审核同意方可更换。</w:t>
      </w:r>
    </w:p>
    <w:p>
      <w:pPr>
        <w:snapToGrid w:val="0"/>
        <w:spacing w:line="360" w:lineRule="auto"/>
        <w:jc w:val="left"/>
        <w:rPr>
          <w:rFonts w:hint="eastAsia" w:ascii="宋体" w:hAnsi="宋体"/>
          <w:color w:val="000000"/>
          <w:szCs w:val="21"/>
        </w:rPr>
      </w:pPr>
      <w:r>
        <w:rPr>
          <w:rFonts w:hint="eastAsia" w:ascii="宋体" w:hAnsi="宋体"/>
          <w:color w:val="000000"/>
          <w:szCs w:val="21"/>
        </w:rPr>
        <w:t>9.2中标人承担仪器、试剂更新后性能验证所需要的全部费用。</w:t>
      </w:r>
    </w:p>
    <w:p>
      <w:pPr>
        <w:snapToGrid w:val="0"/>
        <w:spacing w:line="360" w:lineRule="auto"/>
        <w:jc w:val="left"/>
        <w:rPr>
          <w:rFonts w:hint="eastAsia" w:ascii="宋体" w:hAnsi="宋体" w:cs="Arial"/>
          <w:bCs/>
          <w:color w:val="000000"/>
          <w:szCs w:val="21"/>
        </w:rPr>
      </w:pPr>
      <w:r>
        <w:rPr>
          <w:rFonts w:hint="eastAsia" w:ascii="宋体" w:hAnsi="宋体" w:cs="Arial"/>
          <w:bCs/>
          <w:color w:val="000000"/>
          <w:szCs w:val="21"/>
        </w:rPr>
        <w:t>10)关于试剂供货物流期限的要求：</w:t>
      </w:r>
    </w:p>
    <w:p>
      <w:pPr>
        <w:snapToGrid w:val="0"/>
        <w:spacing w:line="360" w:lineRule="auto"/>
        <w:jc w:val="left"/>
        <w:rPr>
          <w:rFonts w:hint="eastAsia" w:ascii="宋体" w:hAnsi="宋体" w:cs="Arial"/>
          <w:bCs/>
          <w:snapToGrid w:val="0"/>
          <w:color w:val="000000"/>
          <w:kern w:val="0"/>
          <w:szCs w:val="21"/>
        </w:rPr>
      </w:pPr>
      <w:r>
        <w:rPr>
          <w:rFonts w:hint="eastAsia" w:ascii="宋体" w:hAnsi="宋体" w:cs="Arial"/>
          <w:bCs/>
          <w:color w:val="000000"/>
          <w:szCs w:val="21"/>
        </w:rPr>
        <w:t>10.1</w:t>
      </w:r>
      <w:r>
        <w:rPr>
          <w:rFonts w:hint="eastAsia" w:ascii="宋体" w:hAnsi="宋体" w:cs="Arial"/>
          <w:bCs/>
          <w:snapToGrid w:val="0"/>
          <w:color w:val="000000"/>
          <w:kern w:val="0"/>
          <w:szCs w:val="21"/>
        </w:rPr>
        <w:t>现有临床检验项目及后续开展临床检验项目所需的试剂：属常规通用类的：在使用部门提出供货请求日起，5个工作日内必须到货；</w:t>
      </w:r>
    </w:p>
    <w:p>
      <w:pPr>
        <w:snapToGrid w:val="0"/>
        <w:spacing w:line="360" w:lineRule="auto"/>
        <w:jc w:val="left"/>
        <w:rPr>
          <w:rFonts w:hint="eastAsia" w:ascii="宋体" w:hAnsi="宋体" w:cs="Arial"/>
          <w:bCs/>
          <w:snapToGrid w:val="0"/>
          <w:color w:val="000000"/>
          <w:kern w:val="0"/>
          <w:szCs w:val="21"/>
        </w:rPr>
      </w:pPr>
      <w:r>
        <w:rPr>
          <w:rFonts w:hint="eastAsia" w:ascii="宋体" w:hAnsi="宋体" w:cs="Arial"/>
          <w:bCs/>
          <w:snapToGrid w:val="0"/>
          <w:color w:val="000000"/>
          <w:kern w:val="0"/>
          <w:szCs w:val="21"/>
        </w:rPr>
        <w:t>10.2现有临床检验项目及后续开展临床检验项目所需的试剂：属特殊专用类的：在使用部门提出供货请求日起，7个工作日内必须到货。</w:t>
      </w:r>
    </w:p>
    <w:p>
      <w:pPr>
        <w:snapToGrid w:val="0"/>
        <w:spacing w:line="360" w:lineRule="auto"/>
        <w:jc w:val="left"/>
        <w:rPr>
          <w:rFonts w:hint="eastAsia" w:ascii="宋体" w:hAnsi="宋体" w:cs="Arial"/>
          <w:bCs/>
          <w:snapToGrid w:val="0"/>
          <w:color w:val="000000"/>
          <w:kern w:val="0"/>
          <w:szCs w:val="21"/>
        </w:rPr>
      </w:pPr>
      <w:r>
        <w:rPr>
          <w:rFonts w:hint="eastAsia" w:ascii="宋体" w:hAnsi="宋体" w:cs="Arial"/>
          <w:bCs/>
          <w:snapToGrid w:val="0"/>
          <w:color w:val="000000"/>
          <w:kern w:val="0"/>
          <w:szCs w:val="21"/>
        </w:rPr>
        <w:t>11)关于试剂到货验收的相关要求：</w:t>
      </w:r>
    </w:p>
    <w:p>
      <w:pPr>
        <w:snapToGrid w:val="0"/>
        <w:spacing w:line="360" w:lineRule="auto"/>
        <w:jc w:val="left"/>
        <w:rPr>
          <w:rFonts w:hint="eastAsia" w:ascii="宋体" w:hAnsi="宋体" w:cs="Arial"/>
          <w:bCs/>
          <w:color w:val="000000"/>
          <w:szCs w:val="21"/>
        </w:rPr>
      </w:pPr>
      <w:r>
        <w:rPr>
          <w:rFonts w:hint="eastAsia" w:ascii="宋体" w:hAnsi="宋体" w:cs="Arial"/>
          <w:bCs/>
          <w:snapToGrid w:val="0"/>
          <w:color w:val="000000"/>
          <w:kern w:val="0"/>
          <w:szCs w:val="21"/>
        </w:rPr>
        <w:t>11.1</w:t>
      </w:r>
      <w:r>
        <w:rPr>
          <w:rFonts w:hint="eastAsia" w:ascii="宋体" w:hAnsi="宋体" w:cs="Arial"/>
          <w:bCs/>
          <w:color w:val="000000"/>
          <w:szCs w:val="21"/>
        </w:rPr>
        <w:t>中标人需负责在医学检验中心派遣常驻人员，负责试剂采购计划制订、验收、库内试剂日常养护，试剂由中标人配送至使用科室，并随货提供出库单（出库单内容按正式发票样式，并盖鲜章）；使用科室负责提交试剂请领单及验收入库监督；验收合格后，使用科室人员、中标人常驻人员联合在出库单上签字确认入库。</w:t>
      </w:r>
    </w:p>
    <w:p>
      <w:pPr>
        <w:snapToGrid w:val="0"/>
        <w:spacing w:line="360" w:lineRule="auto"/>
        <w:jc w:val="left"/>
        <w:rPr>
          <w:rFonts w:hint="eastAsia" w:ascii="宋体" w:hAnsi="宋体" w:cs="Arial"/>
          <w:b w:val="0"/>
          <w:bCs/>
          <w:color w:val="000000" w:themeColor="text1"/>
          <w:szCs w:val="21"/>
          <w14:textFill>
            <w14:solidFill>
              <w14:schemeClr w14:val="tx1"/>
            </w14:solidFill>
          </w14:textFill>
        </w:rPr>
      </w:pPr>
      <w:r>
        <w:rPr>
          <w:rFonts w:hint="eastAsia" w:ascii="宋体" w:hAnsi="宋体" w:cs="Arial"/>
          <w:bCs/>
          <w:color w:val="000000"/>
          <w:szCs w:val="21"/>
        </w:rPr>
        <w:t>12)关于财务管理的</w:t>
      </w:r>
      <w:r>
        <w:rPr>
          <w:rFonts w:hint="eastAsia" w:ascii="宋体" w:hAnsi="宋体" w:cs="Arial"/>
          <w:b w:val="0"/>
          <w:bCs/>
          <w:color w:val="000000" w:themeColor="text1"/>
          <w:szCs w:val="21"/>
          <w14:textFill>
            <w14:solidFill>
              <w14:schemeClr w14:val="tx1"/>
            </w14:solidFill>
          </w14:textFill>
        </w:rPr>
        <w:t>相关要求：</w:t>
      </w:r>
    </w:p>
    <w:p>
      <w:pPr>
        <w:snapToGrid w:val="0"/>
        <w:spacing w:line="360" w:lineRule="auto"/>
        <w:jc w:val="left"/>
        <w:rPr>
          <w:rFonts w:hint="eastAsia" w:ascii="宋体" w:hAnsi="宋体" w:cs="Arial"/>
          <w:b w:val="0"/>
          <w:bCs/>
          <w:color w:val="000000" w:themeColor="text1"/>
          <w:szCs w:val="21"/>
          <w14:textFill>
            <w14:solidFill>
              <w14:schemeClr w14:val="tx1"/>
            </w14:solidFill>
          </w14:textFill>
        </w:rPr>
      </w:pPr>
      <w:r>
        <w:rPr>
          <w:rFonts w:hint="eastAsia" w:ascii="宋体" w:hAnsi="宋体" w:cs="Arial"/>
          <w:b w:val="0"/>
          <w:bCs/>
          <w:color w:val="000000" w:themeColor="text1"/>
          <w:szCs w:val="21"/>
          <w14:textFill>
            <w14:solidFill>
              <w14:schemeClr w14:val="tx1"/>
            </w14:solidFill>
          </w14:textFill>
        </w:rPr>
        <w:t>12.1招标人财务人员负责试剂及配套耗材入账，入账凭据为经使用科室人员、中标方常驻人员联合签字的出库单；入账后，马上电脑出帐给使用科室。</w:t>
      </w:r>
    </w:p>
    <w:p>
      <w:pPr>
        <w:snapToGrid w:val="0"/>
        <w:spacing w:line="360" w:lineRule="auto"/>
        <w:jc w:val="left"/>
        <w:rPr>
          <w:rFonts w:hint="eastAsia" w:ascii="宋体" w:hAnsi="宋体" w:cs="Arial"/>
          <w:b w:val="0"/>
          <w:bCs/>
          <w:color w:val="000000" w:themeColor="text1"/>
          <w:szCs w:val="21"/>
          <w14:textFill>
            <w14:solidFill>
              <w14:schemeClr w14:val="tx1"/>
            </w14:solidFill>
          </w14:textFill>
        </w:rPr>
      </w:pPr>
      <w:r>
        <w:rPr>
          <w:rFonts w:hint="eastAsia" w:ascii="宋体" w:hAnsi="宋体" w:cs="Arial"/>
          <w:b w:val="0"/>
          <w:bCs/>
          <w:color w:val="000000" w:themeColor="text1"/>
          <w:szCs w:val="21"/>
          <w14:textFill>
            <w14:solidFill>
              <w14:schemeClr w14:val="tx1"/>
            </w14:solidFill>
          </w14:textFill>
        </w:rPr>
        <w:t>12.2新增医疗设备、信息软件及硬件设备、后勤固定资产管理：使用科室按照招标人现有采购流程进行采购申请，经招标人审核同意后，与中标人进行协调，中标人负责采购及采购款项支付；设备验收、安装按照招标人的制度执行；</w:t>
      </w:r>
    </w:p>
    <w:p>
      <w:pPr>
        <w:snapToGrid w:val="0"/>
        <w:spacing w:line="360" w:lineRule="auto"/>
        <w:jc w:val="left"/>
        <w:rPr>
          <w:rFonts w:hint="eastAsia" w:ascii="宋体" w:hAnsi="宋体" w:cs="Arial"/>
          <w:b w:val="0"/>
          <w:bCs/>
          <w:color w:val="000000" w:themeColor="text1"/>
          <w:szCs w:val="21"/>
          <w14:textFill>
            <w14:solidFill>
              <w14:schemeClr w14:val="tx1"/>
            </w14:solidFill>
          </w14:textFill>
        </w:rPr>
      </w:pPr>
      <w:r>
        <w:rPr>
          <w:rFonts w:hint="eastAsia" w:ascii="宋体" w:hAnsi="宋体" w:cs="Arial"/>
          <w:b w:val="0"/>
          <w:bCs/>
          <w:color w:val="000000" w:themeColor="text1"/>
          <w:szCs w:val="21"/>
          <w14:textFill>
            <w14:solidFill>
              <w14:schemeClr w14:val="tx1"/>
            </w14:solidFill>
          </w14:textFill>
        </w:rPr>
        <w:t>12.3招标人需提供采购的整套资料给中标人，中标人负责资产入账，设备产权及相关权利属招标人，中标人不得擅自外借、调换等等。</w:t>
      </w:r>
    </w:p>
    <w:p>
      <w:pPr>
        <w:snapToGrid w:val="0"/>
        <w:spacing w:line="360" w:lineRule="auto"/>
        <w:jc w:val="left"/>
        <w:rPr>
          <w:rFonts w:hint="eastAsia" w:ascii="宋体" w:hAnsi="宋体"/>
          <w:b w:val="0"/>
          <w:bCs/>
          <w:color w:val="000000" w:themeColor="text1"/>
          <w:szCs w:val="21"/>
          <w14:textFill>
            <w14:solidFill>
              <w14:schemeClr w14:val="tx1"/>
            </w14:solidFill>
          </w14:textFill>
        </w:rPr>
      </w:pPr>
      <w:r>
        <w:rPr>
          <w:rFonts w:hint="eastAsia" w:ascii="宋体" w:hAnsi="宋体" w:cs="Arial"/>
          <w:b w:val="0"/>
          <w:bCs/>
          <w:color w:val="000000" w:themeColor="text1"/>
          <w:szCs w:val="21"/>
          <w14:textFill>
            <w14:solidFill>
              <w14:schemeClr w14:val="tx1"/>
            </w14:solidFill>
          </w14:textFill>
        </w:rPr>
        <w:t>13)关于设备维护、维修的相关要求：中</w:t>
      </w:r>
      <w:r>
        <w:rPr>
          <w:rFonts w:hint="eastAsia" w:ascii="宋体" w:hAnsi="宋体" w:cs="Arial"/>
          <w:b w:val="0"/>
          <w:bCs/>
          <w:snapToGrid w:val="0"/>
          <w:color w:val="000000" w:themeColor="text1"/>
          <w:kern w:val="0"/>
          <w:szCs w:val="21"/>
          <w14:textFill>
            <w14:solidFill>
              <w14:schemeClr w14:val="tx1"/>
            </w14:solidFill>
          </w14:textFill>
        </w:rPr>
        <w:t>标人需按招标人的设备管理制度要求，对检验中心的所有仪器设备实施日常保养、计划性的预防性维护、故障维修；属于第三方</w:t>
      </w:r>
      <w:r>
        <w:rPr>
          <w:rFonts w:hint="eastAsia" w:ascii="宋体" w:hAnsi="宋体" w:cs="Arial"/>
          <w:b w:val="0"/>
          <w:bCs/>
          <w:color w:val="000000" w:themeColor="text1"/>
          <w:szCs w:val="21"/>
          <w14:textFill>
            <w14:solidFill>
              <w14:schemeClr w14:val="tx1"/>
            </w14:solidFill>
          </w14:textFill>
        </w:rPr>
        <w:t>维护、状态检查、校准、计量等，由中标人负责联系执行，以上所有费用由中标人支付，相关维护、状态检查、校准、计量等报告需上交招标人归档。</w:t>
      </w:r>
    </w:p>
    <w:p>
      <w:pPr>
        <w:snapToGrid w:val="0"/>
        <w:spacing w:line="360" w:lineRule="auto"/>
        <w:jc w:val="left"/>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14)检验中心物流</w:t>
      </w:r>
      <w:r>
        <w:rPr>
          <w:rFonts w:hint="eastAsia" w:ascii="宋体" w:hAnsi="宋体"/>
          <w:b w:val="0"/>
          <w:bCs/>
          <w:color w:val="000000" w:themeColor="text1"/>
          <w:szCs w:val="21"/>
          <w:lang w:eastAsia="zh-CN"/>
          <w14:textFill>
            <w14:solidFill>
              <w14:schemeClr w14:val="tx1"/>
            </w14:solidFill>
          </w14:textFill>
        </w:rPr>
        <w:t>转运</w:t>
      </w:r>
      <w:r>
        <w:rPr>
          <w:rFonts w:hint="eastAsia" w:ascii="宋体" w:hAnsi="宋体"/>
          <w:b w:val="0"/>
          <w:bCs/>
          <w:color w:val="000000" w:themeColor="text1"/>
          <w:szCs w:val="21"/>
          <w14:textFill>
            <w14:solidFill>
              <w14:schemeClr w14:val="tx1"/>
            </w14:solidFill>
          </w14:textFill>
        </w:rPr>
        <w:t>方案</w:t>
      </w:r>
    </w:p>
    <w:p>
      <w:pPr>
        <w:snapToGrid w:val="0"/>
        <w:spacing w:line="360" w:lineRule="auto"/>
        <w:jc w:val="left"/>
        <w:rPr>
          <w:rFonts w:hint="eastAsia" w:ascii="宋体" w:hAnsi="宋体" w:eastAsia="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14.1范围：</w:t>
      </w:r>
      <w:r>
        <w:rPr>
          <w:rFonts w:hint="eastAsia" w:ascii="宋体" w:hAnsi="宋体" w:cs="宋体"/>
          <w:b w:val="0"/>
          <w:bCs/>
          <w:color w:val="000000" w:themeColor="text1"/>
          <w:szCs w:val="21"/>
          <w:lang w:eastAsia="zh-CN"/>
          <w14:textFill>
            <w14:solidFill>
              <w14:schemeClr w14:val="tx1"/>
            </w14:solidFill>
          </w14:textFill>
        </w:rPr>
        <w:t>外滩</w:t>
      </w:r>
      <w:r>
        <w:rPr>
          <w:rFonts w:hint="eastAsia" w:ascii="宋体" w:hAnsi="宋体" w:cs="宋体"/>
          <w:b w:val="0"/>
          <w:bCs/>
          <w:color w:val="000000" w:themeColor="text1"/>
          <w:szCs w:val="21"/>
          <w14:textFill>
            <w14:solidFill>
              <w14:schemeClr w14:val="tx1"/>
            </w14:solidFill>
          </w14:textFill>
        </w:rPr>
        <w:t>院区检验中心</w:t>
      </w:r>
      <w:r>
        <w:rPr>
          <w:rFonts w:hint="eastAsia" w:ascii="宋体" w:hAnsi="宋体" w:cs="宋体"/>
          <w:b w:val="0"/>
          <w:bCs/>
          <w:color w:val="000000" w:themeColor="text1"/>
          <w:szCs w:val="21"/>
          <w:lang w:eastAsia="zh-CN"/>
          <w14:textFill>
            <w14:solidFill>
              <w14:schemeClr w14:val="tx1"/>
            </w14:solidFill>
          </w14:textFill>
        </w:rPr>
        <w:t>与月湖院区、</w:t>
      </w:r>
      <w:r>
        <w:rPr>
          <w:rFonts w:hint="eastAsia" w:ascii="宋体" w:hAnsi="宋体" w:cs="宋体"/>
          <w:b w:val="0"/>
          <w:bCs/>
          <w:color w:val="000000" w:themeColor="text1"/>
          <w:szCs w:val="21"/>
          <w:shd w:val="clear" w:color="auto" w:fill="auto"/>
          <w:lang w:val="en-US" w:eastAsia="zh-CN"/>
          <w14:textFill>
            <w14:solidFill>
              <w14:schemeClr w14:val="tx1"/>
            </w14:solidFill>
          </w14:textFill>
        </w:rPr>
        <w:t>方桥院区</w:t>
      </w:r>
      <w:r>
        <w:rPr>
          <w:rFonts w:hint="eastAsia" w:ascii="宋体" w:hAnsi="宋体" w:cs="宋体"/>
          <w:b w:val="0"/>
          <w:bCs/>
          <w:color w:val="000000" w:themeColor="text1"/>
          <w:szCs w:val="21"/>
          <w:lang w:eastAsia="zh-CN"/>
          <w14:textFill>
            <w14:solidFill>
              <w14:schemeClr w14:val="tx1"/>
            </w14:solidFill>
          </w14:textFill>
        </w:rPr>
        <w:t>检验中心之间</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14.2交通工具要求：</w:t>
      </w:r>
    </w:p>
    <w:p>
      <w:pPr>
        <w:snapToGrid w:val="0"/>
        <w:spacing w:line="360" w:lineRule="auto"/>
        <w:jc w:val="left"/>
        <w:rPr>
          <w:rFonts w:hint="default" w:ascii="宋体" w:hAnsi="宋体" w:eastAsia="宋体" w:cs="宋体"/>
          <w:b w:val="0"/>
          <w:bCs/>
          <w:color w:val="000000" w:themeColor="text1"/>
          <w:szCs w:val="21"/>
          <w:lang w:val="en-US"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14.2.1配置专用物流汽车并配置专用的样本接收箱及车载冰箱，接送标本</w:t>
      </w:r>
      <w:r>
        <w:rPr>
          <w:rFonts w:hint="eastAsia" w:ascii="宋体" w:hAnsi="宋体" w:cs="宋体"/>
          <w:b w:val="0"/>
          <w:bCs/>
          <w:color w:val="000000" w:themeColor="text1"/>
          <w:szCs w:val="21"/>
          <w:lang w:eastAsia="zh-CN"/>
          <w14:textFill>
            <w14:solidFill>
              <w14:schemeClr w14:val="tx1"/>
            </w14:solidFill>
          </w14:textFill>
        </w:rPr>
        <w:t>，</w:t>
      </w:r>
      <w:r>
        <w:rPr>
          <w:rFonts w:hint="eastAsia" w:ascii="宋体" w:hAnsi="宋体" w:cs="宋体"/>
          <w:b w:val="0"/>
          <w:bCs/>
          <w:color w:val="000000" w:themeColor="text1"/>
          <w:szCs w:val="21"/>
          <w:shd w:val="clear" w:color="auto" w:fill="auto"/>
          <w:lang w:val="en-US" w:eastAsia="zh-CN"/>
          <w14:textFill>
            <w14:solidFill>
              <w14:schemeClr w14:val="tx1"/>
            </w14:solidFill>
          </w14:textFill>
        </w:rPr>
        <w:t>且符合生物安全相关要求</w:t>
      </w:r>
      <w:r>
        <w:rPr>
          <w:rFonts w:hint="eastAsia" w:ascii="宋体" w:hAnsi="宋体" w:cs="宋体"/>
          <w:b w:val="0"/>
          <w:bCs/>
          <w:color w:val="000000" w:themeColor="text1"/>
          <w:szCs w:val="21"/>
          <w:lang w:val="en-US" w:eastAsia="zh-CN"/>
          <w14:textFill>
            <w14:solidFill>
              <w14:schemeClr w14:val="tx1"/>
            </w14:solidFill>
          </w14:textFill>
        </w:rPr>
        <w:t>。</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14.2.2需配置经过专业培训的标本接收人员。</w:t>
      </w:r>
    </w:p>
    <w:p>
      <w:pPr>
        <w:snapToGrid w:val="0"/>
        <w:spacing w:line="360" w:lineRule="auto"/>
        <w:jc w:val="left"/>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14.2.3需配置GPS实时监控系统。</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14.3接收标本时间：合同期内每一天。</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14.4路线规划及接收标本具体时间要求：</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制定合理路线并提供线路图。</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具体接收标本时间：星期一至星期日</w:t>
      </w:r>
    </w:p>
    <w:p>
      <w:pPr>
        <w:snapToGrid w:val="0"/>
        <w:spacing w:line="360" w:lineRule="auto"/>
        <w:jc w:val="left"/>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14:textFill>
            <w14:solidFill>
              <w14:schemeClr w14:val="tx1"/>
            </w14:solidFill>
          </w14:textFill>
        </w:rPr>
        <w:t>14.5其它要求：</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14.5.1接送车辆、人员和标本等所有安全问题均由中标方负责；</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14.5.2标本运输过程不规范造成损失，由中标方负责赔偿；</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14.5.3标本接收应安排固定应急值班人员1人，公布值班人员姓名以及联系电话，以保证正常工作开展。</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14.5.4以上标本接收时间以第一单位到达时间为准。</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14.5.5合同期内以上具体行车路线，接收标本时间，工作人员安排，中标方必须无条件服从，检验中心可根据实际运行情况，做出相应的调整。</w:t>
      </w:r>
    </w:p>
    <w:p>
      <w:pPr>
        <w:snapToGrid w:val="0"/>
        <w:spacing w:line="360" w:lineRule="auto"/>
        <w:jc w:val="left"/>
        <w:rPr>
          <w:rFonts w:hint="eastAsia" w:ascii="宋体" w:hAnsi="宋体"/>
          <w:color w:val="000000"/>
          <w:szCs w:val="21"/>
        </w:rPr>
      </w:pPr>
      <w:r>
        <w:rPr>
          <w:rFonts w:hint="eastAsia" w:ascii="宋体" w:hAnsi="宋体"/>
          <w:color w:val="000000"/>
          <w:szCs w:val="21"/>
        </w:rPr>
        <w:t>15)关于新项目开展的相关要求：</w:t>
      </w:r>
    </w:p>
    <w:p>
      <w:pPr>
        <w:snapToGrid w:val="0"/>
        <w:spacing w:line="360" w:lineRule="auto"/>
        <w:jc w:val="left"/>
        <w:rPr>
          <w:rFonts w:hint="eastAsia" w:ascii="宋体" w:hAnsi="宋体"/>
          <w:color w:val="000000"/>
          <w:szCs w:val="21"/>
        </w:rPr>
      </w:pPr>
      <w:r>
        <w:rPr>
          <w:rFonts w:hint="eastAsia" w:ascii="宋体" w:hAnsi="宋体"/>
          <w:color w:val="000000"/>
          <w:szCs w:val="21"/>
        </w:rPr>
        <w:t>15.1为满足临床诊疗的不断需求，实现可持续发展，投标人应保证且在医院原有的检测项目不得缩减的基础上，不断开展实验室检测的新项目、新技术。</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color w:val="000000"/>
          <w:szCs w:val="21"/>
        </w:rPr>
        <w:t>15.2中标人必须配合招标</w:t>
      </w:r>
      <w:r>
        <w:rPr>
          <w:rFonts w:hint="eastAsia" w:ascii="宋体" w:hAnsi="宋体"/>
          <w:b w:val="0"/>
          <w:bCs w:val="0"/>
          <w:color w:val="000000" w:themeColor="text1"/>
          <w:szCs w:val="21"/>
          <w14:textFill>
            <w14:solidFill>
              <w14:schemeClr w14:val="tx1"/>
            </w14:solidFill>
          </w14:textFill>
        </w:rPr>
        <w:t>人对新项目、新技术开展的必要性和可行性进行充分论证，避免开展利用率不高、临床意义不明、检测方法不可靠之类的无效“新”项目。</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15.3新项目、新技术应首先立足于检验中心内部能自主开展。有试剂等耗材需要时，其成本原则上不应高于宁波市三级甲等医院的成本均值。</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15.4当所开展的新项目每月检测量少于100人份时，经双方协商可以考虑允许投标人外送检验。</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15.5新增项目套餐及原有项目套餐修改由招标人自主决定，中标人无权干涉。</w:t>
      </w:r>
    </w:p>
    <w:p>
      <w:pPr>
        <w:numPr>
          <w:ilvl w:val="0"/>
          <w:numId w:val="3"/>
        </w:num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关于ISO15189质量体系认可的相关要求</w:t>
      </w:r>
      <w:r>
        <w:rPr>
          <w:rFonts w:hint="eastAsia" w:ascii="宋体" w:hAnsi="宋体"/>
          <w:b w:val="0"/>
          <w:bCs w:val="0"/>
          <w:color w:val="000000" w:themeColor="text1"/>
          <w:szCs w:val="21"/>
          <w14:textFill>
            <w14:solidFill>
              <w14:schemeClr w14:val="tx1"/>
            </w14:solidFill>
          </w14:textFill>
        </w:rPr>
        <w:t>：</w:t>
      </w:r>
    </w:p>
    <w:p>
      <w:pPr>
        <w:numPr>
          <w:ilvl w:val="0"/>
          <w:numId w:val="0"/>
        </w:num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16.1为规范和保障检测质量，从合作共建之日起，投标人应立即按照ISO15189质量体系的</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要求</w:t>
      </w:r>
      <w:r>
        <w:rPr>
          <w:rFonts w:hint="eastAsia" w:ascii="宋体" w:hAnsi="宋体"/>
          <w:b w:val="0"/>
          <w:bCs w:val="0"/>
          <w:color w:val="000000" w:themeColor="text1"/>
          <w:szCs w:val="21"/>
          <w14:textFill>
            <w14:solidFill>
              <w14:schemeClr w14:val="tx1"/>
            </w14:solidFill>
          </w14:textFill>
        </w:rPr>
        <w:t>搭建实验室运行体系，并严格按照体系各要素进行全面工作。</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16.2投标人应有详尽措施确保最迟在合作期第4年的12月31日之前顺利通过ISO15189的首轮认</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可</w:t>
      </w:r>
      <w:r>
        <w:rPr>
          <w:rFonts w:hint="eastAsia" w:ascii="宋体" w:hAnsi="宋体"/>
          <w:b w:val="0"/>
          <w:bCs w:val="0"/>
          <w:color w:val="000000" w:themeColor="text1"/>
          <w:szCs w:val="21"/>
          <w14:textFill>
            <w14:solidFill>
              <w14:schemeClr w14:val="tx1"/>
            </w14:solidFill>
          </w14:textFill>
        </w:rPr>
        <w:t>。</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16.3需要进行认</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可</w:t>
      </w:r>
      <w:r>
        <w:rPr>
          <w:rFonts w:hint="eastAsia" w:ascii="宋体" w:hAnsi="宋体"/>
          <w:b w:val="0"/>
          <w:bCs w:val="0"/>
          <w:color w:val="000000" w:themeColor="text1"/>
          <w:szCs w:val="21"/>
          <w14:textFill>
            <w14:solidFill>
              <w14:schemeClr w14:val="tx1"/>
            </w14:solidFill>
          </w14:textFill>
        </w:rPr>
        <w:t>的</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专业应包</w:t>
      </w:r>
      <w:r>
        <w:rPr>
          <w:rFonts w:hint="eastAsia" w:ascii="宋体" w:hAnsi="宋体"/>
          <w:b w:val="0"/>
          <w:bCs w:val="0"/>
          <w:color w:val="000000" w:themeColor="text1"/>
          <w:szCs w:val="21"/>
          <w14:textFill>
            <w14:solidFill>
              <w14:schemeClr w14:val="tx1"/>
            </w14:solidFill>
          </w14:textFill>
        </w:rPr>
        <w:t>括：临床血液学检验、</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临床体液学检验、</w:t>
      </w:r>
      <w:r>
        <w:rPr>
          <w:rFonts w:hint="eastAsia" w:ascii="宋体" w:hAnsi="宋体"/>
          <w:b w:val="0"/>
          <w:bCs w:val="0"/>
          <w:color w:val="000000" w:themeColor="text1"/>
          <w:szCs w:val="21"/>
          <w14:textFill>
            <w14:solidFill>
              <w14:schemeClr w14:val="tx1"/>
            </w14:solidFill>
          </w14:textFill>
        </w:rPr>
        <w:t>临床生物化学检验、临床免疫学检验和临床微生物学检验</w:t>
      </w:r>
      <w:r>
        <w:rPr>
          <w:rFonts w:hint="eastAsia" w:ascii="宋体" w:hAnsi="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临床分子生物学检验等</w:t>
      </w:r>
      <w:r>
        <w:rPr>
          <w:rFonts w:hint="eastAsia" w:ascii="宋体" w:hAnsi="宋体"/>
          <w:b w:val="0"/>
          <w:bCs w:val="0"/>
          <w:color w:val="000000" w:themeColor="text1"/>
          <w:szCs w:val="21"/>
          <w:lang w:val="en-US" w:eastAsia="zh-CN"/>
          <w14:textFill>
            <w14:solidFill>
              <w14:schemeClr w14:val="tx1"/>
            </w14:solidFill>
          </w14:textFill>
        </w:rPr>
        <w:t>。</w:t>
      </w:r>
      <w:r>
        <w:rPr>
          <w:rFonts w:hint="eastAsia" w:ascii="宋体" w:hAnsi="宋体"/>
          <w:b w:val="0"/>
          <w:bCs w:val="0"/>
          <w:color w:val="000000" w:themeColor="text1"/>
          <w:szCs w:val="21"/>
          <w14:textFill>
            <w14:solidFill>
              <w14:schemeClr w14:val="tx1"/>
            </w14:solidFill>
          </w14:textFill>
        </w:rPr>
        <w:t>逾期不能通过认证的，将视为违约，并按照相关违约方案处理。</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17)关于检验中心学科建设的其他相关要求</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17.1投标人应在学术会议的筹备、科研项目的申报、科研论文的写作、业务培训、人员进修、各类上岗证培训、ISO15189内审员培训等一切与学科建设相关的方面向招标人提供先进的支持。</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17.2投标人对检验中心学科建设的支持应至少应满足以下几方面要求：</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（1）每年应邀请省内外专家来院（中心）学术讲座3</w:t>
      </w:r>
      <w:r>
        <w:rPr>
          <w:rFonts w:hint="eastAsia" w:ascii="宋体" w:hAnsi="宋体" w:cs="华文隶书"/>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14:textFill>
            <w14:solidFill>
              <w14:schemeClr w14:val="tx1"/>
            </w14:solidFill>
          </w14:textFill>
        </w:rPr>
        <w:t>5次；</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（2）每年应安排专业组长、业务骨干或中级以上人员外出学术交流或继续教育至少5</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人</w:t>
      </w:r>
      <w:r>
        <w:rPr>
          <w:rFonts w:hint="eastAsia" w:ascii="宋体" w:hAnsi="宋体"/>
          <w:b w:val="0"/>
          <w:bCs w:val="0"/>
          <w:color w:val="000000" w:themeColor="text1"/>
          <w:szCs w:val="21"/>
          <w14:textFill>
            <w14:solidFill>
              <w14:schemeClr w14:val="tx1"/>
            </w14:solidFill>
          </w14:textFill>
        </w:rPr>
        <w:t>次；</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（3）根据业务发展需求，每年安排1</w:t>
      </w:r>
      <w:r>
        <w:rPr>
          <w:rFonts w:hint="eastAsia" w:ascii="宋体" w:hAnsi="宋体" w:cs="华文隶书"/>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14:textFill>
            <w14:solidFill>
              <w14:schemeClr w14:val="tx1"/>
            </w14:solidFill>
          </w14:textFill>
        </w:rPr>
        <w:t>2名专业技术人员进行三个月或半年以上的省、内外进修；</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（4）每年协助检验中心申请或协办</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国家、</w:t>
      </w:r>
      <w:r>
        <w:rPr>
          <w:rFonts w:hint="eastAsia" w:ascii="宋体" w:hAnsi="宋体"/>
          <w:b w:val="0"/>
          <w:bCs w:val="0"/>
          <w:color w:val="000000" w:themeColor="text1"/>
          <w:szCs w:val="21"/>
          <w14:textFill>
            <w14:solidFill>
              <w14:schemeClr w14:val="tx1"/>
            </w14:solidFill>
          </w14:textFill>
        </w:rPr>
        <w:t>省、市Ⅰ类、Ⅱ类学分继教班至少1次；</w:t>
      </w:r>
    </w:p>
    <w:p>
      <w:pPr>
        <w:snapToGrid w:val="0"/>
        <w:spacing w:line="360" w:lineRule="auto"/>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（5）每年协助申请</w:t>
      </w:r>
      <w:r>
        <w:rPr>
          <w:rFonts w:hint="eastAsia" w:ascii="宋体" w:hAnsi="宋体" w:cs="宋体"/>
          <w:b w:val="0"/>
          <w:bCs w:val="0"/>
          <w:color w:val="000000" w:themeColor="text1"/>
          <w:szCs w:val="21"/>
          <w:shd w:val="clear" w:color="auto" w:fill="auto"/>
          <w:lang w:val="en-US" w:eastAsia="zh-CN"/>
          <w14:textFill>
            <w14:solidFill>
              <w14:schemeClr w14:val="tx1"/>
            </w14:solidFill>
          </w14:textFill>
        </w:rPr>
        <w:t>国家、</w:t>
      </w:r>
      <w:r>
        <w:rPr>
          <w:rFonts w:hint="eastAsia" w:ascii="宋体" w:hAnsi="宋体"/>
          <w:b w:val="0"/>
          <w:bCs w:val="0"/>
          <w:color w:val="000000" w:themeColor="text1"/>
          <w:szCs w:val="21"/>
          <w14:textFill>
            <w14:solidFill>
              <w14:schemeClr w14:val="tx1"/>
            </w14:solidFill>
          </w14:textFill>
        </w:rPr>
        <w:t>省、市级科研课题或配合科研工作1</w:t>
      </w:r>
      <w:r>
        <w:rPr>
          <w:rFonts w:hint="eastAsia" w:ascii="宋体" w:hAnsi="宋体" w:cs="华文隶书"/>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14:textFill>
            <w14:solidFill>
              <w14:schemeClr w14:val="tx1"/>
            </w14:solidFill>
          </w14:textFill>
        </w:rPr>
        <w:t>2次，包括协助专业人员论文的撰写和发表。</w:t>
      </w:r>
    </w:p>
    <w:p>
      <w:pPr>
        <w:snapToGrid w:val="0"/>
        <w:spacing w:line="360" w:lineRule="auto"/>
        <w:jc w:val="left"/>
        <w:rPr>
          <w:rFonts w:hint="eastAsia" w:ascii="宋体" w:hAnsi="宋体"/>
          <w:color w:val="000000"/>
          <w:szCs w:val="21"/>
        </w:rPr>
      </w:pPr>
      <w:r>
        <w:rPr>
          <w:rFonts w:hint="eastAsia" w:ascii="宋体" w:hAnsi="宋体"/>
          <w:color w:val="000000"/>
          <w:szCs w:val="21"/>
        </w:rPr>
        <w:t>（6）每年对临床护理人员和标本采集人员进行1</w:t>
      </w:r>
      <w:r>
        <w:rPr>
          <w:rFonts w:hint="eastAsia" w:ascii="宋体" w:hAnsi="宋体" w:cs="华文隶书"/>
          <w:color w:val="000000"/>
          <w:szCs w:val="21"/>
        </w:rPr>
        <w:t>~</w:t>
      </w:r>
      <w:r>
        <w:rPr>
          <w:rFonts w:hint="eastAsia" w:ascii="宋体" w:hAnsi="宋体"/>
          <w:color w:val="000000"/>
          <w:szCs w:val="21"/>
        </w:rPr>
        <w:t>2次分析前质量控制的理论培训或现场培训。</w:t>
      </w:r>
    </w:p>
    <w:p>
      <w:pPr>
        <w:snapToGrid w:val="0"/>
        <w:spacing w:line="360" w:lineRule="auto"/>
        <w:jc w:val="left"/>
        <w:rPr>
          <w:rFonts w:hint="eastAsia" w:ascii="宋体" w:hAnsi="宋体"/>
          <w:color w:val="000000"/>
          <w:szCs w:val="21"/>
        </w:rPr>
      </w:pPr>
      <w:r>
        <w:rPr>
          <w:rFonts w:hint="eastAsia" w:ascii="宋体" w:hAnsi="宋体"/>
          <w:color w:val="000000"/>
          <w:szCs w:val="21"/>
        </w:rPr>
        <w:t xml:space="preserve">18)关于质量管理、“品管圈”、“PDCA”和“6S”管理等的相关要求  </w:t>
      </w:r>
    </w:p>
    <w:p>
      <w:pPr>
        <w:snapToGrid w:val="0"/>
        <w:spacing w:line="360" w:lineRule="auto"/>
        <w:jc w:val="left"/>
        <w:rPr>
          <w:rFonts w:hint="eastAsia" w:ascii="宋体" w:hAnsi="宋体"/>
          <w:color w:val="000000"/>
          <w:szCs w:val="21"/>
        </w:rPr>
      </w:pPr>
      <w:r>
        <w:rPr>
          <w:rFonts w:hint="eastAsia" w:ascii="宋体" w:hAnsi="宋体"/>
          <w:color w:val="000000"/>
          <w:szCs w:val="21"/>
        </w:rPr>
        <w:t>18.1投标人除了要按上述ISO15189的要求运行质量管理体系外，还应提供先进的质量管理软件或方法对实验室进行全程质量监管，确保检测质量有序进行。</w:t>
      </w:r>
    </w:p>
    <w:p>
      <w:pPr>
        <w:snapToGrid w:val="0"/>
        <w:spacing w:line="360" w:lineRule="auto"/>
        <w:jc w:val="left"/>
        <w:rPr>
          <w:rFonts w:hint="eastAsia" w:ascii="宋体" w:hAnsi="宋体"/>
          <w:color w:val="000000"/>
          <w:szCs w:val="21"/>
        </w:rPr>
      </w:pPr>
      <w:r>
        <w:rPr>
          <w:rFonts w:hint="eastAsia" w:ascii="宋体" w:hAnsi="宋体"/>
          <w:color w:val="000000"/>
          <w:szCs w:val="21"/>
        </w:rPr>
        <w:t>19.1投标人应定期参与质量相关的例会、学习和讲座，协助运用“品管圈”和“PDCA”等的方法实现质量的持续改进。</w:t>
      </w:r>
    </w:p>
    <w:p>
      <w:pPr>
        <w:snapToGrid w:val="0"/>
        <w:spacing w:line="360" w:lineRule="auto"/>
        <w:jc w:val="left"/>
        <w:rPr>
          <w:rFonts w:hint="eastAsia" w:ascii="宋体" w:hAnsi="宋体"/>
          <w:color w:val="000000"/>
          <w:szCs w:val="21"/>
        </w:rPr>
      </w:pPr>
      <w:r>
        <w:rPr>
          <w:rFonts w:hint="eastAsia" w:ascii="宋体" w:hAnsi="宋体"/>
          <w:color w:val="000000"/>
          <w:szCs w:val="21"/>
        </w:rPr>
        <w:t>19.2投标人应在整个合作期内协助招标人对检验中心实验室进行全面的、常态化的“6S”管理。</w:t>
      </w:r>
    </w:p>
    <w:p>
      <w:pPr>
        <w:snapToGrid w:val="0"/>
        <w:spacing w:line="360" w:lineRule="auto"/>
        <w:jc w:val="left"/>
        <w:rPr>
          <w:rFonts w:hint="eastAsia" w:ascii="宋体" w:hAnsi="宋体"/>
          <w:color w:val="000000"/>
          <w:szCs w:val="21"/>
        </w:rPr>
      </w:pPr>
      <w:r>
        <w:rPr>
          <w:rFonts w:hint="eastAsia" w:ascii="宋体" w:hAnsi="宋体"/>
          <w:color w:val="000000"/>
          <w:szCs w:val="21"/>
        </w:rPr>
        <w:t>20)关于二级、三级库房建设及管理的相关要求</w:t>
      </w:r>
    </w:p>
    <w:p>
      <w:pPr>
        <w:snapToGrid w:val="0"/>
        <w:spacing w:line="360" w:lineRule="auto"/>
        <w:jc w:val="left"/>
        <w:rPr>
          <w:rFonts w:hint="eastAsia" w:ascii="宋体" w:hAnsi="宋体"/>
          <w:color w:val="000000"/>
          <w:szCs w:val="21"/>
        </w:rPr>
      </w:pPr>
      <w:r>
        <w:rPr>
          <w:rFonts w:hint="eastAsia" w:ascii="宋体" w:hAnsi="宋体"/>
          <w:color w:val="000000"/>
          <w:szCs w:val="21"/>
        </w:rPr>
        <w:t>20.1投标人务必于合同开始的第1年内在检验中心建立实验室二级库房，并实现平稳运行。投标人为此应向招标人提供完善的库房物资管理系统。必要时，在确保信息安全的前提下，该系统要能和医院采购中心或成本核算系统实现端口连接，以便于实现物资进出有序、账目可查的目的。</w:t>
      </w:r>
    </w:p>
    <w:p>
      <w:pPr>
        <w:snapToGrid w:val="0"/>
        <w:spacing w:line="360" w:lineRule="auto"/>
        <w:jc w:val="left"/>
        <w:rPr>
          <w:rFonts w:hint="eastAsia" w:ascii="宋体" w:hAnsi="宋体"/>
          <w:color w:val="000000"/>
          <w:szCs w:val="21"/>
        </w:rPr>
      </w:pPr>
      <w:r>
        <w:rPr>
          <w:rFonts w:hint="eastAsia" w:ascii="宋体" w:hAnsi="宋体"/>
          <w:color w:val="000000"/>
          <w:szCs w:val="21"/>
        </w:rPr>
        <w:t>20.2在二级库房成功建设的基础上，投标人应在3年内完成三级库房的建设，最终实现试剂、耗材等物资的全程监管。</w:t>
      </w:r>
    </w:p>
    <w:p>
      <w:pPr>
        <w:snapToGrid w:val="0"/>
        <w:spacing w:line="360" w:lineRule="auto"/>
        <w:jc w:val="left"/>
        <w:rPr>
          <w:rFonts w:hint="eastAsia" w:ascii="宋体" w:hAnsi="宋体"/>
          <w:b/>
          <w:color w:val="000000"/>
          <w:szCs w:val="21"/>
        </w:rPr>
      </w:pPr>
    </w:p>
    <w:p>
      <w:pPr>
        <w:snapToGrid w:val="0"/>
        <w:spacing w:line="360" w:lineRule="auto"/>
        <w:jc w:val="left"/>
        <w:rPr>
          <w:rFonts w:hint="eastAsia" w:ascii="宋体" w:hAnsi="宋体"/>
          <w:b/>
          <w:color w:val="000000"/>
          <w:szCs w:val="21"/>
        </w:rPr>
      </w:pPr>
      <w:r>
        <w:rPr>
          <w:rFonts w:hint="eastAsia" w:ascii="宋体" w:hAnsi="宋体"/>
          <w:b/>
          <w:color w:val="000000"/>
          <w:szCs w:val="21"/>
        </w:rPr>
        <w:t>5.4运营管理服务要求</w:t>
      </w:r>
    </w:p>
    <w:p>
      <w:pPr>
        <w:tabs>
          <w:tab w:val="left" w:pos="720"/>
        </w:tabs>
        <w:spacing w:line="360" w:lineRule="auto"/>
        <w:jc w:val="left"/>
        <w:rPr>
          <w:rFonts w:hint="eastAsia" w:ascii="宋体" w:hAnsi="宋体"/>
          <w:b/>
          <w:color w:val="000000"/>
          <w:szCs w:val="21"/>
        </w:rPr>
      </w:pPr>
      <w:r>
        <w:rPr>
          <w:rFonts w:hint="eastAsia" w:ascii="宋体" w:hAnsi="宋体"/>
          <w:b/>
          <w:color w:val="000000"/>
          <w:szCs w:val="21"/>
        </w:rPr>
        <w:t>1)管理团队：</w:t>
      </w:r>
    </w:p>
    <w:p>
      <w:pPr>
        <w:numPr>
          <w:ilvl w:val="0"/>
          <w:numId w:val="4"/>
        </w:numPr>
        <w:spacing w:line="360" w:lineRule="auto"/>
        <w:rPr>
          <w:rFonts w:hint="eastAsia" w:ascii="宋体" w:hAnsi="宋体"/>
          <w:color w:val="000000"/>
          <w:szCs w:val="21"/>
        </w:rPr>
      </w:pPr>
      <w:r>
        <w:rPr>
          <w:rFonts w:hint="eastAsia" w:ascii="宋体" w:hAnsi="宋体"/>
          <w:color w:val="000000"/>
          <w:szCs w:val="21"/>
        </w:rPr>
        <w:t>投标人应提供本项目的管理实施人员名单，注明相关人员的资历经验、技术资质、特点等。</w:t>
      </w:r>
    </w:p>
    <w:p>
      <w:pPr>
        <w:numPr>
          <w:ilvl w:val="0"/>
          <w:numId w:val="4"/>
        </w:numPr>
        <w:spacing w:line="360" w:lineRule="auto"/>
        <w:rPr>
          <w:rFonts w:hint="eastAsia" w:ascii="宋体" w:hAnsi="宋体"/>
          <w:color w:val="000000"/>
          <w:szCs w:val="21"/>
        </w:rPr>
      </w:pPr>
      <w:r>
        <w:rPr>
          <w:rFonts w:hint="eastAsia" w:ascii="宋体" w:hAnsi="宋体"/>
          <w:color w:val="000000"/>
          <w:szCs w:val="21"/>
        </w:rPr>
        <w:t>投标人应列明拟为项目提供支持的专家团队名单，附相关人员介绍。</w:t>
      </w:r>
    </w:p>
    <w:p>
      <w:pPr>
        <w:spacing w:line="360" w:lineRule="auto"/>
        <w:rPr>
          <w:rFonts w:hint="eastAsia" w:ascii="宋体" w:hAnsi="宋体"/>
          <w:b/>
          <w:color w:val="000000"/>
          <w:szCs w:val="21"/>
        </w:rPr>
      </w:pPr>
      <w:r>
        <w:rPr>
          <w:rFonts w:hint="eastAsia" w:ascii="宋体" w:hAnsi="宋体"/>
          <w:b/>
          <w:color w:val="000000"/>
          <w:szCs w:val="21"/>
        </w:rPr>
        <w:t>2)运营管理服务内容：</w:t>
      </w:r>
    </w:p>
    <w:p>
      <w:pPr>
        <w:spacing w:line="360" w:lineRule="auto"/>
        <w:rPr>
          <w:rFonts w:hint="eastAsia" w:ascii="宋体" w:hAnsi="宋体"/>
          <w:b/>
          <w:color w:val="000000"/>
          <w:szCs w:val="21"/>
        </w:rPr>
      </w:pPr>
      <w:r>
        <w:rPr>
          <w:rFonts w:hint="eastAsia" w:ascii="宋体" w:hAnsi="宋体"/>
          <w:b/>
          <w:color w:val="000000"/>
          <w:szCs w:val="21"/>
        </w:rPr>
        <w:t>2.1 业务运营：</w:t>
      </w:r>
    </w:p>
    <w:p>
      <w:pPr>
        <w:numPr>
          <w:ilvl w:val="0"/>
          <w:numId w:val="5"/>
        </w:numPr>
        <w:spacing w:line="360" w:lineRule="auto"/>
        <w:rPr>
          <w:rFonts w:hint="eastAsia" w:ascii="宋体" w:hAnsi="宋体"/>
          <w:color w:val="000000"/>
          <w:szCs w:val="21"/>
        </w:rPr>
      </w:pPr>
      <w:r>
        <w:rPr>
          <w:rFonts w:hint="eastAsia" w:ascii="宋体" w:hAnsi="宋体"/>
          <w:color w:val="000000"/>
          <w:szCs w:val="21"/>
        </w:rPr>
        <w:t>协助检验中心维持日常标本采集、运输、检测、结果报告、质量管理、人员培训、学科建设等全部工作。</w:t>
      </w:r>
    </w:p>
    <w:p>
      <w:pPr>
        <w:numPr>
          <w:ilvl w:val="0"/>
          <w:numId w:val="5"/>
        </w:numPr>
        <w:spacing w:line="360" w:lineRule="auto"/>
        <w:rPr>
          <w:rFonts w:hint="eastAsia" w:ascii="宋体" w:hAnsi="宋体"/>
          <w:color w:val="000000"/>
          <w:szCs w:val="21"/>
        </w:rPr>
      </w:pPr>
      <w:r>
        <w:rPr>
          <w:rFonts w:hint="eastAsia" w:ascii="宋体" w:hAnsi="宋体"/>
          <w:color w:val="000000"/>
          <w:szCs w:val="21"/>
        </w:rPr>
        <w:t>在医院原开展检验项目不得缩减前提下，不断拓展新技术、新项目。</w:t>
      </w:r>
    </w:p>
    <w:p>
      <w:pPr>
        <w:spacing w:line="360" w:lineRule="auto"/>
        <w:rPr>
          <w:rFonts w:hint="eastAsia" w:ascii="宋体" w:hAnsi="宋体"/>
          <w:b/>
          <w:color w:val="000000"/>
          <w:szCs w:val="21"/>
        </w:rPr>
      </w:pPr>
      <w:r>
        <w:rPr>
          <w:rFonts w:hint="eastAsia" w:ascii="宋体" w:hAnsi="宋体"/>
          <w:b/>
          <w:color w:val="000000"/>
          <w:szCs w:val="21"/>
        </w:rPr>
        <w:t>2.2 试剂集采：</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提供符合国家冷链产品管理要求的冷链物流供应，保证试剂质量，满足检测工作要求；</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提供专用供应链管理软件，满足库房管理要求。</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试剂结算发票须用增值税发票(含技术服务)。</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免费提供仪器配套的相应检验项目校准品与质控品。</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中标方负责各类仪器设备及试剂的证件管理。</w:t>
      </w:r>
    </w:p>
    <w:p>
      <w:pPr>
        <w:spacing w:line="360" w:lineRule="auto"/>
        <w:rPr>
          <w:rFonts w:hint="eastAsia" w:ascii="宋体" w:hAnsi="宋体"/>
          <w:b/>
          <w:color w:val="000000"/>
          <w:szCs w:val="21"/>
        </w:rPr>
      </w:pPr>
      <w:r>
        <w:rPr>
          <w:rFonts w:hint="eastAsia" w:ascii="宋体" w:hAnsi="宋体"/>
          <w:b/>
          <w:color w:val="000000"/>
          <w:szCs w:val="21"/>
        </w:rPr>
        <w:t>2.3 质量控制：</w:t>
      </w:r>
    </w:p>
    <w:p>
      <w:pPr>
        <w:numPr>
          <w:ilvl w:val="0"/>
          <w:numId w:val="7"/>
        </w:numPr>
        <w:spacing w:line="360" w:lineRule="auto"/>
        <w:rPr>
          <w:rFonts w:hint="eastAsia" w:ascii="宋体" w:hAnsi="宋体"/>
          <w:color w:val="000000"/>
          <w:szCs w:val="21"/>
        </w:rPr>
      </w:pPr>
      <w:r>
        <w:rPr>
          <w:rFonts w:hint="eastAsia" w:ascii="宋体" w:hAnsi="宋体"/>
          <w:color w:val="000000"/>
          <w:szCs w:val="21"/>
        </w:rPr>
        <w:t>提供质量控制体系建设服务，要求每年室内及室间质控成绩优异，协助科室通过等级医院评审。</w:t>
      </w:r>
    </w:p>
    <w:p>
      <w:pPr>
        <w:numPr>
          <w:ilvl w:val="0"/>
          <w:numId w:val="7"/>
        </w:numPr>
        <w:spacing w:line="360" w:lineRule="auto"/>
        <w:rPr>
          <w:rFonts w:ascii="宋体" w:hAnsi="宋体"/>
          <w:color w:val="000000"/>
          <w:szCs w:val="21"/>
        </w:rPr>
      </w:pPr>
      <w:r>
        <w:rPr>
          <w:rFonts w:hint="eastAsia" w:ascii="宋体" w:hAnsi="宋体"/>
          <w:color w:val="000000"/>
          <w:szCs w:val="21"/>
        </w:rPr>
        <w:t>中标人提供全区自主室内质控和室间质评软件。</w:t>
      </w:r>
    </w:p>
    <w:p>
      <w:pPr>
        <w:numPr>
          <w:ilvl w:val="0"/>
          <w:numId w:val="7"/>
        </w:numPr>
        <w:spacing w:line="360" w:lineRule="auto"/>
        <w:rPr>
          <w:rFonts w:hint="eastAsia" w:ascii="宋体" w:hAnsi="宋体"/>
          <w:color w:val="000000"/>
          <w:szCs w:val="21"/>
        </w:rPr>
      </w:pPr>
      <w:r>
        <w:rPr>
          <w:rFonts w:hint="eastAsia" w:ascii="宋体" w:hAnsi="宋体"/>
          <w:color w:val="000000"/>
          <w:szCs w:val="21"/>
        </w:rPr>
        <w:t>中标人必须支持检验中心学科建设发展，严格按照合作文件要求为检验中心搭建ISO15189质量管理体系，推进ISO15189实验室质量体系认</w:t>
      </w:r>
      <w:r>
        <w:rPr>
          <w:rFonts w:hint="eastAsia" w:ascii="宋体" w:hAnsi="宋体"/>
          <w:color w:val="000000"/>
          <w:szCs w:val="21"/>
          <w:lang w:val="en-US" w:eastAsia="zh-CN"/>
        </w:rPr>
        <w:t>可</w:t>
      </w:r>
      <w:r>
        <w:rPr>
          <w:rFonts w:hint="eastAsia" w:ascii="宋体" w:hAnsi="宋体"/>
          <w:color w:val="000000"/>
          <w:szCs w:val="21"/>
        </w:rPr>
        <w:t>，并保证4年内在规定的专业组范围内通过ISO15189认</w:t>
      </w:r>
      <w:r>
        <w:rPr>
          <w:rFonts w:hint="eastAsia" w:ascii="宋体" w:hAnsi="宋体"/>
          <w:color w:val="000000"/>
          <w:szCs w:val="21"/>
          <w:lang w:val="en-US" w:eastAsia="zh-CN"/>
        </w:rPr>
        <w:t>可</w:t>
      </w:r>
      <w:r>
        <w:rPr>
          <w:rFonts w:hint="eastAsia" w:ascii="宋体" w:hAnsi="宋体"/>
          <w:color w:val="000000"/>
          <w:szCs w:val="21"/>
        </w:rPr>
        <w:t>，并承担认证全程所需的一切费用及成本支出。</w:t>
      </w:r>
    </w:p>
    <w:p>
      <w:pPr>
        <w:spacing w:line="360" w:lineRule="auto"/>
        <w:rPr>
          <w:rFonts w:hint="eastAsia" w:ascii="宋体" w:hAnsi="宋体"/>
          <w:b/>
          <w:color w:val="000000"/>
          <w:szCs w:val="21"/>
        </w:rPr>
      </w:pPr>
      <w:r>
        <w:rPr>
          <w:rFonts w:hint="eastAsia" w:ascii="宋体" w:hAnsi="宋体"/>
          <w:b/>
          <w:color w:val="000000"/>
          <w:szCs w:val="21"/>
        </w:rPr>
        <w:t>2.4  设备管理：</w:t>
      </w:r>
    </w:p>
    <w:p>
      <w:pPr>
        <w:numPr>
          <w:ilvl w:val="0"/>
          <w:numId w:val="8"/>
        </w:numPr>
        <w:spacing w:line="360" w:lineRule="auto"/>
        <w:rPr>
          <w:rFonts w:hint="eastAsia" w:ascii="宋体" w:hAnsi="宋体"/>
          <w:color w:val="000000"/>
          <w:szCs w:val="21"/>
        </w:rPr>
      </w:pPr>
      <w:r>
        <w:rPr>
          <w:rFonts w:hint="eastAsia" w:ascii="宋体" w:hAnsi="宋体"/>
          <w:color w:val="000000"/>
          <w:szCs w:val="21"/>
        </w:rPr>
        <w:t>共建期间，中标方必须严格按照国家相关卫生行业标准和ISO15189的规定，对检验科的仪器设备进行定期的校准和检定，不得弄虚作假；尤其应重视高压灭菌锅等强制检测的设备检定。中标方承担仪器设备校准和检定所需的费用和成本支出。</w:t>
      </w:r>
    </w:p>
    <w:p>
      <w:pPr>
        <w:numPr>
          <w:ilvl w:val="0"/>
          <w:numId w:val="8"/>
        </w:numPr>
        <w:spacing w:line="360" w:lineRule="auto"/>
        <w:rPr>
          <w:rFonts w:hint="eastAsia" w:ascii="宋体" w:hAnsi="宋体"/>
          <w:color w:val="000000"/>
          <w:szCs w:val="21"/>
        </w:rPr>
      </w:pPr>
      <w:r>
        <w:rPr>
          <w:rFonts w:hint="eastAsia" w:ascii="宋体" w:hAnsi="宋体"/>
          <w:color w:val="000000"/>
          <w:szCs w:val="21"/>
        </w:rPr>
        <w:t>共建期间旧设备淘汰、业务扩充新增、开展新项目新增设备的更换、添加时须报经院方审验通过。</w:t>
      </w:r>
    </w:p>
    <w:p>
      <w:pPr>
        <w:numPr>
          <w:ilvl w:val="0"/>
          <w:numId w:val="8"/>
        </w:numPr>
        <w:spacing w:line="360" w:lineRule="auto"/>
        <w:rPr>
          <w:rFonts w:ascii="宋体" w:hAnsi="宋体"/>
          <w:color w:val="000000"/>
          <w:szCs w:val="21"/>
        </w:rPr>
      </w:pPr>
      <w:r>
        <w:rPr>
          <w:rFonts w:hint="eastAsia" w:ascii="宋体" w:hAnsi="宋体"/>
          <w:color w:val="000000"/>
          <w:szCs w:val="21"/>
        </w:rPr>
        <w:t>在共建期间，如果仪器设备发生故障，或检定不合格时，中标方需要承担仪器配件、耗材以及维修等相应的费用，或免费更换招标方认可的新的仪器设备满足临床需求。</w:t>
      </w:r>
    </w:p>
    <w:p>
      <w:pPr>
        <w:spacing w:line="360" w:lineRule="auto"/>
        <w:rPr>
          <w:rFonts w:hint="eastAsia" w:ascii="宋体" w:hAnsi="宋体"/>
          <w:b/>
          <w:color w:val="000000"/>
          <w:szCs w:val="21"/>
        </w:rPr>
      </w:pPr>
      <w:r>
        <w:rPr>
          <w:rFonts w:hint="eastAsia" w:ascii="宋体" w:hAnsi="宋体"/>
          <w:b/>
          <w:color w:val="000000"/>
          <w:szCs w:val="21"/>
        </w:rPr>
        <w:t>2.</w:t>
      </w:r>
      <w:r>
        <w:rPr>
          <w:rFonts w:ascii="宋体" w:hAnsi="宋体"/>
          <w:b/>
          <w:color w:val="000000"/>
          <w:szCs w:val="21"/>
        </w:rPr>
        <w:t>5</w:t>
      </w:r>
      <w:r>
        <w:rPr>
          <w:rFonts w:hint="eastAsia" w:ascii="宋体" w:hAnsi="宋体"/>
          <w:b/>
          <w:color w:val="000000"/>
          <w:szCs w:val="21"/>
        </w:rPr>
        <w:t xml:space="preserve"> 实验室的管理：</w:t>
      </w:r>
    </w:p>
    <w:p>
      <w:pPr>
        <w:numPr>
          <w:ilvl w:val="0"/>
          <w:numId w:val="9"/>
        </w:numPr>
        <w:spacing w:line="360" w:lineRule="auto"/>
        <w:rPr>
          <w:rFonts w:hint="eastAsia" w:ascii="宋体" w:hAnsi="宋体"/>
          <w:color w:val="000000"/>
          <w:szCs w:val="21"/>
        </w:rPr>
      </w:pPr>
      <w:r>
        <w:rPr>
          <w:rFonts w:hint="eastAsia" w:ascii="宋体" w:hAnsi="宋体"/>
          <w:color w:val="000000"/>
          <w:szCs w:val="21"/>
        </w:rPr>
        <w:t>中标方负责检验科的</w:t>
      </w:r>
      <w:r>
        <w:rPr>
          <w:rFonts w:ascii="宋体" w:hAnsi="宋体"/>
          <w:color w:val="000000"/>
          <w:szCs w:val="21"/>
        </w:rPr>
        <w:t>LIS</w:t>
      </w:r>
      <w:r>
        <w:rPr>
          <w:rFonts w:hint="eastAsia" w:ascii="宋体" w:hAnsi="宋体"/>
          <w:color w:val="000000"/>
          <w:szCs w:val="21"/>
        </w:rPr>
        <w:t>联接及系统后期维护（升级）的相关硬件和软件的投入。</w:t>
      </w:r>
    </w:p>
    <w:p>
      <w:pPr>
        <w:spacing w:line="360" w:lineRule="auto"/>
        <w:rPr>
          <w:rFonts w:hint="eastAsia" w:ascii="宋体" w:hAnsi="宋体"/>
          <w:b/>
          <w:color w:val="000000"/>
          <w:szCs w:val="21"/>
        </w:rPr>
      </w:pPr>
      <w:r>
        <w:rPr>
          <w:rFonts w:hint="eastAsia" w:ascii="宋体" w:hAnsi="宋体"/>
          <w:b/>
          <w:color w:val="000000"/>
          <w:szCs w:val="21"/>
        </w:rPr>
        <w:t>2.</w:t>
      </w:r>
      <w:r>
        <w:rPr>
          <w:rFonts w:ascii="宋体" w:hAnsi="宋体"/>
          <w:b/>
          <w:color w:val="000000"/>
          <w:szCs w:val="21"/>
        </w:rPr>
        <w:t>6</w:t>
      </w:r>
      <w:r>
        <w:rPr>
          <w:rFonts w:hint="eastAsia" w:ascii="宋体" w:hAnsi="宋体"/>
          <w:b/>
          <w:color w:val="000000"/>
          <w:szCs w:val="21"/>
        </w:rPr>
        <w:t xml:space="preserve"> 其他成本管理：</w:t>
      </w:r>
    </w:p>
    <w:p>
      <w:pPr>
        <w:numPr>
          <w:ilvl w:val="0"/>
          <w:numId w:val="10"/>
        </w:numPr>
        <w:spacing w:line="360" w:lineRule="auto"/>
        <w:rPr>
          <w:rFonts w:hint="eastAsia" w:ascii="宋体" w:hAnsi="宋体"/>
          <w:color w:val="000000"/>
          <w:szCs w:val="21"/>
        </w:rPr>
      </w:pPr>
      <w:r>
        <w:rPr>
          <w:rFonts w:hint="eastAsia" w:ascii="宋体" w:hAnsi="宋体"/>
          <w:color w:val="000000"/>
          <w:szCs w:val="21"/>
        </w:rPr>
        <w:t>检验中心实验室所需场地以及水电费用均由采购人承担，仪器设备安装及装修建设等费用由中标方承担。</w:t>
      </w:r>
    </w:p>
    <w:p>
      <w:pPr>
        <w:spacing w:line="360" w:lineRule="auto"/>
        <w:rPr>
          <w:rFonts w:hint="eastAsia" w:ascii="宋体" w:hAnsi="宋体"/>
          <w:b/>
          <w:color w:val="000000"/>
          <w:szCs w:val="21"/>
        </w:rPr>
      </w:pPr>
      <w:r>
        <w:rPr>
          <w:rFonts w:hint="eastAsia" w:ascii="宋体" w:hAnsi="宋体"/>
          <w:b/>
          <w:color w:val="000000"/>
          <w:szCs w:val="21"/>
        </w:rPr>
        <w:t>2.</w:t>
      </w:r>
      <w:r>
        <w:rPr>
          <w:rFonts w:ascii="宋体" w:hAnsi="宋体"/>
          <w:b/>
          <w:color w:val="000000"/>
          <w:szCs w:val="21"/>
        </w:rPr>
        <w:t>7</w:t>
      </w:r>
      <w:r>
        <w:rPr>
          <w:rFonts w:hint="eastAsia" w:ascii="宋体" w:hAnsi="宋体"/>
          <w:b/>
          <w:color w:val="000000"/>
          <w:szCs w:val="21"/>
        </w:rPr>
        <w:t>医疗纠纷的责任处置：</w:t>
      </w:r>
    </w:p>
    <w:p>
      <w:pPr>
        <w:tabs>
          <w:tab w:val="left" w:pos="1080"/>
        </w:tabs>
        <w:spacing w:line="360" w:lineRule="auto"/>
        <w:ind w:left="187" w:leftChars="89" w:firstLine="420" w:firstLineChars="200"/>
        <w:rPr>
          <w:rFonts w:hint="eastAsia" w:ascii="宋体" w:hAnsi="宋体"/>
          <w:color w:val="000000"/>
          <w:szCs w:val="21"/>
        </w:rPr>
      </w:pPr>
      <w:r>
        <w:rPr>
          <w:rFonts w:hint="eastAsia" w:ascii="宋体" w:hAnsi="宋体"/>
          <w:color w:val="000000"/>
          <w:szCs w:val="21"/>
        </w:rPr>
        <w:t>因试剂、设备及标本处理、运输、温控不当、丢失、生物泄露等因素造成的损失，责任由中标方承担。</w:t>
      </w:r>
    </w:p>
    <w:p>
      <w:pPr>
        <w:tabs>
          <w:tab w:val="left" w:pos="1080"/>
        </w:tabs>
        <w:spacing w:line="360" w:lineRule="auto"/>
        <w:ind w:left="187" w:leftChars="89" w:firstLine="420" w:firstLineChars="200"/>
        <w:rPr>
          <w:rFonts w:hint="eastAsia" w:ascii="宋体" w:hAnsi="宋体"/>
          <w:color w:val="000000"/>
          <w:szCs w:val="21"/>
        </w:rPr>
      </w:pPr>
      <w:r>
        <w:rPr>
          <w:rFonts w:hint="eastAsia" w:ascii="宋体" w:hAnsi="宋体"/>
          <w:color w:val="000000"/>
          <w:szCs w:val="21"/>
        </w:rPr>
        <w:t>因院方工作人员因素造成的损失由采购人承担，原因不明确存在争议的由双方协商解决。</w:t>
      </w:r>
    </w:p>
    <w:p>
      <w:pPr>
        <w:spacing w:line="360" w:lineRule="auto"/>
        <w:rPr>
          <w:rFonts w:hint="eastAsia" w:ascii="宋体" w:hAnsi="宋体"/>
          <w:b/>
          <w:color w:val="000000"/>
          <w:szCs w:val="21"/>
        </w:rPr>
      </w:pPr>
      <w:r>
        <w:rPr>
          <w:rFonts w:hint="eastAsia" w:ascii="宋体" w:hAnsi="宋体"/>
          <w:b/>
          <w:color w:val="000000"/>
          <w:szCs w:val="21"/>
        </w:rPr>
        <w:t>2.</w:t>
      </w:r>
      <w:r>
        <w:rPr>
          <w:rFonts w:ascii="宋体" w:hAnsi="宋体"/>
          <w:b/>
          <w:color w:val="000000"/>
          <w:szCs w:val="21"/>
        </w:rPr>
        <w:t>8</w:t>
      </w:r>
      <w:r>
        <w:rPr>
          <w:rFonts w:hint="eastAsia" w:ascii="宋体" w:hAnsi="宋体"/>
          <w:b/>
          <w:color w:val="000000"/>
          <w:szCs w:val="21"/>
        </w:rPr>
        <w:t xml:space="preserve"> 意外事故的责任处置：</w:t>
      </w:r>
    </w:p>
    <w:p>
      <w:pPr>
        <w:spacing w:line="360" w:lineRule="auto"/>
        <w:ind w:left="168" w:leftChars="80" w:firstLine="420" w:firstLineChars="200"/>
        <w:rPr>
          <w:rFonts w:hint="eastAsia" w:ascii="宋体" w:hAnsi="宋体"/>
          <w:color w:val="000000"/>
          <w:szCs w:val="21"/>
        </w:rPr>
      </w:pPr>
      <w:r>
        <w:rPr>
          <w:rFonts w:hint="eastAsia" w:ascii="宋体" w:hAnsi="宋体"/>
          <w:color w:val="000000"/>
          <w:szCs w:val="21"/>
        </w:rPr>
        <w:t>操作中发生意外事件导致人员伤亡以及水、火、电、生物安全意外的，因院方工作人员违规操作造成的事故，其人员部分的损失由采购人承担责任；因试剂和设备的原因造成的事故均由中标人承担责任，原因不明确存在争议的由双方协商解决；所有设备损坏维修费用（除人为因素外）均由中标人承担。</w:t>
      </w:r>
    </w:p>
    <w:p>
      <w:pPr>
        <w:spacing w:line="360" w:lineRule="auto"/>
        <w:rPr>
          <w:rFonts w:hint="eastAsia" w:ascii="宋体" w:hAnsi="宋体"/>
          <w:b/>
          <w:color w:val="000000"/>
          <w:szCs w:val="21"/>
        </w:rPr>
      </w:pPr>
      <w:r>
        <w:rPr>
          <w:rFonts w:hint="eastAsia" w:ascii="宋体" w:hAnsi="宋体"/>
          <w:b/>
          <w:color w:val="000000"/>
          <w:szCs w:val="21"/>
        </w:rPr>
        <w:t>3.)服务标准及承诺：</w:t>
      </w:r>
    </w:p>
    <w:p>
      <w:pPr>
        <w:numPr>
          <w:ilvl w:val="0"/>
          <w:numId w:val="11"/>
        </w:numPr>
        <w:spacing w:line="360" w:lineRule="auto"/>
        <w:rPr>
          <w:rFonts w:hint="eastAsia" w:ascii="宋体" w:hAnsi="宋体"/>
          <w:color w:val="000000"/>
          <w:szCs w:val="21"/>
        </w:rPr>
      </w:pPr>
      <w:r>
        <w:rPr>
          <w:rFonts w:hint="eastAsia" w:ascii="宋体" w:hAnsi="宋体"/>
          <w:color w:val="000000"/>
          <w:szCs w:val="21"/>
        </w:rPr>
        <w:t>投标人应当根据三级甲等医院科室的建设标准，提供可靠的服务，如：新项目开展管理、试剂采购及规范管理、检测质量控制、质量体系建设与管理、专家团队支持、专业试剂和样本冷链物流配送、增值服务等；</w:t>
      </w:r>
    </w:p>
    <w:p>
      <w:pPr>
        <w:numPr>
          <w:ilvl w:val="0"/>
          <w:numId w:val="11"/>
        </w:numPr>
        <w:spacing w:line="360" w:lineRule="auto"/>
        <w:rPr>
          <w:rFonts w:ascii="宋体" w:hAnsi="宋体"/>
          <w:color w:val="000000"/>
          <w:szCs w:val="21"/>
        </w:rPr>
      </w:pPr>
      <w:r>
        <w:rPr>
          <w:rFonts w:hint="eastAsia" w:ascii="宋体" w:hAnsi="宋体"/>
          <w:color w:val="000000"/>
          <w:szCs w:val="21"/>
        </w:rPr>
        <w:t>投标人应提供必要的先进管理经验供医院参考，参与增收节支方面的管理，并保证提供ISO15189质量体系认证所要求的试剂及耗材，在技术上给予支持，定期开展继续医学教育项目等。</w:t>
      </w:r>
    </w:p>
    <w:p>
      <w:pPr>
        <w:numPr>
          <w:ilvl w:val="0"/>
          <w:numId w:val="11"/>
        </w:numPr>
        <w:spacing w:line="360" w:lineRule="auto"/>
        <w:rPr>
          <w:rFonts w:hint="eastAsia" w:ascii="宋体" w:hAnsi="宋体"/>
          <w:color w:val="000000"/>
          <w:szCs w:val="21"/>
        </w:rPr>
      </w:pPr>
      <w:r>
        <w:rPr>
          <w:rFonts w:hint="eastAsia" w:ascii="宋体" w:hAnsi="宋体"/>
          <w:color w:val="000000"/>
          <w:szCs w:val="21"/>
        </w:rPr>
        <w:t>支持学科建设发展，建设重点学科与重点实验室</w:t>
      </w:r>
    </w:p>
    <w:p>
      <w:pPr>
        <w:numPr>
          <w:ilvl w:val="0"/>
          <w:numId w:val="11"/>
        </w:numPr>
        <w:spacing w:line="360" w:lineRule="auto"/>
        <w:rPr>
          <w:rFonts w:hint="eastAsia" w:ascii="宋体" w:hAnsi="宋体"/>
          <w:color w:val="000000"/>
          <w:szCs w:val="21"/>
        </w:rPr>
      </w:pPr>
      <w:r>
        <w:rPr>
          <w:rFonts w:hint="eastAsia" w:ascii="宋体" w:hAnsi="宋体"/>
          <w:color w:val="000000"/>
          <w:szCs w:val="21"/>
        </w:rPr>
        <w:t>投标人可以提供的特色服务和优惠措施，并如实说明需院方配合的内容。</w:t>
      </w:r>
    </w:p>
    <w:p>
      <w:pPr>
        <w:numPr>
          <w:ilvl w:val="0"/>
          <w:numId w:val="11"/>
        </w:numPr>
        <w:spacing w:line="360" w:lineRule="auto"/>
        <w:rPr>
          <w:rFonts w:hint="eastAsia" w:ascii="宋体" w:hAnsi="宋体"/>
          <w:color w:val="000000"/>
          <w:szCs w:val="21"/>
        </w:rPr>
      </w:pPr>
      <w:r>
        <w:rPr>
          <w:rFonts w:hint="eastAsia" w:ascii="宋体" w:hAnsi="宋体"/>
          <w:color w:val="000000"/>
          <w:szCs w:val="21"/>
        </w:rPr>
        <w:t>由于中标人单方面原因造成本项目未能正常实施进行的视同合作到期，中标方须承担相关责任。</w:t>
      </w:r>
    </w:p>
    <w:p>
      <w:pPr>
        <w:spacing w:line="360" w:lineRule="auto"/>
        <w:rPr>
          <w:rFonts w:hint="eastAsia" w:ascii="宋体" w:hAnsi="宋体"/>
          <w:b/>
          <w:color w:val="000000"/>
          <w:szCs w:val="21"/>
        </w:rPr>
      </w:pPr>
      <w:r>
        <w:rPr>
          <w:rFonts w:hint="eastAsia" w:ascii="宋体" w:hAnsi="宋体"/>
          <w:b/>
          <w:color w:val="000000"/>
          <w:szCs w:val="21"/>
        </w:rPr>
        <w:t>4)运营管理监控机制：</w:t>
      </w:r>
    </w:p>
    <w:p>
      <w:pPr>
        <w:spacing w:line="360" w:lineRule="auto"/>
        <w:rPr>
          <w:rFonts w:hint="eastAsia" w:ascii="宋体" w:hAnsi="宋体"/>
          <w:color w:val="000000"/>
          <w:szCs w:val="21"/>
        </w:rPr>
      </w:pPr>
      <w:r>
        <w:rPr>
          <w:rFonts w:hint="eastAsia" w:ascii="宋体" w:hAnsi="宋体"/>
          <w:b/>
          <w:color w:val="000000"/>
          <w:szCs w:val="21"/>
        </w:rPr>
        <w:t>4.1 运营管理监控要求：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由采购人制定运营管理考核方案，中标人应负责导入更先进的运营管理理念与绩效工具，通过技术和服务的提供带动科室管理水平的提升和学科建设的发展。</w:t>
      </w:r>
    </w:p>
    <w:p>
      <w:pPr>
        <w:spacing w:line="360" w:lineRule="auto"/>
        <w:rPr>
          <w:rFonts w:hint="eastAsia" w:ascii="宋体" w:hAnsi="宋体"/>
          <w:b/>
          <w:color w:val="000000"/>
          <w:szCs w:val="21"/>
        </w:rPr>
      </w:pPr>
      <w:r>
        <w:rPr>
          <w:rFonts w:hint="eastAsia" w:ascii="宋体" w:hAnsi="宋体"/>
          <w:b/>
          <w:color w:val="000000"/>
          <w:szCs w:val="21"/>
        </w:rPr>
        <w:t>4.2 考核方式：</w:t>
      </w:r>
    </w:p>
    <w:p>
      <w:pPr>
        <w:spacing w:line="360" w:lineRule="auto"/>
        <w:ind w:firstLine="420" w:firstLineChars="200"/>
        <w:rPr>
          <w:rFonts w:hint="eastAsia" w:ascii="宋体" w:hAnsi="宋体"/>
          <w:color w:val="000000"/>
          <w:szCs w:val="21"/>
        </w:rPr>
      </w:pPr>
      <w:r>
        <w:rPr>
          <w:rFonts w:hint="eastAsia" w:ascii="宋体" w:hAnsi="宋体"/>
          <w:color w:val="000000"/>
          <w:szCs w:val="21"/>
        </w:rPr>
        <w:t>由采购人和中标方组成运营管理考核小组对检验科的运营进行年度考核；具体考核心方案中标后另行商定。</w:t>
      </w:r>
    </w:p>
    <w:p>
      <w:pPr>
        <w:tabs>
          <w:tab w:val="left" w:pos="720"/>
        </w:tabs>
        <w:spacing w:line="360" w:lineRule="auto"/>
        <w:jc w:val="left"/>
        <w:rPr>
          <w:rFonts w:hint="eastAsia" w:ascii="宋体" w:hAnsi="宋体"/>
          <w:b/>
          <w:color w:val="000000"/>
          <w:szCs w:val="21"/>
        </w:rPr>
      </w:pPr>
      <w:r>
        <w:rPr>
          <w:rFonts w:hint="eastAsia" w:ascii="宋体" w:hAnsi="宋体"/>
          <w:b/>
          <w:color w:val="000000"/>
          <w:szCs w:val="21"/>
        </w:rPr>
        <w:t>5)合作期满后项目移交：</w:t>
      </w:r>
    </w:p>
    <w:p>
      <w:pPr>
        <w:spacing w:line="360" w:lineRule="auto"/>
        <w:rPr>
          <w:rFonts w:hint="eastAsia" w:ascii="宋体" w:hAnsi="宋体"/>
          <w:b/>
          <w:color w:val="000000"/>
          <w:szCs w:val="21"/>
        </w:rPr>
      </w:pPr>
      <w:r>
        <w:rPr>
          <w:rFonts w:ascii="宋体" w:hAnsi="宋体"/>
          <w:b/>
          <w:color w:val="000000"/>
          <w:szCs w:val="21"/>
        </w:rPr>
        <w:t>5</w:t>
      </w:r>
      <w:r>
        <w:rPr>
          <w:rFonts w:hint="eastAsia" w:ascii="宋体" w:hAnsi="宋体"/>
          <w:b/>
          <w:color w:val="000000"/>
          <w:szCs w:val="21"/>
        </w:rPr>
        <w:t xml:space="preserve">.1 </w:t>
      </w:r>
      <w:r>
        <w:rPr>
          <w:rFonts w:hint="eastAsia" w:ascii="宋体" w:hAnsi="宋体"/>
          <w:b/>
          <w:bCs/>
          <w:color w:val="000000"/>
          <w:szCs w:val="21"/>
        </w:rPr>
        <w:t>项目</w:t>
      </w:r>
      <w:r>
        <w:rPr>
          <w:rFonts w:hint="eastAsia" w:ascii="宋体" w:hAnsi="宋体"/>
          <w:b/>
          <w:color w:val="000000"/>
          <w:szCs w:val="21"/>
        </w:rPr>
        <w:t>移交范围包括：</w:t>
      </w:r>
    </w:p>
    <w:p>
      <w:pPr>
        <w:numPr>
          <w:ilvl w:val="0"/>
          <w:numId w:val="12"/>
        </w:numPr>
        <w:spacing w:line="360" w:lineRule="auto"/>
        <w:rPr>
          <w:rFonts w:hint="eastAsia" w:ascii="宋体" w:hAnsi="宋体"/>
          <w:color w:val="000000"/>
          <w:szCs w:val="21"/>
        </w:rPr>
      </w:pPr>
      <w:r>
        <w:rPr>
          <w:rFonts w:hint="eastAsia" w:ascii="宋体" w:hAnsi="宋体"/>
          <w:color w:val="000000"/>
          <w:szCs w:val="21"/>
        </w:rPr>
        <w:t>项目设施；</w:t>
      </w:r>
    </w:p>
    <w:p>
      <w:pPr>
        <w:numPr>
          <w:ilvl w:val="0"/>
          <w:numId w:val="12"/>
        </w:numPr>
        <w:spacing w:line="360" w:lineRule="auto"/>
        <w:rPr>
          <w:rFonts w:hint="eastAsia" w:ascii="宋体" w:hAnsi="宋体"/>
          <w:color w:val="000000"/>
          <w:szCs w:val="21"/>
        </w:rPr>
      </w:pPr>
      <w:r>
        <w:rPr>
          <w:rFonts w:hint="eastAsia" w:ascii="宋体" w:hAnsi="宋体"/>
          <w:color w:val="000000"/>
          <w:szCs w:val="21"/>
        </w:rPr>
        <w:t>与项目设施相关的设备、机器、装置、零部件、备品备件以及其他动产；</w:t>
      </w:r>
    </w:p>
    <w:p>
      <w:pPr>
        <w:numPr>
          <w:ilvl w:val="0"/>
          <w:numId w:val="12"/>
        </w:numPr>
        <w:spacing w:line="360" w:lineRule="auto"/>
        <w:rPr>
          <w:rFonts w:hint="eastAsia" w:ascii="宋体" w:hAnsi="宋体"/>
          <w:color w:val="000000"/>
          <w:szCs w:val="21"/>
        </w:rPr>
      </w:pPr>
      <w:r>
        <w:rPr>
          <w:rFonts w:hint="eastAsia" w:ascii="宋体" w:hAnsi="宋体"/>
          <w:color w:val="000000"/>
          <w:szCs w:val="21"/>
        </w:rPr>
        <w:t>运营维护项目设施所要求的技术和技术信息；</w:t>
      </w:r>
    </w:p>
    <w:p>
      <w:pPr>
        <w:numPr>
          <w:ilvl w:val="0"/>
          <w:numId w:val="12"/>
        </w:numPr>
        <w:spacing w:line="360" w:lineRule="auto"/>
        <w:rPr>
          <w:rFonts w:hint="eastAsia" w:ascii="宋体" w:hAnsi="宋体"/>
          <w:color w:val="000000"/>
          <w:szCs w:val="21"/>
        </w:rPr>
      </w:pPr>
      <w:r>
        <w:rPr>
          <w:rFonts w:hint="eastAsia" w:ascii="宋体" w:hAnsi="宋体"/>
          <w:color w:val="000000"/>
          <w:szCs w:val="21"/>
        </w:rPr>
        <w:t>与项目设施有关的手册、图纸、文件和资料（书面文件和电子文档）；</w:t>
      </w:r>
    </w:p>
    <w:p>
      <w:pPr>
        <w:numPr>
          <w:ilvl w:val="0"/>
          <w:numId w:val="12"/>
        </w:numPr>
        <w:spacing w:line="360" w:lineRule="auto"/>
        <w:rPr>
          <w:rFonts w:hint="eastAsia" w:ascii="宋体" w:hAnsi="宋体"/>
          <w:color w:val="000000"/>
          <w:szCs w:val="21"/>
        </w:rPr>
      </w:pPr>
      <w:r>
        <w:rPr>
          <w:rFonts w:hint="eastAsia" w:ascii="宋体" w:hAnsi="宋体"/>
          <w:color w:val="000000"/>
          <w:szCs w:val="21"/>
        </w:rPr>
        <w:t>移交项目所需的其他文件。</w:t>
      </w:r>
    </w:p>
    <w:p>
      <w:pPr>
        <w:numPr>
          <w:ilvl w:val="0"/>
          <w:numId w:val="12"/>
        </w:numPr>
        <w:spacing w:line="360" w:lineRule="auto"/>
        <w:rPr>
          <w:rFonts w:hint="eastAsia" w:ascii="宋体" w:hAnsi="宋体"/>
          <w:color w:val="000000"/>
          <w:szCs w:val="21"/>
        </w:rPr>
      </w:pPr>
      <w:r>
        <w:rPr>
          <w:rFonts w:hint="eastAsia" w:ascii="宋体" w:hAnsi="宋体"/>
          <w:color w:val="000000"/>
          <w:szCs w:val="21"/>
        </w:rPr>
        <w:t>上述条件在合作期满后均须无偿移交给采购人。</w:t>
      </w:r>
    </w:p>
    <w:p>
      <w:pPr>
        <w:spacing w:line="360" w:lineRule="auto"/>
        <w:rPr>
          <w:rFonts w:hint="eastAsia" w:ascii="宋体" w:hAnsi="宋体"/>
          <w:b/>
          <w:color w:val="000000"/>
          <w:szCs w:val="21"/>
        </w:rPr>
      </w:pPr>
      <w:r>
        <w:rPr>
          <w:rFonts w:ascii="宋体" w:hAnsi="宋体"/>
          <w:b/>
          <w:color w:val="000000"/>
          <w:szCs w:val="21"/>
        </w:rPr>
        <w:t>5</w:t>
      </w:r>
      <w:r>
        <w:rPr>
          <w:rFonts w:hint="eastAsia" w:ascii="宋体" w:hAnsi="宋体"/>
          <w:b/>
          <w:color w:val="000000"/>
          <w:szCs w:val="21"/>
        </w:rPr>
        <w:t xml:space="preserve">.2 </w:t>
      </w:r>
      <w:r>
        <w:rPr>
          <w:rFonts w:hint="eastAsia" w:ascii="宋体" w:hAnsi="宋体"/>
          <w:b/>
          <w:bCs/>
          <w:color w:val="000000"/>
          <w:szCs w:val="21"/>
        </w:rPr>
        <w:t>项目</w:t>
      </w:r>
      <w:r>
        <w:rPr>
          <w:rFonts w:hint="eastAsia" w:ascii="宋体" w:hAnsi="宋体"/>
          <w:b/>
          <w:color w:val="000000"/>
          <w:szCs w:val="21"/>
        </w:rPr>
        <w:t>移交条件和标准：</w:t>
      </w:r>
    </w:p>
    <w:p>
      <w:pPr>
        <w:numPr>
          <w:ilvl w:val="0"/>
          <w:numId w:val="13"/>
        </w:numPr>
        <w:spacing w:line="360" w:lineRule="auto"/>
        <w:rPr>
          <w:rFonts w:hint="eastAsia" w:ascii="宋体" w:hAnsi="宋体"/>
          <w:color w:val="000000"/>
          <w:szCs w:val="21"/>
        </w:rPr>
      </w:pPr>
      <w:r>
        <w:rPr>
          <w:rFonts w:hint="eastAsia" w:ascii="宋体" w:hAnsi="宋体"/>
          <w:color w:val="000000"/>
          <w:szCs w:val="21"/>
        </w:rPr>
        <w:t>权利方面的条件和标准：项目正常实施至合作期满，医院与中标人进行项目移交；如出现特殊情况，医院或中标人单方面提出需提前终止项目实施导致项目移交，必须提前6个月以书面形式告知对方，经双方协商后进行项目资产评估清算，由违约方承担移交费用之后再行移交。</w:t>
      </w:r>
    </w:p>
    <w:p>
      <w:pPr>
        <w:numPr>
          <w:ilvl w:val="0"/>
          <w:numId w:val="13"/>
        </w:numPr>
        <w:spacing w:line="360" w:lineRule="auto"/>
        <w:rPr>
          <w:rFonts w:hint="eastAsia" w:ascii="宋体" w:hAnsi="宋体"/>
          <w:color w:val="000000"/>
          <w:szCs w:val="21"/>
        </w:rPr>
      </w:pPr>
      <w:r>
        <w:rPr>
          <w:rFonts w:hint="eastAsia" w:ascii="宋体" w:hAnsi="宋体"/>
          <w:color w:val="000000"/>
          <w:szCs w:val="21"/>
        </w:rPr>
        <w:t>技术方面的条件和标准：项目设施应符合双方约定的技术、安全和环保标准，并处于良好的可持续运营状况。</w:t>
      </w:r>
    </w:p>
    <w:p>
      <w:pPr>
        <w:spacing w:line="360" w:lineRule="auto"/>
        <w:rPr>
          <w:rFonts w:hint="eastAsia" w:ascii="宋体" w:hAnsi="宋体"/>
          <w:b/>
          <w:color w:val="000000"/>
          <w:szCs w:val="21"/>
        </w:rPr>
      </w:pPr>
      <w:r>
        <w:rPr>
          <w:rFonts w:ascii="宋体" w:hAnsi="宋体"/>
          <w:b/>
          <w:color w:val="000000"/>
          <w:szCs w:val="21"/>
        </w:rPr>
        <w:t>5</w:t>
      </w:r>
      <w:r>
        <w:rPr>
          <w:rFonts w:hint="eastAsia" w:ascii="宋体" w:hAnsi="宋体"/>
          <w:b/>
          <w:color w:val="000000"/>
          <w:szCs w:val="21"/>
        </w:rPr>
        <w:t xml:space="preserve">.3 </w:t>
      </w:r>
      <w:r>
        <w:rPr>
          <w:rFonts w:hint="eastAsia" w:ascii="宋体" w:hAnsi="宋体"/>
          <w:b/>
          <w:bCs/>
          <w:color w:val="000000"/>
          <w:szCs w:val="21"/>
        </w:rPr>
        <w:t>项目</w:t>
      </w:r>
      <w:r>
        <w:rPr>
          <w:rFonts w:hint="eastAsia" w:ascii="宋体" w:hAnsi="宋体"/>
          <w:b/>
          <w:color w:val="000000"/>
          <w:szCs w:val="21"/>
        </w:rPr>
        <w:t>移交程序：</w:t>
      </w:r>
    </w:p>
    <w:p>
      <w:pPr>
        <w:numPr>
          <w:ilvl w:val="0"/>
          <w:numId w:val="14"/>
        </w:numPr>
        <w:spacing w:line="360" w:lineRule="auto"/>
        <w:rPr>
          <w:rFonts w:hint="eastAsia" w:ascii="宋体" w:hAnsi="宋体"/>
          <w:color w:val="000000"/>
          <w:szCs w:val="21"/>
        </w:rPr>
      </w:pPr>
      <w:r>
        <w:rPr>
          <w:rFonts w:hint="eastAsia" w:ascii="宋体" w:hAnsi="宋体"/>
          <w:color w:val="000000"/>
          <w:szCs w:val="21"/>
        </w:rPr>
        <w:t>评估和测试：项目移交前，由项目管委会负责对项目的资产状况进行评估并对项目状况能否达到合同约定的移交条件和标准进行测试，以确保项目在移交时满足约定要求。</w:t>
      </w:r>
    </w:p>
    <w:p>
      <w:pPr>
        <w:numPr>
          <w:ilvl w:val="0"/>
          <w:numId w:val="14"/>
        </w:numPr>
        <w:spacing w:line="360" w:lineRule="auto"/>
        <w:rPr>
          <w:rFonts w:hint="eastAsia" w:ascii="宋体" w:hAnsi="宋体"/>
          <w:color w:val="000000"/>
          <w:szCs w:val="21"/>
        </w:rPr>
      </w:pPr>
      <w:r>
        <w:rPr>
          <w:rFonts w:hint="eastAsia" w:ascii="宋体" w:hAnsi="宋体"/>
          <w:color w:val="000000"/>
          <w:szCs w:val="21"/>
        </w:rPr>
        <w:t>移交手续办理：由项目管委会负责办理移交相关的手续。</w:t>
      </w:r>
    </w:p>
    <w:p>
      <w:pPr>
        <w:numPr>
          <w:ilvl w:val="0"/>
          <w:numId w:val="14"/>
        </w:numPr>
        <w:spacing w:line="360" w:lineRule="auto"/>
        <w:rPr>
          <w:rFonts w:ascii="宋体" w:hAnsi="宋体"/>
          <w:b/>
          <w:color w:val="000000"/>
          <w:sz w:val="28"/>
          <w:szCs w:val="28"/>
        </w:rPr>
      </w:pPr>
      <w:r>
        <w:rPr>
          <w:rFonts w:hint="eastAsia" w:ascii="宋体" w:hAnsi="宋体"/>
          <w:color w:val="000000"/>
          <w:szCs w:val="21"/>
        </w:rPr>
        <w:t>技术转让：中标人应在移交时将项目运营和维护所需要的技术（包含项目实施涉及的所有技术含软件后期的免费使用），全部移交给采购人，并确保采购人不会因使用这些技术而遭受任何侵权索赔。</w:t>
      </w:r>
    </w:p>
    <w:p>
      <w:pPr>
        <w:pStyle w:val="3"/>
        <w:rPr>
          <w:color w:val="000000"/>
        </w:rPr>
      </w:pPr>
    </w:p>
    <w:p>
      <w:pPr>
        <w:spacing w:line="360" w:lineRule="auto"/>
        <w:rPr>
          <w:rFonts w:hint="default" w:ascii="宋体" w:hAnsi="宋体" w:eastAsia="宋体"/>
          <w:b/>
          <w:color w:val="000000"/>
          <w:szCs w:val="21"/>
          <w:lang w:val="en-US" w:eastAsia="zh-CN"/>
        </w:rPr>
      </w:pPr>
      <w:r>
        <w:rPr>
          <w:rFonts w:hint="eastAsia" w:ascii="宋体" w:hAnsi="宋体"/>
          <w:b/>
          <w:color w:val="000000"/>
          <w:szCs w:val="21"/>
        </w:rPr>
        <w:t>（六）付费和调价机制</w:t>
      </w:r>
    </w:p>
    <w:p>
      <w:pPr>
        <w:snapToGrid w:val="0"/>
        <w:spacing w:line="360" w:lineRule="auto"/>
        <w:ind w:firstLine="422" w:firstLineChars="200"/>
        <w:rPr>
          <w:rFonts w:ascii="宋体" w:hAnsi="宋体"/>
          <w:b/>
          <w:color w:val="000000"/>
          <w:szCs w:val="21"/>
        </w:rPr>
      </w:pPr>
      <w:r>
        <w:rPr>
          <w:rFonts w:hint="eastAsia" w:ascii="宋体" w:hAnsi="宋体"/>
          <w:b/>
          <w:bCs/>
          <w:snapToGrid w:val="0"/>
          <w:color w:val="000000"/>
          <w:kern w:val="0"/>
          <w:szCs w:val="21"/>
        </w:rPr>
        <w:t>1)项目收入：项目收入=设备价格+运营服务价格，</w:t>
      </w:r>
      <w:r>
        <w:rPr>
          <w:rFonts w:hint="eastAsia" w:ascii="宋体" w:hAnsi="宋体"/>
          <w:b/>
          <w:bCs/>
          <w:snapToGrid w:val="0"/>
          <w:color w:val="000000"/>
          <w:kern w:val="0"/>
        </w:rPr>
        <w:t>其</w:t>
      </w:r>
      <w:r>
        <w:rPr>
          <w:rFonts w:hint="eastAsia" w:ascii="宋体" w:hAnsi="宋体"/>
          <w:b/>
          <w:color w:val="000000"/>
          <w:szCs w:val="21"/>
        </w:rPr>
        <w:t>中运营服务价格以临床检验试剂及配套耗材消耗费用占医院检验科临检项目收入百分比的形式报价。</w:t>
      </w:r>
    </w:p>
    <w:p>
      <w:pPr>
        <w:spacing w:line="360" w:lineRule="auto"/>
        <w:ind w:firstLine="420" w:firstLineChars="200"/>
        <w:rPr>
          <w:rFonts w:hint="eastAsia" w:ascii="宋体" w:hAnsi="宋体"/>
          <w:color w:val="000000"/>
          <w:szCs w:val="21"/>
        </w:rPr>
      </w:pPr>
      <w:r>
        <w:rPr>
          <w:rFonts w:hint="eastAsia" w:ascii="宋体" w:hAnsi="宋体"/>
          <w:bCs/>
          <w:snapToGrid w:val="0"/>
          <w:color w:val="000000"/>
          <w:kern w:val="0"/>
          <w:szCs w:val="21"/>
        </w:rPr>
        <w:t>1.1项目收入按照检验中心L</w:t>
      </w:r>
      <w:r>
        <w:rPr>
          <w:rFonts w:ascii="宋体" w:hAnsi="宋体"/>
          <w:bCs/>
          <w:snapToGrid w:val="0"/>
          <w:color w:val="000000"/>
          <w:kern w:val="0"/>
          <w:szCs w:val="21"/>
        </w:rPr>
        <w:t>IS</w:t>
      </w:r>
      <w:r>
        <w:rPr>
          <w:rFonts w:hint="eastAsia" w:ascii="宋体" w:hAnsi="宋体"/>
          <w:bCs/>
          <w:snapToGrid w:val="0"/>
          <w:color w:val="000000"/>
          <w:kern w:val="0"/>
          <w:szCs w:val="21"/>
        </w:rPr>
        <w:t>系统业务收入进行结算，</w:t>
      </w:r>
      <w:r>
        <w:rPr>
          <w:rFonts w:hint="eastAsia" w:ascii="宋体" w:hAnsi="宋体"/>
          <w:color w:val="000000"/>
          <w:szCs w:val="21"/>
        </w:rPr>
        <w:t xml:space="preserve">收入不包含采血费用。 </w:t>
      </w:r>
    </w:p>
    <w:p>
      <w:pPr>
        <w:spacing w:line="360" w:lineRule="auto"/>
        <w:ind w:left="424" w:leftChars="202"/>
        <w:rPr>
          <w:rFonts w:hint="eastAsia" w:ascii="宋体" w:hAnsi="宋体"/>
          <w:snapToGrid w:val="0"/>
          <w:color w:val="000000" w:themeColor="text1"/>
          <w:kern w:val="0"/>
          <w:szCs w:val="21"/>
          <w14:textFill>
            <w14:solidFill>
              <w14:schemeClr w14:val="tx1"/>
            </w14:solidFill>
          </w14:textFill>
        </w:rPr>
      </w:pPr>
      <w:r>
        <w:rPr>
          <w:rFonts w:hint="eastAsia" w:ascii="宋体" w:hAnsi="宋体"/>
          <w:bCs/>
          <w:snapToGrid w:val="0"/>
          <w:color w:val="000000"/>
          <w:kern w:val="0"/>
          <w:szCs w:val="21"/>
        </w:rPr>
        <w:t>1.2外单位体检的检验</w:t>
      </w:r>
      <w:r>
        <w:rPr>
          <w:rFonts w:hint="eastAsia" w:ascii="宋体" w:hAnsi="宋体"/>
          <w:bCs/>
          <w:snapToGrid w:val="0"/>
          <w:color w:val="000000" w:themeColor="text1"/>
          <w:kern w:val="0"/>
          <w:szCs w:val="21"/>
          <w14:textFill>
            <w14:solidFill>
              <w14:schemeClr w14:val="tx1"/>
            </w14:solidFill>
          </w14:textFill>
        </w:rPr>
        <w:t>项目</w:t>
      </w:r>
      <w:r>
        <w:rPr>
          <w:rFonts w:hint="eastAsia" w:ascii="宋体" w:hAnsi="宋体"/>
          <w:snapToGrid w:val="0"/>
          <w:color w:val="000000" w:themeColor="text1"/>
          <w:kern w:val="0"/>
          <w:szCs w:val="21"/>
          <w14:textFill>
            <w14:solidFill>
              <w14:schemeClr w14:val="tx1"/>
            </w14:solidFill>
          </w14:textFill>
        </w:rPr>
        <w:t>收费按照检验中心L</w:t>
      </w:r>
      <w:r>
        <w:rPr>
          <w:rFonts w:ascii="宋体" w:hAnsi="宋体"/>
          <w:snapToGrid w:val="0"/>
          <w:color w:val="000000" w:themeColor="text1"/>
          <w:kern w:val="0"/>
          <w:szCs w:val="21"/>
          <w14:textFill>
            <w14:solidFill>
              <w14:schemeClr w14:val="tx1"/>
            </w14:solidFill>
          </w14:textFill>
        </w:rPr>
        <w:t>IS</w:t>
      </w:r>
      <w:r>
        <w:rPr>
          <w:rFonts w:hint="eastAsia" w:ascii="宋体" w:hAnsi="宋体"/>
          <w:snapToGrid w:val="0"/>
          <w:color w:val="000000" w:themeColor="text1"/>
          <w:kern w:val="0"/>
          <w:szCs w:val="21"/>
          <w14:textFill>
            <w14:solidFill>
              <w14:schemeClr w14:val="tx1"/>
            </w14:solidFill>
          </w14:textFill>
        </w:rPr>
        <w:t>系统中收入数据计算；</w:t>
      </w:r>
    </w:p>
    <w:p>
      <w:pPr>
        <w:spacing w:line="360" w:lineRule="auto"/>
        <w:ind w:left="424" w:leftChars="202"/>
        <w:rPr>
          <w:rFonts w:hint="eastAsia" w:ascii="宋体" w:hAnsi="宋体"/>
          <w:b/>
          <w:bCs/>
          <w:color w:val="000000" w:themeColor="text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1.3采血费及真空采血试管费不纳入检验业务收入范畴，真空采血试管由医院自行统一采购</w:t>
      </w:r>
      <w:r>
        <w:rPr>
          <w:rFonts w:hint="eastAsia" w:ascii="宋体" w:hAnsi="宋体"/>
          <w:b/>
          <w:bCs/>
          <w:color w:val="000000" w:themeColor="text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如需供应商采购，按照双方协商的价格及数量如实进行结算。</w:t>
      </w:r>
    </w:p>
    <w:p>
      <w:pPr>
        <w:spacing w:line="360" w:lineRule="auto"/>
        <w:ind w:left="424" w:leftChars="20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1.4收入以院方L</w:t>
      </w:r>
      <w:r>
        <w:rPr>
          <w:rFonts w:ascii="宋体" w:hAnsi="宋体"/>
          <w:color w:val="000000" w:themeColor="text1"/>
          <w14:textFill>
            <w14:solidFill>
              <w14:schemeClr w14:val="tx1"/>
            </w14:solidFill>
          </w14:textFill>
        </w:rPr>
        <w:t>IS</w:t>
      </w:r>
      <w:r>
        <w:rPr>
          <w:rFonts w:hint="eastAsia" w:ascii="宋体" w:hAnsi="宋体"/>
          <w:color w:val="000000" w:themeColor="text1"/>
          <w14:textFill>
            <w14:solidFill>
              <w14:schemeClr w14:val="tx1"/>
            </w14:solidFill>
          </w14:textFill>
        </w:rPr>
        <w:t>统计为依据</w:t>
      </w:r>
      <w:r>
        <w:rPr>
          <w:rFonts w:hint="eastAsia" w:ascii="宋体" w:hAnsi="宋体"/>
          <w:color w:val="000000" w:themeColor="text1"/>
          <w:highlight w:val="none"/>
          <w14:textFill>
            <w14:solidFill>
              <w14:schemeClr w14:val="tx1"/>
            </w14:solidFill>
          </w14:textFill>
        </w:rPr>
        <w:t>，费用每月一结。</w:t>
      </w:r>
    </w:p>
    <w:p>
      <w:pPr>
        <w:spacing w:line="360" w:lineRule="auto"/>
        <w:ind w:left="424" w:leftChars="202"/>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1.5核算的标准是当地政府2021年医疗服务行业物价收费标准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当医疗服务行业物价收费标准调整时，以最新的物价为准。</w:t>
      </w:r>
    </w:p>
    <w:p>
      <w:pPr>
        <w:spacing w:line="360" w:lineRule="auto"/>
        <w:ind w:left="424" w:leftChars="20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1.6</w:t>
      </w:r>
      <w:r>
        <w:rPr>
          <w:rFonts w:hint="eastAsia" w:ascii="宋体" w:hAnsi="宋体"/>
          <w:color w:val="000000" w:themeColor="text1"/>
          <w:highlight w:val="none"/>
          <w14:textFill>
            <w14:solidFill>
              <w14:schemeClr w14:val="tx1"/>
            </w14:solidFill>
          </w14:textFill>
        </w:rPr>
        <w:t>运营服务报价为临床检验试剂及配套耗材消耗费用占医学检验中心实验室项目收入百分比。</w:t>
      </w:r>
    </w:p>
    <w:p>
      <w:pPr>
        <w:spacing w:line="360" w:lineRule="auto"/>
        <w:ind w:left="424" w:leftChars="20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医学检验中心实验室项目收入是指检验中心日常实际检验检测工作所产生的医疗诊断业务收入。</w:t>
      </w:r>
    </w:p>
    <w:p>
      <w:pPr>
        <w:spacing w:line="360" w:lineRule="auto"/>
        <w:ind w:left="424" w:leftChars="202"/>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临床检验试剂及配套耗材消耗费用是指提供本项目伴随服务的所有费用，如：检验中心装修费用、项目参数性能验证、项目日常校准/定标、质量控制等费用。</w:t>
      </w:r>
    </w:p>
    <w:p>
      <w:pPr>
        <w:spacing w:line="360" w:lineRule="auto"/>
        <w:ind w:left="424" w:leftChars="202"/>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运营服务最高限价：35%，运营服务报价超过35%的作无效标处理。</w:t>
      </w:r>
    </w:p>
    <w:p>
      <w:pPr>
        <w:pStyle w:val="2"/>
        <w:rPr>
          <w:rFonts w:hint="default"/>
          <w:lang w:val="en-US" w:eastAsia="zh-CN"/>
        </w:rPr>
      </w:pPr>
    </w:p>
    <w:p>
      <w:pPr>
        <w:spacing w:line="360" w:lineRule="auto"/>
        <w:ind w:left="1650" w:leftChars="146" w:hanging="1343" w:hangingChars="637"/>
        <w:rPr>
          <w:rFonts w:hint="eastAsia" w:ascii="宋体" w:hAnsi="宋体"/>
          <w:b/>
          <w:bCs/>
          <w:snapToGrid w:val="0"/>
          <w:color w:val="000000"/>
          <w:kern w:val="0"/>
          <w:szCs w:val="21"/>
        </w:rPr>
      </w:pPr>
      <w:r>
        <w:rPr>
          <w:rFonts w:hint="eastAsia" w:ascii="宋体" w:hAnsi="宋体"/>
          <w:b/>
          <w:bCs/>
          <w:snapToGrid w:val="0"/>
          <w:color w:val="000000"/>
          <w:kern w:val="0"/>
          <w:szCs w:val="21"/>
        </w:rPr>
        <w:t>2)项目成本：</w:t>
      </w:r>
      <w:r>
        <w:rPr>
          <w:rFonts w:hint="eastAsia" w:ascii="宋体" w:hAnsi="宋体" w:cs="宋体"/>
          <w:color w:val="000000"/>
          <w:szCs w:val="21"/>
        </w:rPr>
        <w:t>投标人负责</w:t>
      </w:r>
      <w:r>
        <w:rPr>
          <w:rFonts w:hint="eastAsia" w:ascii="宋体" w:hAnsi="宋体"/>
          <w:color w:val="000000"/>
          <w:szCs w:val="21"/>
        </w:rPr>
        <w:t>实验室所有的仪器、设备更新投入、试剂耗材集采配送、运营管理、办公家具、办公用品、检验科的设计装修及其他增值服务等系列项目成本投入。</w:t>
      </w:r>
    </w:p>
    <w:p>
      <w:pPr>
        <w:spacing w:line="360" w:lineRule="auto"/>
        <w:ind w:left="1660" w:leftChars="150" w:hanging="1345" w:hangingChars="638"/>
        <w:rPr>
          <w:rFonts w:ascii="宋体" w:hAnsi="宋体"/>
          <w:color w:val="000000"/>
          <w:szCs w:val="21"/>
        </w:rPr>
      </w:pPr>
      <w:r>
        <w:rPr>
          <w:rFonts w:hint="eastAsia" w:ascii="宋体" w:hAnsi="宋体"/>
          <w:b/>
          <w:bCs/>
          <w:snapToGrid w:val="0"/>
          <w:color w:val="000000"/>
          <w:kern w:val="0"/>
          <w:szCs w:val="21"/>
        </w:rPr>
        <w:t>3)付费机制：</w:t>
      </w:r>
      <w:r>
        <w:rPr>
          <w:rFonts w:hint="eastAsia" w:ascii="宋体" w:hAnsi="宋体"/>
          <w:bCs/>
          <w:snapToGrid w:val="0"/>
          <w:color w:val="000000"/>
          <w:kern w:val="0"/>
          <w:szCs w:val="21"/>
        </w:rPr>
        <w:t>以检验中心L</w:t>
      </w:r>
      <w:r>
        <w:rPr>
          <w:rFonts w:ascii="宋体" w:hAnsi="宋体"/>
          <w:bCs/>
          <w:snapToGrid w:val="0"/>
          <w:color w:val="000000"/>
          <w:kern w:val="0"/>
          <w:szCs w:val="21"/>
        </w:rPr>
        <w:t>IS</w:t>
      </w:r>
      <w:r>
        <w:rPr>
          <w:rFonts w:hint="eastAsia" w:ascii="宋体" w:hAnsi="宋体"/>
          <w:bCs/>
          <w:snapToGrid w:val="0"/>
          <w:color w:val="000000"/>
          <w:kern w:val="0"/>
          <w:szCs w:val="21"/>
        </w:rPr>
        <w:t>业</w:t>
      </w:r>
      <w:r>
        <w:rPr>
          <w:rFonts w:hint="eastAsia" w:ascii="宋体" w:hAnsi="宋体"/>
          <w:bCs/>
          <w:snapToGrid w:val="0"/>
          <w:color w:val="000000"/>
          <w:kern w:val="0"/>
          <w:szCs w:val="21"/>
          <w:u w:val="none"/>
        </w:rPr>
        <w:t>务总收入为基数，</w:t>
      </w:r>
      <w:r>
        <w:rPr>
          <w:rFonts w:hint="eastAsia" w:ascii="宋体" w:hAnsi="宋体"/>
          <w:color w:val="000000"/>
          <w:u w:val="none"/>
        </w:rPr>
        <w:t>投标人的运营服务</w:t>
      </w:r>
      <w:r>
        <w:rPr>
          <w:rFonts w:hint="eastAsia" w:ascii="宋体" w:hAnsi="宋体"/>
          <w:bCs/>
          <w:snapToGrid w:val="0"/>
          <w:color w:val="000000"/>
          <w:kern w:val="0"/>
          <w:szCs w:val="21"/>
          <w:u w:val="none"/>
        </w:rPr>
        <w:t>报价为“应付款所占项目收入的百分比”。</w:t>
      </w:r>
      <w:r>
        <w:rPr>
          <w:rFonts w:hint="eastAsia" w:ascii="宋体" w:hAnsi="宋体"/>
          <w:color w:val="000000"/>
          <w:szCs w:val="21"/>
          <w:u w:val="none"/>
        </w:rPr>
        <w:t>合作期间，采购人按</w:t>
      </w:r>
      <w:r>
        <w:rPr>
          <w:rFonts w:hint="eastAsia" w:ascii="宋体" w:hAnsi="宋体"/>
          <w:color w:val="000000"/>
          <w:szCs w:val="21"/>
        </w:rPr>
        <w:t>照中标价每月支付费用。</w:t>
      </w:r>
    </w:p>
    <w:p>
      <w:pPr>
        <w:spacing w:line="360" w:lineRule="auto"/>
        <w:ind w:left="1660" w:leftChars="150" w:hanging="1345" w:hangingChars="638"/>
        <w:rPr>
          <w:rFonts w:hint="eastAsia" w:ascii="宋体" w:hAnsi="宋体"/>
          <w:color w:val="000000"/>
          <w:szCs w:val="21"/>
        </w:rPr>
      </w:pPr>
      <w:r>
        <w:rPr>
          <w:rFonts w:ascii="宋体" w:hAnsi="宋体"/>
          <w:b/>
          <w:bCs/>
          <w:snapToGrid w:val="0"/>
          <w:color w:val="000000"/>
          <w:kern w:val="0"/>
          <w:szCs w:val="21"/>
        </w:rPr>
        <w:t>4</w:t>
      </w:r>
      <w:r>
        <w:rPr>
          <w:rFonts w:hint="eastAsia" w:ascii="宋体" w:hAnsi="宋体"/>
          <w:b/>
          <w:bCs/>
          <w:snapToGrid w:val="0"/>
          <w:color w:val="000000"/>
          <w:kern w:val="0"/>
          <w:szCs w:val="21"/>
        </w:rPr>
        <w:t>)调价机制：</w:t>
      </w:r>
      <w:r>
        <w:rPr>
          <w:rFonts w:hint="eastAsia" w:ascii="宋体" w:hAnsi="宋体"/>
          <w:color w:val="000000"/>
          <w:szCs w:val="21"/>
        </w:rPr>
        <w:t>因政策原因导致的价格浮动，双方另行协商。</w:t>
      </w:r>
    </w:p>
    <w:p>
      <w:pPr>
        <w:pStyle w:val="2"/>
        <w:rPr>
          <w:rFonts w:hint="eastAsia"/>
        </w:rPr>
      </w:pPr>
    </w:p>
    <w:p>
      <w:pPr>
        <w:rPr>
          <w:rFonts w:hint="default"/>
          <w:lang w:val="en-US" w:eastAsia="zh-CN"/>
        </w:rPr>
      </w:pPr>
      <w:r>
        <w:rPr>
          <w:rFonts w:hint="default"/>
          <w:lang w:val="en-US" w:eastAsia="zh-CN"/>
        </w:rPr>
        <w:br w:type="page"/>
      </w:r>
    </w:p>
    <w:p>
      <w:pPr>
        <w:rPr>
          <w:rFonts w:hint="default"/>
          <w:lang w:val="en-US" w:eastAsia="zh-CN"/>
        </w:rPr>
      </w:pPr>
    </w:p>
    <w:p>
      <w:pPr>
        <w:rPr>
          <w:rFonts w:hint="default"/>
          <w:lang w:val="en-US" w:eastAsia="zh-CN"/>
        </w:rPr>
      </w:pPr>
    </w:p>
    <w:p>
      <w:pPr>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二、商务需求</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6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jc w:val="center"/>
              <w:outlineLvl w:val="0"/>
              <w:rPr>
                <w:rFonts w:hAnsi="宋体" w:cs="宋体"/>
                <w:color w:val="000000"/>
                <w:sz w:val="21"/>
                <w:szCs w:val="21"/>
              </w:rPr>
            </w:pPr>
            <w:r>
              <w:rPr>
                <w:rFonts w:hint="eastAsia" w:hAnsi="宋体" w:cs="宋体"/>
                <w:color w:val="000000"/>
                <w:sz w:val="21"/>
                <w:szCs w:val="21"/>
              </w:rPr>
              <w:t>建设期限及交货期</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1.建设期限：合同签订后</w:t>
            </w:r>
            <w:r>
              <w:rPr>
                <w:rFonts w:hint="eastAsia" w:ascii="宋体" w:hAnsi="宋体"/>
                <w:color w:val="000000"/>
                <w:szCs w:val="21"/>
                <w:lang w:val="en-US" w:eastAsia="zh-CN"/>
              </w:rPr>
              <w:t>3</w:t>
            </w:r>
            <w:r>
              <w:rPr>
                <w:rFonts w:hint="eastAsia" w:ascii="宋体" w:hAnsi="宋体"/>
                <w:color w:val="000000"/>
                <w:szCs w:val="21"/>
              </w:rPr>
              <w:t>个月内，具体以接到招标人通知为准。</w:t>
            </w:r>
          </w:p>
          <w:p>
            <w:pPr>
              <w:spacing w:line="360" w:lineRule="auto"/>
              <w:rPr>
                <w:rFonts w:hint="eastAsia" w:ascii="宋体" w:hAnsi="宋体"/>
                <w:color w:val="000000"/>
                <w:szCs w:val="21"/>
              </w:rPr>
            </w:pPr>
            <w:r>
              <w:rPr>
                <w:rFonts w:hint="eastAsia" w:ascii="宋体" w:hAnsi="宋体"/>
                <w:color w:val="000000"/>
                <w:szCs w:val="21"/>
              </w:rPr>
              <w:t>2.建设地点：</w:t>
            </w:r>
            <w:r>
              <w:rPr>
                <w:rFonts w:hint="eastAsia" w:ascii="宋体" w:hAnsi="宋体"/>
                <w:color w:val="000000"/>
                <w:szCs w:val="21"/>
                <w:lang w:eastAsia="zh-CN"/>
              </w:rPr>
              <w:t>宁波大学附属第一医院</w:t>
            </w:r>
            <w:r>
              <w:rPr>
                <w:rFonts w:hint="eastAsia" w:ascii="宋体" w:hAnsi="宋体"/>
                <w:color w:val="000000"/>
                <w:szCs w:val="21"/>
              </w:rPr>
              <w:t>指定地点。</w:t>
            </w:r>
          </w:p>
          <w:p>
            <w:pPr>
              <w:spacing w:line="360" w:lineRule="auto"/>
              <w:rPr>
                <w:rFonts w:hint="eastAsia" w:ascii="宋体" w:hAnsi="宋体" w:cs="宋体"/>
                <w:color w:val="000000"/>
                <w:szCs w:val="21"/>
              </w:rPr>
            </w:pPr>
            <w:r>
              <w:rPr>
                <w:rFonts w:hint="eastAsia" w:ascii="宋体" w:hAnsi="宋体"/>
                <w:color w:val="000000"/>
                <w:szCs w:val="21"/>
              </w:rPr>
              <w:t>3.具体设备的交货期：自收到招标人通知后2个月内。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jc w:val="center"/>
              <w:outlineLvl w:val="0"/>
              <w:rPr>
                <w:rFonts w:hAnsi="宋体" w:cs="宋体"/>
                <w:color w:val="000000"/>
                <w:sz w:val="21"/>
                <w:szCs w:val="21"/>
              </w:rPr>
            </w:pPr>
            <w:r>
              <w:rPr>
                <w:rFonts w:hint="eastAsia" w:hAnsi="宋体" w:cs="宋体"/>
                <w:color w:val="000000"/>
                <w:sz w:val="21"/>
                <w:szCs w:val="21"/>
              </w:rPr>
              <w:t>合作期限</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szCs w:val="21"/>
              </w:rPr>
            </w:pPr>
            <w:r>
              <w:rPr>
                <w:rFonts w:hint="eastAsia" w:ascii="宋体" w:hAnsi="宋体" w:cs="宋体"/>
                <w:bCs/>
                <w:color w:val="000000"/>
                <w:szCs w:val="21"/>
              </w:rPr>
              <w:t>合作期限五年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jc w:val="center"/>
              <w:outlineLvl w:val="0"/>
              <w:rPr>
                <w:rFonts w:hAnsi="宋体" w:cs="宋体"/>
                <w:color w:val="000000"/>
                <w:sz w:val="21"/>
                <w:szCs w:val="21"/>
              </w:rPr>
            </w:pPr>
            <w:r>
              <w:rPr>
                <w:rFonts w:hint="eastAsia" w:hAnsi="宋体" w:cs="宋体"/>
                <w:color w:val="000000"/>
                <w:sz w:val="21"/>
                <w:szCs w:val="21"/>
              </w:rPr>
              <w:t>投标报价要求</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szCs w:val="21"/>
              </w:rPr>
            </w:pPr>
            <w:r>
              <w:rPr>
                <w:rFonts w:hint="eastAsia" w:ascii="宋体" w:hAnsi="宋体" w:cs="宋体"/>
                <w:color w:val="000000"/>
                <w:szCs w:val="21"/>
              </w:rPr>
              <w:t>设备报价（以人民币报价）：</w:t>
            </w:r>
            <w:r>
              <w:rPr>
                <w:rFonts w:hint="eastAsia" w:ascii="宋体" w:hAnsi="宋体" w:cs="宋体"/>
                <w:color w:val="000000"/>
                <w:szCs w:val="21"/>
                <w:highlight w:val="none"/>
              </w:rPr>
              <w:t>应包括设备费、设备安装费、LIS端口接入费、运输费、技监部门检验合格、终验收、劳务耗材费用、中标服务费、人工费、企业管理费、合理利润、风险费用、税金、质保期内服务费用等</w:t>
            </w:r>
            <w:r>
              <w:rPr>
                <w:rFonts w:hint="eastAsia" w:ascii="宋体" w:hAnsi="宋体" w:cs="宋体"/>
                <w:color w:val="000000"/>
                <w:szCs w:val="21"/>
              </w:rPr>
              <w:t>直至完成本项目所产生的全部合理费用。</w:t>
            </w:r>
            <w:r>
              <w:rPr>
                <w:rFonts w:hint="eastAsia" w:ascii="宋体" w:hAnsi="宋体" w:cs="宋体"/>
                <w:b/>
                <w:bCs/>
                <w:color w:val="000000"/>
                <w:szCs w:val="21"/>
              </w:rPr>
              <w:t>设备价格中含试剂价值可按扣除结算，</w:t>
            </w:r>
            <w:r>
              <w:rPr>
                <w:rFonts w:hint="eastAsia"/>
                <w:b/>
                <w:bCs/>
                <w:color w:val="000000"/>
              </w:rPr>
              <w:t>以元为单位保留到万元</w:t>
            </w:r>
            <w:r>
              <w:rPr>
                <w:rFonts w:hint="eastAsia" w:ascii="宋体" w:hAnsi="宋体" w:cs="宋体"/>
                <w:b/>
                <w:bCs/>
                <w:color w:val="000000"/>
                <w:szCs w:val="21"/>
              </w:rPr>
              <w:t>，不足100万元的以100万元计。</w:t>
            </w:r>
          </w:p>
          <w:p>
            <w:pPr>
              <w:pStyle w:val="3"/>
              <w:adjustRightInd w:val="0"/>
              <w:snapToGrid w:val="0"/>
              <w:spacing w:after="0" w:line="360" w:lineRule="auto"/>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b/>
                <w:bCs/>
                <w:color w:val="000000"/>
                <w:sz w:val="21"/>
                <w:szCs w:val="21"/>
              </w:rPr>
              <w:t>设备类的总采购预算为</w:t>
            </w:r>
            <w:r>
              <w:rPr>
                <w:rFonts w:hint="eastAsia" w:ascii="宋体" w:hAnsi="宋体" w:cs="宋体"/>
                <w:b/>
                <w:bCs/>
                <w:color w:val="000000"/>
                <w:sz w:val="21"/>
                <w:szCs w:val="21"/>
                <w:lang w:val="en-US" w:eastAsia="zh-CN"/>
              </w:rPr>
              <w:t>500.00</w:t>
            </w:r>
            <w:r>
              <w:rPr>
                <w:rFonts w:hint="eastAsia" w:ascii="宋体" w:hAnsi="宋体" w:cs="宋体"/>
                <w:b/>
                <w:bCs/>
                <w:color w:val="000000"/>
                <w:sz w:val="21"/>
                <w:szCs w:val="21"/>
              </w:rPr>
              <w:t>万元，设备报价超过总采购预算的作无效标处理。各项设备的投标单价超过各对应设备的采购预算</w:t>
            </w:r>
            <w:r>
              <w:rPr>
                <w:rFonts w:hint="eastAsia" w:hAnsi="宋体" w:cs="宋体"/>
                <w:b/>
                <w:bCs/>
                <w:color w:val="000000"/>
                <w:sz w:val="21"/>
                <w:szCs w:val="21"/>
                <w:lang w:val="en-US" w:eastAsia="zh-CN"/>
              </w:rPr>
              <w:t>金额</w:t>
            </w:r>
            <w:r>
              <w:rPr>
                <w:rFonts w:hint="eastAsia" w:ascii="宋体" w:hAnsi="宋体" w:cs="宋体"/>
                <w:b/>
                <w:bCs/>
                <w:color w:val="000000"/>
                <w:sz w:val="21"/>
                <w:szCs w:val="21"/>
              </w:rPr>
              <w:t>的，作无效标处理（各设备采购预算金额详见设备采购一览表）。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jc w:val="center"/>
              <w:outlineLvl w:val="0"/>
              <w:rPr>
                <w:rFonts w:hAnsi="宋体" w:cs="宋体"/>
                <w:color w:val="000000"/>
                <w:sz w:val="21"/>
                <w:szCs w:val="21"/>
              </w:rPr>
            </w:pPr>
            <w:r>
              <w:rPr>
                <w:rFonts w:hint="eastAsia" w:hAnsi="宋体" w:cs="宋体"/>
                <w:color w:val="000000"/>
                <w:sz w:val="21"/>
                <w:szCs w:val="21"/>
              </w:rPr>
              <w:t>付款条件</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bCs/>
                <w:color w:val="000000"/>
                <w:szCs w:val="21"/>
              </w:rPr>
              <w:t>1.运营服务</w:t>
            </w:r>
            <w:r>
              <w:rPr>
                <w:rFonts w:hint="eastAsia" w:ascii="宋体" w:hAnsi="宋体" w:cs="宋体"/>
                <w:color w:val="000000"/>
                <w:szCs w:val="21"/>
              </w:rPr>
              <w:t>报价形式为临床检验试剂及配套耗材消耗费用占检验中心实验室临检项目收入百分比。检验中心实验室临检项目业务总收入包括生化项目、大型免疫发光项目、其他免疫发光项目、自身免疫项目等、特定蛋白项目、凝血项目、糖化血红蛋白项目、</w:t>
            </w:r>
            <w:r>
              <w:rPr>
                <w:rFonts w:hint="eastAsia" w:ascii="宋体" w:hAnsi="宋体" w:cs="宋体"/>
                <w:color w:val="000000" w:themeColor="text1"/>
                <w:szCs w:val="21"/>
                <w14:textFill>
                  <w14:solidFill>
                    <w14:schemeClr w14:val="tx1"/>
                  </w14:solidFill>
                </w14:textFill>
              </w:rPr>
              <w:t>微量元素项目、过敏源项目、白带常规检查项目、血培养项目、细菌鉴定项目、院感所需的检测项目等收入。检验中心收费（含体检）按宁波市医疗服务收费标准执行。配套试剂、耗材款按检验中心L</w:t>
            </w:r>
            <w:r>
              <w:rPr>
                <w:rFonts w:ascii="宋体" w:hAnsi="宋体" w:cs="宋体"/>
                <w:color w:val="000000" w:themeColor="text1"/>
                <w:szCs w:val="21"/>
                <w14:textFill>
                  <w14:solidFill>
                    <w14:schemeClr w14:val="tx1"/>
                  </w14:solidFill>
                </w14:textFill>
              </w:rPr>
              <w:t>IS</w:t>
            </w:r>
            <w:r>
              <w:rPr>
                <w:rFonts w:hint="eastAsia" w:ascii="宋体" w:hAnsi="宋体" w:cs="宋体"/>
                <w:color w:val="000000" w:themeColor="text1"/>
                <w:szCs w:val="21"/>
                <w14:textFill>
                  <w14:solidFill>
                    <w14:schemeClr w14:val="tx1"/>
                  </w14:solidFill>
                </w14:textFill>
              </w:rPr>
              <w:t>收入算，每月结算一次。</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2.新项目（目前三甲医院已经开展）结算价格不超过宁波市当地三甲医院的平均价。新研发项目结算价格与采购人另行约定。</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3.计价标准：当地政府部门规定的收费标准为该项目的唯一计价依据。</w:t>
            </w:r>
          </w:p>
          <w:p>
            <w:pPr>
              <w:spacing w:line="360" w:lineRule="auto"/>
              <w:rPr>
                <w:rFonts w:hint="eastAsia" w:ascii="宋体" w:hAnsi="宋体" w:cs="宋体"/>
                <w:color w:val="000000"/>
                <w:szCs w:val="21"/>
              </w:rPr>
            </w:pPr>
            <w:r>
              <w:rPr>
                <w:rFonts w:hint="eastAsia" w:ascii="宋体" w:hAnsi="宋体" w:cs="宋体"/>
                <w:color w:val="000000" w:themeColor="text1"/>
                <w:szCs w:val="21"/>
                <w14:textFill>
                  <w14:solidFill>
                    <w14:schemeClr w14:val="tx1"/>
                  </w14:solidFill>
                </w14:textFill>
              </w:rPr>
              <w:t>4.设备款结</w:t>
            </w:r>
            <w:r>
              <w:rPr>
                <w:rFonts w:hint="eastAsia" w:ascii="宋体" w:hAnsi="宋体" w:cs="宋体"/>
                <w:color w:val="000000"/>
                <w:szCs w:val="21"/>
              </w:rPr>
              <w:t>算：（1）合同签订生效以及具备实施条件后7个工作日内采购人向中标人支付合同金额的40%；(在签订合同时，供应商明确表示无需预付款或者主动要求降低预付款比例的，采购单位可不适用前述规定。)</w:t>
            </w:r>
          </w:p>
          <w:p>
            <w:pPr>
              <w:spacing w:line="360" w:lineRule="auto"/>
              <w:rPr>
                <w:rFonts w:hint="eastAsia" w:ascii="宋体" w:hAnsi="宋体" w:cs="宋体"/>
                <w:color w:val="000000"/>
                <w:szCs w:val="21"/>
              </w:rPr>
            </w:pPr>
            <w:r>
              <w:rPr>
                <w:rFonts w:hint="eastAsia" w:ascii="宋体" w:hAnsi="宋体" w:cs="宋体"/>
                <w:color w:val="000000"/>
                <w:szCs w:val="21"/>
              </w:rPr>
              <w:t>（2）设备安装验收合格</w:t>
            </w:r>
            <w:r>
              <w:rPr>
                <w:rFonts w:hint="eastAsia" w:ascii="宋体" w:hAnsi="宋体" w:cs="宋体"/>
                <w:color w:val="000000"/>
                <w:szCs w:val="21"/>
                <w:lang w:val="en-US" w:eastAsia="zh-CN"/>
              </w:rPr>
              <w:t>后</w:t>
            </w:r>
            <w:r>
              <w:rPr>
                <w:rFonts w:hint="eastAsia" w:ascii="宋体" w:hAnsi="宋体" w:cs="宋体"/>
                <w:color w:val="000000"/>
                <w:szCs w:val="21"/>
              </w:rPr>
              <w:t>7个工作日内付清合同</w:t>
            </w:r>
            <w:r>
              <w:rPr>
                <w:rFonts w:hint="eastAsia" w:ascii="宋体" w:hAnsi="宋体" w:cs="宋体"/>
                <w:color w:val="000000"/>
                <w:szCs w:val="21"/>
                <w:lang w:eastAsia="zh-CN"/>
              </w:rPr>
              <w:t>金额</w:t>
            </w:r>
            <w:r>
              <w:rPr>
                <w:rFonts w:hint="eastAsia" w:ascii="宋体" w:hAnsi="宋体" w:cs="宋体"/>
                <w:color w:val="000000"/>
                <w:szCs w:val="21"/>
              </w:rPr>
              <w:t>的100%；</w:t>
            </w:r>
          </w:p>
          <w:p>
            <w:pPr>
              <w:spacing w:line="360" w:lineRule="auto"/>
              <w:rPr>
                <w:rFonts w:hint="eastAsia"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）采购人支付前，中标供应商须提供正规财务发票，否则采购人有权不予支付。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beforeLines="0" w:after="120" w:afterLines="0" w:line="240" w:lineRule="auto"/>
              <w:jc w:val="center"/>
              <w:outlineLvl w:val="0"/>
              <w:rPr>
                <w:rFonts w:hAnsi="宋体" w:cs="宋体"/>
                <w:color w:val="000000"/>
                <w:sz w:val="21"/>
                <w:szCs w:val="21"/>
              </w:rPr>
            </w:pPr>
            <w:r>
              <w:rPr>
                <w:rFonts w:hint="eastAsia" w:hAnsi="宋体" w:cs="宋体"/>
                <w:color w:val="000000"/>
                <w:sz w:val="21"/>
                <w:szCs w:val="21"/>
              </w:rPr>
              <w:t>履约保证金</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beforeLines="0" w:after="120" w:afterLines="0" w:line="360" w:lineRule="auto"/>
              <w:rPr>
                <w:rFonts w:hint="eastAsia" w:hAnsi="宋体" w:cs="宋体"/>
                <w:color w:val="000000"/>
                <w:sz w:val="21"/>
                <w:szCs w:val="21"/>
              </w:rPr>
            </w:pPr>
            <w:r>
              <w:rPr>
                <w:rFonts w:hint="eastAsia" w:hAnsi="宋体" w:cs="宋体"/>
                <w:color w:val="000000"/>
                <w:sz w:val="21"/>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beforeLines="0" w:after="120" w:afterLines="0" w:line="240" w:lineRule="auto"/>
              <w:jc w:val="center"/>
              <w:outlineLvl w:val="0"/>
              <w:rPr>
                <w:rFonts w:hAnsi="宋体" w:cs="宋体"/>
                <w:color w:val="000000"/>
                <w:sz w:val="21"/>
                <w:szCs w:val="21"/>
              </w:rPr>
            </w:pPr>
            <w:r>
              <w:rPr>
                <w:rFonts w:hint="eastAsia" w:hAnsi="宋体" w:cs="宋体"/>
                <w:color w:val="000000"/>
                <w:sz w:val="21"/>
                <w:szCs w:val="21"/>
              </w:rPr>
              <w:t>其他要求</w:t>
            </w:r>
          </w:p>
        </w:tc>
        <w:tc>
          <w:tcPr>
            <w:tcW w:w="76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rPr>
              <w:t>1.投标人应提</w:t>
            </w:r>
            <w:r>
              <w:rPr>
                <w:rFonts w:hint="eastAsia" w:ascii="宋体" w:hAnsi="宋体" w:cs="宋体"/>
                <w:color w:val="000000"/>
                <w:szCs w:val="21"/>
              </w:rPr>
              <w:t>供设备配置清单（含报价）。</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2.投标人需提供厂家技术支持资料，并保证其技术支持资料是完整的、真实的。</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3.招标文件中提供的证明文件及标准数据表等需加盖单位公章。</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4.投标人可以提供的合理建议和优惠措施（资产管理、辅助设备、耗材配件、特色服务等）。</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★5.投标人为医疗器械生产企业的：第二类、第三类医疗器械生产企业提供《医疗器械生产许可证》复印件、第一类医疗器械生产企业提供第一类医疗器械生产备案凭证复印件；</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投标人为医疗器械经营企业的：第三类医疗器械经营企业提供《医疗器械经营许可证》复印件、第二类医疗器械经营企业提供第二类医疗器械经营备案凭证复印件；（适用于按医疗器械管理的货物）。</w:t>
            </w:r>
          </w:p>
          <w:p>
            <w:pPr>
              <w:pStyle w:val="3"/>
              <w:adjustRightInd w:val="0"/>
              <w:snapToGrid w:val="0"/>
              <w:spacing w:after="0" w:line="360" w:lineRule="auto"/>
              <w:rPr>
                <w:rFonts w:hint="eastAsia"/>
                <w:color w:val="000000"/>
              </w:rPr>
            </w:pPr>
            <w:r>
              <w:rPr>
                <w:rFonts w:hint="eastAsia" w:ascii="宋体" w:hAnsi="宋体" w:cs="宋体"/>
                <w:color w:val="000000"/>
                <w:sz w:val="21"/>
                <w:szCs w:val="21"/>
              </w:rPr>
              <w:t>食品药品监督管理部门核发的完整有效的医疗器械注册或备案证明复印件；（适用于按医疗器械管理的设备）</w:t>
            </w:r>
            <w:r>
              <w:rPr>
                <w:rFonts w:hint="eastAsia" w:ascii="宋体" w:hAnsi="宋体" w:cs="宋体"/>
                <w:color w:val="000000"/>
                <w:sz w:val="21"/>
                <w:szCs w:val="21"/>
                <w:lang w:val="zh-CN"/>
              </w:rPr>
              <w:t xml:space="preserve"> </w:t>
            </w:r>
          </w:p>
        </w:tc>
      </w:tr>
    </w:tbl>
    <w:p>
      <w:pPr>
        <w:numPr>
          <w:ilvl w:val="0"/>
          <w:numId w:val="0"/>
        </w:numPr>
        <w:spacing w:line="360" w:lineRule="auto"/>
        <w:rPr>
          <w:rFonts w:hint="eastAsia" w:ascii="宋体" w:hAnsi="宋体" w:cs="宋体"/>
          <w:b/>
          <w:bCs/>
          <w:color w:val="000000" w:themeColor="text1"/>
          <w:szCs w:val="21"/>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bookmarkStart w:id="73" w:name="_Toc22578"/>
      <w:bookmarkStart w:id="74" w:name="_Toc22878"/>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5" w:name="_Toc184314463"/>
      <w:bookmarkEnd w:id="75"/>
      <w:bookmarkStart w:id="76" w:name="_Toc184308058"/>
      <w:bookmarkEnd w:id="76"/>
      <w:bookmarkStart w:id="77" w:name="_Toc184314446"/>
      <w:bookmarkEnd w:id="77"/>
      <w:bookmarkStart w:id="78" w:name="_Toc184312093"/>
      <w:bookmarkEnd w:id="78"/>
      <w:bookmarkStart w:id="79" w:name="_Toc184312079"/>
      <w:bookmarkEnd w:id="79"/>
      <w:bookmarkStart w:id="80" w:name="_Toc184314419"/>
      <w:bookmarkEnd w:id="80"/>
      <w:bookmarkStart w:id="81" w:name="_Toc184313243"/>
      <w:bookmarkEnd w:id="81"/>
      <w:bookmarkStart w:id="82" w:name="_Toc184312120"/>
      <w:bookmarkEnd w:id="82"/>
      <w:bookmarkStart w:id="83" w:name="_Toc184308088"/>
      <w:bookmarkEnd w:id="83"/>
      <w:bookmarkStart w:id="84" w:name="_Toc184308057"/>
      <w:bookmarkEnd w:id="84"/>
      <w:bookmarkStart w:id="85" w:name="_Toc184312092"/>
      <w:bookmarkEnd w:id="85"/>
      <w:bookmarkStart w:id="86" w:name="_Toc184310333"/>
      <w:bookmarkEnd w:id="86"/>
      <w:bookmarkStart w:id="87" w:name="_Toc184310317"/>
      <w:bookmarkEnd w:id="87"/>
      <w:bookmarkStart w:id="88" w:name="_Toc184312101"/>
      <w:bookmarkEnd w:id="88"/>
      <w:bookmarkStart w:id="89" w:name="_Toc184310303"/>
      <w:bookmarkEnd w:id="89"/>
      <w:bookmarkStart w:id="90" w:name="_Toc184310289"/>
      <w:bookmarkEnd w:id="90"/>
      <w:bookmarkStart w:id="91" w:name="_Toc184312121"/>
      <w:bookmarkEnd w:id="91"/>
      <w:bookmarkStart w:id="92" w:name="_Toc184312088"/>
      <w:bookmarkEnd w:id="92"/>
      <w:bookmarkStart w:id="93" w:name="_Toc184312076"/>
      <w:bookmarkEnd w:id="93"/>
      <w:bookmarkStart w:id="94" w:name="_Toc184313308"/>
      <w:bookmarkEnd w:id="94"/>
      <w:bookmarkStart w:id="95" w:name="_Toc184312082"/>
      <w:bookmarkEnd w:id="95"/>
      <w:bookmarkStart w:id="96" w:name="_Toc184308093"/>
      <w:bookmarkEnd w:id="96"/>
      <w:bookmarkStart w:id="97" w:name="_Toc184312123"/>
      <w:bookmarkEnd w:id="97"/>
      <w:bookmarkStart w:id="98" w:name="_Toc184312077"/>
      <w:bookmarkEnd w:id="98"/>
      <w:bookmarkStart w:id="99" w:name="_Toc184313310"/>
      <w:bookmarkEnd w:id="99"/>
      <w:bookmarkStart w:id="100" w:name="_Toc184308085"/>
      <w:bookmarkEnd w:id="100"/>
      <w:bookmarkStart w:id="101" w:name="_Toc184308061"/>
      <w:bookmarkEnd w:id="101"/>
      <w:bookmarkStart w:id="102" w:name="_Toc184310316"/>
      <w:bookmarkEnd w:id="102"/>
      <w:bookmarkStart w:id="103" w:name="_Toc184313271"/>
      <w:bookmarkEnd w:id="103"/>
      <w:bookmarkStart w:id="104" w:name="_Toc184314424"/>
      <w:bookmarkEnd w:id="104"/>
      <w:bookmarkStart w:id="105" w:name="_Toc184312074"/>
      <w:bookmarkEnd w:id="105"/>
      <w:bookmarkStart w:id="106" w:name="_Toc184313293"/>
      <w:bookmarkEnd w:id="106"/>
      <w:bookmarkStart w:id="107" w:name="_Toc184312102"/>
      <w:bookmarkEnd w:id="107"/>
      <w:bookmarkStart w:id="108" w:name="_Toc184312081"/>
      <w:bookmarkEnd w:id="108"/>
      <w:bookmarkStart w:id="109" w:name="_Toc184313304"/>
      <w:bookmarkEnd w:id="109"/>
      <w:bookmarkStart w:id="110" w:name="_Toc184313264"/>
      <w:bookmarkEnd w:id="110"/>
      <w:bookmarkStart w:id="111" w:name="_Toc184308054"/>
      <w:bookmarkEnd w:id="111"/>
      <w:bookmarkStart w:id="112" w:name="_Toc184313253"/>
      <w:bookmarkEnd w:id="112"/>
      <w:bookmarkStart w:id="113" w:name="_Toc184308043"/>
      <w:bookmarkEnd w:id="113"/>
      <w:bookmarkStart w:id="114" w:name="_Toc184314472"/>
      <w:bookmarkEnd w:id="114"/>
      <w:bookmarkStart w:id="115" w:name="_Toc184312134"/>
      <w:bookmarkEnd w:id="115"/>
      <w:bookmarkStart w:id="116" w:name="_Toc184312072"/>
      <w:bookmarkEnd w:id="116"/>
      <w:bookmarkStart w:id="117" w:name="_Toc184308073"/>
      <w:bookmarkEnd w:id="117"/>
      <w:bookmarkStart w:id="118" w:name="_Toc184310311"/>
      <w:bookmarkEnd w:id="118"/>
      <w:bookmarkStart w:id="119" w:name="_Toc184312113"/>
      <w:bookmarkEnd w:id="119"/>
      <w:bookmarkStart w:id="120" w:name="_Toc184310324"/>
      <w:bookmarkEnd w:id="120"/>
      <w:bookmarkStart w:id="121" w:name="_Toc184308068"/>
      <w:bookmarkEnd w:id="121"/>
      <w:bookmarkStart w:id="122" w:name="_Toc184313263"/>
      <w:bookmarkEnd w:id="122"/>
      <w:bookmarkStart w:id="123" w:name="_Toc184312114"/>
      <w:bookmarkEnd w:id="123"/>
      <w:bookmarkStart w:id="124" w:name="_Toc184313258"/>
      <w:bookmarkEnd w:id="124"/>
      <w:bookmarkStart w:id="125" w:name="_Toc184308060"/>
      <w:bookmarkEnd w:id="125"/>
      <w:bookmarkStart w:id="126" w:name="_Toc184308107"/>
      <w:bookmarkEnd w:id="126"/>
      <w:bookmarkStart w:id="127" w:name="_Toc184310280"/>
      <w:bookmarkEnd w:id="127"/>
      <w:bookmarkStart w:id="128" w:name="_Toc184308065"/>
      <w:bookmarkEnd w:id="128"/>
      <w:bookmarkStart w:id="129" w:name="_Toc184314431"/>
      <w:bookmarkEnd w:id="129"/>
      <w:bookmarkStart w:id="130" w:name="_Toc184310290"/>
      <w:bookmarkEnd w:id="130"/>
      <w:bookmarkStart w:id="131" w:name="_Toc184308072"/>
      <w:bookmarkEnd w:id="131"/>
      <w:bookmarkStart w:id="132" w:name="_Toc184310323"/>
      <w:bookmarkEnd w:id="132"/>
      <w:bookmarkStart w:id="133" w:name="_Toc184312098"/>
      <w:bookmarkEnd w:id="133"/>
      <w:bookmarkStart w:id="134" w:name="_Toc184308049"/>
      <w:bookmarkEnd w:id="134"/>
      <w:bookmarkStart w:id="135" w:name="_Toc184310309"/>
      <w:bookmarkEnd w:id="135"/>
      <w:bookmarkStart w:id="136" w:name="_Toc184313242"/>
      <w:bookmarkEnd w:id="136"/>
      <w:bookmarkStart w:id="137" w:name="_Toc184313279"/>
      <w:bookmarkEnd w:id="137"/>
      <w:bookmarkStart w:id="138" w:name="_Toc184308092"/>
      <w:bookmarkEnd w:id="138"/>
      <w:bookmarkStart w:id="139" w:name="_Toc184310332"/>
      <w:bookmarkEnd w:id="139"/>
      <w:bookmarkStart w:id="140" w:name="_Toc184314426"/>
      <w:bookmarkEnd w:id="140"/>
      <w:bookmarkStart w:id="141" w:name="_Toc184308080"/>
      <w:bookmarkEnd w:id="141"/>
      <w:bookmarkStart w:id="142" w:name="_Toc184314462"/>
      <w:bookmarkEnd w:id="142"/>
      <w:bookmarkStart w:id="143" w:name="_Toc184312107"/>
      <w:bookmarkEnd w:id="143"/>
      <w:bookmarkStart w:id="144" w:name="_Toc184312139"/>
      <w:bookmarkEnd w:id="144"/>
      <w:bookmarkStart w:id="145" w:name="_Toc184314453"/>
      <w:bookmarkEnd w:id="145"/>
      <w:bookmarkStart w:id="146" w:name="_Toc184310279"/>
      <w:bookmarkEnd w:id="146"/>
      <w:bookmarkStart w:id="147" w:name="_Toc184308077"/>
      <w:bookmarkEnd w:id="147"/>
      <w:bookmarkStart w:id="148" w:name="_Toc184312137"/>
      <w:bookmarkEnd w:id="148"/>
      <w:bookmarkStart w:id="149" w:name="_Toc184310312"/>
      <w:bookmarkEnd w:id="149"/>
      <w:bookmarkStart w:id="150" w:name="_Toc184313280"/>
      <w:bookmarkEnd w:id="150"/>
      <w:bookmarkStart w:id="151" w:name="_Toc184308037"/>
      <w:bookmarkEnd w:id="151"/>
      <w:bookmarkStart w:id="152" w:name="_Toc184310272"/>
      <w:bookmarkEnd w:id="152"/>
      <w:bookmarkStart w:id="153" w:name="_Toc184312108"/>
      <w:bookmarkEnd w:id="153"/>
      <w:bookmarkStart w:id="154" w:name="_Toc184314455"/>
      <w:bookmarkEnd w:id="154"/>
      <w:bookmarkStart w:id="155" w:name="_Toc184310281"/>
      <w:bookmarkEnd w:id="155"/>
      <w:bookmarkStart w:id="156" w:name="_Toc184313277"/>
      <w:bookmarkEnd w:id="156"/>
      <w:bookmarkStart w:id="157" w:name="_Toc184308086"/>
      <w:bookmarkEnd w:id="157"/>
      <w:bookmarkStart w:id="158" w:name="_Toc184313261"/>
      <w:bookmarkEnd w:id="158"/>
      <w:bookmarkStart w:id="159" w:name="_Toc184313275"/>
      <w:bookmarkEnd w:id="159"/>
      <w:bookmarkStart w:id="160" w:name="_Toc184314475"/>
      <w:bookmarkEnd w:id="160"/>
      <w:bookmarkStart w:id="161" w:name="_Toc184313278"/>
      <w:bookmarkEnd w:id="161"/>
      <w:bookmarkStart w:id="162" w:name="_Toc184313299"/>
      <w:bookmarkEnd w:id="162"/>
      <w:bookmarkStart w:id="163" w:name="_Toc184314413"/>
      <w:bookmarkEnd w:id="163"/>
      <w:bookmarkStart w:id="164" w:name="_Toc184312129"/>
      <w:bookmarkEnd w:id="164"/>
      <w:bookmarkStart w:id="165" w:name="_Toc184313248"/>
      <w:bookmarkEnd w:id="165"/>
      <w:bookmarkStart w:id="166" w:name="_Toc184308050"/>
      <w:bookmarkEnd w:id="166"/>
      <w:bookmarkStart w:id="167" w:name="_Toc184314449"/>
      <w:bookmarkEnd w:id="167"/>
      <w:bookmarkStart w:id="168" w:name="_Toc184308106"/>
      <w:bookmarkEnd w:id="168"/>
      <w:bookmarkStart w:id="169" w:name="_Toc184313241"/>
      <w:bookmarkEnd w:id="169"/>
      <w:bookmarkStart w:id="170" w:name="_Toc184314438"/>
      <w:bookmarkEnd w:id="170"/>
      <w:bookmarkStart w:id="171" w:name="_Toc184313295"/>
      <w:bookmarkEnd w:id="171"/>
      <w:bookmarkStart w:id="172" w:name="_Toc184314428"/>
      <w:bookmarkEnd w:id="172"/>
      <w:bookmarkStart w:id="173" w:name="_Toc184314454"/>
      <w:bookmarkEnd w:id="173"/>
      <w:bookmarkStart w:id="174" w:name="_Toc184314427"/>
      <w:bookmarkEnd w:id="174"/>
      <w:bookmarkStart w:id="175" w:name="_Toc184310329"/>
      <w:bookmarkEnd w:id="175"/>
      <w:bookmarkStart w:id="176" w:name="_Toc184313290"/>
      <w:bookmarkEnd w:id="176"/>
      <w:bookmarkStart w:id="177" w:name="_Toc184310299"/>
      <w:bookmarkEnd w:id="177"/>
      <w:bookmarkStart w:id="178" w:name="_Toc184310338"/>
      <w:bookmarkEnd w:id="178"/>
      <w:bookmarkStart w:id="179" w:name="_Toc184313266"/>
      <w:bookmarkEnd w:id="179"/>
      <w:bookmarkStart w:id="180" w:name="_Toc184313306"/>
      <w:bookmarkEnd w:id="180"/>
      <w:bookmarkStart w:id="181" w:name="_Toc184314456"/>
      <w:bookmarkEnd w:id="181"/>
      <w:bookmarkStart w:id="182" w:name="_Toc184308081"/>
      <w:bookmarkEnd w:id="182"/>
      <w:bookmarkStart w:id="183" w:name="_Toc184312138"/>
      <w:bookmarkEnd w:id="183"/>
      <w:bookmarkStart w:id="184" w:name="_Toc184308101"/>
      <w:bookmarkEnd w:id="184"/>
      <w:bookmarkStart w:id="185" w:name="_Toc184313250"/>
      <w:bookmarkEnd w:id="185"/>
      <w:bookmarkStart w:id="186" w:name="_Toc184312128"/>
      <w:bookmarkEnd w:id="186"/>
      <w:bookmarkStart w:id="187" w:name="_Toc184308046"/>
      <w:bookmarkEnd w:id="187"/>
      <w:bookmarkStart w:id="188" w:name="_Toc184310319"/>
      <w:bookmarkEnd w:id="188"/>
      <w:bookmarkStart w:id="189" w:name="_Toc184310320"/>
      <w:bookmarkEnd w:id="189"/>
      <w:bookmarkStart w:id="190" w:name="_Toc184310322"/>
      <w:bookmarkEnd w:id="190"/>
      <w:bookmarkStart w:id="191" w:name="_Toc184310326"/>
      <w:bookmarkEnd w:id="191"/>
      <w:bookmarkStart w:id="192" w:name="_Toc184313251"/>
      <w:bookmarkEnd w:id="192"/>
      <w:bookmarkStart w:id="193" w:name="_Toc184312096"/>
      <w:bookmarkEnd w:id="193"/>
      <w:bookmarkStart w:id="194" w:name="_Toc184310315"/>
      <w:bookmarkEnd w:id="194"/>
      <w:bookmarkStart w:id="195" w:name="_Toc184308055"/>
      <w:bookmarkEnd w:id="195"/>
      <w:bookmarkStart w:id="196" w:name="_Toc184313244"/>
      <w:bookmarkEnd w:id="196"/>
      <w:bookmarkStart w:id="197" w:name="_Toc184308040"/>
      <w:bookmarkEnd w:id="197"/>
      <w:bookmarkStart w:id="198" w:name="_Toc184314440"/>
      <w:bookmarkEnd w:id="198"/>
      <w:bookmarkStart w:id="199" w:name="_Toc184313254"/>
      <w:bookmarkEnd w:id="199"/>
      <w:bookmarkStart w:id="200" w:name="_Toc184314437"/>
      <w:bookmarkEnd w:id="200"/>
      <w:bookmarkStart w:id="201" w:name="_Toc184308047"/>
      <w:bookmarkEnd w:id="201"/>
      <w:bookmarkStart w:id="202" w:name="_Toc184310275"/>
      <w:bookmarkEnd w:id="202"/>
      <w:bookmarkStart w:id="203" w:name="_Toc184314439"/>
      <w:bookmarkEnd w:id="203"/>
      <w:bookmarkStart w:id="204" w:name="_Toc184310342"/>
      <w:bookmarkEnd w:id="204"/>
      <w:bookmarkStart w:id="205" w:name="_Toc184313273"/>
      <w:bookmarkEnd w:id="205"/>
      <w:bookmarkStart w:id="206" w:name="_Toc184313252"/>
      <w:bookmarkEnd w:id="206"/>
      <w:bookmarkStart w:id="207" w:name="_Toc184313239"/>
      <w:bookmarkEnd w:id="207"/>
      <w:bookmarkStart w:id="208" w:name="_Toc184308036"/>
      <w:bookmarkEnd w:id="208"/>
      <w:bookmarkStart w:id="209" w:name="_Toc184308038"/>
      <w:bookmarkEnd w:id="209"/>
      <w:bookmarkStart w:id="210" w:name="_Toc184312106"/>
      <w:bookmarkEnd w:id="210"/>
      <w:bookmarkStart w:id="211" w:name="_Toc184314429"/>
      <w:bookmarkEnd w:id="211"/>
      <w:bookmarkStart w:id="212" w:name="_Toc184314482"/>
      <w:bookmarkEnd w:id="212"/>
      <w:bookmarkStart w:id="213" w:name="_Toc184312068"/>
      <w:bookmarkEnd w:id="213"/>
      <w:bookmarkStart w:id="214" w:name="_Toc184313247"/>
      <w:bookmarkEnd w:id="214"/>
      <w:bookmarkStart w:id="215" w:name="_Toc184308098"/>
      <w:bookmarkEnd w:id="215"/>
      <w:bookmarkStart w:id="216" w:name="_Toc184314417"/>
      <w:bookmarkEnd w:id="216"/>
      <w:bookmarkStart w:id="217" w:name="_Toc184310341"/>
      <w:bookmarkEnd w:id="217"/>
      <w:bookmarkStart w:id="218" w:name="_Toc184308051"/>
      <w:bookmarkEnd w:id="218"/>
      <w:bookmarkStart w:id="219" w:name="_Toc184310298"/>
      <w:bookmarkEnd w:id="219"/>
      <w:bookmarkStart w:id="220" w:name="_Toc184308052"/>
      <w:bookmarkEnd w:id="220"/>
      <w:bookmarkStart w:id="221" w:name="_Toc184312087"/>
      <w:bookmarkEnd w:id="221"/>
      <w:bookmarkStart w:id="222" w:name="_Toc184313288"/>
      <w:bookmarkEnd w:id="222"/>
      <w:bookmarkStart w:id="223" w:name="_Toc184313305"/>
      <w:bookmarkEnd w:id="223"/>
      <w:bookmarkStart w:id="224" w:name="_Toc184313286"/>
      <w:bookmarkEnd w:id="224"/>
      <w:bookmarkStart w:id="225" w:name="_Toc184308078"/>
      <w:bookmarkEnd w:id="225"/>
      <w:bookmarkStart w:id="226" w:name="_Toc184313262"/>
      <w:bookmarkEnd w:id="226"/>
      <w:bookmarkStart w:id="227" w:name="_Toc184313256"/>
      <w:bookmarkEnd w:id="227"/>
      <w:bookmarkStart w:id="228" w:name="_Toc184310285"/>
      <w:bookmarkEnd w:id="228"/>
      <w:bookmarkStart w:id="229" w:name="_Toc184308039"/>
      <w:bookmarkEnd w:id="229"/>
      <w:bookmarkStart w:id="230" w:name="_Toc184308084"/>
      <w:bookmarkEnd w:id="230"/>
      <w:bookmarkStart w:id="231" w:name="_Toc184312070"/>
      <w:bookmarkEnd w:id="231"/>
      <w:bookmarkStart w:id="232" w:name="_Toc184308083"/>
      <w:bookmarkEnd w:id="232"/>
      <w:bookmarkStart w:id="233" w:name="_Toc184313246"/>
      <w:bookmarkEnd w:id="233"/>
      <w:bookmarkStart w:id="234" w:name="_Toc184313284"/>
      <w:bookmarkEnd w:id="234"/>
      <w:bookmarkStart w:id="235" w:name="_Toc184314469"/>
      <w:bookmarkEnd w:id="235"/>
      <w:bookmarkStart w:id="236" w:name="_Toc184310310"/>
      <w:bookmarkEnd w:id="236"/>
      <w:bookmarkStart w:id="237" w:name="_Toc184314464"/>
      <w:bookmarkEnd w:id="237"/>
      <w:bookmarkStart w:id="238" w:name="_Toc184314476"/>
      <w:bookmarkEnd w:id="238"/>
      <w:bookmarkStart w:id="239" w:name="_Toc184310321"/>
      <w:bookmarkEnd w:id="239"/>
      <w:bookmarkStart w:id="240" w:name="_Toc184308082"/>
      <w:bookmarkEnd w:id="240"/>
      <w:bookmarkStart w:id="241" w:name="_Toc184314471"/>
      <w:bookmarkEnd w:id="241"/>
      <w:bookmarkStart w:id="242" w:name="_Toc184314422"/>
      <w:bookmarkEnd w:id="242"/>
      <w:bookmarkStart w:id="243" w:name="_Toc184310274"/>
      <w:bookmarkEnd w:id="243"/>
      <w:bookmarkStart w:id="244" w:name="_Toc184308066"/>
      <w:bookmarkEnd w:id="244"/>
      <w:bookmarkStart w:id="245" w:name="_Toc184313257"/>
      <w:bookmarkEnd w:id="245"/>
      <w:bookmarkStart w:id="246" w:name="_Toc184313238"/>
      <w:bookmarkEnd w:id="246"/>
      <w:bookmarkStart w:id="247" w:name="_Toc184314434"/>
      <w:bookmarkEnd w:id="247"/>
      <w:bookmarkStart w:id="248" w:name="_Toc184312090"/>
      <w:bookmarkEnd w:id="248"/>
      <w:bookmarkStart w:id="249" w:name="_Toc184310292"/>
      <w:bookmarkEnd w:id="249"/>
      <w:bookmarkStart w:id="250" w:name="_Toc184313294"/>
      <w:bookmarkEnd w:id="250"/>
      <w:bookmarkStart w:id="251" w:name="_Toc184308041"/>
      <w:bookmarkEnd w:id="251"/>
      <w:bookmarkStart w:id="252" w:name="_Toc184310306"/>
      <w:bookmarkEnd w:id="252"/>
      <w:bookmarkStart w:id="253" w:name="_Toc184313297"/>
      <w:bookmarkEnd w:id="253"/>
      <w:bookmarkStart w:id="254" w:name="_Toc184310336"/>
      <w:bookmarkEnd w:id="254"/>
      <w:bookmarkStart w:id="255" w:name="_Toc184310340"/>
      <w:bookmarkEnd w:id="255"/>
      <w:bookmarkStart w:id="256" w:name="_Toc184313291"/>
      <w:bookmarkEnd w:id="256"/>
      <w:bookmarkStart w:id="257" w:name="_Toc184310344"/>
      <w:bookmarkEnd w:id="257"/>
      <w:bookmarkStart w:id="258" w:name="_Toc184314459"/>
      <w:bookmarkEnd w:id="258"/>
      <w:bookmarkStart w:id="259" w:name="_Toc184310291"/>
      <w:bookmarkEnd w:id="259"/>
      <w:bookmarkStart w:id="260" w:name="_Toc184314425"/>
      <w:bookmarkEnd w:id="260"/>
      <w:bookmarkStart w:id="261" w:name="_Toc184314448"/>
      <w:bookmarkEnd w:id="261"/>
      <w:bookmarkStart w:id="262" w:name="_Toc184314451"/>
      <w:bookmarkEnd w:id="262"/>
      <w:bookmarkStart w:id="263" w:name="_Toc184310297"/>
      <w:bookmarkEnd w:id="263"/>
      <w:bookmarkStart w:id="264" w:name="_Toc184312080"/>
      <w:bookmarkEnd w:id="264"/>
      <w:bookmarkStart w:id="265" w:name="_Toc184310330"/>
      <w:bookmarkEnd w:id="265"/>
      <w:bookmarkStart w:id="266" w:name="_Toc184308090"/>
      <w:bookmarkEnd w:id="266"/>
      <w:bookmarkStart w:id="267" w:name="_Toc184312105"/>
      <w:bookmarkEnd w:id="267"/>
      <w:bookmarkStart w:id="268" w:name="_Toc184314443"/>
      <w:bookmarkEnd w:id="268"/>
      <w:bookmarkStart w:id="269" w:name="_Toc184314477"/>
      <w:bookmarkEnd w:id="269"/>
      <w:bookmarkStart w:id="270" w:name="_Toc184312131"/>
      <w:bookmarkEnd w:id="270"/>
      <w:bookmarkStart w:id="271" w:name="_Toc184313309"/>
      <w:bookmarkEnd w:id="271"/>
      <w:bookmarkStart w:id="272" w:name="_Toc184310276"/>
      <w:bookmarkEnd w:id="272"/>
      <w:bookmarkStart w:id="273" w:name="_Toc184310287"/>
      <w:bookmarkEnd w:id="273"/>
      <w:bookmarkStart w:id="274" w:name="_Toc184312091"/>
      <w:bookmarkEnd w:id="274"/>
      <w:bookmarkStart w:id="275" w:name="_Toc184310325"/>
      <w:bookmarkEnd w:id="275"/>
      <w:bookmarkStart w:id="276" w:name="_Toc184314466"/>
      <w:bookmarkEnd w:id="276"/>
      <w:bookmarkStart w:id="277" w:name="_Toc184313281"/>
      <w:bookmarkEnd w:id="277"/>
      <w:bookmarkStart w:id="278" w:name="_Toc184310331"/>
      <w:bookmarkEnd w:id="278"/>
      <w:bookmarkStart w:id="279" w:name="_Toc184314420"/>
      <w:bookmarkEnd w:id="279"/>
      <w:bookmarkStart w:id="280" w:name="_Toc184313269"/>
      <w:bookmarkEnd w:id="280"/>
      <w:bookmarkStart w:id="281" w:name="_Toc184308074"/>
      <w:bookmarkEnd w:id="281"/>
      <w:bookmarkStart w:id="282" w:name="_Toc184314416"/>
      <w:bookmarkEnd w:id="282"/>
      <w:bookmarkStart w:id="283" w:name="_Toc184314480"/>
      <w:bookmarkEnd w:id="283"/>
      <w:bookmarkStart w:id="284" w:name="_Toc184313268"/>
      <w:bookmarkEnd w:id="284"/>
      <w:bookmarkStart w:id="285" w:name="_Toc184312132"/>
      <w:bookmarkEnd w:id="285"/>
      <w:bookmarkStart w:id="286" w:name="_Toc184310343"/>
      <w:bookmarkEnd w:id="286"/>
      <w:bookmarkStart w:id="287" w:name="_Toc184312069"/>
      <w:bookmarkEnd w:id="287"/>
      <w:bookmarkStart w:id="288" w:name="_Toc184308104"/>
      <w:bookmarkEnd w:id="288"/>
      <w:bookmarkStart w:id="289" w:name="_Toc184314444"/>
      <w:bookmarkEnd w:id="289"/>
      <w:bookmarkStart w:id="290" w:name="_Toc184312086"/>
      <w:bookmarkEnd w:id="290"/>
      <w:bookmarkStart w:id="291" w:name="_Toc184310296"/>
      <w:bookmarkEnd w:id="291"/>
      <w:bookmarkStart w:id="292" w:name="_Toc184312127"/>
      <w:bookmarkEnd w:id="292"/>
      <w:bookmarkStart w:id="293" w:name="_Toc184314412"/>
      <w:bookmarkEnd w:id="293"/>
      <w:bookmarkStart w:id="294" w:name="_Toc184314473"/>
      <w:bookmarkEnd w:id="294"/>
      <w:bookmarkStart w:id="295" w:name="_Toc184310295"/>
      <w:bookmarkEnd w:id="295"/>
      <w:bookmarkStart w:id="296" w:name="_Toc184310300"/>
      <w:bookmarkEnd w:id="296"/>
      <w:bookmarkStart w:id="297" w:name="_Toc184308045"/>
      <w:bookmarkEnd w:id="297"/>
      <w:bookmarkStart w:id="298" w:name="_Toc184313303"/>
      <w:bookmarkEnd w:id="298"/>
      <w:bookmarkStart w:id="299" w:name="_Toc184310335"/>
      <w:bookmarkEnd w:id="299"/>
      <w:bookmarkStart w:id="300" w:name="_Toc184308095"/>
      <w:bookmarkEnd w:id="300"/>
      <w:bookmarkStart w:id="301" w:name="_Toc184310308"/>
      <w:bookmarkEnd w:id="301"/>
      <w:bookmarkStart w:id="302" w:name="_Toc184313240"/>
      <w:bookmarkEnd w:id="302"/>
      <w:bookmarkStart w:id="303" w:name="_Toc184308108"/>
      <w:bookmarkEnd w:id="303"/>
      <w:bookmarkStart w:id="304" w:name="_Toc184312136"/>
      <w:bookmarkEnd w:id="304"/>
      <w:bookmarkStart w:id="305" w:name="_Toc184314478"/>
      <w:bookmarkEnd w:id="305"/>
      <w:bookmarkStart w:id="306" w:name="_Toc184312085"/>
      <w:bookmarkEnd w:id="306"/>
      <w:bookmarkStart w:id="307" w:name="_Toc184314447"/>
      <w:bookmarkEnd w:id="307"/>
      <w:bookmarkStart w:id="308" w:name="_Toc184312133"/>
      <w:bookmarkEnd w:id="308"/>
      <w:bookmarkStart w:id="309" w:name="_Toc184310313"/>
      <w:bookmarkEnd w:id="309"/>
      <w:bookmarkStart w:id="310" w:name="_Toc184310328"/>
      <w:bookmarkEnd w:id="310"/>
      <w:bookmarkStart w:id="311" w:name="_Toc184313301"/>
      <w:bookmarkEnd w:id="311"/>
      <w:bookmarkStart w:id="312" w:name="_Toc184312110"/>
      <w:bookmarkEnd w:id="312"/>
      <w:bookmarkStart w:id="313" w:name="_Toc184308075"/>
      <w:bookmarkEnd w:id="313"/>
      <w:bookmarkStart w:id="314" w:name="_Toc184313287"/>
      <w:bookmarkEnd w:id="314"/>
      <w:bookmarkStart w:id="315" w:name="_Toc184310273"/>
      <w:bookmarkEnd w:id="315"/>
      <w:bookmarkStart w:id="316" w:name="_Toc184312135"/>
      <w:bookmarkEnd w:id="316"/>
      <w:bookmarkStart w:id="317" w:name="_Toc184314435"/>
      <w:bookmarkEnd w:id="317"/>
      <w:bookmarkStart w:id="318" w:name="_Toc184308089"/>
      <w:bookmarkEnd w:id="318"/>
      <w:bookmarkStart w:id="319" w:name="_Toc184308044"/>
      <w:bookmarkEnd w:id="319"/>
      <w:bookmarkStart w:id="320" w:name="_Toc184313249"/>
      <w:bookmarkEnd w:id="320"/>
      <w:bookmarkStart w:id="321" w:name="_Toc184314460"/>
      <w:bookmarkEnd w:id="321"/>
      <w:bookmarkStart w:id="322" w:name="_Toc184308102"/>
      <w:bookmarkEnd w:id="322"/>
      <w:bookmarkStart w:id="323" w:name="_Toc184312124"/>
      <w:bookmarkEnd w:id="323"/>
      <w:bookmarkStart w:id="324" w:name="_Toc184308053"/>
      <w:bookmarkEnd w:id="324"/>
      <w:bookmarkStart w:id="325" w:name="_Toc184312118"/>
      <w:bookmarkEnd w:id="325"/>
      <w:bookmarkStart w:id="326" w:name="_Toc184313289"/>
      <w:bookmarkEnd w:id="326"/>
      <w:bookmarkStart w:id="327" w:name="_Toc184312111"/>
      <w:bookmarkEnd w:id="327"/>
      <w:bookmarkStart w:id="328" w:name="_Toc184313282"/>
      <w:bookmarkEnd w:id="328"/>
      <w:bookmarkStart w:id="329" w:name="_Toc184314418"/>
      <w:bookmarkEnd w:id="329"/>
      <w:bookmarkStart w:id="330" w:name="_Toc184308079"/>
      <w:bookmarkEnd w:id="330"/>
      <w:bookmarkStart w:id="331" w:name="_Toc184313259"/>
      <w:bookmarkEnd w:id="331"/>
      <w:bookmarkStart w:id="332" w:name="_Toc184308094"/>
      <w:bookmarkEnd w:id="332"/>
      <w:bookmarkStart w:id="333" w:name="_Toc184312083"/>
      <w:bookmarkEnd w:id="333"/>
      <w:bookmarkStart w:id="334" w:name="_Toc184308062"/>
      <w:bookmarkEnd w:id="334"/>
      <w:bookmarkStart w:id="335" w:name="_Toc184312097"/>
      <w:bookmarkEnd w:id="335"/>
      <w:bookmarkStart w:id="336" w:name="_Toc184308097"/>
      <w:bookmarkEnd w:id="336"/>
      <w:bookmarkStart w:id="337" w:name="_Toc184312089"/>
      <w:bookmarkEnd w:id="337"/>
      <w:bookmarkStart w:id="338" w:name="_Toc184312122"/>
      <w:bookmarkEnd w:id="338"/>
      <w:bookmarkStart w:id="339" w:name="_Toc184312099"/>
      <w:bookmarkEnd w:id="339"/>
      <w:bookmarkStart w:id="340" w:name="_Toc184313270"/>
      <w:bookmarkEnd w:id="340"/>
      <w:bookmarkStart w:id="341" w:name="_Toc184308064"/>
      <w:bookmarkEnd w:id="341"/>
      <w:bookmarkStart w:id="342" w:name="_Toc184313283"/>
      <w:bookmarkEnd w:id="342"/>
      <w:bookmarkStart w:id="343" w:name="_Toc184308070"/>
      <w:bookmarkEnd w:id="343"/>
      <w:bookmarkStart w:id="344" w:name="_Toc184308069"/>
      <w:bookmarkEnd w:id="344"/>
      <w:bookmarkStart w:id="345" w:name="_Toc184308076"/>
      <w:bookmarkEnd w:id="345"/>
      <w:bookmarkStart w:id="346" w:name="_Toc184312095"/>
      <w:bookmarkEnd w:id="346"/>
      <w:bookmarkStart w:id="347" w:name="_Toc184312075"/>
      <w:bookmarkEnd w:id="347"/>
      <w:bookmarkStart w:id="348" w:name="_Toc184310337"/>
      <w:bookmarkEnd w:id="348"/>
      <w:bookmarkStart w:id="349" w:name="_Toc184308091"/>
      <w:bookmarkEnd w:id="349"/>
      <w:bookmarkStart w:id="350" w:name="_Toc184314421"/>
      <w:bookmarkEnd w:id="350"/>
      <w:bookmarkStart w:id="351" w:name="_Toc184310293"/>
      <w:bookmarkEnd w:id="351"/>
      <w:bookmarkStart w:id="352" w:name="_Toc184314433"/>
      <w:bookmarkEnd w:id="352"/>
      <w:bookmarkStart w:id="353" w:name="_Toc184312109"/>
      <w:bookmarkEnd w:id="353"/>
      <w:bookmarkStart w:id="354" w:name="_Toc184310305"/>
      <w:bookmarkEnd w:id="354"/>
      <w:bookmarkStart w:id="355" w:name="_Toc184310294"/>
      <w:bookmarkEnd w:id="355"/>
      <w:bookmarkStart w:id="356" w:name="_Toc184312103"/>
      <w:bookmarkEnd w:id="356"/>
      <w:bookmarkStart w:id="357" w:name="_Toc184310307"/>
      <w:bookmarkEnd w:id="357"/>
      <w:bookmarkStart w:id="358" w:name="_Toc184312071"/>
      <w:bookmarkEnd w:id="358"/>
      <w:bookmarkStart w:id="359" w:name="_Toc184314470"/>
      <w:bookmarkEnd w:id="359"/>
      <w:bookmarkStart w:id="360" w:name="_Toc184313298"/>
      <w:bookmarkEnd w:id="360"/>
      <w:bookmarkStart w:id="361" w:name="_Toc184314465"/>
      <w:bookmarkEnd w:id="361"/>
      <w:bookmarkStart w:id="362" w:name="_Toc184308059"/>
      <w:bookmarkEnd w:id="362"/>
      <w:bookmarkStart w:id="363" w:name="_Toc184310278"/>
      <w:bookmarkEnd w:id="363"/>
      <w:bookmarkStart w:id="364" w:name="_Toc184314414"/>
      <w:bookmarkEnd w:id="364"/>
      <w:bookmarkStart w:id="365" w:name="_Toc184312100"/>
      <w:bookmarkEnd w:id="365"/>
      <w:bookmarkStart w:id="366" w:name="_Toc184312067"/>
      <w:bookmarkEnd w:id="366"/>
      <w:bookmarkStart w:id="367" w:name="_Toc184313274"/>
      <w:bookmarkEnd w:id="367"/>
      <w:bookmarkStart w:id="368" w:name="_Toc184314410"/>
      <w:bookmarkEnd w:id="368"/>
      <w:bookmarkStart w:id="369" w:name="_Toc184314474"/>
      <w:bookmarkEnd w:id="369"/>
      <w:bookmarkStart w:id="370" w:name="_Toc184310277"/>
      <w:bookmarkEnd w:id="370"/>
      <w:bookmarkStart w:id="371" w:name="_Toc184312117"/>
      <w:bookmarkEnd w:id="371"/>
      <w:bookmarkStart w:id="372" w:name="_Toc184312112"/>
      <w:bookmarkEnd w:id="372"/>
      <w:bookmarkStart w:id="373" w:name="_Toc184312073"/>
      <w:bookmarkEnd w:id="373"/>
      <w:bookmarkStart w:id="374" w:name="_Toc184313265"/>
      <w:bookmarkEnd w:id="374"/>
      <w:bookmarkStart w:id="375" w:name="_Toc184310318"/>
      <w:bookmarkEnd w:id="375"/>
      <w:bookmarkStart w:id="376" w:name="_Toc184314445"/>
      <w:bookmarkEnd w:id="376"/>
      <w:bookmarkStart w:id="377" w:name="_Toc184310334"/>
      <w:bookmarkEnd w:id="377"/>
      <w:bookmarkStart w:id="378" w:name="_Toc184313255"/>
      <w:bookmarkEnd w:id="378"/>
      <w:bookmarkStart w:id="379" w:name="_Toc184310282"/>
      <w:bookmarkEnd w:id="379"/>
      <w:bookmarkStart w:id="380" w:name="_Toc184314415"/>
      <w:bookmarkEnd w:id="380"/>
      <w:bookmarkStart w:id="381" w:name="_Toc184313276"/>
      <w:bookmarkEnd w:id="381"/>
      <w:bookmarkStart w:id="382" w:name="_Toc184314432"/>
      <w:bookmarkEnd w:id="382"/>
      <w:bookmarkStart w:id="383" w:name="_Toc184312084"/>
      <w:bookmarkEnd w:id="383"/>
      <w:bookmarkStart w:id="384" w:name="_Toc184308063"/>
      <w:bookmarkEnd w:id="384"/>
      <w:bookmarkStart w:id="385" w:name="_Toc184314481"/>
      <w:bookmarkEnd w:id="385"/>
      <w:bookmarkStart w:id="386" w:name="_Toc184314430"/>
      <w:bookmarkEnd w:id="386"/>
      <w:bookmarkStart w:id="387" w:name="_Toc184312119"/>
      <w:bookmarkEnd w:id="387"/>
      <w:bookmarkStart w:id="388" w:name="_Toc184308067"/>
      <w:bookmarkEnd w:id="388"/>
      <w:bookmarkStart w:id="389" w:name="_Toc184313292"/>
      <w:bookmarkEnd w:id="389"/>
      <w:bookmarkStart w:id="390" w:name="_Toc184310302"/>
      <w:bookmarkEnd w:id="390"/>
      <w:bookmarkStart w:id="391" w:name="_Toc184314452"/>
      <w:bookmarkEnd w:id="391"/>
      <w:bookmarkStart w:id="392" w:name="_Toc184310286"/>
      <w:bookmarkEnd w:id="392"/>
      <w:bookmarkStart w:id="393" w:name="_Toc184312115"/>
      <w:bookmarkEnd w:id="393"/>
      <w:bookmarkStart w:id="394" w:name="_Toc184314450"/>
      <w:bookmarkEnd w:id="394"/>
      <w:bookmarkStart w:id="395" w:name="_Toc184308100"/>
      <w:bookmarkEnd w:id="395"/>
      <w:bookmarkStart w:id="396" w:name="_Toc184314468"/>
      <w:bookmarkEnd w:id="396"/>
      <w:bookmarkStart w:id="397" w:name="_Toc184308087"/>
      <w:bookmarkEnd w:id="397"/>
      <w:bookmarkStart w:id="398" w:name="_Toc184310288"/>
      <w:bookmarkEnd w:id="398"/>
      <w:bookmarkStart w:id="399" w:name="_Toc184313285"/>
      <w:bookmarkEnd w:id="399"/>
      <w:bookmarkStart w:id="400" w:name="_Toc184314458"/>
      <w:bookmarkEnd w:id="400"/>
      <w:bookmarkStart w:id="401" w:name="_Toc184310301"/>
      <w:bookmarkEnd w:id="401"/>
      <w:bookmarkStart w:id="402" w:name="_Toc184313245"/>
      <w:bookmarkEnd w:id="402"/>
      <w:bookmarkStart w:id="403" w:name="_Toc184314461"/>
      <w:bookmarkEnd w:id="403"/>
      <w:bookmarkStart w:id="404" w:name="_Toc184310284"/>
      <w:bookmarkEnd w:id="404"/>
      <w:bookmarkStart w:id="405" w:name="_Toc184308105"/>
      <w:bookmarkEnd w:id="405"/>
      <w:bookmarkStart w:id="406" w:name="_Toc184313260"/>
      <w:bookmarkEnd w:id="406"/>
      <w:bookmarkStart w:id="407" w:name="_Toc184313272"/>
      <w:bookmarkEnd w:id="407"/>
      <w:bookmarkStart w:id="408" w:name="_Toc184314467"/>
      <w:bookmarkEnd w:id="408"/>
      <w:bookmarkStart w:id="409" w:name="_Toc184308096"/>
      <w:bookmarkEnd w:id="409"/>
      <w:bookmarkStart w:id="410" w:name="_Toc184312126"/>
      <w:bookmarkEnd w:id="410"/>
      <w:bookmarkStart w:id="411" w:name="_Toc184314442"/>
      <w:bookmarkEnd w:id="411"/>
      <w:bookmarkStart w:id="412" w:name="_Toc184312116"/>
      <w:bookmarkEnd w:id="412"/>
      <w:bookmarkStart w:id="413" w:name="_Toc184313296"/>
      <w:bookmarkEnd w:id="413"/>
      <w:bookmarkStart w:id="414" w:name="_Toc184308099"/>
      <w:bookmarkEnd w:id="414"/>
      <w:bookmarkStart w:id="415" w:name="_Toc184314479"/>
      <w:bookmarkEnd w:id="415"/>
      <w:bookmarkStart w:id="416" w:name="_Toc184314411"/>
      <w:bookmarkEnd w:id="416"/>
      <w:bookmarkStart w:id="417" w:name="_Toc184308048"/>
      <w:bookmarkEnd w:id="417"/>
      <w:bookmarkStart w:id="418" w:name="_Toc184313307"/>
      <w:bookmarkEnd w:id="418"/>
      <w:bookmarkStart w:id="419" w:name="_Toc184308056"/>
      <w:bookmarkEnd w:id="419"/>
      <w:bookmarkStart w:id="420" w:name="_Toc184310314"/>
      <w:bookmarkEnd w:id="420"/>
      <w:bookmarkStart w:id="421" w:name="_Toc184310283"/>
      <w:bookmarkEnd w:id="421"/>
      <w:bookmarkStart w:id="422" w:name="_Toc184312078"/>
      <w:bookmarkEnd w:id="422"/>
      <w:bookmarkStart w:id="423" w:name="_Toc184314423"/>
      <w:bookmarkEnd w:id="423"/>
      <w:bookmarkStart w:id="424" w:name="_Toc184310339"/>
      <w:bookmarkEnd w:id="424"/>
      <w:bookmarkStart w:id="425" w:name="_Toc184312094"/>
      <w:bookmarkEnd w:id="425"/>
      <w:bookmarkStart w:id="426" w:name="_Toc184313267"/>
      <w:bookmarkEnd w:id="426"/>
      <w:bookmarkStart w:id="427" w:name="_Toc184308042"/>
      <w:bookmarkEnd w:id="427"/>
      <w:bookmarkStart w:id="428" w:name="_Toc184312130"/>
      <w:bookmarkEnd w:id="428"/>
      <w:bookmarkStart w:id="429" w:name="_Toc184314441"/>
      <w:bookmarkEnd w:id="429"/>
      <w:bookmarkStart w:id="430" w:name="_Toc184313302"/>
      <w:bookmarkEnd w:id="430"/>
      <w:bookmarkStart w:id="431" w:name="_Toc184314436"/>
      <w:bookmarkEnd w:id="431"/>
      <w:bookmarkStart w:id="432" w:name="_Toc184310304"/>
      <w:bookmarkEnd w:id="432"/>
      <w:bookmarkStart w:id="433" w:name="_Toc184313300"/>
      <w:bookmarkEnd w:id="433"/>
      <w:bookmarkStart w:id="434" w:name="_Toc184310327"/>
      <w:bookmarkEnd w:id="434"/>
      <w:bookmarkStart w:id="435" w:name="_Toc184308071"/>
      <w:bookmarkEnd w:id="435"/>
      <w:bookmarkStart w:id="436" w:name="_Toc184314457"/>
      <w:bookmarkEnd w:id="436"/>
      <w:bookmarkStart w:id="437" w:name="_Toc184312125"/>
      <w:bookmarkEnd w:id="437"/>
      <w:bookmarkStart w:id="438" w:name="_Toc184308103"/>
      <w:bookmarkEnd w:id="438"/>
      <w:bookmarkStart w:id="439" w:name="_Toc184312104"/>
      <w:bookmarkEnd w:id="439"/>
      <w:r>
        <w:rPr>
          <w:rFonts w:hint="eastAsia" w:ascii="宋体" w:hAnsi="宋体" w:cs="宋体"/>
          <w:b/>
          <w:color w:val="000000" w:themeColor="text1"/>
          <w:sz w:val="36"/>
          <w:szCs w:val="36"/>
          <w:highlight w:val="none"/>
          <w14:textFill>
            <w14:solidFill>
              <w14:schemeClr w14:val="tx1"/>
            </w14:solidFill>
          </w14:textFill>
        </w:rPr>
        <w:t>评标办法</w:t>
      </w:r>
      <w:bookmarkEnd w:id="73"/>
      <w:bookmarkEnd w:id="74"/>
    </w:p>
    <w:p>
      <w:pPr>
        <w:snapToGrid w:val="0"/>
        <w:spacing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评标办法前附表</w:t>
      </w:r>
    </w:p>
    <w:p>
      <w:pPr>
        <w:pStyle w:val="3"/>
        <w:rPr>
          <w:rFonts w:hint="default" w:eastAsia="宋体"/>
          <w:color w:val="000000" w:themeColor="text1"/>
          <w:sz w:val="21"/>
          <w:szCs w:val="21"/>
          <w:lang w:val="en-US" w:eastAsia="zh-CN"/>
          <w14:textFill>
            <w14:solidFill>
              <w14:schemeClr w14:val="tx1"/>
            </w14:solidFill>
          </w14:textFill>
        </w:rPr>
      </w:pP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260"/>
        <w:gridCol w:w="6194"/>
        <w:gridCol w:w="84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0"/>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r>
              <w:rPr>
                <w:rFonts w:hint="eastAsia" w:ascii="宋体" w:hAnsi="宋体" w:eastAsia="宋体" w:cs="宋体"/>
                <w:b/>
                <w:bCs/>
                <w:color w:val="000000" w:themeColor="text1"/>
                <w:sz w:val="21"/>
                <w:szCs w:val="21"/>
                <w:highlight w:val="none"/>
                <w14:textFill>
                  <w14:solidFill>
                    <w14:schemeClr w14:val="tx1"/>
                  </w14:solidFill>
                </w14:textFill>
              </w:rPr>
              <w:t>评分项目</w:t>
            </w:r>
          </w:p>
        </w:tc>
        <w:tc>
          <w:tcPr>
            <w:tcW w:w="7454" w:type="dxa"/>
            <w:gridSpan w:val="2"/>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评标要点及说明</w:t>
            </w:r>
          </w:p>
        </w:tc>
        <w:tc>
          <w:tcPr>
            <w:tcW w:w="840" w:type="dxa"/>
            <w:noWrap w:val="0"/>
            <w:vAlign w:val="center"/>
          </w:tcPr>
          <w:p>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分值</w:t>
            </w:r>
          </w:p>
        </w:tc>
        <w:tc>
          <w:tcPr>
            <w:tcW w:w="707" w:type="dxa"/>
            <w:noWrap w:val="0"/>
            <w:vAlign w:val="center"/>
          </w:tcPr>
          <w:p>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jc w:val="center"/>
        </w:trPr>
        <w:tc>
          <w:tcPr>
            <w:tcW w:w="1156"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454" w:type="dxa"/>
            <w:gridSpan w:val="2"/>
            <w:noWrap w:val="0"/>
            <w:vAlign w:val="center"/>
          </w:tcPr>
          <w:p>
            <w:pPr>
              <w:tabs>
                <w:tab w:val="left" w:pos="0"/>
              </w:tabs>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评标基准价指的是满足招标文件要求且最低的参与评审的价格</w:t>
            </w:r>
            <w:r>
              <w:rPr>
                <w:rFonts w:hint="eastAsia"/>
                <w:color w:val="000000" w:themeColor="text1"/>
                <w:lang w:eastAsia="zh-CN"/>
                <w14:textFill>
                  <w14:solidFill>
                    <w14:schemeClr w14:val="tx1"/>
                  </w14:solidFill>
                </w14:textFill>
              </w:rPr>
              <w:t>。</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参与评审的价格=</w:t>
            </w:r>
            <w:r>
              <w:rPr>
                <w:rFonts w:hint="eastAsia" w:ascii="宋体" w:hAnsi="宋体" w:cs="宋体"/>
                <w:color w:val="000000" w:themeColor="text1"/>
                <w14:textFill>
                  <w14:solidFill>
                    <w14:schemeClr w14:val="tx1"/>
                  </w14:solidFill>
                </w14:textFill>
              </w:rPr>
              <w:t>投标报价</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开标一览表中设备</w:t>
            </w:r>
            <w:r>
              <w:rPr>
                <w:rFonts w:hint="eastAsia" w:ascii="宋体" w:hAnsi="宋体" w:cs="宋体"/>
                <w:color w:val="000000" w:themeColor="text1"/>
                <w:lang w:val="en-US" w:eastAsia="zh-CN"/>
                <w14:textFill>
                  <w14:solidFill>
                    <w14:schemeClr w14:val="tx1"/>
                  </w14:solidFill>
                </w14:textFill>
              </w:rPr>
              <w:t>报价</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-小微企业价格扣除优惠值（如有）。</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参与评审的价格为评标基准价的其价格得分得满分</w:t>
            </w: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其他投标人价格得分按照下列公式计算：</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价格得分=（评标基准价/各投标人参与评审的价格）×</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0％×100。</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注：价格得分小数点后保留2位小数，第3位小数四舍五入。</w:t>
            </w:r>
          </w:p>
          <w:p>
            <w:pPr>
              <w:tabs>
                <w:tab w:val="left" w:pos="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设备类投标报价超过</w:t>
            </w:r>
            <w:r>
              <w:rPr>
                <w:rFonts w:hint="eastAsia" w:ascii="宋体" w:hAnsi="宋体" w:cs="宋体"/>
                <w:color w:val="000000" w:themeColor="text1"/>
                <w:lang w:val="en-US" w:eastAsia="zh-CN"/>
                <w14:textFill>
                  <w14:solidFill>
                    <w14:schemeClr w14:val="tx1"/>
                  </w14:solidFill>
                </w14:textFill>
              </w:rPr>
              <w:t>500</w:t>
            </w:r>
            <w:r>
              <w:rPr>
                <w:rFonts w:hint="eastAsia" w:ascii="宋体" w:hAnsi="宋体" w:cs="宋体"/>
                <w:color w:val="000000" w:themeColor="text1"/>
                <w14:textFill>
                  <w14:solidFill>
                    <w14:schemeClr w14:val="tx1"/>
                  </w14:solidFill>
                </w14:textFill>
              </w:rPr>
              <w:t>万元的，作无效标处理。</w:t>
            </w:r>
          </w:p>
          <w:p>
            <w:pPr>
              <w:adjustRightInd w:val="0"/>
              <w:snapToGrid w:val="0"/>
              <w:spacing w:line="36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开标一览表中设备价格中含试剂价值的，则“参与评审的价格”计算公式中的投标报价按设备报价扣除试剂报价后（保留到万位）计入，若设备报价扣除试剂报价后不足100万元的则以100万元计入。</w:t>
            </w:r>
          </w:p>
        </w:tc>
        <w:tc>
          <w:tcPr>
            <w:tcW w:w="840" w:type="dxa"/>
            <w:noWrap w:val="0"/>
            <w:vAlign w:val="center"/>
          </w:tcPr>
          <w:p>
            <w:pPr>
              <w:keepNext w:val="0"/>
              <w:keepLines w:val="0"/>
              <w:suppressLineNumbers w:val="0"/>
              <w:adjustRightInd/>
              <w:spacing w:before="0" w:beforeAutospacing="0" w:after="0" w:afterAutospacing="0" w:line="320" w:lineRule="exact"/>
              <w:ind w:left="0" w:leftChars="0" w:right="0" w:right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30</w:t>
            </w:r>
          </w:p>
        </w:tc>
        <w:tc>
          <w:tcPr>
            <w:tcW w:w="707"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1156" w:type="dxa"/>
            <w:vMerge w:val="restart"/>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商务</w:t>
            </w:r>
          </w:p>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技术分</w:t>
            </w:r>
          </w:p>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b w:val="0"/>
                <w:bCs w:val="0"/>
                <w:color w:val="000000" w:themeColor="text1"/>
                <w:kern w:val="2"/>
                <w:sz w:val="21"/>
                <w:szCs w:val="21"/>
                <w:highlight w:val="none"/>
                <w:lang w:val="en-US" w:eastAsia="zh-CN" w:bidi="ar"/>
                <w14:textFill>
                  <w14:solidFill>
                    <w14:schemeClr w14:val="tx1"/>
                  </w14:solidFill>
                </w14:textFill>
              </w:rPr>
              <w:t>70</w:t>
            </w: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分）</w:t>
            </w:r>
          </w:p>
        </w:tc>
        <w:tc>
          <w:tcPr>
            <w:tcW w:w="1260" w:type="dxa"/>
            <w:noWrap w:val="0"/>
            <w:vAlign w:val="center"/>
          </w:tcPr>
          <w:p>
            <w:pPr>
              <w:spacing w:before="24" w:beforeLines="10" w:after="24" w:afterLines="10" w:line="360" w:lineRule="auto"/>
              <w:jc w:val="center"/>
              <w:rPr>
                <w:rFonts w:hint="eastAsia"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技术需求的响应性</w:t>
            </w:r>
          </w:p>
          <w:p>
            <w:pPr>
              <w:spacing w:before="24" w:beforeLines="10" w:after="24" w:afterLines="10" w:line="360" w:lineRule="auto"/>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w:t>
            </w:r>
            <w:r>
              <w:rPr>
                <w:rFonts w:hint="eastAsia" w:ascii="宋体" w:hAnsi="宋体" w:cs="宋体"/>
                <w:b w:val="0"/>
                <w:bCs w:val="0"/>
                <w:color w:val="000000" w:themeColor="text1"/>
                <w:lang w:val="en-US" w:eastAsia="zh-CN"/>
                <w14:textFill>
                  <w14:solidFill>
                    <w14:schemeClr w14:val="tx1"/>
                  </w14:solidFill>
                </w14:textFill>
              </w:rPr>
              <w:t>20</w:t>
            </w:r>
            <w:r>
              <w:rPr>
                <w:rFonts w:hint="eastAsia" w:ascii="宋体" w:hAnsi="宋体" w:cs="宋体"/>
                <w:b w:val="0"/>
                <w:bCs w:val="0"/>
                <w:color w:val="000000" w:themeColor="text1"/>
                <w14:textFill>
                  <w14:solidFill>
                    <w14:schemeClr w14:val="tx1"/>
                  </w14:solidFill>
                </w14:textFill>
              </w:rPr>
              <w:t>分）</w:t>
            </w:r>
          </w:p>
        </w:tc>
        <w:tc>
          <w:tcPr>
            <w:tcW w:w="6194" w:type="dxa"/>
            <w:noWrap w:val="0"/>
            <w:vAlign w:val="center"/>
          </w:tcPr>
          <w:p>
            <w:pPr>
              <w:spacing w:line="360" w:lineRule="auto"/>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pP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对“第三部分 采购需求”中“</w:t>
            </w:r>
            <w:r>
              <w:rPr>
                <w:rFonts w:hint="eastAsia" w:ascii="宋体" w:hAnsi="宋体" w:eastAsia="宋体" w:cs="宋体"/>
                <w:b w:val="0"/>
                <w:bCs w:val="0"/>
                <w:color w:val="000000" w:themeColor="text1"/>
                <w:sz w:val="21"/>
                <w:szCs w:val="21"/>
                <w:highlight w:val="none"/>
                <w14:textFill>
                  <w14:solidFill>
                    <w14:schemeClr w14:val="tx1"/>
                  </w14:solidFill>
                </w14:textFill>
              </w:rPr>
              <w:t>设备技术、功能需求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表</w:t>
            </w: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”的响应性进行评议（20分）：</w:t>
            </w:r>
          </w:p>
          <w:p>
            <w:pPr>
              <w:spacing w:line="360" w:lineRule="auto"/>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pP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（1）完全响应招标文件“</w:t>
            </w:r>
            <w:r>
              <w:rPr>
                <w:rFonts w:hint="eastAsia" w:ascii="宋体" w:hAnsi="宋体" w:eastAsia="宋体" w:cs="宋体"/>
                <w:b w:val="0"/>
                <w:bCs w:val="0"/>
                <w:color w:val="000000" w:themeColor="text1"/>
                <w:sz w:val="21"/>
                <w:szCs w:val="21"/>
                <w:highlight w:val="none"/>
                <w14:textFill>
                  <w14:solidFill>
                    <w14:schemeClr w14:val="tx1"/>
                  </w14:solidFill>
                </w14:textFill>
              </w:rPr>
              <w:t>设备技术、功能需求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表</w:t>
            </w: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”所有指标的得20分。</w:t>
            </w:r>
          </w:p>
          <w:p>
            <w:pPr>
              <w:spacing w:line="360" w:lineRule="auto"/>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pP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（2）每负偏离一条未标</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号</w:t>
            </w: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技术指标的扣1分。</w:t>
            </w:r>
          </w:p>
          <w:p>
            <w:pPr>
              <w:spacing w:line="360" w:lineRule="auto"/>
              <w:rPr>
                <w:rFonts w:hint="eastAsia"/>
                <w:b w:val="0"/>
                <w:bCs w:val="0"/>
                <w:color w:val="000000" w:themeColor="text1"/>
                <w:lang w:val="en-US" w:eastAsia="zh-CN"/>
                <w14:textFill>
                  <w14:solidFill>
                    <w14:schemeClr w14:val="tx1"/>
                  </w14:solidFill>
                </w14:textFill>
              </w:rPr>
            </w:pP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（3）当扣减至0分（或以下）时，或负偏离标</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号</w:t>
            </w:r>
            <w:r>
              <w:rPr>
                <w:rFonts w:hint="eastAsia" w:ascii="宋体" w:hAnsi="宋体" w:cs="方正书宋简体"/>
                <w:b w:val="0"/>
                <w:bCs w:val="0"/>
                <w:i w:val="0"/>
                <w:iCs w:val="0"/>
                <w:color w:val="000000" w:themeColor="text1"/>
                <w:szCs w:val="21"/>
                <w:highlight w:val="none"/>
                <w:lang w:val="en-US" w:eastAsia="zh-CN"/>
                <w14:textFill>
                  <w14:solidFill>
                    <w14:schemeClr w14:val="tx1"/>
                  </w14:solidFill>
                </w14:textFill>
              </w:rPr>
              <w:t>技术指标的，该投标将被拒绝，其投标文件作无效标处理。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20</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260" w:type="dxa"/>
            <w:noWrap w:val="0"/>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检验中心装修设计方案（</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p>
        </w:tc>
        <w:tc>
          <w:tcPr>
            <w:tcW w:w="6194" w:type="dxa"/>
            <w:noWrap w:val="0"/>
            <w:vAlign w:val="center"/>
          </w:tcPr>
          <w:p>
            <w:pPr>
              <w:widowControl/>
              <w:shd w:val="solid" w:color="FFFFFF" w:fill="auto"/>
              <w:autoSpaceDN w:val="0"/>
              <w:spacing w:line="360" w:lineRule="auto"/>
              <w:jc w:val="left"/>
              <w:rPr>
                <w:rFonts w:hint="eastAsia" w:ascii="宋体" w:hAnsi="宋体" w:eastAsia="宋体" w:cs="宋体"/>
                <w:lang w:eastAsia="zh-CN"/>
              </w:rPr>
            </w:pPr>
            <w:r>
              <w:rPr>
                <w:rFonts w:hint="eastAsia"/>
              </w:rPr>
              <w:t>根据投标人提供的检验中</w:t>
            </w:r>
            <w:r>
              <w:rPr>
                <w:rFonts w:hint="eastAsia" w:ascii="宋体" w:hAnsi="宋体" w:eastAsia="宋体" w:cs="宋体"/>
              </w:rPr>
              <w:t>心的装修设计方案，从区域划分的合理性、装修材料的选择、施工方案等方面进行评议</w:t>
            </w:r>
            <w:r>
              <w:rPr>
                <w:rFonts w:hint="eastAsia" w:ascii="宋体" w:hAnsi="宋体" w:eastAsia="宋体" w:cs="宋体"/>
                <w:lang w:eastAsia="zh-CN"/>
              </w:rPr>
              <w:t>：</w:t>
            </w:r>
          </w:p>
          <w:p>
            <w:pPr>
              <w:widowControl/>
              <w:shd w:val="solid" w:color="FFFFFF" w:fill="auto"/>
              <w:autoSpaceDN w:val="0"/>
              <w:spacing w:line="360" w:lineRule="auto"/>
              <w:jc w:val="left"/>
              <w:rPr>
                <w:rFonts w:hint="eastAsia" w:ascii="宋体" w:hAnsi="宋体" w:eastAsia="宋体" w:cs="宋体"/>
              </w:rPr>
            </w:pPr>
            <w:r>
              <w:rPr>
                <w:rFonts w:hint="eastAsia" w:ascii="宋体" w:hAnsi="宋体" w:eastAsia="宋体" w:cs="宋体"/>
              </w:rPr>
              <w:t>方案切实可行、流程完整的得</w:t>
            </w:r>
            <w:r>
              <w:rPr>
                <w:rFonts w:hint="eastAsia" w:ascii="宋体" w:hAnsi="宋体" w:eastAsia="宋体" w:cs="宋体"/>
                <w:lang w:val="en-US" w:eastAsia="zh-CN"/>
              </w:rPr>
              <w:t>5</w:t>
            </w:r>
            <w:r>
              <w:rPr>
                <w:rFonts w:hint="eastAsia" w:ascii="宋体" w:hAnsi="宋体" w:eastAsia="宋体" w:cs="宋体"/>
              </w:rPr>
              <w:t>分；</w:t>
            </w:r>
          </w:p>
          <w:p>
            <w:pPr>
              <w:widowControl/>
              <w:shd w:val="solid" w:color="FFFFFF" w:fill="auto"/>
              <w:autoSpaceDN w:val="0"/>
              <w:spacing w:line="360" w:lineRule="auto"/>
              <w:jc w:val="left"/>
              <w:rPr>
                <w:rFonts w:hint="eastAsia" w:ascii="宋体" w:hAnsi="宋体" w:eastAsia="宋体" w:cs="宋体"/>
                <w:lang w:eastAsia="zh-CN"/>
              </w:rPr>
            </w:pPr>
            <w:r>
              <w:rPr>
                <w:rFonts w:hint="eastAsia" w:ascii="宋体" w:hAnsi="宋体" w:eastAsia="宋体" w:cs="宋体"/>
              </w:rPr>
              <w:t>方案基本满足用户要求的得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p>
          <w:p>
            <w:pPr>
              <w:widowControl/>
              <w:shd w:val="solid" w:color="FFFFFF" w:fill="auto"/>
              <w:autoSpaceDN w:val="0"/>
              <w:spacing w:line="360" w:lineRule="auto"/>
              <w:jc w:val="left"/>
              <w:rPr>
                <w:rFonts w:hint="eastAsia" w:ascii="宋体" w:hAnsi="宋体" w:eastAsia="宋体" w:cs="宋体"/>
              </w:rPr>
            </w:pPr>
            <w:r>
              <w:rPr>
                <w:rFonts w:hint="eastAsia" w:ascii="宋体" w:hAnsi="宋体" w:eastAsia="宋体" w:cs="宋体"/>
              </w:rPr>
              <w:t>方案欠全面，流程不够完整的得1分。</w:t>
            </w:r>
          </w:p>
          <w:p>
            <w:pPr>
              <w:widowControl/>
              <w:shd w:val="solid" w:color="FFFFFF" w:fill="auto"/>
              <w:autoSpaceDN w:val="0"/>
              <w:spacing w:line="360" w:lineRule="auto"/>
              <w:jc w:val="left"/>
              <w:rPr>
                <w:rFonts w:hint="eastAsia"/>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000000" w:themeColor="text1"/>
                <w:spacing w:val="6"/>
                <w:sz w:val="21"/>
                <w:szCs w:val="21"/>
                <w:highlight w:val="none"/>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ISO 15189实验室检测能力</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（5分）</w:t>
            </w:r>
          </w:p>
        </w:tc>
        <w:tc>
          <w:tcPr>
            <w:tcW w:w="6194" w:type="dxa"/>
            <w:noWrap w:val="0"/>
            <w:vAlign w:val="center"/>
          </w:tcPr>
          <w:p>
            <w:pPr>
              <w:pStyle w:val="33"/>
              <w:tabs>
                <w:tab w:val="left" w:pos="2472"/>
              </w:tabs>
              <w:snapToGrid w:val="0"/>
              <w:spacing w:before="0" w:beforeLines="0" w:after="0" w:afterLines="0" w:line="360" w:lineRule="auto"/>
              <w:rPr>
                <w:rFonts w:hint="eastAsia" w:hAnsi="宋体" w:cs="宋体"/>
                <w:bCs/>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根据投标人（如联合体投标的，指联合体主体方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spacing w:val="6"/>
                <w:sz w:val="21"/>
                <w:szCs w:val="21"/>
                <w:highlight w:val="none"/>
                <w14:textFill>
                  <w14:solidFill>
                    <w14:schemeClr w14:val="tx1"/>
                  </w14:solidFill>
                </w14:textFill>
              </w:rPr>
              <w:t>通过ISO15189实验室的检测设备配置情况进行评议</w:t>
            </w:r>
            <w:r>
              <w:rPr>
                <w:rFonts w:hint="eastAsia" w:hAnsi="宋体" w:cs="宋体"/>
                <w:bCs/>
                <w:color w:val="000000" w:themeColor="text1"/>
                <w:spacing w:val="6"/>
                <w:sz w:val="21"/>
                <w:szCs w:val="21"/>
                <w:highlight w:val="none"/>
                <w:lang w:eastAsia="zh-CN"/>
                <w14:textFill>
                  <w14:solidFill>
                    <w14:schemeClr w14:val="tx1"/>
                  </w14:solidFill>
                </w14:textFill>
              </w:rPr>
              <w:t>：</w:t>
            </w:r>
          </w:p>
          <w:p>
            <w:pPr>
              <w:pStyle w:val="33"/>
              <w:tabs>
                <w:tab w:val="left" w:pos="2472"/>
              </w:tabs>
              <w:snapToGrid w:val="0"/>
              <w:spacing w:before="0" w:beforeLines="0" w:after="0" w:afterLines="0" w:line="360" w:lineRule="auto"/>
              <w:rPr>
                <w:rFonts w:hint="eastAsia" w:hAnsi="宋体" w:cs="宋体"/>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实验室的检测设备配置</w:t>
            </w:r>
            <w:r>
              <w:rPr>
                <w:rFonts w:hint="eastAsia" w:hAnsi="宋体" w:cs="宋体"/>
                <w:bCs/>
                <w:color w:val="000000" w:themeColor="text1"/>
                <w:spacing w:val="6"/>
                <w:sz w:val="21"/>
                <w:szCs w:val="21"/>
                <w:highlight w:val="none"/>
                <w:lang w:val="en-US" w:eastAsia="zh-CN"/>
                <w14:textFill>
                  <w14:solidFill>
                    <w14:schemeClr w14:val="tx1"/>
                  </w14:solidFill>
                </w14:textFill>
              </w:rPr>
              <w:t>完善全面的得5分；</w:t>
            </w:r>
          </w:p>
          <w:p>
            <w:pPr>
              <w:pStyle w:val="33"/>
              <w:tabs>
                <w:tab w:val="left" w:pos="2472"/>
              </w:tabs>
              <w:snapToGrid w:val="0"/>
              <w:spacing w:before="0" w:beforeLines="0" w:after="0" w:afterLines="0" w:line="360" w:lineRule="auto"/>
              <w:rPr>
                <w:rFonts w:hint="eastAsia" w:hAnsi="宋体" w:cs="宋体"/>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实验室的检测设备配置</w:t>
            </w:r>
            <w:r>
              <w:rPr>
                <w:rFonts w:hint="eastAsia" w:hAnsi="宋体" w:cs="宋体"/>
                <w:bCs/>
                <w:color w:val="000000" w:themeColor="text1"/>
                <w:spacing w:val="6"/>
                <w:sz w:val="21"/>
                <w:szCs w:val="21"/>
                <w:highlight w:val="none"/>
                <w:lang w:val="en-US" w:eastAsia="zh-CN"/>
                <w14:textFill>
                  <w14:solidFill>
                    <w14:schemeClr w14:val="tx1"/>
                  </w14:solidFill>
                </w14:textFill>
              </w:rPr>
              <w:t>一般的得3分；</w:t>
            </w:r>
          </w:p>
          <w:p>
            <w:pPr>
              <w:pStyle w:val="33"/>
              <w:tabs>
                <w:tab w:val="left" w:pos="2472"/>
              </w:tabs>
              <w:snapToGrid w:val="0"/>
              <w:spacing w:before="0" w:beforeLines="0" w:after="0" w:afterLines="0" w:line="360" w:lineRule="auto"/>
              <w:rPr>
                <w:rFonts w:hint="eastAsia" w:hAnsi="宋体" w:cs="宋体"/>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实验室的检测设备配置</w:t>
            </w:r>
            <w:r>
              <w:rPr>
                <w:rFonts w:hint="eastAsia" w:hAnsi="宋体" w:cs="宋体"/>
                <w:bCs/>
                <w:color w:val="000000" w:themeColor="text1"/>
                <w:spacing w:val="6"/>
                <w:sz w:val="21"/>
                <w:szCs w:val="21"/>
                <w:highlight w:val="none"/>
                <w:lang w:val="en-US" w:eastAsia="zh-CN"/>
                <w14:textFill>
                  <w14:solidFill>
                    <w14:schemeClr w14:val="tx1"/>
                  </w14:solidFill>
                </w14:textFill>
              </w:rPr>
              <w:t>不齐全的得1分。</w:t>
            </w:r>
          </w:p>
          <w:p>
            <w:pPr>
              <w:pStyle w:val="33"/>
              <w:tabs>
                <w:tab w:val="left" w:pos="2472"/>
              </w:tabs>
              <w:snapToGrid w:val="0"/>
              <w:spacing w:before="0" w:beforeLines="0" w:after="0" w:afterLines="0" w:line="360" w:lineRule="auto"/>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pacing w:val="6"/>
                <w:sz w:val="21"/>
                <w:szCs w:val="21"/>
                <w:highlight w:val="none"/>
                <w14:textFill>
                  <w14:solidFill>
                    <w14:schemeClr w14:val="tx1"/>
                  </w14:solidFill>
                </w14:textFill>
              </w:rPr>
              <w:t>投标文件中提供相关证明资料。</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260" w:type="dxa"/>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运营管理服务方案</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13</w:t>
            </w:r>
            <w:r>
              <w:rPr>
                <w:rFonts w:hint="eastAsia" w:ascii="宋体" w:hAnsi="宋体" w:eastAsia="宋体" w:cs="宋体"/>
                <w:bCs/>
                <w:color w:val="000000" w:themeColor="text1"/>
                <w:kern w:val="0"/>
                <w:szCs w:val="21"/>
                <w14:textFill>
                  <w14:solidFill>
                    <w14:schemeClr w14:val="tx1"/>
                  </w14:solidFill>
                </w14:textFill>
              </w:rPr>
              <w:t>分）</w:t>
            </w:r>
          </w:p>
        </w:tc>
        <w:tc>
          <w:tcPr>
            <w:tcW w:w="6194" w:type="dxa"/>
            <w:noWrap w:val="0"/>
            <w:vAlign w:val="center"/>
          </w:tcPr>
          <w:p>
            <w:pPr>
              <w:widowControl/>
              <w:spacing w:line="360" w:lineRule="auto"/>
              <w:jc w:val="left"/>
              <w:textAlignment w:val="center"/>
              <w:rPr>
                <w:rFonts w:hint="eastAsia" w:ascii="宋体" w:hAnsi="宋体" w:eastAsia="宋体" w:cs="宋体"/>
                <w:lang w:eastAsia="zh-CN"/>
              </w:rPr>
            </w:pPr>
            <w:r>
              <w:rPr>
                <w:rFonts w:hint="eastAsia"/>
              </w:rPr>
              <w:t>根据投标人提供的运营管</w:t>
            </w:r>
            <w:r>
              <w:rPr>
                <w:rFonts w:hint="eastAsia" w:ascii="宋体" w:hAnsi="宋体" w:eastAsia="宋体" w:cs="宋体"/>
              </w:rPr>
              <w:t>理服务方案（科室管理、人员管理、资产管理、试剂采集以及质量控制、质量体系建设）的规范性、全面性进行评议</w:t>
            </w:r>
            <w:r>
              <w:rPr>
                <w:rFonts w:hint="eastAsia" w:ascii="宋体" w:hAnsi="宋体" w:eastAsia="宋体" w:cs="宋体"/>
                <w:lang w:eastAsia="zh-CN"/>
              </w:rPr>
              <w:t>：</w:t>
            </w:r>
          </w:p>
          <w:p>
            <w:pPr>
              <w:widowControl/>
              <w:spacing w:line="360" w:lineRule="auto"/>
              <w:jc w:val="left"/>
              <w:textAlignment w:val="center"/>
              <w:rPr>
                <w:rFonts w:hint="eastAsia" w:ascii="宋体" w:hAnsi="宋体" w:eastAsia="宋体" w:cs="宋体"/>
              </w:rPr>
            </w:pPr>
            <w:r>
              <w:rPr>
                <w:rFonts w:hint="eastAsia" w:ascii="宋体" w:hAnsi="宋体" w:eastAsia="宋体" w:cs="宋体"/>
              </w:rPr>
              <w:t>方案切实可行、流程完整的得5分；</w:t>
            </w:r>
          </w:p>
          <w:p>
            <w:pPr>
              <w:widowControl/>
              <w:spacing w:line="360" w:lineRule="auto"/>
              <w:jc w:val="left"/>
              <w:textAlignment w:val="center"/>
              <w:rPr>
                <w:rFonts w:hint="eastAsia" w:ascii="宋体" w:hAnsi="宋体" w:eastAsia="宋体" w:cs="宋体"/>
                <w:lang w:eastAsia="zh-CN"/>
              </w:rPr>
            </w:pPr>
            <w:r>
              <w:rPr>
                <w:rFonts w:hint="eastAsia" w:ascii="宋体" w:hAnsi="宋体" w:eastAsia="宋体" w:cs="宋体"/>
              </w:rPr>
              <w:t>方案基本满足用户要求的得3分</w:t>
            </w:r>
            <w:r>
              <w:rPr>
                <w:rFonts w:hint="eastAsia" w:ascii="宋体" w:hAnsi="宋体" w:eastAsia="宋体" w:cs="宋体"/>
                <w:lang w:eastAsia="zh-CN"/>
              </w:rPr>
              <w:t>；</w:t>
            </w:r>
          </w:p>
          <w:p>
            <w:pPr>
              <w:widowControl/>
              <w:spacing w:line="360" w:lineRule="auto"/>
              <w:jc w:val="left"/>
              <w:textAlignment w:val="center"/>
              <w:rPr>
                <w:rFonts w:hint="eastAsia" w:ascii="宋体" w:hAnsi="宋体" w:eastAsia="宋体" w:cs="宋体"/>
              </w:rPr>
            </w:pPr>
            <w:r>
              <w:rPr>
                <w:rFonts w:hint="eastAsia" w:ascii="宋体" w:hAnsi="宋体" w:eastAsia="宋体" w:cs="宋体"/>
              </w:rPr>
              <w:t>方案欠全面，流程不够完整的得1分。</w:t>
            </w:r>
          </w:p>
          <w:p>
            <w:pPr>
              <w:widowControl/>
              <w:spacing w:line="360" w:lineRule="auto"/>
              <w:jc w:val="left"/>
              <w:textAlignment w:val="center"/>
              <w:rPr>
                <w:rFonts w:hint="eastAsia"/>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260" w:type="dxa"/>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000000" w:themeColor="text1"/>
                <w:kern w:val="0"/>
                <w:szCs w:val="21"/>
                <w14:textFill>
                  <w14:solidFill>
                    <w14:schemeClr w14:val="tx1"/>
                  </w14:solidFill>
                </w14:textFill>
              </w:rPr>
            </w:pPr>
          </w:p>
        </w:tc>
        <w:tc>
          <w:tcPr>
            <w:tcW w:w="6194" w:type="dxa"/>
            <w:noWrap w:val="0"/>
            <w:vAlign w:val="center"/>
          </w:tcPr>
          <w:p>
            <w:pPr>
              <w:widowControl/>
              <w:spacing w:line="360" w:lineRule="auto"/>
              <w:jc w:val="left"/>
              <w:textAlignment w:val="center"/>
              <w:rPr>
                <w:rFonts w:hint="default"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临床检验试剂及配套耗材消耗费用占医院检验中心实验室临检项目收入的</w:t>
            </w:r>
            <w:r>
              <w:rPr>
                <w:rFonts w:hint="eastAsia" w:ascii="宋体" w:hAnsi="宋体" w:cs="宋体"/>
                <w:color w:val="000000" w:themeColor="text1"/>
                <w:szCs w:val="21"/>
                <w:lang w:val="en-US" w:eastAsia="zh-CN"/>
                <w14:textFill>
                  <w14:solidFill>
                    <w14:schemeClr w14:val="tx1"/>
                  </w14:solidFill>
                </w14:textFill>
              </w:rPr>
              <w:t>占比进行评议，占比＞35%的得0分，占比在35%的基础上，每减少1%得1分，满分为8分。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8</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kern w:val="2"/>
                <w:sz w:val="21"/>
                <w:szCs w:val="21"/>
                <w:highlight w:val="none"/>
                <w:lang w:val="en-US" w:eastAsia="zh-CN" w:bidi="ar"/>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运营团队人员配备</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分）</w:t>
            </w:r>
          </w:p>
        </w:tc>
        <w:tc>
          <w:tcPr>
            <w:tcW w:w="6194" w:type="dxa"/>
            <w:noWrap w:val="0"/>
            <w:vAlign w:val="center"/>
          </w:tcPr>
          <w:p>
            <w:pPr>
              <w:widowControl/>
              <w:shd w:val="solid" w:color="FFFFFF" w:fill="auto"/>
              <w:autoSpaceDN w:val="0"/>
              <w:spacing w:line="360" w:lineRule="auto"/>
              <w:jc w:val="left"/>
              <w:rPr>
                <w:rFonts w:hint="eastAsia" w:ascii="宋体" w:hAnsi="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根据投标人提供的</w:t>
            </w:r>
            <w:r>
              <w:rPr>
                <w:rFonts w:hint="eastAsia" w:ascii="宋体" w:hAnsi="宋体" w:eastAsia="宋体" w:cs="宋体"/>
                <w:bCs/>
                <w:color w:val="000000" w:themeColor="text1"/>
                <w:kern w:val="0"/>
                <w:szCs w:val="21"/>
                <w14:textFill>
                  <w14:solidFill>
                    <w14:schemeClr w14:val="tx1"/>
                  </w14:solidFill>
                </w14:textFill>
              </w:rPr>
              <w:t>针对此项目专家团队、运营管理人员、设备维修人员的组成情况及数量</w:t>
            </w:r>
            <w:r>
              <w:rPr>
                <w:rFonts w:hint="eastAsia" w:ascii="宋体" w:hAnsi="宋体" w:eastAsia="宋体" w:cs="宋体"/>
                <w:bCs/>
                <w:color w:val="000000" w:themeColor="text1"/>
                <w:szCs w:val="21"/>
                <w14:textFill>
                  <w14:solidFill>
                    <w14:schemeClr w14:val="tx1"/>
                  </w14:solidFill>
                </w14:textFill>
              </w:rPr>
              <w:t>进行评议</w:t>
            </w:r>
            <w:r>
              <w:rPr>
                <w:rFonts w:hint="eastAsia" w:ascii="宋体" w:hAnsi="宋体" w:cs="宋体"/>
                <w:bCs/>
                <w:color w:val="000000" w:themeColor="text1"/>
                <w:szCs w:val="21"/>
                <w:lang w:eastAsia="zh-CN"/>
                <w14:textFill>
                  <w14:solidFill>
                    <w14:schemeClr w14:val="tx1"/>
                  </w14:solidFill>
                </w14:textFill>
              </w:rPr>
              <w:t>：</w:t>
            </w:r>
          </w:p>
          <w:p>
            <w:pPr>
              <w:widowControl/>
              <w:shd w:val="solid" w:color="FFFFFF" w:fill="auto"/>
              <w:autoSpaceDN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人员数量充足，拥有丰富工作经验的、分工明确的得</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分；</w:t>
            </w:r>
          </w:p>
          <w:p>
            <w:pPr>
              <w:widowControl/>
              <w:shd w:val="solid" w:color="FFFFFF" w:fill="auto"/>
              <w:autoSpaceDN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人员数量满足需求，资质技术水平和工作经验尚可的得</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pPr>
              <w:widowControl/>
              <w:shd w:val="solid" w:color="FFFFFF" w:fill="auto"/>
              <w:autoSpaceDN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人员数量、资质技术水平和工作经验一般的得1分；</w:t>
            </w:r>
          </w:p>
          <w:p>
            <w:pPr>
              <w:widowControl/>
              <w:shd w:val="solid" w:color="FFFFFF" w:fill="auto"/>
              <w:autoSpaceDN w:val="0"/>
              <w:spacing w:line="360" w:lineRule="auto"/>
              <w:jc w:val="left"/>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未提供技术人员情况的不得分。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kern w:val="2"/>
                <w:sz w:val="21"/>
                <w:szCs w:val="21"/>
                <w:highlight w:val="none"/>
                <w:lang w:val="en-US" w:eastAsia="zh-CN" w:bidi="ar"/>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冷链物流方案</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lang w:val="en-US" w:eastAsia="zh-CN"/>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分）</w:t>
            </w:r>
          </w:p>
        </w:tc>
        <w:tc>
          <w:tcPr>
            <w:tcW w:w="6194" w:type="dxa"/>
            <w:noWrap w:val="0"/>
            <w:vAlign w:val="center"/>
          </w:tcPr>
          <w:p>
            <w:pPr>
              <w:widowControl/>
              <w:spacing w:line="360" w:lineRule="auto"/>
              <w:jc w:val="left"/>
              <w:textAlignment w:val="center"/>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根据投标人提供的标本物流冷链方案及试剂物流冷链方案的快捷性、可靠性进行评议</w:t>
            </w:r>
            <w:r>
              <w:rPr>
                <w:rFonts w:hint="eastAsia" w:ascii="宋体" w:hAnsi="宋体" w:cs="宋体"/>
                <w:bCs/>
                <w:color w:val="000000" w:themeColor="text1"/>
                <w:kern w:val="0"/>
                <w:szCs w:val="21"/>
                <w:lang w:eastAsia="zh-CN"/>
                <w14:textFill>
                  <w14:solidFill>
                    <w14:schemeClr w14:val="tx1"/>
                  </w14:solidFill>
                </w14:textFill>
              </w:rPr>
              <w:t>：</w:t>
            </w:r>
          </w:p>
          <w:p>
            <w:pPr>
              <w:widowControl/>
              <w:spacing w:line="360" w:lineRule="auto"/>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方案考虑充分措施有效的得</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分；</w:t>
            </w:r>
          </w:p>
          <w:p>
            <w:pPr>
              <w:widowControl/>
              <w:spacing w:line="360" w:lineRule="auto"/>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方案合理措施一般的得</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分；方案考虑不够充分的得1分；</w:t>
            </w:r>
          </w:p>
          <w:p>
            <w:pPr>
              <w:widowControl/>
              <w:spacing w:line="360" w:lineRule="auto"/>
              <w:jc w:val="left"/>
              <w:textAlignment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kern w:val="2"/>
                <w:sz w:val="21"/>
                <w:szCs w:val="21"/>
                <w:highlight w:val="none"/>
                <w:lang w:val="en-US" w:eastAsia="zh-CN" w:bidi="ar"/>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信息化网络建设方案</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分）</w:t>
            </w:r>
          </w:p>
        </w:tc>
        <w:tc>
          <w:tcPr>
            <w:tcW w:w="6194" w:type="dxa"/>
            <w:noWrap w:val="0"/>
            <w:vAlign w:val="center"/>
          </w:tcPr>
          <w:p>
            <w:pPr>
              <w:widowControl/>
              <w:spacing w:line="360" w:lineRule="auto"/>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根据投标人提供的</w:t>
            </w:r>
            <w:r>
              <w:rPr>
                <w:rFonts w:hint="eastAsia" w:ascii="宋体" w:hAnsi="宋体" w:cs="宋体"/>
                <w:bCs/>
                <w:color w:val="000000" w:themeColor="text1"/>
                <w:szCs w:val="21"/>
                <w14:textFill>
                  <w14:solidFill>
                    <w14:schemeClr w14:val="tx1"/>
                  </w14:solidFill>
                </w14:textFill>
              </w:rPr>
              <w:t>信息化网络建设方案、</w:t>
            </w:r>
            <w:r>
              <w:rPr>
                <w:rFonts w:hint="eastAsia" w:ascii="宋体" w:hAnsi="宋体" w:cs="宋体"/>
                <w:bCs/>
                <w:color w:val="000000" w:themeColor="text1"/>
                <w:kern w:val="0"/>
                <w:szCs w:val="21"/>
                <w14:textFill>
                  <w14:solidFill>
                    <w14:schemeClr w14:val="tx1"/>
                  </w14:solidFill>
                </w14:textFill>
              </w:rPr>
              <w:t>供应链S</w:t>
            </w:r>
            <w:r>
              <w:rPr>
                <w:rFonts w:ascii="宋体" w:hAnsi="宋体" w:cs="宋体"/>
                <w:bCs/>
                <w:color w:val="000000" w:themeColor="text1"/>
                <w:kern w:val="0"/>
                <w:szCs w:val="21"/>
                <w14:textFill>
                  <w14:solidFill>
                    <w14:schemeClr w14:val="tx1"/>
                  </w14:solidFill>
                </w14:textFill>
              </w:rPr>
              <w:t>PD</w:t>
            </w:r>
            <w:r>
              <w:rPr>
                <w:rFonts w:hint="eastAsia" w:ascii="宋体" w:hAnsi="宋体" w:cs="宋体"/>
                <w:bCs/>
                <w:color w:val="000000" w:themeColor="text1"/>
                <w:kern w:val="0"/>
                <w:szCs w:val="21"/>
                <w14:textFill>
                  <w14:solidFill>
                    <w14:schemeClr w14:val="tx1"/>
                  </w14:solidFill>
                </w14:textFill>
              </w:rPr>
              <w:t>系统</w:t>
            </w: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确保检测结果传递的及时性，能接入招标人的信息系统，能实现无纸化传输检测结果，根据检测数据查询、传输方案的全面性及可行性评议进行评议</w:t>
            </w:r>
            <w:r>
              <w:rPr>
                <w:rFonts w:hint="eastAsia" w:ascii="宋体" w:hAnsi="宋体" w:cs="宋体"/>
                <w:bCs/>
                <w:color w:val="000000" w:themeColor="text1"/>
                <w:kern w:val="0"/>
                <w:szCs w:val="21"/>
                <w:lang w:eastAsia="zh-CN"/>
                <w14:textFill>
                  <w14:solidFill>
                    <w14:schemeClr w14:val="tx1"/>
                  </w14:solidFill>
                </w14:textFill>
              </w:rPr>
              <w:t>：</w:t>
            </w:r>
          </w:p>
          <w:p>
            <w:pPr>
              <w:widowControl/>
              <w:spacing w:line="360" w:lineRule="auto"/>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方案全面可行的得</w:t>
            </w:r>
            <w:r>
              <w:rPr>
                <w:rFonts w:hint="eastAsia" w:ascii="宋体" w:hAnsi="宋体" w:cs="宋体"/>
                <w:bCs/>
                <w:color w:val="000000" w:themeColor="text1"/>
                <w:kern w:val="0"/>
                <w:szCs w:val="21"/>
                <w:lang w:val="en-US" w:eastAsia="zh-CN"/>
                <w14:textFill>
                  <w14:solidFill>
                    <w14:schemeClr w14:val="tx1"/>
                  </w14:solidFill>
                </w14:textFill>
              </w:rPr>
              <w:t>4</w:t>
            </w:r>
            <w:r>
              <w:rPr>
                <w:rFonts w:hint="eastAsia" w:ascii="宋体" w:hAnsi="宋体" w:cs="宋体"/>
                <w:bCs/>
                <w:color w:val="000000" w:themeColor="text1"/>
                <w:kern w:val="0"/>
                <w:szCs w:val="21"/>
                <w14:textFill>
                  <w14:solidFill>
                    <w14:schemeClr w14:val="tx1"/>
                  </w14:solidFill>
                </w14:textFill>
              </w:rPr>
              <w:t>分；</w:t>
            </w:r>
          </w:p>
          <w:p>
            <w:pPr>
              <w:widowControl/>
              <w:spacing w:line="360" w:lineRule="auto"/>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方案较全面可行的得</w:t>
            </w:r>
            <w:r>
              <w:rPr>
                <w:rFonts w:hint="eastAsia" w:ascii="宋体" w:hAnsi="宋体" w:cs="宋体"/>
                <w:bCs/>
                <w:color w:val="000000" w:themeColor="text1"/>
                <w:kern w:val="0"/>
                <w:szCs w:val="21"/>
                <w:lang w:val="en-US" w:eastAsia="zh-CN"/>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分；</w:t>
            </w:r>
          </w:p>
          <w:p>
            <w:pPr>
              <w:widowControl/>
              <w:spacing w:line="360" w:lineRule="auto"/>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方案欠全面可行的得1分</w:t>
            </w:r>
            <w:r>
              <w:rPr>
                <w:rFonts w:hint="eastAsia" w:ascii="宋体" w:hAnsi="宋体" w:cs="宋体"/>
                <w:bCs/>
                <w:color w:val="000000" w:themeColor="text1"/>
                <w:kern w:val="0"/>
                <w:szCs w:val="21"/>
                <w:lang w:eastAsia="zh-CN"/>
                <w14:textFill>
                  <w14:solidFill>
                    <w14:schemeClr w14:val="tx1"/>
                  </w14:solidFill>
                </w14:textFill>
              </w:rPr>
              <w:t>。</w:t>
            </w:r>
          </w:p>
          <w:p>
            <w:pPr>
              <w:widowControl/>
              <w:spacing w:line="360" w:lineRule="auto"/>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4</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kern w:val="2"/>
                <w:sz w:val="21"/>
                <w:szCs w:val="21"/>
                <w:highlight w:val="none"/>
                <w:lang w:val="en-US" w:eastAsia="zh-CN" w:bidi="ar"/>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售后服务方案</w:t>
            </w:r>
          </w:p>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w:t>
            </w:r>
          </w:p>
        </w:tc>
        <w:tc>
          <w:tcPr>
            <w:tcW w:w="6194" w:type="dxa"/>
            <w:noWrap w:val="0"/>
            <w:vAlign w:val="center"/>
          </w:tcPr>
          <w:p>
            <w:pPr>
              <w:keepNext w:val="0"/>
              <w:keepLines w:val="0"/>
              <w:suppressLineNumbers w:val="0"/>
              <w:adjustRightInd/>
              <w:spacing w:before="0" w:beforeAutospacing="0" w:after="0" w:afterAutospacing="0" w:line="360" w:lineRule="auto"/>
              <w:ind w:left="0" w:right="0"/>
              <w:rPr>
                <w:rFonts w:hint="eastAsia" w:ascii="宋体" w:hAnsi="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根据投标人提供的</w:t>
            </w:r>
            <w:r>
              <w:rPr>
                <w:rFonts w:hint="eastAsia" w:ascii="宋体" w:hAnsi="宋体" w:cs="宋体"/>
                <w:bCs/>
                <w:color w:val="000000" w:themeColor="text1"/>
                <w:szCs w:val="21"/>
                <w:lang w:val="en-US" w:eastAsia="zh-CN"/>
                <w14:textFill>
                  <w14:solidFill>
                    <w14:schemeClr w14:val="tx1"/>
                  </w14:solidFill>
                </w14:textFill>
              </w:rPr>
              <w:t>售后</w:t>
            </w:r>
            <w:r>
              <w:rPr>
                <w:rFonts w:hint="eastAsia" w:ascii="宋体" w:hAnsi="宋体" w:cs="宋体"/>
                <w:bCs/>
                <w:color w:val="000000" w:themeColor="text1"/>
                <w:szCs w:val="21"/>
                <w14:textFill>
                  <w14:solidFill>
                    <w14:schemeClr w14:val="tx1"/>
                  </w14:solidFill>
                </w14:textFill>
              </w:rPr>
              <w:t>服务方案，从服务网点的设置、反应时间的快慢、维修力量的强弱进行评议</w:t>
            </w:r>
            <w:r>
              <w:rPr>
                <w:rFonts w:hint="eastAsia" w:ascii="宋体" w:hAnsi="宋体" w:cs="宋体"/>
                <w:bCs/>
                <w:color w:val="000000" w:themeColor="text1"/>
                <w:szCs w:val="21"/>
                <w:lang w:eastAsia="zh-CN"/>
                <w14:textFill>
                  <w14:solidFill>
                    <w14:schemeClr w14:val="tx1"/>
                  </w14:solidFill>
                </w14:textFill>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售后服务方案及</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各项承诺能与医院实际相结合，能提供实质性承诺及保障措施，能有效保证货物正常使用的得</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售后服务方案及</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各项承诺能与医院实际相结合，承诺及保障基本符合货物实际使用情况，满足医院使用要求的得</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售后服务方案及</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各项承诺与医院实际需求存在巨大偏差，会严重影响货物</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、服务</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正常使用</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、运行</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的得1分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5</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FF0000"/>
                <w:kern w:val="2"/>
                <w:sz w:val="21"/>
                <w:szCs w:val="21"/>
                <w:highlight w:val="none"/>
                <w:lang w:val="en-US" w:eastAsia="zh-CN" w:bidi="ar"/>
              </w:rPr>
            </w:pPr>
          </w:p>
        </w:tc>
        <w:tc>
          <w:tcPr>
            <w:tcW w:w="1260"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其他特色服务情况</w:t>
            </w:r>
            <w:r>
              <w:rPr>
                <w:rFonts w:hint="eastAsia" w:ascii="宋体" w:hAnsi="宋体" w:cs="宋体"/>
                <w:bCs/>
                <w:color w:val="000000" w:themeColor="text1"/>
                <w:szCs w:val="21"/>
                <w14:textFill>
                  <w14:solidFill>
                    <w14:schemeClr w14:val="tx1"/>
                  </w14:solidFill>
                </w14:textFill>
              </w:rPr>
              <w:t>（4分）</w:t>
            </w:r>
          </w:p>
        </w:tc>
        <w:tc>
          <w:tcPr>
            <w:tcW w:w="6194" w:type="dxa"/>
            <w:noWrap w:val="0"/>
            <w:vAlign w:val="center"/>
          </w:tcPr>
          <w:p>
            <w:pPr>
              <w:widowControl/>
              <w:spacing w:line="360" w:lineRule="auto"/>
              <w:jc w:val="left"/>
              <w:textAlignment w:val="center"/>
              <w:rPr>
                <w:rFonts w:hint="eastAsia" w:ascii="宋体" w:hAnsi="宋体" w:cs="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根据投标人</w:t>
            </w:r>
            <w:r>
              <w:rPr>
                <w:rFonts w:hint="eastAsia" w:ascii="宋体" w:hAnsi="宋体" w:cs="宋体"/>
                <w:bCs/>
                <w:color w:val="000000" w:themeColor="text1"/>
                <w:kern w:val="0"/>
                <w:szCs w:val="21"/>
                <w:lang w:val="en-US" w:eastAsia="zh-CN"/>
                <w14:textFill>
                  <w14:solidFill>
                    <w14:schemeClr w14:val="tx1"/>
                  </w14:solidFill>
                </w14:textFill>
              </w:rPr>
              <w:t>承诺</w:t>
            </w:r>
            <w:r>
              <w:rPr>
                <w:rFonts w:hint="eastAsia" w:ascii="宋体" w:hAnsi="宋体" w:cs="宋体"/>
                <w:bCs/>
                <w:color w:val="000000" w:themeColor="text1"/>
                <w:kern w:val="0"/>
                <w:szCs w:val="21"/>
                <w14:textFill>
                  <w14:solidFill>
                    <w14:schemeClr w14:val="tx1"/>
                  </w14:solidFill>
                </w14:textFill>
              </w:rPr>
              <w:t>提供与本项目有关的其他特色服务和响应措施等情况进行评议</w:t>
            </w:r>
            <w:r>
              <w:rPr>
                <w:rFonts w:hint="eastAsia" w:ascii="宋体" w:hAnsi="宋体" w:cs="宋体"/>
                <w:bCs/>
                <w:color w:val="000000" w:themeColor="text1"/>
                <w:kern w:val="0"/>
                <w:szCs w:val="21"/>
                <w:lang w:eastAsia="zh-CN"/>
                <w14:textFill>
                  <w14:solidFill>
                    <w14:schemeClr w14:val="tx1"/>
                  </w14:solidFill>
                </w14:textFill>
              </w:rPr>
              <w:t>：</w:t>
            </w:r>
          </w:p>
          <w:p>
            <w:pPr>
              <w:widowControl/>
              <w:spacing w:line="360" w:lineRule="auto"/>
              <w:jc w:val="left"/>
              <w:textAlignment w:val="center"/>
              <w:rPr>
                <w:rFonts w:hint="eastAsia" w:ascii="宋体" w:hAnsi="宋体" w:cs="宋体"/>
                <w:color w:val="000000" w:themeColor="text1"/>
                <w:lang w:eastAsia="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方案</w:t>
            </w:r>
            <w:r>
              <w:rPr>
                <w:rFonts w:hint="eastAsia" w:ascii="宋体" w:hAnsi="宋体" w:cs="宋体"/>
                <w:color w:val="000000" w:themeColor="text1"/>
                <w:lang w:val="en-US" w:eastAsia="zh-CN"/>
                <w14:textFill>
                  <w14:solidFill>
                    <w14:schemeClr w14:val="tx1"/>
                  </w14:solidFill>
                </w14:textFill>
              </w:rPr>
              <w:t>内容贴合实际需要</w:t>
            </w:r>
            <w:r>
              <w:rPr>
                <w:rFonts w:hint="eastAsia" w:ascii="宋体" w:hAnsi="宋体" w:cs="宋体"/>
                <w:color w:val="000000" w:themeColor="text1"/>
                <w14:textFill>
                  <w14:solidFill>
                    <w14:schemeClr w14:val="tx1"/>
                  </w14:solidFill>
                </w14:textFill>
              </w:rPr>
              <w:t>切实可行的得</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p>
          <w:p>
            <w:pPr>
              <w:widowControl/>
              <w:spacing w:line="360" w:lineRule="auto"/>
              <w:jc w:val="left"/>
              <w:textAlignment w:val="center"/>
              <w:rPr>
                <w:rFonts w:hint="eastAsia" w:ascii="宋体" w:hAnsi="宋体" w:cs="宋体"/>
                <w:color w:val="000000" w:themeColor="text1"/>
                <w:lang w:eastAsia="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方案</w:t>
            </w:r>
            <w:r>
              <w:rPr>
                <w:rFonts w:hint="eastAsia" w:ascii="宋体" w:hAnsi="宋体" w:cs="宋体"/>
                <w:color w:val="000000" w:themeColor="text1"/>
                <w14:textFill>
                  <w14:solidFill>
                    <w14:schemeClr w14:val="tx1"/>
                  </w14:solidFill>
                </w14:textFill>
              </w:rPr>
              <w:t>诺</w:t>
            </w:r>
            <w:r>
              <w:rPr>
                <w:rFonts w:hint="eastAsia" w:ascii="宋体" w:hAnsi="宋体" w:cs="宋体"/>
                <w:color w:val="000000" w:themeColor="text1"/>
                <w:lang w:val="en-US" w:eastAsia="zh-CN"/>
                <w14:textFill>
                  <w14:solidFill>
                    <w14:schemeClr w14:val="tx1"/>
                  </w14:solidFill>
                </w14:textFill>
              </w:rPr>
              <w:t>内容基本贴合实际需要</w:t>
            </w:r>
            <w:r>
              <w:rPr>
                <w:rFonts w:hint="eastAsia" w:ascii="宋体" w:hAnsi="宋体" w:cs="宋体"/>
                <w:color w:val="000000" w:themeColor="text1"/>
                <w14:textFill>
                  <w14:solidFill>
                    <w14:schemeClr w14:val="tx1"/>
                  </w14:solidFill>
                </w14:textFill>
              </w:rPr>
              <w:t>的得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p>
          <w:p>
            <w:pPr>
              <w:widowControl/>
              <w:spacing w:line="360" w:lineRule="auto"/>
              <w:jc w:val="left"/>
              <w:textAlignment w:val="center"/>
              <w:rPr>
                <w:rFonts w:hint="eastAsia" w:ascii="宋体" w:hAnsi="宋体" w:cs="宋体"/>
                <w:color w:val="000000" w:themeColor="text1"/>
                <w:lang w:eastAsia="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方案</w:t>
            </w:r>
            <w:r>
              <w:rPr>
                <w:rFonts w:hint="eastAsia" w:ascii="宋体" w:hAnsi="宋体" w:cs="宋体"/>
                <w:color w:val="000000" w:themeColor="text1"/>
                <w:lang w:val="en-US" w:eastAsia="zh-CN"/>
                <w14:textFill>
                  <w14:solidFill>
                    <w14:schemeClr w14:val="tx1"/>
                  </w14:solidFill>
                </w14:textFill>
              </w:rPr>
              <w:t>内容空洞有欠缺的</w:t>
            </w:r>
            <w:r>
              <w:rPr>
                <w:rFonts w:hint="eastAsia" w:ascii="宋体" w:hAnsi="宋体" w:cs="宋体"/>
                <w:color w:val="000000" w:themeColor="text1"/>
                <w14:textFill>
                  <w14:solidFill>
                    <w14:schemeClr w14:val="tx1"/>
                  </w14:solidFill>
                </w14:textFill>
              </w:rPr>
              <w:t>得</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p>
          <w:p>
            <w:pPr>
              <w:widowControl/>
              <w:spacing w:line="360" w:lineRule="auto"/>
              <w:jc w:val="left"/>
              <w:textAlignment w:val="center"/>
              <w:rPr>
                <w:rFonts w:hint="eastAsia" w:ascii="宋体" w:hAnsi="宋体" w:eastAsia="宋体" w:cs="宋体"/>
                <w:b w:val="0"/>
                <w:bCs w:val="0"/>
                <w:i w:val="0"/>
                <w:iCs w:val="0"/>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未提供相关内容不得分。</w:t>
            </w:r>
          </w:p>
        </w:tc>
        <w:tc>
          <w:tcPr>
            <w:tcW w:w="840" w:type="dxa"/>
            <w:noWrap w:val="0"/>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4</w:t>
            </w:r>
          </w:p>
        </w:tc>
        <w:tc>
          <w:tcPr>
            <w:tcW w:w="707"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FF0000"/>
                <w:sz w:val="21"/>
                <w:szCs w:val="21"/>
                <w:highlight w:val="none"/>
              </w:rPr>
            </w:pPr>
          </w:p>
        </w:tc>
        <w:tc>
          <w:tcPr>
            <w:tcW w:w="1260" w:type="dxa"/>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业绩</w:t>
            </w:r>
          </w:p>
          <w:p>
            <w:pPr>
              <w:keepNext w:val="0"/>
              <w:keepLines w:val="0"/>
              <w:widowControl/>
              <w:numPr>
                <w:ilvl w:val="0"/>
                <w:numId w:val="0"/>
              </w:numPr>
              <w:suppressLineNumbers w:val="0"/>
              <w:spacing w:before="0" w:beforeAutospacing="0" w:after="0" w:afterAutospacing="0" w:line="300" w:lineRule="exact"/>
              <w:ind w:right="0" w:rightChars="0"/>
              <w:jc w:val="cente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zh-CN" w:eastAsia="zh-CN"/>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lang w:val="zh-CN" w:eastAsia="zh-CN"/>
                <w14:textFill>
                  <w14:solidFill>
                    <w14:schemeClr w14:val="tx1"/>
                  </w14:solidFill>
                </w14:textFill>
              </w:rPr>
              <w:t>分）</w:t>
            </w:r>
          </w:p>
        </w:tc>
        <w:tc>
          <w:tcPr>
            <w:tcW w:w="6194" w:type="dxa"/>
            <w:noWrap w:val="0"/>
            <w:vAlign w:val="center"/>
          </w:tcPr>
          <w:p>
            <w:pPr>
              <w:widowControl/>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2020</w:t>
            </w:r>
            <w:r>
              <w:rPr>
                <w:rFonts w:hint="eastAsia" w:ascii="宋体" w:hAnsi="宋体" w:cs="宋体"/>
                <w:bCs/>
                <w:color w:val="000000" w:themeColor="text1"/>
                <w:szCs w:val="21"/>
                <w14:textFill>
                  <w14:solidFill>
                    <w14:schemeClr w14:val="tx1"/>
                  </w14:solidFill>
                </w14:textFill>
              </w:rPr>
              <w:t>年1月至今（以合同签订日期为准）投标人</w:t>
            </w:r>
            <w:r>
              <w:rPr>
                <w:rFonts w:hint="eastAsia" w:ascii="宋体" w:hAnsi="宋体" w:cs="宋体"/>
                <w:color w:val="000000" w:themeColor="text1"/>
                <w:kern w:val="0"/>
                <w:szCs w:val="21"/>
                <w14:textFill>
                  <w14:solidFill>
                    <w14:schemeClr w14:val="tx1"/>
                  </w14:solidFill>
                </w14:textFill>
              </w:rPr>
              <w:t>具有</w:t>
            </w:r>
            <w:r>
              <w:rPr>
                <w:rFonts w:hint="eastAsia" w:ascii="宋体" w:hAnsi="宋体" w:cs="宋体"/>
                <w:bCs/>
                <w:color w:val="000000" w:themeColor="text1"/>
                <w:szCs w:val="21"/>
                <w14:textFill>
                  <w14:solidFill>
                    <w14:schemeClr w14:val="tx1"/>
                  </w14:solidFill>
                </w14:textFill>
              </w:rPr>
              <w:t>类似检验中心运营管理业绩进行评议，每提供一份合同得1分，满分为3分。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投标文件中提供业绩清单、</w:t>
            </w:r>
            <w:r>
              <w:rPr>
                <w:rFonts w:hint="eastAsia" w:ascii="宋体" w:hAnsi="宋体"/>
                <w:color w:val="000000" w:themeColor="text1"/>
                <w:szCs w:val="21"/>
                <w14:textFill>
                  <w14:solidFill>
                    <w14:schemeClr w14:val="tx1"/>
                  </w14:solidFill>
                </w14:textFill>
              </w:rPr>
              <w:t>合同复印件、注明用户联系方式等</w:t>
            </w:r>
            <w:r>
              <w:rPr>
                <w:rFonts w:hint="eastAsia" w:ascii="宋体" w:hAnsi="宋体" w:cs="宋体"/>
                <w:bCs/>
                <w:color w:val="000000" w:themeColor="text1"/>
                <w:szCs w:val="21"/>
                <w14:textFill>
                  <w14:solidFill>
                    <w14:schemeClr w14:val="tx1"/>
                  </w14:solidFill>
                </w14:textFill>
              </w:rPr>
              <w:t>。</w:t>
            </w:r>
          </w:p>
        </w:tc>
        <w:tc>
          <w:tcPr>
            <w:tcW w:w="840" w:type="dxa"/>
            <w:noWrap w:val="0"/>
            <w:vAlign w:val="center"/>
          </w:tcPr>
          <w:p>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707"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56"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FF0000"/>
                <w:sz w:val="21"/>
                <w:szCs w:val="21"/>
                <w:highlight w:val="none"/>
              </w:rPr>
            </w:pPr>
          </w:p>
        </w:tc>
        <w:tc>
          <w:tcPr>
            <w:tcW w:w="1260" w:type="dxa"/>
            <w:noWrap w:val="0"/>
            <w:vAlign w:val="center"/>
          </w:tcPr>
          <w:p>
            <w:pPr>
              <w:keepNext w:val="0"/>
              <w:keepLines w:val="0"/>
              <w:widowControl w:val="0"/>
              <w:suppressLineNumbers w:val="0"/>
              <w:adjustRightInd/>
              <w:spacing w:before="0" w:beforeAutospacing="0" w:after="120" w:afterAutospacing="0" w:line="300" w:lineRule="exact"/>
              <w:ind w:left="0" w:right="0"/>
              <w:jc w:val="center"/>
              <w:rPr>
                <w:rFonts w:hint="eastAsia" w:ascii="宋体" w:hAnsi="宋体" w:eastAsia="宋体" w:cs="宋体"/>
                <w:b w:val="0"/>
                <w:bCs w:val="0"/>
                <w:i w:val="0"/>
                <w:iCs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lang w:val="en-US" w:eastAsia="zh-CN" w:bidi="ar"/>
                <w14:textFill>
                  <w14:solidFill>
                    <w14:schemeClr w14:val="tx1"/>
                  </w14:solidFill>
                </w14:textFill>
              </w:rPr>
              <w:t>政策加分</w:t>
            </w:r>
          </w:p>
          <w:p>
            <w:pPr>
              <w:keepNext w:val="0"/>
              <w:keepLines w:val="0"/>
              <w:widowControl w:val="0"/>
              <w:suppressLineNumbers w:val="0"/>
              <w:adjustRightInd/>
              <w:spacing w:before="0" w:beforeAutospacing="0" w:after="120" w:afterAutospacing="0" w:line="300" w:lineRule="exact"/>
              <w:ind w:left="0" w:right="0"/>
              <w:jc w:val="cente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lang w:val="en-US" w:eastAsia="zh-CN" w:bidi="ar"/>
                <w14:textFill>
                  <w14:solidFill>
                    <w14:schemeClr w14:val="tx1"/>
                  </w14:solidFill>
                </w14:textFill>
              </w:rPr>
              <w:t>（1分）</w:t>
            </w:r>
          </w:p>
        </w:tc>
        <w:tc>
          <w:tcPr>
            <w:tcW w:w="6194" w:type="dxa"/>
            <w:noWrap w:val="0"/>
            <w:vAlign w:val="center"/>
          </w:tcPr>
          <w:p>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t>节能环保产品（1分）：</w:t>
            </w:r>
          </w:p>
          <w:p>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投标产品属于《节能产品政府采购品目清单》范围的且具有国家确定的认证机构出具的、处于有效期之内的节能产品认证证书的得</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分；</w:t>
            </w:r>
            <w:bookmarkStart w:id="469" w:name="_GoBack"/>
            <w:bookmarkEnd w:id="469"/>
          </w:p>
          <w:p>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投标产品属于《环境标志产品政府采购品目清单》范围的且具有国家确定的认证机构出具的、处于有效期之内的环境标志产品认证证书的得</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分。</w:t>
            </w:r>
          </w:p>
          <w:p>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注：投标文件中必须同时提供以下资料：</w:t>
            </w:r>
          </w:p>
          <w:p>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widowControl w:val="0"/>
              <w:suppressLineNumbers w:val="0"/>
              <w:adjustRightInd/>
              <w:spacing w:before="0" w:beforeAutospacing="0" w:after="0" w:afterAutospacing="0" w:line="360" w:lineRule="auto"/>
              <w:ind w:left="0" w:leftChars="0" w:right="0" w:firstLine="0" w:firstLineChars="0"/>
              <w:jc w:val="both"/>
              <w:rPr>
                <w:rFonts w:hint="eastAsia" w:ascii="宋体" w:hAnsi="宋体" w:eastAsia="宋体" w:cs="宋体"/>
                <w:b w:val="0"/>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c>
          <w:tcPr>
            <w:tcW w:w="840" w:type="dxa"/>
            <w:noWrap w:val="0"/>
            <w:vAlign w:val="center"/>
          </w:tcPr>
          <w:p>
            <w:pPr>
              <w:keepNext w:val="0"/>
              <w:keepLines w:val="0"/>
              <w:widowControl w:val="0"/>
              <w:suppressLineNumbers w:val="0"/>
              <w:adjustRightInd/>
              <w:spacing w:before="0" w:beforeAutospacing="0" w:after="0" w:afterAutospacing="0"/>
              <w:ind w:left="0" w:leftChars="0" w:right="0" w:rightChars="0" w:firstLine="0"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p>
        </w:tc>
        <w:tc>
          <w:tcPr>
            <w:tcW w:w="707" w:type="dxa"/>
            <w:noWrap w:val="0"/>
            <w:vAlign w:val="center"/>
          </w:tcPr>
          <w:p>
            <w:pPr>
              <w:keepNext w:val="0"/>
              <w:keepLines w:val="0"/>
              <w:widowControl w:val="0"/>
              <w:suppressLineNumbers w:val="0"/>
              <w:adjustRightInd/>
              <w:spacing w:before="0" w:beforeAutospacing="0" w:after="0" w:afterAutospacing="0"/>
              <w:ind w:left="0" w:leftChars="0" w:right="0" w:firstLine="0"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客观评审</w:t>
            </w:r>
          </w:p>
        </w:tc>
      </w:tr>
    </w:tbl>
    <w:p>
      <w:pPr>
        <w:snapToGrid w:val="0"/>
        <w:spacing w:line="24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备注：</w:t>
      </w:r>
      <w:r>
        <w:rPr>
          <w:rFonts w:hint="eastAsia" w:ascii="宋体" w:hAnsi="宋体" w:cs="宋体"/>
          <w:b/>
          <w:bCs w:val="0"/>
          <w:color w:val="000000" w:themeColor="text1"/>
          <w:sz w:val="21"/>
          <w:szCs w:val="21"/>
          <w:highlight w:val="none"/>
          <w:lang w:eastAsia="zh-CN"/>
          <w14:textFill>
            <w14:solidFill>
              <w14:schemeClr w14:val="tx1"/>
            </w14:solidFill>
          </w14:textFill>
        </w:rPr>
        <w:t>（</w:t>
      </w:r>
      <w:r>
        <w:rPr>
          <w:rFonts w:hint="eastAsia" w:ascii="宋体" w:hAnsi="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cs="宋体"/>
          <w:b/>
          <w:bCs w:val="0"/>
          <w:color w:val="000000" w:themeColor="text1"/>
          <w:sz w:val="21"/>
          <w:szCs w:val="21"/>
          <w:highlight w:val="none"/>
          <w14:textFill>
            <w14:solidFill>
              <w14:schemeClr w14:val="tx1"/>
            </w14:solidFill>
          </w14:textFill>
        </w:rPr>
        <w:t>投标人编制投标文件（商务技术文件部分）时，建议按此目录（序号和</w:t>
      </w:r>
      <w:r>
        <w:rPr>
          <w:rFonts w:hint="eastAsia" w:ascii="宋体" w:hAnsi="宋体" w:eastAsia="宋体" w:cs="宋体"/>
          <w:b/>
          <w:bCs w:val="0"/>
          <w:color w:val="000000" w:themeColor="text1"/>
          <w:sz w:val="21"/>
          <w:szCs w:val="21"/>
          <w:highlight w:val="none"/>
          <w14:textFill>
            <w14:solidFill>
              <w14:schemeClr w14:val="tx1"/>
            </w14:solidFill>
          </w14:textFill>
        </w:rPr>
        <w:t>内容）提供评标标准相应的商务技术资料。</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z w:val="21"/>
          <w:szCs w:val="21"/>
          <w:highlight w:val="none"/>
          <w14:textFill>
            <w14:solidFill>
              <w14:schemeClr w14:val="tx1"/>
            </w14:solidFill>
          </w14:textFill>
        </w:rPr>
        <w:t xml:space="preserve">评委在上表设定的分值范围内打分(四舍五入保留两位小数)，平均分值计算四舍五入保留两位小数点。 </w:t>
      </w:r>
      <w:r>
        <w:rPr>
          <w:rFonts w:hint="eastAsia" w:ascii="宋体" w:hAnsi="宋体" w:cs="宋体"/>
          <w:color w:val="000000" w:themeColor="text1"/>
          <w:sz w:val="21"/>
          <w:szCs w:val="21"/>
          <w:highlight w:val="none"/>
          <w14:textFill>
            <w14:solidFill>
              <w14:schemeClr w14:val="tx1"/>
            </w14:solidFill>
          </w14:textFill>
        </w:rPr>
        <w:t> </w:t>
      </w:r>
    </w:p>
    <w:p>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40" w:name="_Toc22860"/>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一、评标方法</w:t>
      </w:r>
      <w:bookmarkEnd w:id="440"/>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41" w:name="_Toc29389"/>
      <w:r>
        <w:rPr>
          <w:rFonts w:hint="eastAsia" w:ascii="宋体" w:hAnsi="宋体" w:eastAsia="宋体" w:cs="宋体"/>
          <w:b/>
          <w:color w:val="000000" w:themeColor="text1"/>
          <w:sz w:val="24"/>
          <w:szCs w:val="24"/>
          <w:highlight w:val="none"/>
          <w:lang w:val="en-US" w:eastAsia="zh-CN"/>
          <w14:textFill>
            <w14:solidFill>
              <w14:schemeClr w14:val="tx1"/>
            </w14:solidFill>
          </w14:textFill>
        </w:rPr>
        <w:t>二、评标标准</w:t>
      </w:r>
      <w:bookmarkEnd w:id="441"/>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42" w:name="_Toc1306"/>
      <w:r>
        <w:rPr>
          <w:rFonts w:hint="eastAsia" w:ascii="宋体" w:hAnsi="宋体" w:eastAsia="宋体" w:cs="宋体"/>
          <w:b/>
          <w:color w:val="000000" w:themeColor="text1"/>
          <w:sz w:val="24"/>
          <w:szCs w:val="24"/>
          <w:highlight w:val="none"/>
          <w:lang w:val="en-US" w:eastAsia="zh-CN"/>
          <w14:textFill>
            <w14:solidFill>
              <w14:schemeClr w14:val="tx1"/>
            </w14:solidFill>
          </w14:textFill>
        </w:rPr>
        <w:t>三、评标程序</w:t>
      </w:r>
      <w:bookmarkEnd w:id="442"/>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3"/>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3"/>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3"/>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443" w:name="_Toc29108"/>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评标中的其他事项</w:t>
      </w:r>
      <w:bookmarkEnd w:id="443"/>
    </w:p>
    <w:p>
      <w:pPr>
        <w:pStyle w:val="133"/>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000000" w:themeColor="text1"/>
          <w:kern w:val="0"/>
          <w:szCs w:val="24"/>
          <w:highlight w:val="none"/>
          <w:lang w:val="en-US" w:eastAsia="zh-CN"/>
          <w14:textFill>
            <w14:solidFill>
              <w14:schemeClr w14:val="tx1"/>
            </w14:solidFill>
          </w14:textFill>
        </w:rPr>
        <w:t>章</w:t>
      </w:r>
      <w:r>
        <w:rPr>
          <w:rFonts w:hint="eastAsia" w:ascii="宋体" w:hAnsi="宋体" w:cs="宋体"/>
          <w:color w:val="000000" w:themeColor="text1"/>
          <w:kern w:val="0"/>
          <w:szCs w:val="24"/>
          <w:highlight w:val="none"/>
          <w14:textFill>
            <w14:solidFill>
              <w14:schemeClr w14:val="tx1"/>
            </w14:solidFill>
          </w14:textFill>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投标报价超过招标文件中规定的预算金额或者最高限价的;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报价明显低于其他通</w:t>
      </w:r>
      <w:r>
        <w:rPr>
          <w:rFonts w:hint="eastAsia" w:ascii="宋体" w:hAnsi="宋体" w:eastAsia="宋体" w:cs="宋体"/>
          <w:color w:val="000000" w:themeColor="text1"/>
          <w:kern w:val="0"/>
          <w:sz w:val="24"/>
          <w:highlight w:val="none"/>
          <w14:textFill>
            <w14:solidFill>
              <w14:schemeClr w14:val="tx1"/>
            </w14:solidFill>
          </w14:textFill>
        </w:rPr>
        <w:t>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4.2.9</w:t>
      </w:r>
      <w:r>
        <w:rPr>
          <w:rFonts w:hint="eastAsia" w:ascii="宋体" w:hAnsi="宋体" w:eastAsia="宋体" w:cs="宋体"/>
          <w:color w:val="000000" w:themeColor="text1"/>
          <w:kern w:val="0"/>
          <w:sz w:val="24"/>
          <w:highlight w:val="none"/>
          <w:lang w:val="en-US"/>
          <w14:textFill>
            <w14:solidFill>
              <w14:schemeClr w14:val="tx1"/>
            </w14:solidFill>
          </w14:textFill>
        </w:rPr>
        <w:t>当“</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kern w:val="0"/>
          <w:sz w:val="24"/>
          <w:highlight w:val="none"/>
          <w:lang w:eastAsia="zh-CN"/>
          <w14:textFill>
            <w14:solidFill>
              <w14:schemeClr w14:val="tx1"/>
            </w14:solidFill>
          </w14:textFill>
        </w:rPr>
        <w:t>招标文件</w:t>
      </w:r>
      <w:r>
        <w:rPr>
          <w:rFonts w:hint="eastAsia" w:ascii="宋体" w:hAnsi="宋体" w:eastAsia="宋体" w:cs="宋体"/>
          <w:color w:val="000000" w:themeColor="text1"/>
          <w:kern w:val="0"/>
          <w:sz w:val="24"/>
          <w:highlight w:val="none"/>
          <w14:textFill>
            <w14:solidFill>
              <w14:schemeClr w14:val="tx1"/>
            </w14:solidFill>
          </w14:textFill>
        </w:rPr>
        <w:t>的技术</w:t>
      </w:r>
      <w:r>
        <w:rPr>
          <w:rFonts w:hint="eastAsia" w:ascii="宋体" w:hAnsi="宋体" w:cs="宋体"/>
          <w:color w:val="000000" w:themeColor="text1"/>
          <w:kern w:val="0"/>
          <w:sz w:val="24"/>
          <w:highlight w:val="none"/>
          <w:lang w:val="en-US" w:eastAsia="zh-CN"/>
          <w14:textFill>
            <w14:solidFill>
              <w14:schemeClr w14:val="tx1"/>
            </w14:solidFill>
          </w14:textFill>
        </w:rPr>
        <w:t>需求</w:t>
      </w:r>
      <w:r>
        <w:rPr>
          <w:rFonts w:hint="eastAsia" w:ascii="宋体" w:hAnsi="宋体" w:eastAsia="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en-US" w:eastAsia="zh-CN"/>
          <w14:textFill>
            <w14:solidFill>
              <w14:schemeClr w14:val="tx1"/>
            </w14:solidFill>
          </w14:textFill>
        </w:rPr>
        <w:t>性</w:t>
      </w:r>
      <w:r>
        <w:rPr>
          <w:rFonts w:hint="eastAsia" w:ascii="宋体" w:hAnsi="宋体" w:eastAsia="宋体" w:cs="宋体"/>
          <w:color w:val="000000" w:themeColor="text1"/>
          <w:kern w:val="0"/>
          <w:sz w:val="24"/>
          <w:highlight w:val="none"/>
          <w:lang w:val="en-US"/>
          <w14:textFill>
            <w14:solidFill>
              <w14:schemeClr w14:val="tx1"/>
            </w14:solidFill>
          </w14:textFill>
        </w:rPr>
        <w:t>”评分项扣减至0分（或以下）时，投标无效；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投标人有恶意串通、妨碍其</w:t>
      </w:r>
      <w:r>
        <w:rPr>
          <w:rFonts w:hint="eastAsia" w:ascii="宋体" w:hAnsi="宋体" w:cs="宋体"/>
          <w:color w:val="000000" w:themeColor="text1"/>
          <w:kern w:val="0"/>
          <w:sz w:val="24"/>
          <w:highlight w:val="none"/>
          <w14:textFill>
            <w14:solidFill>
              <w14:schemeClr w14:val="tx1"/>
            </w14:solidFill>
          </w14:textFill>
        </w:rPr>
        <w:t>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5"/>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444" w:name="_Toc16784"/>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bookmarkEnd w:id="444"/>
    </w:p>
    <w:p>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不同投标人的投标文件出自同一终端设备或在相同Internet主机分配地址（相同IP地址）网上报名投标的作无效标处理</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8"/>
    <w:p>
      <w:pPr>
        <w:rPr>
          <w:color w:val="000000" w:themeColor="text1"/>
          <w:highlight w:val="none"/>
          <w14:textFill>
            <w14:solidFill>
              <w14:schemeClr w14:val="tx1"/>
            </w14:solidFill>
          </w14:textFill>
        </w:rPr>
      </w:pPr>
      <w:bookmarkStart w:id="445" w:name="第五部分"/>
      <w:bookmarkStart w:id="446" w:name="_Toc86217003"/>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15"/>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47" w:name="_Toc20593"/>
      <w:bookmarkStart w:id="448" w:name="_Toc12957"/>
      <w:r>
        <w:rPr>
          <w:rFonts w:hint="eastAsia" w:ascii="宋体" w:hAnsi="宋体" w:cs="宋体"/>
          <w:b/>
          <w:color w:val="000000" w:themeColor="text1"/>
          <w:sz w:val="36"/>
          <w:szCs w:val="36"/>
          <w:highlight w:val="none"/>
          <w14:textFill>
            <w14:solidFill>
              <w14:schemeClr w14:val="tx1"/>
            </w14:solidFill>
          </w14:textFill>
        </w:rPr>
        <w:t>拟签订的合同文本</w:t>
      </w:r>
      <w:bookmarkEnd w:id="447"/>
      <w:bookmarkEnd w:id="448"/>
    </w:p>
    <w:p>
      <w:pPr>
        <w:pStyle w:val="60"/>
        <w:spacing w:line="360" w:lineRule="auto"/>
        <w:rPr>
          <w:color w:val="auto"/>
          <w:highlight w:val="none"/>
        </w:rPr>
      </w:pPr>
      <w:r>
        <w:rPr>
          <w:rFonts w:hint="eastAsia"/>
          <w:color w:val="auto"/>
          <w:highlight w:val="none"/>
        </w:rPr>
        <w:t>采购人：（以下称甲方）</w:t>
      </w:r>
      <w:r>
        <w:rPr>
          <w:rFonts w:hint="eastAsia"/>
          <w:color w:val="auto"/>
          <w:highlight w:val="none"/>
          <w:u w:val="single"/>
        </w:rPr>
        <w:t xml:space="preserve">                          </w:t>
      </w:r>
    </w:p>
    <w:p>
      <w:pPr>
        <w:pStyle w:val="60"/>
        <w:spacing w:line="360" w:lineRule="auto"/>
        <w:jc w:val="both"/>
        <w:rPr>
          <w:rFonts w:hint="eastAsia" w:cs="宋体"/>
          <w:b/>
          <w:bCs/>
          <w:color w:val="auto"/>
          <w:highlight w:val="none"/>
          <w:u w:val="single"/>
        </w:rPr>
      </w:pPr>
      <w:r>
        <w:rPr>
          <w:rFonts w:hint="eastAsia"/>
          <w:color w:val="auto"/>
          <w:highlight w:val="none"/>
        </w:rPr>
        <w:t>中标人：（以下称乙方）</w:t>
      </w:r>
      <w:r>
        <w:rPr>
          <w:rFonts w:hint="eastAsia"/>
          <w:color w:val="auto"/>
          <w:highlight w:val="none"/>
          <w:u w:val="single"/>
        </w:rPr>
        <w:t xml:space="preserve">                          </w:t>
      </w:r>
    </w:p>
    <w:p>
      <w:pPr>
        <w:pStyle w:val="60"/>
        <w:spacing w:line="360" w:lineRule="auto"/>
        <w:ind w:firstLine="480" w:firstLineChars="200"/>
        <w:jc w:val="both"/>
        <w:rPr>
          <w:rFonts w:hint="eastAsia" w:cs="宋体"/>
          <w:color w:val="auto"/>
          <w:highlight w:val="none"/>
        </w:rPr>
      </w:pPr>
      <w:r>
        <w:rPr>
          <w:rFonts w:hint="eastAsia" w:cs="宋体"/>
          <w:color w:val="auto"/>
          <w:highlight w:val="none"/>
        </w:rPr>
        <w:t>根据招标文件，项目编号</w:t>
      </w:r>
      <w:r>
        <w:rPr>
          <w:rFonts w:hint="eastAsia" w:cs="宋体"/>
          <w:color w:val="auto"/>
          <w:highlight w:val="none"/>
          <w:u w:val="single"/>
        </w:rPr>
        <w:t xml:space="preserve">          </w:t>
      </w:r>
      <w:r>
        <w:rPr>
          <w:rFonts w:hint="eastAsia" w:cs="宋体"/>
          <w:color w:val="auto"/>
          <w:highlight w:val="none"/>
        </w:rPr>
        <w:t>的</w:t>
      </w:r>
      <w:r>
        <w:rPr>
          <w:rFonts w:hint="eastAsia" w:cs="宋体"/>
          <w:color w:val="auto"/>
          <w:highlight w:val="none"/>
          <w:u w:val="single"/>
        </w:rPr>
        <w:t xml:space="preserve">         </w:t>
      </w:r>
      <w:r>
        <w:rPr>
          <w:rFonts w:hint="eastAsia" w:cs="宋体"/>
          <w:color w:val="auto"/>
          <w:highlight w:val="none"/>
        </w:rPr>
        <w:t>项目，在</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日开标会上，经评标委员会评定</w:t>
      </w:r>
      <w:r>
        <w:rPr>
          <w:rFonts w:hint="eastAsia" w:cs="宋体"/>
          <w:color w:val="auto"/>
          <w:highlight w:val="none"/>
          <w:u w:val="single"/>
        </w:rPr>
        <w:t xml:space="preserve"> 　　　　  　  </w:t>
      </w:r>
      <w:r>
        <w:rPr>
          <w:rFonts w:hint="eastAsia" w:cs="宋体"/>
          <w:color w:val="auto"/>
          <w:highlight w:val="none"/>
        </w:rPr>
        <w:t>(乙方)为中标人。甲乙双方依据《中华人民共和国民法典》等相关法律法规和招标文件的要求，在平等自愿的基础上，同意按照下面的条款和条件，签署本合同。</w:t>
      </w:r>
    </w:p>
    <w:p>
      <w:pPr>
        <w:tabs>
          <w:tab w:val="left" w:pos="540"/>
          <w:tab w:val="left" w:pos="1080"/>
        </w:tabs>
        <w:spacing w:line="360" w:lineRule="auto"/>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szCs w:val="24"/>
          <w:highlight w:val="none"/>
          <w:lang w:eastAsia="zh-Hans"/>
        </w:rPr>
        <w:t>第一条  组成本合同的有关文件</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下列文件构成本合同的组成部分，应该认为是一个整体，彼此相互解释，相互补充。组成合同的多个文件的优先支配地位的次序如下：</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1.1、本合同书　</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1.2、中标通知书</w:t>
      </w:r>
      <w:r>
        <w:rPr>
          <w:rFonts w:hint="eastAsia" w:ascii="宋体" w:hAnsi="宋体" w:cs="宋体"/>
          <w:bCs/>
          <w:color w:val="auto"/>
          <w:sz w:val="24"/>
          <w:highlight w:val="none"/>
        </w:rPr>
        <w:tab/>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1.3、中标人澄清修改文件</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1.4、中标人投标文件</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1.5、招标文件澄清修改文件</w:t>
      </w:r>
    </w:p>
    <w:p>
      <w:pPr>
        <w:tabs>
          <w:tab w:val="left" w:pos="544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1.6、招标文件</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第二条  合同内容</w:t>
      </w:r>
    </w:p>
    <w:p>
      <w:pPr>
        <w:pStyle w:val="2"/>
        <w:tabs>
          <w:tab w:val="left" w:pos="208"/>
        </w:tabs>
        <w:spacing w:after="0" w:line="360" w:lineRule="auto"/>
        <w:ind w:firstLine="482" w:firstLineChars="200"/>
        <w:rPr>
          <w:rFonts w:hint="eastAsia" w:ascii="宋体" w:hAnsi="宋体" w:eastAsia="宋体" w:cs="宋体"/>
          <w:color w:val="auto"/>
          <w:sz w:val="24"/>
          <w:highlight w:val="none"/>
          <w:lang w:val="en-US"/>
        </w:rPr>
      </w:pPr>
      <w:r>
        <w:rPr>
          <w:rFonts w:hint="eastAsia" w:ascii="宋体" w:hAnsi="宋体" w:eastAsia="宋体" w:cs="宋体"/>
          <w:b/>
          <w:bCs/>
          <w:color w:val="auto"/>
          <w:sz w:val="24"/>
          <w:highlight w:val="none"/>
          <w:lang w:val="en-US"/>
        </w:rPr>
        <w:t>2.1</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rPr>
        <w:t>合作共建模式</w:t>
      </w:r>
    </w:p>
    <w:p>
      <w:pPr>
        <w:pStyle w:val="2"/>
        <w:tabs>
          <w:tab w:val="left" w:pos="208"/>
        </w:tabs>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2.1.1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合作期限：5年，由</w:t>
      </w:r>
      <w:r>
        <w:rPr>
          <w:rFonts w:hint="eastAsia" w:ascii="宋体" w:hAnsi="宋体" w:eastAsia="宋体" w:cs="宋体"/>
          <w:color w:val="auto"/>
          <w:sz w:val="24"/>
          <w:highlight w:val="none"/>
          <w:lang w:val="en-US" w:eastAsia="zh-CN"/>
        </w:rPr>
        <w:t>甲方和乙方</w:t>
      </w:r>
      <w:r>
        <w:rPr>
          <w:rFonts w:hint="eastAsia" w:ascii="宋体" w:hAnsi="宋体" w:eastAsia="宋体" w:cs="宋体"/>
          <w:color w:val="auto"/>
          <w:sz w:val="24"/>
          <w:highlight w:val="none"/>
          <w:lang w:val="en-US"/>
        </w:rPr>
        <w:t>组成运营项目团队，共同</w:t>
      </w:r>
      <w:r>
        <w:rPr>
          <w:rFonts w:hint="eastAsia" w:ascii="宋体" w:hAnsi="宋体" w:eastAsia="宋体" w:cs="宋体"/>
          <w:b w:val="0"/>
          <w:bCs w:val="0"/>
          <w:color w:val="auto"/>
          <w:sz w:val="24"/>
          <w:szCs w:val="24"/>
          <w:highlight w:val="none"/>
          <w:lang w:val="en-US"/>
        </w:rPr>
        <w:t>开展</w:t>
      </w:r>
      <w:r>
        <w:rPr>
          <w:rFonts w:hint="eastAsia" w:ascii="宋体" w:hAnsi="宋体" w:eastAsia="宋体" w:cs="宋体"/>
          <w:color w:val="auto"/>
          <w:sz w:val="24"/>
          <w:highlight w:val="none"/>
          <w:lang w:val="en-US" w:eastAsia="zh-CN"/>
        </w:rPr>
        <w:t>甲方</w:t>
      </w:r>
      <w:r>
        <w:rPr>
          <w:rFonts w:hint="eastAsia" w:ascii="宋体" w:hAnsi="宋体" w:eastAsia="宋体" w:cs="宋体"/>
          <w:b w:val="0"/>
          <w:bCs w:val="0"/>
          <w:color w:val="auto"/>
          <w:sz w:val="24"/>
          <w:szCs w:val="24"/>
          <w:highlight w:val="none"/>
          <w:lang w:val="en-US" w:eastAsia="zh-CN"/>
        </w:rPr>
        <w:t>所在实验室</w:t>
      </w:r>
      <w:r>
        <w:rPr>
          <w:rFonts w:hint="eastAsia" w:ascii="宋体" w:hAnsi="宋体" w:eastAsia="宋体" w:cs="宋体"/>
          <w:b w:val="0"/>
          <w:bCs w:val="0"/>
          <w:color w:val="auto"/>
          <w:sz w:val="24"/>
          <w:szCs w:val="24"/>
          <w:highlight w:val="none"/>
          <w:lang w:val="en-US"/>
        </w:rPr>
        <w:t>日常运营的各项工作。如在合作期内，合同执行与法律，法规或政府行政部门</w:t>
      </w:r>
      <w:r>
        <w:rPr>
          <w:rFonts w:hint="eastAsia" w:ascii="宋体" w:hAnsi="宋体" w:eastAsia="宋体" w:cs="宋体"/>
          <w:color w:val="auto"/>
          <w:sz w:val="24"/>
          <w:highlight w:val="none"/>
          <w:lang w:val="en-US"/>
        </w:rPr>
        <w:t>的要求发生抵触，则应按法律，法规或政府行政部门的要求及规定执行，同时采购人拥有解除合同权利。</w:t>
      </w:r>
    </w:p>
    <w:p>
      <w:pPr>
        <w:pStyle w:val="2"/>
        <w:tabs>
          <w:tab w:val="left" w:pos="208"/>
        </w:tabs>
        <w:spacing w:after="0" w:line="360" w:lineRule="auto"/>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eastAsia="zh-CN"/>
        </w:rPr>
        <w:t>2.1.2 建设周期：合同签订后3个月内，具体以接到甲方通知为准。</w:t>
      </w:r>
    </w:p>
    <w:p>
      <w:pPr>
        <w:spacing w:line="360" w:lineRule="auto"/>
        <w:ind w:firstLine="480" w:firstLineChars="200"/>
        <w:rPr>
          <w:rFonts w:hint="eastAsia" w:ascii="宋体" w:hAnsi="宋体" w:eastAsia="宋体" w:cs="宋体"/>
          <w:b/>
          <w:bCs/>
          <w:color w:val="auto"/>
          <w:sz w:val="24"/>
          <w:highlight w:val="none"/>
          <w:lang w:val="en-US"/>
        </w:rPr>
      </w:pPr>
      <w:r>
        <w:rPr>
          <w:rFonts w:hint="eastAsia" w:ascii="宋体" w:hAnsi="宋体" w:eastAsia="宋体" w:cs="宋体"/>
          <w:b w:val="0"/>
          <w:bCs w:val="0"/>
          <w:color w:val="auto"/>
          <w:sz w:val="24"/>
          <w:highlight w:val="none"/>
          <w:lang w:val="en-US"/>
        </w:rPr>
        <w:t>2.1.</w:t>
      </w:r>
      <w:r>
        <w:rPr>
          <w:rFonts w:hint="eastAsia" w:ascii="宋体" w:hAnsi="宋体" w:eastAsia="宋体" w:cs="宋体"/>
          <w:b w:val="0"/>
          <w:bCs w:val="0"/>
          <w:color w:val="auto"/>
          <w:sz w:val="24"/>
          <w:highlight w:val="none"/>
          <w:lang w:val="en-US" w:eastAsia="zh-CN"/>
        </w:rPr>
        <w:t xml:space="preserve">3 </w:t>
      </w:r>
      <w:r>
        <w:rPr>
          <w:rFonts w:hint="eastAsia" w:ascii="宋体" w:hAnsi="宋体" w:eastAsia="宋体" w:cs="宋体"/>
          <w:b w:val="0"/>
          <w:bCs w:val="0"/>
          <w:color w:val="auto"/>
          <w:sz w:val="24"/>
          <w:highlight w:val="none"/>
          <w:lang w:val="en-US"/>
        </w:rPr>
        <w:t>资产权属：</w:t>
      </w:r>
      <w:r>
        <w:rPr>
          <w:rFonts w:hint="eastAsia" w:ascii="宋体" w:hAnsi="宋体"/>
          <w:b w:val="0"/>
          <w:bCs w:val="0"/>
          <w:color w:val="auto"/>
          <w:sz w:val="24"/>
          <w:highlight w:val="none"/>
        </w:rPr>
        <w:t>合作期内，</w:t>
      </w:r>
      <w:r>
        <w:rPr>
          <w:rFonts w:hint="eastAsia" w:ascii="宋体" w:hAnsi="宋体"/>
          <w:b w:val="0"/>
          <w:bCs w:val="0"/>
          <w:color w:val="auto"/>
          <w:sz w:val="24"/>
          <w:highlight w:val="none"/>
          <w:lang w:val="en-US" w:eastAsia="zh-CN"/>
        </w:rPr>
        <w:t>乙方</w:t>
      </w:r>
      <w:r>
        <w:rPr>
          <w:rFonts w:hint="eastAsia" w:ascii="宋体" w:hAnsi="宋体"/>
          <w:b w:val="0"/>
          <w:bCs w:val="0"/>
          <w:color w:val="auto"/>
          <w:sz w:val="24"/>
          <w:highlight w:val="none"/>
        </w:rPr>
        <w:t>投入项目资产归</w:t>
      </w:r>
      <w:r>
        <w:rPr>
          <w:rFonts w:hint="eastAsia" w:ascii="宋体" w:hAnsi="宋体"/>
          <w:b w:val="0"/>
          <w:bCs w:val="0"/>
          <w:color w:val="auto"/>
          <w:sz w:val="24"/>
          <w:highlight w:val="none"/>
          <w:lang w:val="en-US" w:eastAsia="zh-CN"/>
        </w:rPr>
        <w:t>乙方</w:t>
      </w:r>
      <w:r>
        <w:rPr>
          <w:rFonts w:hint="eastAsia" w:ascii="宋体" w:hAnsi="宋体"/>
          <w:b w:val="0"/>
          <w:bCs w:val="0"/>
          <w:color w:val="auto"/>
          <w:sz w:val="24"/>
          <w:highlight w:val="none"/>
        </w:rPr>
        <w:t>所有；合作期满后，</w:t>
      </w:r>
      <w:r>
        <w:rPr>
          <w:rFonts w:hint="eastAsia" w:ascii="宋体" w:hAnsi="宋体"/>
          <w:b w:val="0"/>
          <w:bCs w:val="0"/>
          <w:color w:val="auto"/>
          <w:sz w:val="24"/>
          <w:highlight w:val="none"/>
          <w:lang w:val="en-US" w:eastAsia="zh-CN"/>
        </w:rPr>
        <w:t>乙方</w:t>
      </w:r>
      <w:r>
        <w:rPr>
          <w:rFonts w:hint="eastAsia" w:ascii="宋体" w:hAnsi="宋体"/>
          <w:b w:val="0"/>
          <w:bCs w:val="0"/>
          <w:color w:val="auto"/>
          <w:sz w:val="24"/>
          <w:highlight w:val="none"/>
        </w:rPr>
        <w:t>投入的</w:t>
      </w:r>
      <w:r>
        <w:rPr>
          <w:rFonts w:hint="eastAsia" w:ascii="宋体" w:hAnsi="宋体"/>
          <w:b w:val="0"/>
          <w:bCs w:val="0"/>
          <w:color w:val="auto"/>
          <w:sz w:val="24"/>
          <w:highlight w:val="none"/>
          <w:lang w:eastAsia="zh-CN"/>
        </w:rPr>
        <w:t>设备与配套设施，</w:t>
      </w:r>
      <w:r>
        <w:rPr>
          <w:rFonts w:hint="eastAsia" w:ascii="宋体" w:hAnsi="宋体"/>
          <w:b w:val="0"/>
          <w:bCs w:val="0"/>
          <w:color w:val="auto"/>
          <w:sz w:val="24"/>
          <w:highlight w:val="none"/>
        </w:rPr>
        <w:t>归</w:t>
      </w:r>
      <w:r>
        <w:rPr>
          <w:rFonts w:hint="eastAsia" w:ascii="宋体" w:hAnsi="宋体"/>
          <w:b w:val="0"/>
          <w:bCs w:val="0"/>
          <w:color w:val="auto"/>
          <w:sz w:val="24"/>
          <w:highlight w:val="none"/>
          <w:lang w:val="en-US" w:eastAsia="zh-CN"/>
        </w:rPr>
        <w:t>甲方</w:t>
      </w:r>
      <w:r>
        <w:rPr>
          <w:rFonts w:hint="eastAsia" w:ascii="宋体" w:hAnsi="宋体"/>
          <w:b w:val="0"/>
          <w:bCs w:val="0"/>
          <w:color w:val="auto"/>
          <w:sz w:val="24"/>
          <w:highlight w:val="none"/>
        </w:rPr>
        <w:t>所有；合作期内</w:t>
      </w:r>
      <w:r>
        <w:rPr>
          <w:rFonts w:hint="eastAsia" w:ascii="宋体" w:hAnsi="宋体"/>
          <w:b w:val="0"/>
          <w:bCs w:val="0"/>
          <w:color w:val="auto"/>
          <w:sz w:val="24"/>
          <w:highlight w:val="none"/>
          <w:lang w:eastAsia="zh-CN"/>
        </w:rPr>
        <w:t>，若</w:t>
      </w:r>
      <w:r>
        <w:rPr>
          <w:rFonts w:hint="eastAsia" w:ascii="宋体" w:hAnsi="宋体"/>
          <w:b w:val="0"/>
          <w:bCs w:val="0"/>
          <w:color w:val="auto"/>
          <w:sz w:val="24"/>
          <w:highlight w:val="none"/>
        </w:rPr>
        <w:t>因</w:t>
      </w:r>
      <w:r>
        <w:rPr>
          <w:rFonts w:hint="eastAsia" w:ascii="宋体" w:hAnsi="宋体"/>
          <w:b w:val="0"/>
          <w:bCs w:val="0"/>
          <w:color w:val="auto"/>
          <w:sz w:val="24"/>
          <w:highlight w:val="none"/>
          <w:lang w:val="en-US" w:eastAsia="zh-CN"/>
        </w:rPr>
        <w:t>乙方</w:t>
      </w:r>
      <w:r>
        <w:rPr>
          <w:rFonts w:hint="eastAsia" w:ascii="宋体" w:hAnsi="宋体"/>
          <w:b w:val="0"/>
          <w:bCs w:val="0"/>
          <w:color w:val="auto"/>
          <w:sz w:val="24"/>
          <w:highlight w:val="none"/>
        </w:rPr>
        <w:t>的原因导致合同解除的，</w:t>
      </w:r>
      <w:r>
        <w:rPr>
          <w:rFonts w:hint="eastAsia" w:ascii="宋体" w:hAnsi="宋体"/>
          <w:b w:val="0"/>
          <w:bCs w:val="0"/>
          <w:color w:val="auto"/>
          <w:sz w:val="24"/>
          <w:highlight w:val="none"/>
          <w:lang w:val="en-US" w:eastAsia="zh-CN"/>
        </w:rPr>
        <w:t>乙方</w:t>
      </w:r>
      <w:r>
        <w:rPr>
          <w:rFonts w:hint="eastAsia" w:ascii="宋体" w:hAnsi="宋体"/>
          <w:b w:val="0"/>
          <w:bCs w:val="0"/>
          <w:color w:val="auto"/>
          <w:sz w:val="24"/>
          <w:highlight w:val="none"/>
        </w:rPr>
        <w:t>所投入的</w:t>
      </w:r>
      <w:r>
        <w:rPr>
          <w:rFonts w:hint="eastAsia" w:ascii="宋体" w:hAnsi="宋体"/>
          <w:b w:val="0"/>
          <w:bCs w:val="0"/>
          <w:color w:val="auto"/>
          <w:sz w:val="24"/>
          <w:highlight w:val="none"/>
          <w:lang w:eastAsia="zh-CN"/>
        </w:rPr>
        <w:t>设备与配套设施，</w:t>
      </w:r>
      <w:r>
        <w:rPr>
          <w:rFonts w:hint="eastAsia" w:ascii="宋体" w:hAnsi="宋体"/>
          <w:b w:val="0"/>
          <w:bCs w:val="0"/>
          <w:color w:val="auto"/>
          <w:sz w:val="24"/>
          <w:highlight w:val="none"/>
        </w:rPr>
        <w:t>归</w:t>
      </w:r>
      <w:r>
        <w:rPr>
          <w:rFonts w:hint="eastAsia" w:ascii="宋体" w:hAnsi="宋体"/>
          <w:b w:val="0"/>
          <w:bCs w:val="0"/>
          <w:color w:val="auto"/>
          <w:sz w:val="24"/>
          <w:highlight w:val="none"/>
          <w:lang w:val="en-US" w:eastAsia="zh-CN"/>
        </w:rPr>
        <w:t>甲方</w:t>
      </w:r>
      <w:r>
        <w:rPr>
          <w:rFonts w:hint="eastAsia" w:ascii="宋体" w:hAnsi="宋体"/>
          <w:b w:val="0"/>
          <w:bCs w:val="0"/>
          <w:color w:val="auto"/>
          <w:sz w:val="24"/>
          <w:highlight w:val="none"/>
        </w:rPr>
        <w:t>所有。</w:t>
      </w:r>
    </w:p>
    <w:p>
      <w:pPr>
        <w:pStyle w:val="2"/>
        <w:tabs>
          <w:tab w:val="left" w:pos="208"/>
        </w:tabs>
        <w:spacing w:after="0" w:line="360" w:lineRule="auto"/>
        <w:ind w:firstLine="482" w:firstLineChars="200"/>
        <w:rPr>
          <w:rFonts w:hint="eastAsia" w:ascii="宋体" w:hAnsi="宋体" w:eastAsia="宋体" w:cs="宋体"/>
          <w:color w:val="auto"/>
          <w:sz w:val="24"/>
          <w:highlight w:val="none"/>
          <w:lang w:val="en-US"/>
        </w:rPr>
      </w:pPr>
      <w:r>
        <w:rPr>
          <w:rFonts w:hint="eastAsia" w:ascii="宋体" w:hAnsi="宋体" w:eastAsia="宋体" w:cs="宋体"/>
          <w:b/>
          <w:bCs/>
          <w:color w:val="auto"/>
          <w:sz w:val="24"/>
          <w:highlight w:val="none"/>
          <w:lang w:val="en-US"/>
        </w:rPr>
        <w:t>2.2</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rPr>
        <w:t>合作共建事项</w:t>
      </w:r>
    </w:p>
    <w:p>
      <w:pPr>
        <w:pStyle w:val="2"/>
        <w:tabs>
          <w:tab w:val="left" w:pos="208"/>
        </w:tabs>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2.2.1</w:t>
      </w:r>
      <w:r>
        <w:rPr>
          <w:rFonts w:hint="eastAsia" w:ascii="宋体" w:hAnsi="宋体" w:eastAsia="宋体" w:cs="宋体"/>
          <w:color w:val="auto"/>
          <w:sz w:val="24"/>
          <w:highlight w:val="none"/>
          <w:lang w:val="en-US" w:eastAsia="zh-CN"/>
        </w:rPr>
        <w:t xml:space="preserve"> 乙方</w:t>
      </w:r>
      <w:r>
        <w:rPr>
          <w:rFonts w:hint="eastAsia" w:ascii="宋体" w:hAnsi="宋体" w:eastAsia="宋体" w:cs="宋体"/>
          <w:color w:val="auto"/>
          <w:sz w:val="24"/>
          <w:highlight w:val="none"/>
          <w:lang w:val="en-US"/>
        </w:rPr>
        <w:t>负责</w:t>
      </w:r>
      <w:r>
        <w:rPr>
          <w:rFonts w:hint="eastAsia" w:ascii="宋体" w:hAnsi="宋体" w:eastAsia="宋体" w:cs="宋体"/>
          <w:b w:val="0"/>
          <w:bCs w:val="0"/>
          <w:color w:val="auto"/>
          <w:sz w:val="24"/>
          <w:highlight w:val="none"/>
          <w:lang w:val="en-US"/>
        </w:rPr>
        <w:t>开展</w:t>
      </w:r>
      <w:r>
        <w:rPr>
          <w:rFonts w:hint="eastAsia" w:ascii="宋体" w:hAnsi="宋体" w:eastAsia="宋体" w:cs="宋体"/>
          <w:b w:val="0"/>
          <w:bCs w:val="0"/>
          <w:color w:val="auto"/>
          <w:sz w:val="24"/>
          <w:highlight w:val="none"/>
          <w:lang w:val="en-US" w:eastAsia="zh-CN"/>
        </w:rPr>
        <w:t>甲方所在实验室</w:t>
      </w:r>
      <w:r>
        <w:rPr>
          <w:rFonts w:hint="eastAsia" w:ascii="宋体" w:hAnsi="宋体" w:eastAsia="宋体" w:cs="宋体"/>
          <w:color w:val="auto"/>
          <w:sz w:val="24"/>
          <w:highlight w:val="none"/>
          <w:lang w:val="en-US"/>
        </w:rPr>
        <w:t>所需设备及试剂耗材的提供，并负责协助</w:t>
      </w:r>
      <w:r>
        <w:rPr>
          <w:rFonts w:hint="eastAsia" w:ascii="宋体" w:hAnsi="宋体" w:eastAsia="宋体" w:cs="宋体"/>
          <w:color w:val="auto"/>
          <w:sz w:val="24"/>
          <w:highlight w:val="none"/>
          <w:lang w:val="en-US" w:eastAsia="zh-CN"/>
        </w:rPr>
        <w:t>其</w:t>
      </w:r>
      <w:r>
        <w:rPr>
          <w:rFonts w:hint="eastAsia" w:ascii="宋体" w:hAnsi="宋体" w:eastAsia="宋体" w:cs="宋体"/>
          <w:color w:val="auto"/>
          <w:sz w:val="24"/>
          <w:highlight w:val="none"/>
          <w:lang w:val="en-US"/>
        </w:rPr>
        <w:t>日常工作的正常开展。</w:t>
      </w:r>
    </w:p>
    <w:p>
      <w:pPr>
        <w:pStyle w:val="2"/>
        <w:tabs>
          <w:tab w:val="left" w:pos="208"/>
        </w:tabs>
        <w:spacing w:after="0"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2.2.2</w:t>
      </w:r>
      <w:r>
        <w:rPr>
          <w:rFonts w:hint="eastAsia" w:ascii="宋体" w:hAnsi="宋体" w:eastAsia="宋体" w:cs="宋体"/>
          <w:color w:val="auto"/>
          <w:sz w:val="24"/>
          <w:highlight w:val="none"/>
          <w:lang w:val="en-US" w:eastAsia="zh-CN"/>
        </w:rPr>
        <w:t xml:space="preserve">  甲方</w:t>
      </w:r>
      <w:r>
        <w:rPr>
          <w:rFonts w:hint="eastAsia" w:ascii="宋体" w:hAnsi="宋体" w:eastAsia="宋体" w:cs="宋体"/>
          <w:b w:val="0"/>
          <w:bCs w:val="0"/>
          <w:color w:val="auto"/>
          <w:sz w:val="24"/>
          <w:highlight w:val="none"/>
          <w:lang w:val="en-US" w:eastAsia="zh-CN"/>
        </w:rPr>
        <w:t>所在实验室</w:t>
      </w:r>
      <w:r>
        <w:rPr>
          <w:rFonts w:hint="eastAsia" w:ascii="宋体" w:hAnsi="宋体" w:eastAsia="宋体" w:cs="宋体"/>
          <w:b w:val="0"/>
          <w:bCs w:val="0"/>
          <w:color w:val="auto"/>
          <w:sz w:val="24"/>
          <w:highlight w:val="none"/>
          <w:lang w:val="en-US"/>
        </w:rPr>
        <w:t>承担</w:t>
      </w:r>
      <w:r>
        <w:rPr>
          <w:rFonts w:hint="eastAsia" w:ascii="宋体" w:hAnsi="宋体" w:eastAsia="宋体" w:cs="宋体"/>
          <w:b w:val="0"/>
          <w:bCs w:val="0"/>
          <w:color w:val="auto"/>
          <w:sz w:val="24"/>
          <w:highlight w:val="none"/>
          <w:lang w:val="en-US" w:eastAsia="zh-CN"/>
        </w:rPr>
        <w:t>所在医院</w:t>
      </w:r>
      <w:r>
        <w:rPr>
          <w:rFonts w:hint="eastAsia" w:ascii="宋体" w:hAnsi="宋体" w:eastAsia="宋体" w:cs="宋体"/>
          <w:color w:val="auto"/>
          <w:sz w:val="24"/>
          <w:highlight w:val="none"/>
          <w:lang w:val="en-US"/>
        </w:rPr>
        <w:t>检验业务，包括医学样本的采集、验收、检测、保存、处置及检验报告的出具等。</w:t>
      </w:r>
    </w:p>
    <w:p>
      <w:pPr>
        <w:pStyle w:val="2"/>
        <w:tabs>
          <w:tab w:val="left" w:pos="208"/>
        </w:tabs>
        <w:spacing w:after="0" w:line="360" w:lineRule="auto"/>
        <w:ind w:firstLine="482" w:firstLineChars="200"/>
        <w:rPr>
          <w:rFonts w:hint="eastAsia" w:ascii="宋体" w:hAnsi="宋体" w:eastAsia="宋体" w:cs="宋体"/>
          <w:color w:val="auto"/>
          <w:sz w:val="24"/>
          <w:highlight w:val="none"/>
          <w:lang w:val="en-US"/>
        </w:rPr>
      </w:pPr>
      <w:r>
        <w:rPr>
          <w:rFonts w:hint="eastAsia" w:ascii="宋体" w:hAnsi="宋体" w:eastAsia="宋体" w:cs="宋体"/>
          <w:b/>
          <w:bCs/>
          <w:color w:val="auto"/>
          <w:sz w:val="24"/>
          <w:highlight w:val="none"/>
          <w:lang w:val="en-US"/>
        </w:rPr>
        <w:t>2.3</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rPr>
        <w:t>合作共建范围</w:t>
      </w:r>
    </w:p>
    <w:p>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2.3.1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检验及配套设备。在医院现有设备基础上，按照三级甲等综合医院科室的建设标准，由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负责医院检验科中心所需一切实验家具、设备、试剂、耗材冷链系统等的供应，并且在合作期内独立承担家具、设备的添置更新、设备的定期检定、校准、年检以及维护保养（包括仪器配件耗材）等。投入的设备、实验家具等产权属</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US"/>
        </w:rPr>
        <w:t>。</w:t>
      </w:r>
    </w:p>
    <w:p>
      <w:pPr>
        <w:spacing w:line="360" w:lineRule="auto"/>
        <w:ind w:firstLine="480" w:firstLineChars="200"/>
        <w:jc w:val="left"/>
        <w:rPr>
          <w:rFonts w:hint="eastAsia" w:ascii="宋体" w:hAnsi="宋体"/>
          <w:color w:val="000000"/>
          <w:szCs w:val="21"/>
        </w:rPr>
      </w:pPr>
      <w:r>
        <w:rPr>
          <w:rFonts w:hint="eastAsia" w:ascii="宋体" w:hAnsi="宋体" w:eastAsia="宋体" w:cs="宋体"/>
          <w:color w:val="auto"/>
          <w:sz w:val="24"/>
          <w:highlight w:val="none"/>
          <w:lang w:val="en-US"/>
        </w:rPr>
        <w:t>2.3.2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rPr>
        <w:t>运营管理服务范围。</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应根据三级甲等医院科室建设标准，组建专家技术团队，提供可靠的运营管理服务，如：新项目开展管理、试剂集采及规范管理、检测质量控制、质量体系建设与管理、专业试剂和样本冷链物流配送、增值服务等；</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US"/>
        </w:rPr>
        <w:t>应提供必要的先进管理经验供医院参考，参与增收节支方面的管理，支持学科建设发展，并保证提供ISO15189质量体系认可认证所要求的试剂及耗材，在技术上给予支持；定期开展继教项目、人员进修及培训、科研和学术论文写作支持等。</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第三条  合同总价款</w:t>
      </w:r>
    </w:p>
    <w:p>
      <w:pPr>
        <w:spacing w:line="360" w:lineRule="auto"/>
        <w:ind w:firstLine="480" w:firstLineChars="200"/>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设备价：</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lang w:val="en-US"/>
        </w:rPr>
        <w:t>元（此</w:t>
      </w:r>
      <w:r>
        <w:rPr>
          <w:rFonts w:hint="eastAsia" w:ascii="宋体" w:hAnsi="宋体" w:eastAsia="宋体" w:cs="宋体"/>
          <w:color w:val="auto"/>
          <w:sz w:val="24"/>
          <w:highlight w:val="none"/>
          <w:lang w:val="en-US" w:eastAsia="zh-CN"/>
        </w:rPr>
        <w:t>价格</w:t>
      </w:r>
      <w:r>
        <w:rPr>
          <w:rFonts w:hint="eastAsia" w:ascii="宋体" w:hAnsi="宋体" w:eastAsia="宋体" w:cs="宋体"/>
          <w:color w:val="auto"/>
          <w:sz w:val="24"/>
          <w:highlight w:val="none"/>
          <w:lang w:val="en-US"/>
        </w:rPr>
        <w:t>中含</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lang w:val="en-US"/>
        </w:rPr>
        <w:t>元的试剂）</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rPr>
        <w:t>临床检验试剂及配套耗材消耗费用占医院检验中心实验室临检项目收入的</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lang w:val="en-US"/>
        </w:rPr>
        <w:t xml:space="preserve"> %</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第四条  费用结算与支付</w:t>
      </w:r>
    </w:p>
    <w:p>
      <w:pPr>
        <w:spacing w:line="360" w:lineRule="auto"/>
        <w:ind w:firstLine="240" w:firstLineChars="100"/>
        <w:rPr>
          <w:rFonts w:hint="eastAsia" w:ascii="宋体" w:hAnsi="宋体" w:cs="宋体"/>
          <w:color w:val="000000"/>
          <w:sz w:val="24"/>
          <w:szCs w:val="24"/>
        </w:rPr>
      </w:pPr>
      <w:r>
        <w:rPr>
          <w:rFonts w:hint="eastAsia" w:ascii="宋体" w:hAnsi="宋体"/>
          <w:bCs/>
          <w:color w:val="000000"/>
          <w:sz w:val="24"/>
          <w:szCs w:val="24"/>
        </w:rPr>
        <w:t>1.运营服务</w:t>
      </w:r>
      <w:r>
        <w:rPr>
          <w:rFonts w:hint="eastAsia" w:ascii="宋体" w:hAnsi="宋体" w:cs="宋体"/>
          <w:color w:val="000000"/>
          <w:sz w:val="24"/>
          <w:szCs w:val="24"/>
        </w:rPr>
        <w:t>报价形式为临床检验试剂及配套耗材消耗费用占检验中心实验室临检项目收入百分比。检验中心实验室临检项目业务总收入包括生化项目、大型免疫发光项目、其他免疫发光项目、自身免疫项目等、特定蛋白项目、凝血项目、糖化血红蛋白项目、微量元素项目、过敏源项目、白带常规检查项目、血培养项目、细菌鉴定项目、院感所需的检测项目等收入。检验中心收费（含体检）按宁波市医疗服务收费标准执行。配套试剂、耗材款按检验中心L</w:t>
      </w:r>
      <w:r>
        <w:rPr>
          <w:rFonts w:ascii="宋体" w:hAnsi="宋体" w:cs="宋体"/>
          <w:color w:val="000000"/>
          <w:sz w:val="24"/>
          <w:szCs w:val="24"/>
        </w:rPr>
        <w:t>IS</w:t>
      </w:r>
      <w:r>
        <w:rPr>
          <w:rFonts w:hint="eastAsia" w:ascii="宋体" w:hAnsi="宋体" w:cs="宋体"/>
          <w:color w:val="000000"/>
          <w:sz w:val="24"/>
          <w:szCs w:val="24"/>
        </w:rPr>
        <w:t>收入算，每月结算一次。</w:t>
      </w:r>
    </w:p>
    <w:p>
      <w:pPr>
        <w:spacing w:line="360" w:lineRule="auto"/>
        <w:ind w:firstLine="240" w:firstLineChars="100"/>
        <w:rPr>
          <w:rFonts w:hint="eastAsia" w:ascii="宋体" w:hAnsi="宋体" w:cs="宋体"/>
          <w:color w:val="000000"/>
          <w:sz w:val="24"/>
          <w:szCs w:val="24"/>
        </w:rPr>
      </w:pPr>
      <w:r>
        <w:rPr>
          <w:rFonts w:hint="eastAsia" w:ascii="宋体" w:hAnsi="宋体" w:cs="宋体"/>
          <w:color w:val="000000"/>
          <w:sz w:val="24"/>
          <w:szCs w:val="24"/>
        </w:rPr>
        <w:t>2.新项目（目前三甲医院已经开展）结算价格不超过宁波市当地三甲医院的平均价。新研发项目结算价格与</w:t>
      </w:r>
      <w:r>
        <w:rPr>
          <w:rFonts w:hint="eastAsia" w:ascii="宋体" w:hAnsi="宋体" w:cs="宋体"/>
          <w:color w:val="000000"/>
          <w:sz w:val="24"/>
          <w:szCs w:val="24"/>
          <w:lang w:val="en-US" w:eastAsia="zh-CN"/>
        </w:rPr>
        <w:t>甲方</w:t>
      </w:r>
      <w:r>
        <w:rPr>
          <w:rFonts w:hint="eastAsia" w:ascii="宋体" w:hAnsi="宋体" w:cs="宋体"/>
          <w:color w:val="000000"/>
          <w:sz w:val="24"/>
          <w:szCs w:val="24"/>
        </w:rPr>
        <w:t>另行约定。</w:t>
      </w:r>
    </w:p>
    <w:p>
      <w:pPr>
        <w:spacing w:line="360" w:lineRule="auto"/>
        <w:ind w:firstLine="240" w:firstLineChars="100"/>
        <w:rPr>
          <w:rFonts w:hint="eastAsia" w:ascii="宋体" w:hAnsi="宋体" w:cs="宋体"/>
          <w:color w:val="000000"/>
          <w:sz w:val="24"/>
          <w:szCs w:val="24"/>
        </w:rPr>
      </w:pPr>
      <w:r>
        <w:rPr>
          <w:rFonts w:hint="eastAsia" w:ascii="宋体" w:hAnsi="宋体" w:cs="宋体"/>
          <w:color w:val="000000"/>
          <w:sz w:val="24"/>
          <w:szCs w:val="24"/>
        </w:rPr>
        <w:t>3.计价标准：当地政府部门规定的收费标准为该项目的唯一计价依据。</w:t>
      </w:r>
    </w:p>
    <w:p>
      <w:pPr>
        <w:spacing w:line="360" w:lineRule="auto"/>
        <w:ind w:firstLine="240" w:firstLineChars="100"/>
        <w:rPr>
          <w:rFonts w:hint="eastAsia"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FF0000"/>
          <w:sz w:val="24"/>
          <w:szCs w:val="24"/>
        </w:rPr>
        <w:t>.</w:t>
      </w:r>
      <w:r>
        <w:rPr>
          <w:rFonts w:hint="eastAsia" w:ascii="宋体" w:hAnsi="宋体" w:cs="宋体"/>
          <w:color w:val="000000"/>
          <w:sz w:val="24"/>
          <w:szCs w:val="24"/>
        </w:rPr>
        <w:t>设备款结算：（1）合同签订生效以及具备实施条件后7个工作日内</w:t>
      </w:r>
      <w:r>
        <w:rPr>
          <w:rFonts w:hint="eastAsia" w:ascii="宋体" w:hAnsi="宋体" w:cs="宋体"/>
          <w:color w:val="000000"/>
          <w:sz w:val="24"/>
          <w:szCs w:val="24"/>
          <w:lang w:val="en-US" w:eastAsia="zh-CN"/>
        </w:rPr>
        <w:t>甲方</w:t>
      </w:r>
      <w:r>
        <w:rPr>
          <w:rFonts w:hint="eastAsia" w:ascii="宋体" w:hAnsi="宋体" w:cs="宋体"/>
          <w:color w:val="000000"/>
          <w:sz w:val="24"/>
          <w:szCs w:val="24"/>
        </w:rPr>
        <w:t>向</w:t>
      </w:r>
      <w:r>
        <w:rPr>
          <w:rFonts w:hint="eastAsia" w:ascii="宋体" w:hAnsi="宋体" w:cs="宋体"/>
          <w:color w:val="000000"/>
          <w:sz w:val="24"/>
          <w:szCs w:val="24"/>
          <w:lang w:val="en-US" w:eastAsia="zh-CN"/>
        </w:rPr>
        <w:t>乙方</w:t>
      </w:r>
      <w:r>
        <w:rPr>
          <w:rFonts w:hint="eastAsia" w:ascii="宋体" w:hAnsi="宋体" w:cs="宋体"/>
          <w:color w:val="000000"/>
          <w:sz w:val="24"/>
          <w:szCs w:val="24"/>
        </w:rPr>
        <w:t>支付合同金额的40%；(在签订合同时，</w:t>
      </w:r>
      <w:r>
        <w:rPr>
          <w:rFonts w:hint="eastAsia" w:ascii="宋体" w:hAnsi="宋体" w:cs="宋体"/>
          <w:color w:val="000000"/>
          <w:sz w:val="24"/>
          <w:szCs w:val="24"/>
          <w:lang w:val="en-US" w:eastAsia="zh-CN"/>
        </w:rPr>
        <w:t>乙方</w:t>
      </w:r>
      <w:r>
        <w:rPr>
          <w:rFonts w:hint="eastAsia" w:ascii="宋体" w:hAnsi="宋体" w:cs="宋体"/>
          <w:color w:val="000000"/>
          <w:sz w:val="24"/>
          <w:szCs w:val="24"/>
        </w:rPr>
        <w:t>明确表示无需预付款或者主动要求降低预付款比例的，</w:t>
      </w:r>
      <w:r>
        <w:rPr>
          <w:rFonts w:hint="eastAsia" w:ascii="宋体" w:hAnsi="宋体" w:cs="宋体"/>
          <w:color w:val="000000"/>
          <w:sz w:val="24"/>
          <w:szCs w:val="24"/>
          <w:lang w:val="en-US" w:eastAsia="zh-CN"/>
        </w:rPr>
        <w:t>甲方</w:t>
      </w:r>
      <w:r>
        <w:rPr>
          <w:rFonts w:hint="eastAsia" w:ascii="宋体" w:hAnsi="宋体" w:cs="宋体"/>
          <w:color w:val="000000"/>
          <w:sz w:val="24"/>
          <w:szCs w:val="24"/>
        </w:rPr>
        <w:t>可不适用前述规定。)</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（2）设备安装验收合格</w:t>
      </w:r>
      <w:r>
        <w:rPr>
          <w:rFonts w:hint="eastAsia" w:ascii="宋体" w:hAnsi="宋体" w:cs="宋体"/>
          <w:color w:val="000000"/>
          <w:sz w:val="24"/>
          <w:szCs w:val="24"/>
          <w:lang w:val="en-US" w:eastAsia="zh-CN"/>
        </w:rPr>
        <w:t>后</w:t>
      </w:r>
      <w:r>
        <w:rPr>
          <w:rFonts w:hint="eastAsia" w:ascii="宋体" w:hAnsi="宋体" w:cs="宋体"/>
          <w:color w:val="000000"/>
          <w:sz w:val="24"/>
          <w:szCs w:val="24"/>
        </w:rPr>
        <w:t>7个工作日内付清合同</w:t>
      </w:r>
      <w:r>
        <w:rPr>
          <w:rFonts w:hint="eastAsia" w:ascii="宋体" w:hAnsi="宋体" w:cs="宋体"/>
          <w:color w:val="000000"/>
          <w:sz w:val="24"/>
          <w:szCs w:val="24"/>
          <w:lang w:eastAsia="zh-CN"/>
        </w:rPr>
        <w:t>金额</w:t>
      </w:r>
      <w:r>
        <w:rPr>
          <w:rFonts w:hint="eastAsia" w:ascii="宋体" w:hAnsi="宋体" w:cs="宋体"/>
          <w:color w:val="000000"/>
          <w:sz w:val="24"/>
          <w:szCs w:val="24"/>
        </w:rPr>
        <w:t>的100%；</w:t>
      </w:r>
    </w:p>
    <w:p>
      <w:pPr>
        <w:spacing w:line="360" w:lineRule="auto"/>
        <w:rPr>
          <w:rFonts w:hint="eastAsia" w:ascii="宋体" w:hAnsi="宋体" w:cs="宋体"/>
          <w:color w:val="auto"/>
          <w:sz w:val="24"/>
          <w:szCs w:val="24"/>
          <w:highlight w:val="none"/>
          <w:lang w:val="zh-CN"/>
        </w:rPr>
      </w:pPr>
      <w:r>
        <w:rPr>
          <w:rFonts w:hint="eastAsia" w:ascii="宋体" w:hAnsi="宋体" w:cs="宋体"/>
          <w:color w:val="000000"/>
          <w:sz w:val="24"/>
          <w:szCs w:val="24"/>
          <w:lang w:val="zh-CN"/>
        </w:rPr>
        <w:t>（</w:t>
      </w:r>
      <w:r>
        <w:rPr>
          <w:rFonts w:hint="eastAsia" w:ascii="宋体" w:hAnsi="宋体" w:cs="宋体"/>
          <w:color w:val="000000"/>
          <w:sz w:val="24"/>
          <w:szCs w:val="24"/>
        </w:rPr>
        <w:t>3</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甲方</w:t>
      </w:r>
      <w:r>
        <w:rPr>
          <w:rFonts w:hint="eastAsia" w:ascii="宋体" w:hAnsi="宋体" w:cs="宋体"/>
          <w:color w:val="000000"/>
          <w:sz w:val="24"/>
          <w:szCs w:val="24"/>
          <w:lang w:val="zh-CN"/>
        </w:rPr>
        <w:t>支付前，</w:t>
      </w:r>
      <w:r>
        <w:rPr>
          <w:rFonts w:hint="eastAsia" w:ascii="宋体" w:hAnsi="宋体" w:cs="宋体"/>
          <w:color w:val="000000"/>
          <w:sz w:val="24"/>
          <w:szCs w:val="24"/>
          <w:lang w:val="en-US" w:eastAsia="zh-CN"/>
        </w:rPr>
        <w:t>乙方</w:t>
      </w:r>
      <w:r>
        <w:rPr>
          <w:rFonts w:hint="eastAsia" w:ascii="宋体" w:hAnsi="宋体" w:cs="宋体"/>
          <w:color w:val="000000"/>
          <w:sz w:val="24"/>
          <w:szCs w:val="24"/>
          <w:lang w:val="zh-CN"/>
        </w:rPr>
        <w:t>须提供正规财务发票，否则</w:t>
      </w:r>
      <w:r>
        <w:rPr>
          <w:rFonts w:hint="eastAsia" w:ascii="宋体" w:hAnsi="宋体" w:cs="宋体"/>
          <w:color w:val="000000"/>
          <w:sz w:val="24"/>
          <w:szCs w:val="24"/>
          <w:lang w:val="en-US" w:eastAsia="zh-CN"/>
        </w:rPr>
        <w:t>甲方</w:t>
      </w:r>
      <w:r>
        <w:rPr>
          <w:rFonts w:hint="eastAsia" w:ascii="宋体" w:hAnsi="宋体" w:cs="宋体"/>
          <w:color w:val="000000"/>
          <w:sz w:val="24"/>
          <w:szCs w:val="24"/>
          <w:lang w:val="zh-CN"/>
        </w:rPr>
        <w:t>有权不予支付。</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第五条  转让</w:t>
      </w:r>
    </w:p>
    <w:p>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在没有得到另一方事先书面同意的情况下，本合同的任何一部分权利义务</w:t>
      </w:r>
      <w:r>
        <w:rPr>
          <w:rFonts w:hint="eastAsia" w:ascii="宋体" w:hAnsi="宋体" w:cs="宋体"/>
          <w:color w:val="auto"/>
          <w:sz w:val="24"/>
          <w:highlight w:val="none"/>
          <w:lang w:eastAsia="zh-CN"/>
        </w:rPr>
        <w:t>，均</w:t>
      </w:r>
      <w:r>
        <w:rPr>
          <w:rFonts w:hint="eastAsia" w:ascii="宋体" w:hAnsi="宋体" w:cs="宋体"/>
          <w:color w:val="auto"/>
          <w:sz w:val="24"/>
          <w:highlight w:val="none"/>
        </w:rPr>
        <w:t>不能转让。但是为履行本合同之需要，可将其在本合同下的权利和义务转让给其关联方。</w:t>
      </w:r>
    </w:p>
    <w:p>
      <w:pPr>
        <w:tabs>
          <w:tab w:val="left" w:pos="1440"/>
        </w:tabs>
        <w:spacing w:line="360" w:lineRule="auto"/>
        <w:rPr>
          <w:rFonts w:hint="eastAsia" w:ascii="宋体" w:hAnsi="宋体" w:cs="宋体"/>
          <w:color w:val="auto"/>
          <w:sz w:val="24"/>
          <w:highlight w:val="none"/>
        </w:rPr>
      </w:pPr>
      <w:r>
        <w:rPr>
          <w:rFonts w:hint="eastAsia" w:ascii="宋体" w:hAnsi="宋体" w:cs="宋体"/>
          <w:b/>
          <w:color w:val="auto"/>
          <w:sz w:val="24"/>
          <w:szCs w:val="24"/>
          <w:highlight w:val="none"/>
          <w:lang w:eastAsia="zh-Hans"/>
        </w:rPr>
        <w:t>第六条  税费</w:t>
      </w:r>
      <w:r>
        <w:rPr>
          <w:rFonts w:hint="eastAsia" w:ascii="宋体" w:hAnsi="宋体" w:cs="宋体"/>
          <w:b/>
          <w:color w:val="auto"/>
          <w:sz w:val="28"/>
          <w:szCs w:val="28"/>
          <w:highlight w:val="none"/>
        </w:rPr>
        <w:t xml:space="preserve">  </w:t>
      </w:r>
    </w:p>
    <w:p>
      <w:pPr>
        <w:tabs>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发生的与合同执行有关的一切税费均由乙方负担，另有协议除外。</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第七条  不可抗力</w:t>
      </w:r>
    </w:p>
    <w:p>
      <w:pPr>
        <w:tabs>
          <w:tab w:val="left" w:pos="720"/>
          <w:tab w:val="left" w:pos="1440"/>
        </w:tabs>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如果双方中任何一方遭遇法律规定的不可抗力，致使合同履行受阻时，履行合同的期限应予延长，延长的期限</w:t>
      </w:r>
      <w:r>
        <w:rPr>
          <w:rFonts w:hint="eastAsia" w:ascii="宋体" w:hAnsi="宋体" w:cs="宋体"/>
          <w:color w:val="auto"/>
          <w:sz w:val="24"/>
          <w:highlight w:val="none"/>
          <w:lang w:eastAsia="zh-CN"/>
        </w:rPr>
        <w:t>，</w:t>
      </w:r>
      <w:r>
        <w:rPr>
          <w:rFonts w:hint="eastAsia" w:ascii="宋体" w:hAnsi="宋体" w:cs="宋体"/>
          <w:color w:val="auto"/>
          <w:sz w:val="24"/>
          <w:highlight w:val="none"/>
        </w:rPr>
        <w:t>应相当于不可抗力所影响的时间。</w:t>
      </w:r>
    </w:p>
    <w:p>
      <w:pPr>
        <w:tabs>
          <w:tab w:val="left" w:pos="720"/>
          <w:tab w:val="left" w:pos="1440"/>
        </w:tabs>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受事故影响的一方应在不可抗力的事故发生后</w:t>
      </w:r>
      <w:r>
        <w:rPr>
          <w:rFonts w:hint="eastAsia" w:ascii="宋体" w:hAnsi="宋体" w:cs="宋体"/>
          <w:color w:val="auto"/>
          <w:sz w:val="24"/>
          <w:highlight w:val="none"/>
          <w:lang w:eastAsia="zh-CN"/>
        </w:rPr>
        <w:t>，</w:t>
      </w:r>
      <w:r>
        <w:rPr>
          <w:rFonts w:hint="eastAsia" w:ascii="宋体" w:hAnsi="宋体" w:cs="宋体"/>
          <w:color w:val="auto"/>
          <w:sz w:val="24"/>
          <w:highlight w:val="none"/>
        </w:rPr>
        <w:t>尽快书面形式通知另一方，并尽快将有关部门出具的证明文件送达另一方。</w:t>
      </w:r>
    </w:p>
    <w:p>
      <w:pPr>
        <w:tabs>
          <w:tab w:val="left" w:pos="720"/>
          <w:tab w:val="left" w:pos="1440"/>
        </w:tabs>
        <w:spacing w:line="360" w:lineRule="auto"/>
        <w:ind w:firstLine="480" w:firstLineChars="200"/>
        <w:rPr>
          <w:rFonts w:hint="eastAsia" w:ascii="宋体" w:hAnsi="宋体" w:cs="宋体"/>
          <w:b/>
          <w:bCs/>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不可抗力使合同的某些内容有变更必要</w:t>
      </w:r>
      <w:r>
        <w:rPr>
          <w:rFonts w:hint="eastAsia" w:ascii="宋体" w:hAnsi="宋体" w:cs="宋体"/>
          <w:color w:val="auto"/>
          <w:sz w:val="24"/>
          <w:highlight w:val="none"/>
          <w:lang w:eastAsia="zh-CN"/>
        </w:rPr>
        <w:t>时</w:t>
      </w:r>
      <w:r>
        <w:rPr>
          <w:rFonts w:hint="eastAsia" w:ascii="宋体" w:hAnsi="宋体" w:cs="宋体"/>
          <w:color w:val="auto"/>
          <w:sz w:val="24"/>
          <w:highlight w:val="none"/>
        </w:rPr>
        <w:t>，双方应通过协商</w:t>
      </w:r>
      <w:r>
        <w:rPr>
          <w:rFonts w:hint="eastAsia" w:ascii="宋体" w:hAnsi="宋体" w:cs="宋体"/>
          <w:color w:val="auto"/>
          <w:sz w:val="24"/>
          <w:highlight w:val="none"/>
          <w:lang w:eastAsia="zh-CN"/>
        </w:rPr>
        <w:t>，</w:t>
      </w:r>
      <w:r>
        <w:rPr>
          <w:rFonts w:hint="eastAsia" w:ascii="宋体" w:hAnsi="宋体" w:cs="宋体"/>
          <w:color w:val="auto"/>
          <w:sz w:val="24"/>
          <w:highlight w:val="none"/>
        </w:rPr>
        <w:t>达成进一步履行合同的协议，因不可抗力</w:t>
      </w:r>
      <w:r>
        <w:rPr>
          <w:rFonts w:hint="eastAsia" w:ascii="宋体" w:hAnsi="宋体" w:cs="宋体"/>
          <w:color w:val="auto"/>
          <w:sz w:val="24"/>
          <w:highlight w:val="none"/>
          <w:lang w:eastAsia="zh-CN"/>
        </w:rPr>
        <w:t>，</w:t>
      </w:r>
      <w:r>
        <w:rPr>
          <w:rFonts w:hint="eastAsia" w:ascii="宋体" w:hAnsi="宋体" w:cs="宋体"/>
          <w:color w:val="auto"/>
          <w:sz w:val="24"/>
          <w:highlight w:val="none"/>
        </w:rPr>
        <w:t>致使合同不能履行的，合同终止。</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第八条  违约责任</w:t>
      </w:r>
    </w:p>
    <w:p>
      <w:pPr>
        <w:tabs>
          <w:tab w:val="left" w:pos="720"/>
          <w:tab w:val="left" w:pos="1440"/>
        </w:tabs>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若</w:t>
      </w:r>
      <w:r>
        <w:rPr>
          <w:rFonts w:hint="eastAsia" w:ascii="宋体" w:hAnsi="宋体" w:cs="宋体"/>
          <w:color w:val="auto"/>
          <w:sz w:val="24"/>
          <w:highlight w:val="none"/>
        </w:rPr>
        <w:t>甲方未按本合同第四条的约定按时支付费用的，则甲方应按</w:t>
      </w:r>
      <w:r>
        <w:rPr>
          <w:rFonts w:hint="eastAsia" w:ascii="宋体" w:hAnsi="宋体" w:cs="宋体"/>
          <w:color w:val="auto"/>
          <w:sz w:val="24"/>
          <w:highlight w:val="none"/>
          <w:lang w:eastAsia="zh-CN"/>
        </w:rPr>
        <w:t>事前约定，</w:t>
      </w:r>
      <w:r>
        <w:rPr>
          <w:rFonts w:hint="eastAsia" w:ascii="宋体" w:hAnsi="宋体" w:cs="宋体"/>
          <w:color w:val="auto"/>
          <w:sz w:val="24"/>
          <w:highlight w:val="none"/>
        </w:rPr>
        <w:t>向乙方支付违约金。</w:t>
      </w:r>
    </w:p>
    <w:p>
      <w:pPr>
        <w:tabs>
          <w:tab w:val="left" w:pos="480"/>
          <w:tab w:val="left" w:pos="1080"/>
        </w:tabs>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除非存在法定或约定的事由，否则任何一方不得提前单方解除本合同。若一方违反，则应向守约方支付违约金人民币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p>
    <w:p>
      <w:pPr>
        <w:tabs>
          <w:tab w:val="left" w:pos="48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w:t>
      </w:r>
      <w:r>
        <w:rPr>
          <w:rFonts w:hint="eastAsia" w:ascii="宋体" w:hAnsi="宋体" w:cs="宋体"/>
          <w:color w:val="auto"/>
          <w:sz w:val="24"/>
          <w:highlight w:val="none"/>
          <w:lang w:val="en-US" w:eastAsia="zh-CN"/>
        </w:rPr>
        <w:t xml:space="preserve"> 乙方</w:t>
      </w:r>
      <w:r>
        <w:rPr>
          <w:rFonts w:hint="eastAsia" w:ascii="宋体" w:hAnsi="宋体" w:cs="宋体"/>
          <w:color w:val="auto"/>
          <w:sz w:val="24"/>
          <w:highlight w:val="none"/>
        </w:rPr>
        <w:t>考核不合格，</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有权解除合同。</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第九条  争议的解决</w:t>
      </w:r>
    </w:p>
    <w:p>
      <w:pPr>
        <w:tabs>
          <w:tab w:val="left" w:pos="720"/>
        </w:tabs>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9</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因货物的质量问题发生争议的，应当邀请国家认可的质量检测机构对货物质量进行鉴定。货物符合标准的，鉴定费由甲方承担；货物不符合质量标准的，鉴定费由乙方承担。</w:t>
      </w:r>
    </w:p>
    <w:p>
      <w:pPr>
        <w:tabs>
          <w:tab w:val="left" w:pos="720"/>
        </w:tabs>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9</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因履行本合同引起的或与本合同有关的争议，甲、乙双方应首先通过友好协商解决，如果协商不能解决争议，则采取以下第</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9</w:t>
      </w:r>
      <w:r>
        <w:rPr>
          <w:rFonts w:hint="eastAsia" w:ascii="宋体" w:hAnsi="宋体" w:cs="宋体"/>
          <w:bCs/>
          <w:color w:val="auto"/>
          <w:sz w:val="24"/>
          <w:highlight w:val="none"/>
          <w:u w:val="single"/>
        </w:rPr>
        <w:t xml:space="preserve">.2.1  </w:t>
      </w:r>
      <w:r>
        <w:rPr>
          <w:rFonts w:hint="eastAsia" w:ascii="宋体" w:hAnsi="宋体" w:cs="宋体"/>
          <w:bCs/>
          <w:color w:val="auto"/>
          <w:sz w:val="24"/>
          <w:highlight w:val="none"/>
        </w:rPr>
        <w:t>种方式解决争议：</w:t>
      </w:r>
    </w:p>
    <w:p>
      <w:pPr>
        <w:tabs>
          <w:tab w:val="left" w:pos="720"/>
        </w:tabs>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9</w:t>
      </w:r>
      <w:r>
        <w:rPr>
          <w:rFonts w:hint="eastAsia" w:ascii="宋体" w:hAnsi="宋体" w:cs="宋体"/>
          <w:bCs/>
          <w:color w:val="auto"/>
          <w:sz w:val="24"/>
          <w:highlight w:val="none"/>
        </w:rPr>
        <w:t>.2.1</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向甲方所在地有管辖权的人民法院提起诉讼</w:t>
      </w:r>
      <w:r>
        <w:rPr>
          <w:rFonts w:hint="eastAsia" w:ascii="宋体" w:hAnsi="宋体" w:cs="宋体"/>
          <w:bCs/>
          <w:color w:val="auto"/>
          <w:sz w:val="24"/>
          <w:highlight w:val="none"/>
          <w:lang w:eastAsia="zh-CN"/>
        </w:rPr>
        <w:t>。</w:t>
      </w:r>
    </w:p>
    <w:p>
      <w:pPr>
        <w:tabs>
          <w:tab w:val="left" w:pos="720"/>
        </w:tabs>
        <w:spacing w:line="360" w:lineRule="auto"/>
        <w:ind w:firstLine="480" w:firstLineChars="200"/>
        <w:rPr>
          <w:rFonts w:hint="eastAsia" w:ascii="宋体" w:hAnsi="宋体" w:cs="宋体"/>
          <w:bCs/>
          <w:color w:val="auto"/>
          <w:sz w:val="24"/>
          <w:highlight w:val="none"/>
        </w:rPr>
      </w:pPr>
      <w:r>
        <w:rPr>
          <w:rFonts w:ascii="宋体" w:hAnsi="宋体" w:cs="宋体"/>
          <w:bCs/>
          <w:color w:val="auto"/>
          <w:sz w:val="24"/>
          <w:highlight w:val="none"/>
        </w:rPr>
        <w:t>9</w:t>
      </w:r>
      <w:r>
        <w:rPr>
          <w:rFonts w:hint="eastAsia" w:ascii="宋体" w:hAnsi="宋体" w:cs="宋体"/>
          <w:bCs/>
          <w:color w:val="auto"/>
          <w:sz w:val="24"/>
          <w:highlight w:val="none"/>
        </w:rPr>
        <w:t>.2.2</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向</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宁波市</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仲裁委员会按其仲裁规则申请仲裁。</w:t>
      </w:r>
    </w:p>
    <w:p>
      <w:pPr>
        <w:tabs>
          <w:tab w:val="left" w:pos="720"/>
        </w:tabs>
        <w:spacing w:line="360" w:lineRule="auto"/>
        <w:ind w:firstLine="480" w:firstLineChars="200"/>
        <w:rPr>
          <w:rFonts w:hint="eastAsia" w:ascii="宋体" w:hAnsi="宋体" w:cs="宋体"/>
          <w:b/>
          <w:color w:val="auto"/>
          <w:sz w:val="24"/>
          <w:highlight w:val="none"/>
          <w:lang w:eastAsia="zh-Hans"/>
        </w:rPr>
      </w:pPr>
      <w:r>
        <w:rPr>
          <w:rFonts w:ascii="宋体" w:hAnsi="宋体" w:cs="宋体"/>
          <w:bCs/>
          <w:color w:val="auto"/>
          <w:sz w:val="24"/>
          <w:highlight w:val="none"/>
        </w:rPr>
        <w:t>9</w:t>
      </w: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在仲裁期间，本合同应继续履行。</w:t>
      </w:r>
    </w:p>
    <w:p>
      <w:pPr>
        <w:tabs>
          <w:tab w:val="left" w:pos="720"/>
        </w:tabs>
        <w:spacing w:line="360" w:lineRule="auto"/>
        <w:rPr>
          <w:rFonts w:hint="eastAsia" w:ascii="宋体" w:hAnsi="宋体" w:cs="宋体"/>
          <w:b/>
          <w:color w:val="auto"/>
          <w:sz w:val="24"/>
          <w:szCs w:val="24"/>
          <w:highlight w:val="none"/>
          <w:lang w:eastAsia="zh-Hans"/>
        </w:rPr>
      </w:pPr>
      <w:r>
        <w:rPr>
          <w:rFonts w:hint="eastAsia" w:ascii="宋体" w:hAnsi="宋体" w:cs="宋体"/>
          <w:b/>
          <w:color w:val="auto"/>
          <w:sz w:val="24"/>
          <w:szCs w:val="24"/>
          <w:highlight w:val="none"/>
          <w:lang w:eastAsia="zh-Hans"/>
        </w:rPr>
        <w:t>第十条  其他约定</w:t>
      </w:r>
    </w:p>
    <w:p>
      <w:pPr>
        <w:tabs>
          <w:tab w:val="left" w:pos="720"/>
        </w:tabs>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w:t>
      </w:r>
      <w:r>
        <w:rPr>
          <w:rFonts w:hint="eastAsia" w:ascii="宋体" w:hAnsi="宋体" w:cs="宋体"/>
          <w:bCs/>
          <w:color w:val="auto"/>
          <w:sz w:val="24"/>
          <w:highlight w:val="none"/>
          <w:lang w:eastAsia="zh-Hans"/>
        </w:rPr>
        <w:t>.</w:t>
      </w: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 xml:space="preserve"> </w:t>
      </w:r>
      <w:r>
        <w:rPr>
          <w:rFonts w:ascii="宋体" w:hAnsi="宋体" w:cs="宋体"/>
          <w:bCs/>
          <w:color w:val="auto"/>
          <w:sz w:val="24"/>
          <w:highlight w:val="none"/>
        </w:rPr>
        <w:t>知识产权：本</w:t>
      </w:r>
      <w:r>
        <w:rPr>
          <w:rFonts w:hint="eastAsia" w:ascii="宋体" w:hAnsi="宋体" w:cs="宋体"/>
          <w:bCs/>
          <w:color w:val="auto"/>
          <w:sz w:val="24"/>
          <w:highlight w:val="none"/>
          <w:lang w:eastAsia="zh-Hans"/>
        </w:rPr>
        <w:t>合同</w:t>
      </w:r>
      <w:r>
        <w:rPr>
          <w:rFonts w:ascii="宋体" w:hAnsi="宋体" w:cs="宋体"/>
          <w:bCs/>
          <w:color w:val="auto"/>
          <w:sz w:val="24"/>
          <w:highlight w:val="none"/>
        </w:rPr>
        <w:t>有效期内，乙方应当拥有所有由服务产生的通过开发和研究获得的知识产权。此类知识产权应当包括但不限于专利、商标、商号、版权、专利申请权、版权等。如果甲方要求使用乙方的知识产权，乙方应当通过和甲方签订独立的协议授予甲方此类权利。</w:t>
      </w:r>
    </w:p>
    <w:p>
      <w:pPr>
        <w:tabs>
          <w:tab w:val="left" w:pos="720"/>
        </w:tabs>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w:t>
      </w:r>
      <w:r>
        <w:rPr>
          <w:rFonts w:hint="eastAsia" w:ascii="宋体" w:hAnsi="宋体" w:cs="宋体"/>
          <w:bCs/>
          <w:color w:val="auto"/>
          <w:sz w:val="24"/>
          <w:highlight w:val="none"/>
          <w:lang w:eastAsia="zh-Hans"/>
        </w:rPr>
        <w:t>.</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 xml:space="preserve"> </w:t>
      </w:r>
      <w:r>
        <w:rPr>
          <w:rFonts w:ascii="宋体" w:hAnsi="宋体" w:cs="宋体"/>
          <w:bCs/>
          <w:color w:val="auto"/>
          <w:sz w:val="24"/>
          <w:highlight w:val="none"/>
        </w:rPr>
        <w:t>保密信息：指一方拥有或掌握，并不为同行业或公众通常知晓的：（1）任何可以给一方带来经济利益或竞争优势的具体信息</w:t>
      </w:r>
      <w:r>
        <w:rPr>
          <w:rFonts w:hint="eastAsia" w:ascii="宋体" w:hAnsi="宋体" w:cs="宋体"/>
          <w:bCs/>
          <w:color w:val="auto"/>
          <w:sz w:val="24"/>
          <w:highlight w:val="none"/>
          <w:lang w:eastAsia="zh-CN"/>
        </w:rPr>
        <w:t>。</w:t>
      </w:r>
      <w:r>
        <w:rPr>
          <w:rFonts w:ascii="宋体" w:hAnsi="宋体" w:cs="宋体"/>
          <w:bCs/>
          <w:color w:val="auto"/>
          <w:sz w:val="24"/>
          <w:highlight w:val="none"/>
        </w:rPr>
        <w:t>（2）任何一旦对外泄露将给一方造成损害的各类信息</w:t>
      </w:r>
      <w:r>
        <w:rPr>
          <w:rFonts w:hint="eastAsia" w:ascii="宋体" w:hAnsi="宋体" w:cs="宋体"/>
          <w:bCs/>
          <w:color w:val="auto"/>
          <w:sz w:val="24"/>
          <w:highlight w:val="none"/>
          <w:lang w:eastAsia="zh-CN"/>
        </w:rPr>
        <w:t>。</w:t>
      </w:r>
      <w:r>
        <w:rPr>
          <w:rFonts w:ascii="宋体" w:hAnsi="宋体" w:cs="宋体"/>
          <w:bCs/>
          <w:color w:val="auto"/>
          <w:sz w:val="24"/>
          <w:highlight w:val="none"/>
        </w:rPr>
        <w:t>（3）任何一旦泄露将有损一方管理的各类信息。甲乙双方应对合作过程中所知悉的对方的保密信息</w:t>
      </w:r>
      <w:r>
        <w:rPr>
          <w:rFonts w:hint="eastAsia" w:ascii="宋体" w:hAnsi="宋体" w:cs="宋体"/>
          <w:bCs/>
          <w:color w:val="auto"/>
          <w:sz w:val="24"/>
          <w:highlight w:val="none"/>
          <w:lang w:eastAsia="zh-CN"/>
        </w:rPr>
        <w:t>，</w:t>
      </w:r>
      <w:r>
        <w:rPr>
          <w:rFonts w:ascii="宋体" w:hAnsi="宋体" w:cs="宋体"/>
          <w:bCs/>
          <w:color w:val="auto"/>
          <w:sz w:val="24"/>
          <w:highlight w:val="none"/>
        </w:rPr>
        <w:t>予以保密，保密期限为永久或保密信息无需保密为止。</w:t>
      </w:r>
    </w:p>
    <w:p>
      <w:pPr>
        <w:tabs>
          <w:tab w:val="left" w:pos="720"/>
        </w:tabs>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Hans"/>
        </w:rPr>
        <w:t>十一</w:t>
      </w:r>
      <w:r>
        <w:rPr>
          <w:rFonts w:hint="eastAsia" w:ascii="宋体" w:hAnsi="宋体" w:cs="宋体"/>
          <w:b/>
          <w:color w:val="auto"/>
          <w:sz w:val="24"/>
          <w:szCs w:val="24"/>
          <w:highlight w:val="none"/>
        </w:rPr>
        <w:t>条  合同生效及其他</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.1合同经双方负责人或委托代理人签字并加盖单位公章后生效。</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lang w:eastAsia="zh-Hans"/>
        </w:rPr>
        <w:t>.</w:t>
      </w:r>
      <w:r>
        <w:rPr>
          <w:rFonts w:hint="eastAsia" w:ascii="宋体" w:hAnsi="宋体" w:cs="宋体"/>
          <w:color w:val="auto"/>
          <w:sz w:val="24"/>
          <w:highlight w:val="none"/>
        </w:rPr>
        <w:t>2本合同自签订之日起生效。</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.3本合同一式四份，甲乙双方各执二份。</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.4本合同应按照中华人民共和国的现行法律进行解释。</w:t>
      </w:r>
    </w:p>
    <w:p/>
    <w:p>
      <w:pPr>
        <w:spacing w:line="360" w:lineRule="auto"/>
        <w:rPr>
          <w:rFonts w:hint="eastAsia"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rPr>
      </w:pPr>
    </w:p>
    <w:p>
      <w:pPr>
        <w:spacing w:line="360" w:lineRule="auto"/>
        <w:ind w:firstLine="463" w:firstLineChars="193"/>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甲    方：                           乙    方： </w:t>
      </w:r>
    </w:p>
    <w:p>
      <w:pPr>
        <w:spacing w:line="360" w:lineRule="auto"/>
        <w:ind w:firstLine="463" w:firstLineChars="193"/>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地    址：                           地    址： </w:t>
      </w:r>
    </w:p>
    <w:p>
      <w:pPr>
        <w:spacing w:line="360" w:lineRule="auto"/>
        <w:ind w:firstLine="463" w:firstLineChars="193"/>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sz w:val="24"/>
          <w:szCs w:val="24"/>
        </w:rPr>
        <w:t>或授权代表</w:t>
      </w:r>
      <w:r>
        <w:rPr>
          <w:rFonts w:hint="eastAsia" w:ascii="宋体" w:hAnsi="宋体" w:eastAsia="宋体" w:cs="宋体"/>
          <w:color w:val="000000"/>
          <w:kern w:val="0"/>
          <w:sz w:val="24"/>
          <w:szCs w:val="24"/>
        </w:rPr>
        <w:t>：               法定代表人</w:t>
      </w:r>
      <w:r>
        <w:rPr>
          <w:rFonts w:hint="eastAsia" w:ascii="宋体" w:hAnsi="宋体" w:eastAsia="宋体" w:cs="宋体"/>
          <w:color w:val="000000"/>
          <w:sz w:val="24"/>
          <w:szCs w:val="24"/>
        </w:rPr>
        <w:t>或授权代表</w:t>
      </w:r>
      <w:r>
        <w:rPr>
          <w:rFonts w:hint="eastAsia" w:ascii="宋体" w:hAnsi="宋体" w:eastAsia="宋体" w:cs="宋体"/>
          <w:color w:val="000000"/>
          <w:kern w:val="0"/>
          <w:sz w:val="24"/>
          <w:szCs w:val="24"/>
        </w:rPr>
        <w:t>：</w:t>
      </w:r>
    </w:p>
    <w:p>
      <w:pPr>
        <w:spacing w:line="360" w:lineRule="auto"/>
        <w:ind w:firstLine="463" w:firstLineChars="193"/>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签订日期：                           签订日期： </w:t>
      </w:r>
    </w:p>
    <w:p>
      <w:pPr>
        <w:pStyle w:val="2"/>
        <w:numPr>
          <w:ilvl w:val="0"/>
          <w:numId w:val="0"/>
        </w:numPr>
        <w:rPr>
          <w:color w:val="000000" w:themeColor="text1"/>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bookmarkStart w:id="449" w:name="_Toc14949"/>
      <w:bookmarkStart w:id="450" w:name="_Toc12182"/>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5"/>
      <w:r>
        <w:rPr>
          <w:rFonts w:hint="eastAsia" w:ascii="宋体" w:hAnsi="宋体" w:cs="宋体"/>
          <w:b/>
          <w:color w:val="000000" w:themeColor="text1"/>
          <w:sz w:val="36"/>
          <w:szCs w:val="20"/>
          <w:highlight w:val="none"/>
          <w14:textFill>
            <w14:solidFill>
              <w14:schemeClr w14:val="tx1"/>
            </w14:solidFill>
          </w14:textFill>
        </w:rPr>
        <w:t xml:space="preserve"> </w:t>
      </w:r>
      <w:bookmarkEnd w:id="446"/>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9"/>
      <w:bookmarkEnd w:id="450"/>
    </w:p>
    <w:p>
      <w:pPr>
        <w:spacing w:line="360" w:lineRule="auto"/>
        <w:jc w:val="center"/>
        <w:outlineLvl w:val="9"/>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51"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51"/>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w:t>
      </w:r>
      <w:r>
        <w:rPr>
          <w:rFonts w:hint="eastAsia" w:ascii="宋体" w:hAnsi="宋体" w:cs="宋体"/>
          <w:b/>
          <w:color w:val="000000" w:themeColor="text1"/>
          <w:kern w:val="0"/>
          <w:sz w:val="32"/>
          <w:szCs w:val="32"/>
          <w:highlight w:val="none"/>
          <w:lang w:val="en-US" w:eastAsia="zh-CN"/>
          <w14:textFill>
            <w14:solidFill>
              <w14:schemeClr w14:val="tx1"/>
            </w14:solidFill>
          </w14:textFill>
        </w:rPr>
        <w:t xml:space="preserve"> </w:t>
      </w: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致采购人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w:t>
      </w:r>
      <w:r>
        <w:rPr>
          <w:rFonts w:hint="eastAsia" w:ascii="宋体" w:hAnsi="宋体" w:cs="宋体"/>
          <w:color w:val="000000" w:themeColor="text1"/>
          <w:sz w:val="24"/>
          <w:highlight w:val="none"/>
          <w:lang w:val="en-US" w:eastAsia="zh-CN"/>
          <w14:textFill>
            <w14:solidFill>
              <w14:schemeClr w14:val="tx1"/>
            </w14:solidFill>
          </w14:textFill>
        </w:rPr>
        <w:t>失信主体</w:t>
      </w:r>
      <w:r>
        <w:rPr>
          <w:rFonts w:hint="eastAsia" w:ascii="宋体" w:hAnsi="宋体" w:cs="宋体"/>
          <w:color w:val="000000" w:themeColor="text1"/>
          <w:sz w:val="24"/>
          <w:highlight w:val="none"/>
          <w14:textFill>
            <w14:solidFill>
              <w14:schemeClr w14:val="tx1"/>
            </w14:solidFill>
          </w14:textFill>
        </w:rPr>
        <w:t>、政府采购严重违法失信行为记录名单。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w:t>
      </w:r>
      <w:r>
        <w:rPr>
          <w:rFonts w:hint="eastAsia" w:ascii="宋体" w:hAnsi="宋体" w:cs="宋体"/>
          <w:b/>
          <w:color w:val="000000" w:themeColor="text1"/>
          <w:kern w:val="0"/>
          <w:sz w:val="32"/>
          <w:szCs w:val="32"/>
          <w:highlight w:val="none"/>
          <w:lang w:val="en-US" w:eastAsia="zh-CN"/>
          <w14:textFill>
            <w14:solidFill>
              <w14:schemeClr w14:val="tx1"/>
            </w14:solidFill>
          </w14:textFill>
        </w:rPr>
        <w:t>如适用</w:t>
      </w:r>
      <w:r>
        <w:rPr>
          <w:rFonts w:hint="eastAsia" w:ascii="宋体" w:hAnsi="宋体" w:cs="宋体"/>
          <w:b/>
          <w:color w:val="000000" w:themeColor="text1"/>
          <w:kern w:val="0"/>
          <w:sz w:val="32"/>
          <w:szCs w:val="32"/>
          <w:highlight w:val="none"/>
          <w14:textFill>
            <w14:solidFill>
              <w14:schemeClr w14:val="tx1"/>
            </w14:solidFill>
          </w14:textFill>
        </w:rPr>
        <w:t>）</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cs="宋体"/>
          <w:b/>
          <w:color w:val="000000" w:themeColor="text1"/>
          <w:kern w:val="0"/>
          <w:sz w:val="32"/>
          <w:szCs w:val="32"/>
          <w:highlight w:val="none"/>
          <w14:textFill>
            <w14:solidFill>
              <w14:schemeClr w14:val="tx1"/>
            </w14:solidFill>
          </w14:textFill>
        </w:rPr>
        <w:t>、落实政府采购政策需满足的资格要求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numPr>
          <w:ilvl w:val="0"/>
          <w:numId w:val="16"/>
        </w:numPr>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pPr>
        <w:pStyle w:val="63"/>
        <w:numPr>
          <w:ilvl w:val="0"/>
          <w:numId w:val="0"/>
        </w:numPr>
        <w:ind w:leftChars="400"/>
        <w:jc w:val="center"/>
        <w:rPr>
          <w:rFonts w:hint="eastAsia" w:eastAsia="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[如适用，</w:t>
      </w:r>
      <w:r>
        <w:rPr>
          <w:rFonts w:hint="eastAsia" w:ascii="宋体" w:hAnsi="宋体" w:cs="宋体"/>
          <w:b w:val="0"/>
          <w:bCs/>
          <w:color w:val="000000" w:themeColor="text1"/>
          <w:sz w:val="24"/>
          <w:highlight w:val="none"/>
          <w14:textFill>
            <w14:solidFill>
              <w14:schemeClr w14:val="tx1"/>
            </w14:solidFill>
          </w14:textFill>
        </w:rPr>
        <w:t>提供业务专用章使用说明函（附件</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w:t>
      </w:r>
    </w:p>
    <w:p>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numPr>
          <w:ilvl w:val="0"/>
          <w:numId w:val="17"/>
        </w:numPr>
        <w:bidi w:val="0"/>
        <w:ind w:left="3360" w:leftChars="0" w:firstLineChars="0"/>
        <w:jc w:val="left"/>
        <w:rPr>
          <w:rFonts w:hint="eastAsia"/>
          <w:b/>
          <w:bCs/>
          <w:color w:val="000000" w:themeColor="text1"/>
          <w:sz w:val="32"/>
          <w:szCs w:val="32"/>
          <w:highlight w:val="none"/>
          <w14:textFill>
            <w14:solidFill>
              <w14:schemeClr w14:val="tx1"/>
            </w14:solidFill>
          </w14:textFill>
        </w:rPr>
      </w:pPr>
      <w:bookmarkStart w:id="452" w:name="_Toc2704"/>
      <w:r>
        <w:rPr>
          <w:rFonts w:hint="eastAsia"/>
          <w:b/>
          <w:bCs/>
          <w:color w:val="000000" w:themeColor="text1"/>
          <w:sz w:val="32"/>
          <w:szCs w:val="32"/>
          <w:highlight w:val="none"/>
          <w14:textFill>
            <w14:solidFill>
              <w14:schemeClr w14:val="tx1"/>
            </w14:solidFill>
          </w14:textFill>
        </w:rPr>
        <w:t>投标函</w:t>
      </w:r>
      <w:bookmarkEnd w:id="452"/>
    </w:p>
    <w:p>
      <w:pPr>
        <w:pStyle w:val="63"/>
        <w:numPr>
          <w:ilvl w:val="0"/>
          <w:numId w:val="0"/>
        </w:numPr>
        <w:ind w:leftChars="400"/>
        <w:rPr>
          <w:color w:val="000000" w:themeColor="text1"/>
          <w:highlight w:val="none"/>
          <w14:textFill>
            <w14:solidFill>
              <w14:schemeClr w14:val="tx1"/>
            </w14:solidFill>
          </w14:textFill>
        </w:rPr>
      </w:pPr>
    </w:p>
    <w:p>
      <w:pPr>
        <w:pStyle w:val="25"/>
        <w:widowControl/>
        <w:spacing w:line="360" w:lineRule="auto"/>
        <w:jc w:val="left"/>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致采购人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pPr>
        <w:pStyle w:val="25"/>
        <w:widowControl/>
        <w:spacing w:line="360" w:lineRule="auto"/>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（投标人全称）</w:t>
      </w:r>
      <w:r>
        <w:rPr>
          <w:rFonts w:hint="eastAsia" w:hAnsi="宋体" w:cs="宋体"/>
          <w:color w:val="000000" w:themeColor="text1"/>
          <w:sz w:val="24"/>
          <w:szCs w:val="24"/>
          <w:highlight w:val="none"/>
          <w14:textFill>
            <w14:solidFill>
              <w14:schemeClr w14:val="tx1"/>
            </w14:solidFill>
          </w14:textFill>
        </w:rPr>
        <w:t>授权</w:t>
      </w:r>
      <w:r>
        <w:rPr>
          <w:rFonts w:hint="eastAsia" w:hAnsi="宋体" w:cs="宋体"/>
          <w:color w:val="000000" w:themeColor="text1"/>
          <w:sz w:val="24"/>
          <w:szCs w:val="24"/>
          <w:highlight w:val="none"/>
          <w:u w:val="single"/>
          <w14:textFill>
            <w14:solidFill>
              <w14:schemeClr w14:val="tx1"/>
            </w14:solidFill>
          </w14:textFill>
        </w:rPr>
        <w:t>（授权代表姓名、职务）</w:t>
      </w:r>
      <w:r>
        <w:rPr>
          <w:rFonts w:hint="eastAsia" w:hAnsi="宋体" w:cs="宋体"/>
          <w:color w:val="000000" w:themeColor="text1"/>
          <w:sz w:val="24"/>
          <w:szCs w:val="24"/>
          <w:highlight w:val="none"/>
          <w14:textFill>
            <w14:solidFill>
              <w14:schemeClr w14:val="tx1"/>
            </w14:solidFill>
          </w14:textFill>
        </w:rPr>
        <w:t>为本公司（单位）合法代理人，参加贵方组织的</w:t>
      </w:r>
      <w:r>
        <w:rPr>
          <w:rFonts w:hint="eastAsia" w:cs="宋体"/>
          <w:color w:val="000000" w:themeColor="text1"/>
          <w:sz w:val="24"/>
          <w:szCs w:val="24"/>
          <w:highlight w:val="none"/>
          <w:u w:val="single"/>
          <w:lang w:val="en-US" w:eastAsia="zh-CN"/>
          <w14:textFill>
            <w14:solidFill>
              <w14:schemeClr w14:val="tx1"/>
            </w14:solidFill>
          </w14:textFill>
        </w:rPr>
        <w:t xml:space="preserve">    （项目编号+项目名称）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招投标活动，代表本公司（单位）处理招投标活动中的一切事宜，为对</w:t>
      </w:r>
      <w:r>
        <w:rPr>
          <w:rFonts w:hint="eastAsia" w:hAnsi="宋体"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val="en-US" w:eastAsia="zh-CN"/>
          <w14:textFill>
            <w14:solidFill>
              <w14:schemeClr w14:val="tx1"/>
            </w14:solidFill>
          </w14:textFill>
        </w:rPr>
        <w:t>采购内容</w:t>
      </w:r>
      <w:r>
        <w:rPr>
          <w:rFonts w:hint="eastAsia" w:hAnsi="宋体" w:cs="宋体"/>
          <w:color w:val="000000" w:themeColor="text1"/>
          <w:sz w:val="24"/>
          <w:szCs w:val="24"/>
          <w:highlight w:val="none"/>
          <w:u w:val="singl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进行投标，在此：</w:t>
      </w:r>
    </w:p>
    <w:p>
      <w:pPr>
        <w:pStyle w:val="25"/>
        <w:widowControl/>
        <w:spacing w:line="360" w:lineRule="auto"/>
        <w:ind w:firstLine="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提供招标文件中“投标须知”规定</w:t>
      </w:r>
      <w:r>
        <w:rPr>
          <w:rFonts w:hint="eastAsia" w:hAnsi="宋体" w:cs="宋体"/>
          <w:b w:val="0"/>
          <w:bCs w:val="0"/>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14:textFill>
            <w14:solidFill>
              <w14:schemeClr w14:val="tx1"/>
            </w14:solidFill>
          </w14:textFill>
        </w:rPr>
        <w:t>全部投标文件</w:t>
      </w:r>
    </w:p>
    <w:p>
      <w:pPr>
        <w:pStyle w:val="25"/>
        <w:widowControl/>
        <w:numPr>
          <w:ilvl w:val="0"/>
          <w:numId w:val="0"/>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据此函，签字代表宣布并承诺如下：</w:t>
      </w:r>
    </w:p>
    <w:p>
      <w:pPr>
        <w:pStyle w:val="25"/>
        <w:widowControl/>
        <w:spacing w:line="360" w:lineRule="auto"/>
        <w:ind w:firstLine="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（1）投标货物的投标总价（大写）：</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元人民币</w:t>
      </w:r>
      <w:r>
        <w:rPr>
          <w:rFonts w:hint="eastAsia" w:cs="宋体"/>
          <w:color w:val="000000" w:themeColor="text1"/>
          <w:sz w:val="24"/>
          <w:szCs w:val="24"/>
          <w:highlight w:val="none"/>
          <w:lang w:eastAsia="zh-CN"/>
          <w14:textFill>
            <w14:solidFill>
              <w14:schemeClr w14:val="tx1"/>
            </w14:solidFill>
          </w14:textFill>
        </w:rPr>
        <w:t>、运营服务费占比</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。本报价已经包含了所供货物应纳的税金及招标文件规定的报价方式应包含的其它费用。本报价在投标有效期内固定不变，并在合同有效期内不受利率波动的影响。</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本投标自开标之日起</w:t>
      </w:r>
      <w:r>
        <w:rPr>
          <w:rFonts w:hint="eastAsia" w:hAnsi="宋体" w:cs="宋体"/>
          <w:color w:val="000000" w:themeColor="text1"/>
          <w:sz w:val="24"/>
          <w:szCs w:val="24"/>
          <w:highlight w:val="none"/>
          <w:u w:val="single"/>
          <w14:textFill>
            <w14:solidFill>
              <w14:schemeClr w14:val="tx1"/>
            </w14:solidFill>
          </w14:textFill>
        </w:rPr>
        <w:t xml:space="preserve">  90  </w:t>
      </w:r>
      <w:r>
        <w:rPr>
          <w:rFonts w:hint="eastAsia" w:hAnsi="宋体" w:cs="宋体"/>
          <w:color w:val="000000" w:themeColor="text1"/>
          <w:sz w:val="24"/>
          <w:szCs w:val="24"/>
          <w:highlight w:val="none"/>
          <w14:textFill>
            <w14:solidFill>
              <w14:schemeClr w14:val="tx1"/>
            </w14:solidFill>
          </w14:textFill>
        </w:rPr>
        <w:t>天内有效。</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保证在中标后忠实地执行与采购人所签署的合同，并承担合同规定的责任义务。保证在中标后按照招标文件的规定支付中标服务费。</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承诺应贵方要求提供任何与该项目投标有关的数据、情况和技术资料。</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我们承诺，与为采购人采购本次招标的货物进行设计、编制规范和其他文件所委托的咨询公司或其附属机构无任何直接或间接的关联。</w:t>
      </w:r>
    </w:p>
    <w:p>
      <w:pPr>
        <w:pStyle w:val="25"/>
        <w:widowControl/>
        <w:numPr>
          <w:ilvl w:val="0"/>
          <w:numId w:val="18"/>
        </w:numPr>
        <w:spacing w:line="360" w:lineRule="auto"/>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投标人已详细审查并理解全部招标文件，已完全明确招标文件中的全部内容。如有违反，愿意接受监管机构相应的处理。</w:t>
      </w:r>
    </w:p>
    <w:p>
      <w:pPr>
        <w:pStyle w:val="25"/>
        <w:widowControl/>
        <w:spacing w:line="360" w:lineRule="auto"/>
        <w:ind w:firstLine="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与本投标有关的一切往来通讯请寄：</w:t>
      </w:r>
    </w:p>
    <w:p>
      <w:pPr>
        <w:pStyle w:val="25"/>
        <w:widowControl/>
        <w:spacing w:line="360" w:lineRule="auto"/>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5"/>
        <w:widowControl/>
        <w:spacing w:line="360" w:lineRule="auto"/>
        <w:jc w:val="left"/>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邮编：</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电话：</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传真：</w:t>
      </w:r>
      <w:r>
        <w:rPr>
          <w:rFonts w:hint="eastAsia" w:hAnsi="宋体" w:cs="宋体"/>
          <w:color w:val="000000" w:themeColor="text1"/>
          <w:sz w:val="24"/>
          <w:szCs w:val="24"/>
          <w:highlight w:val="none"/>
          <w:u w:val="single"/>
          <w14:textFill>
            <w14:solidFill>
              <w14:schemeClr w14:val="tx1"/>
            </w14:solidFill>
          </w14:textFill>
        </w:rPr>
        <w:t xml:space="preserve">             </w:t>
      </w:r>
    </w:p>
    <w:p>
      <w:pPr>
        <w:pStyle w:val="25"/>
        <w:widowControl/>
        <w:spacing w:line="360" w:lineRule="auto"/>
        <w:jc w:val="left"/>
        <w:rPr>
          <w:rFonts w:hint="eastAsia" w:hAnsi="宋体" w:cs="宋体"/>
          <w:color w:val="000000" w:themeColor="text1"/>
          <w:sz w:val="24"/>
          <w:szCs w:val="24"/>
          <w:highlight w:val="none"/>
          <w14:textFill>
            <w14:solidFill>
              <w14:schemeClr w14:val="tx1"/>
            </w14:solidFill>
          </w14:textFill>
        </w:rPr>
      </w:pPr>
    </w:p>
    <w:p>
      <w:pPr>
        <w:pStyle w:val="33"/>
        <w:tabs>
          <w:tab w:val="left" w:pos="2472"/>
        </w:tabs>
        <w:snapToGrid w:val="0"/>
        <w:spacing w:before="0" w:beforeLines="0" w:after="0" w:afterLines="0" w:line="360" w:lineRule="auto"/>
        <w:ind w:firstLine="4560" w:firstLineChars="19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投标人名称(</w:t>
      </w:r>
      <w:r>
        <w:rPr>
          <w:rFonts w:hint="eastAsia" w:hAnsi="宋体" w:cs="宋体"/>
          <w:color w:val="000000" w:themeColor="text1"/>
          <w:sz w:val="24"/>
          <w:szCs w:val="24"/>
          <w:highlight w:val="none"/>
          <w:lang w:val="en-US" w:eastAsia="zh-CN"/>
          <w14:textFill>
            <w14:solidFill>
              <w14:schemeClr w14:val="tx1"/>
            </w14:solidFill>
          </w14:textFill>
        </w:rPr>
        <w:t>电子签</w:t>
      </w:r>
      <w:r>
        <w:rPr>
          <w:rFonts w:hint="eastAsia" w:hAnsi="宋体" w:cs="宋体"/>
          <w:color w:val="000000" w:themeColor="text1"/>
          <w:sz w:val="24"/>
          <w:szCs w:val="24"/>
          <w:highlight w:val="none"/>
          <w14:textFill>
            <w14:solidFill>
              <w14:schemeClr w14:val="tx1"/>
            </w14:solidFill>
          </w14:textFill>
        </w:rPr>
        <w:t xml:space="preserve">章):_________                   </w:t>
      </w:r>
    </w:p>
    <w:p>
      <w:pPr>
        <w:snapToGrid w:val="0"/>
        <w:spacing w:line="360" w:lineRule="auto"/>
        <w:ind w:firstLine="4560" w:firstLineChars="19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日期:_____年___月___日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hint="eastAsia" w:ascii="宋体" w:hAnsi="宋体" w:cs="宋体"/>
          <w:b/>
          <w:color w:val="000000" w:themeColor="text1"/>
          <w:kern w:val="0"/>
          <w:sz w:val="32"/>
          <w:szCs w:val="32"/>
          <w:highlight w:val="none"/>
          <w:lang w:val="zh-CN"/>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致采购人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（项目名称）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pPr>
        <w:pStyle w:val="15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pPr>
              <w:pStyle w:val="15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1"/>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53"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w:t>
      </w:r>
      <w:r>
        <w:rPr>
          <w:rFonts w:hint="eastAsia" w:ascii="宋体" w:hAnsi="宋体" w:cs="宋体"/>
          <w:b/>
          <w:color w:val="000000" w:themeColor="text1"/>
          <w:sz w:val="24"/>
          <w:highlight w:val="none"/>
          <w:lang w:val="en-US" w:eastAsia="zh-CN"/>
          <w14:textFill>
            <w14:solidFill>
              <w14:schemeClr w14:val="tx1"/>
            </w14:solidFill>
          </w14:textFill>
        </w:rPr>
        <w:t>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53"/>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5"/>
        <w:outlineLvl w:val="9"/>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5"/>
        <w:outlineLvl w:val="9"/>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或者签字盖章的投标文件的组成部分</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致采购人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lang w:val="en-US" w:eastAsia="zh-CN"/>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pPr>
        <w:jc w:val="center"/>
        <w:rPr>
          <w:rFonts w:hint="eastAsia"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center"/>
        <w:rPr>
          <w:rFonts w:ascii="宋体" w:hAnsi="宋体" w:cs="宋体"/>
          <w:b/>
          <w:color w:val="000000" w:themeColor="text1"/>
          <w:kern w:val="0"/>
          <w:sz w:val="32"/>
          <w:szCs w:val="32"/>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『编制说明』：</w:t>
      </w:r>
    </w:p>
    <w:p>
      <w:pPr>
        <w:numPr>
          <w:ilvl w:val="0"/>
          <w:numId w:val="19"/>
        </w:numPr>
        <w:adjustRightInd w:val="0"/>
        <w:snapToGrid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pPr>
        <w:numPr>
          <w:ilvl w:val="0"/>
          <w:numId w:val="19"/>
        </w:num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偏离说明是指对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color w:val="000000" w:themeColor="text1"/>
          <w:sz w:val="21"/>
          <w:szCs w:val="21"/>
          <w:highlight w:val="none"/>
          <w14:textFill>
            <w14:solidFill>
              <w14:schemeClr w14:val="tx1"/>
            </w14:solidFill>
          </w14:textFill>
        </w:rPr>
        <w:t>文件要求存在不同之处的解释说明。偏离系指：正偏离（高于采购需求）、负偏离（低于采购需求）、无偏离（满足采购需求）</w:t>
      </w:r>
      <w:r>
        <w:rPr>
          <w:rFonts w:hint="eastAsia" w:ascii="宋体" w:hAnsi="宋体" w:cs="宋体"/>
          <w:b/>
          <w:bCs/>
          <w:color w:val="000000" w:themeColor="text1"/>
          <w:sz w:val="21"/>
          <w:szCs w:val="21"/>
          <w:highlight w:val="none"/>
          <w:lang w:eastAsia="zh-CN"/>
          <w14:textFill>
            <w14:solidFill>
              <w14:schemeClr w14:val="tx1"/>
            </w14:solidFill>
          </w14:textFill>
        </w:rPr>
        <w:t>。</w:t>
      </w:r>
    </w:p>
    <w:p>
      <w:pPr>
        <w:widowControl/>
        <w:spacing w:line="360" w:lineRule="auto"/>
        <w:jc w:val="left"/>
        <w:outlineLvl w:val="9"/>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技术指标若有要求供应商提供相应佐证材料的，供应商未提供相应佐证材料或者供应商的响应承诺与其佐证材料不一致的，评审小组会将以不利于供应商的内容为准进行评审（负偏离）。</w:t>
      </w:r>
    </w:p>
    <w:p>
      <w:pPr>
        <w:pStyle w:val="63"/>
        <w:rPr>
          <w:color w:val="000000" w:themeColor="text1"/>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sectPr>
          <w:headerReference r:id="rId14" w:type="first"/>
          <w:footerReference r:id="rId16" w:type="first"/>
          <w:headerReference r:id="rId13" w:type="default"/>
          <w:footerReference r:id="rId15"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ind w:firstLine="964" w:firstLineChars="400"/>
        <w:jc w:val="center"/>
        <w:rPr>
          <w:rFonts w:hint="eastAsia" w:ascii="宋体" w:hAnsi="宋体" w:eastAsia="宋体" w:cs="宋体"/>
          <w:b/>
          <w:bCs/>
          <w:color w:val="000000" w:themeColor="text1"/>
          <w:sz w:val="24"/>
          <w:highlight w:val="none"/>
          <w14:textFill>
            <w14:solidFill>
              <w14:schemeClr w14:val="tx1"/>
            </w14:solidFill>
          </w14:textFill>
        </w:r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）检验中心装修设计方案</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）ISO 15189实验室检测能力（投标文件中提供相应的证明资料）</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）运营管理与服务方案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）运营团队人员配备</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）冷链物流方案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）信息化网络建设方案</w:t>
      </w:r>
    </w:p>
    <w:p>
      <w:pPr>
        <w:adjustRightInd w:val="0"/>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）售后服务方案</w:t>
      </w:r>
    </w:p>
    <w:p>
      <w:pPr>
        <w:pStyle w:val="2"/>
        <w:adjustRightInd w:val="0"/>
        <w:snapToGrid w:val="0"/>
        <w:spacing w:after="0"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其他特色服务情况</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业绩一览表</w:t>
      </w:r>
      <w:r>
        <w:rPr>
          <w:rFonts w:hint="eastAsia" w:ascii="宋体" w:hAnsi="宋体" w:cs="宋体"/>
          <w:color w:val="000000" w:themeColor="text1"/>
          <w:sz w:val="24"/>
          <w:highlight w:val="none"/>
          <w:lang w:val="en-US" w:eastAsia="zh-CN"/>
          <w14:textFill>
            <w14:solidFill>
              <w14:schemeClr w14:val="tx1"/>
            </w14:solidFill>
          </w14:textFill>
        </w:rPr>
        <w:t>(附合同复印件加盖公章）</w:t>
      </w:r>
      <w:r>
        <w:rPr>
          <w:rFonts w:hint="eastAsia" w:ascii="宋体" w:hAnsi="宋体" w:eastAsia="宋体" w:cs="宋体"/>
          <w:color w:val="000000" w:themeColor="text1"/>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节能环保产品证明材料（如有，请按评分标准要求提供）</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3"/>
        <w:ind w:firstLine="960" w:firstLineChars="400"/>
        <w:rPr>
          <w:rFonts w:hint="default"/>
          <w:color w:val="000000" w:themeColor="text1"/>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（11）评分标准中要求提供的其他资料；</w:t>
      </w:r>
    </w:p>
    <w:p>
      <w:pPr>
        <w:snapToGrid w:val="0"/>
        <w:spacing w:line="360" w:lineRule="auto"/>
        <w:ind w:firstLine="964" w:firstLineChars="40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合同金额</w:t>
            </w:r>
          </w:p>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pPr>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附合同复印件加盖公章</w:t>
      </w: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pStyle w:val="25"/>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  期：</w:t>
      </w:r>
    </w:p>
    <w:p>
      <w:pPr>
        <w:pStyle w:val="2"/>
        <w:rPr>
          <w:rFonts w:hint="eastAsia"/>
          <w:color w:val="000000" w:themeColor="text1"/>
          <w:highlight w:val="none"/>
          <w:lang w:eastAsia="zh-CN"/>
          <w14:textFill>
            <w14:solidFill>
              <w14:schemeClr w14:val="tx1"/>
            </w14:solidFill>
          </w14:textFill>
        </w:rPr>
      </w:pPr>
    </w:p>
    <w:p>
      <w:pPr>
        <w:pStyle w:val="25"/>
        <w:ind w:left="0" w:leftChars="0" w:firstLine="0" w:firstLineChars="0"/>
        <w:rPr>
          <w:rFonts w:hint="default"/>
          <w:b/>
          <w:bCs/>
          <w:color w:val="000000" w:themeColor="text1"/>
          <w:highlight w:val="none"/>
          <w:lang w:val="en-US" w:eastAsia="zh-CN"/>
          <w14:textFill>
            <w14:solidFill>
              <w14:schemeClr w14:val="tx1"/>
            </w14:solidFill>
          </w14:textFill>
        </w:rPr>
      </w:pPr>
    </w:p>
    <w:p>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br w:type="page"/>
      </w:r>
    </w:p>
    <w:p>
      <w:pPr>
        <w:bidi w:val="0"/>
        <w:jc w:val="center"/>
        <w:rPr>
          <w:rFonts w:hint="eastAsia"/>
          <w:b/>
          <w:bCs/>
          <w:color w:val="000000" w:themeColor="text1"/>
          <w:sz w:val="36"/>
          <w:szCs w:val="36"/>
          <w:highlight w:val="none"/>
          <w14:textFill>
            <w14:solidFill>
              <w14:schemeClr w14:val="tx1"/>
            </w14:solidFill>
          </w14:textFill>
        </w:rPr>
      </w:pPr>
      <w:bookmarkStart w:id="454" w:name="_Toc16712"/>
    </w:p>
    <w:p>
      <w:pPr>
        <w:bidi w:val="0"/>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54"/>
    </w:p>
    <w:p>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bookmarkStart w:id="455" w:name="_Toc31513"/>
    </w:p>
    <w:bookmarkEnd w:id="455"/>
    <w:p>
      <w:pPr>
        <w:bidi w:val="0"/>
        <w:jc w:val="center"/>
        <w:rPr>
          <w:rFonts w:hint="eastAsia"/>
          <w:b/>
          <w:bCs/>
          <w:color w:val="000000" w:themeColor="text1"/>
          <w:sz w:val="30"/>
          <w:szCs w:val="30"/>
          <w:highlight w:val="none"/>
          <w14:textFill>
            <w14:solidFill>
              <w14:schemeClr w14:val="tx1"/>
            </w14:solidFill>
          </w14:textFill>
        </w:rPr>
      </w:pPr>
      <w:bookmarkStart w:id="456" w:name="_Toc21159"/>
      <w:r>
        <w:rPr>
          <w:rFonts w:hint="eastAsia"/>
          <w:b/>
          <w:bCs/>
          <w:color w:val="000000" w:themeColor="text1"/>
          <w:sz w:val="30"/>
          <w:szCs w:val="30"/>
          <w:highlight w:val="none"/>
          <w:lang w:val="en-US" w:eastAsia="zh-CN"/>
          <w14:textFill>
            <w14:solidFill>
              <w14:schemeClr w14:val="tx1"/>
            </w14:solidFill>
          </w14:textFill>
        </w:rPr>
        <w:t>一、</w:t>
      </w:r>
      <w:r>
        <w:rPr>
          <w:rFonts w:hint="eastAsia"/>
          <w:b/>
          <w:bCs/>
          <w:color w:val="000000" w:themeColor="text1"/>
          <w:sz w:val="30"/>
          <w:szCs w:val="30"/>
          <w:highlight w:val="none"/>
          <w14:textFill>
            <w14:solidFill>
              <w14:schemeClr w14:val="tx1"/>
            </w14:solidFill>
          </w14:textFill>
        </w:rPr>
        <w:t>开标一览表</w:t>
      </w:r>
      <w:bookmarkEnd w:id="456"/>
    </w:p>
    <w:p>
      <w:pPr>
        <w:snapToGrid w:val="0"/>
        <w:spacing w:before="50" w:after="50" w:line="360" w:lineRule="auto"/>
        <w:ind w:firstLine="630" w:firstLineChars="300"/>
        <w:rPr>
          <w:rFonts w:hint="eastAsia" w:ascii="宋体" w:hAnsi="宋体" w:cs="宋体"/>
          <w:color w:val="000000" w:themeColor="text1"/>
          <w:szCs w:val="21"/>
          <w:highlight w:val="none"/>
          <w14:textFill>
            <w14:solidFill>
              <w14:schemeClr w14:val="tx1"/>
            </w14:solidFill>
          </w14:textFill>
        </w:rPr>
      </w:pPr>
    </w:p>
    <w:tbl>
      <w:tblPr>
        <w:tblStyle w:val="6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Layout w:type="fixed"/>
        <w:tblCellMar>
          <w:top w:w="0" w:type="dxa"/>
          <w:left w:w="108" w:type="dxa"/>
          <w:bottom w:w="0" w:type="dxa"/>
          <w:right w:w="108" w:type="dxa"/>
        </w:tblCellMar>
      </w:tblPr>
      <w:tblGrid>
        <w:gridCol w:w="2085"/>
        <w:gridCol w:w="6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591" w:hRule="atLeast"/>
          <w:jc w:val="center"/>
        </w:trPr>
        <w:tc>
          <w:tcPr>
            <w:tcW w:w="2085" w:type="dxa"/>
            <w:tcBorders>
              <w:tl2br w:val="nil"/>
              <w:tr2bl w:val="nil"/>
            </w:tcBorders>
            <w:noWrap w:val="0"/>
            <w:vAlign w:val="center"/>
          </w:tcPr>
          <w:p>
            <w:pPr>
              <w:jc w:val="center"/>
              <w:rPr>
                <w:rFonts w:ascii="宋体" w:hAnsi="宋体" w:cs="Arial"/>
                <w:bCs/>
                <w:color w:val="000000"/>
                <w:szCs w:val="21"/>
              </w:rPr>
            </w:pPr>
            <w:r>
              <w:rPr>
                <w:rFonts w:hint="eastAsia" w:ascii="宋体" w:hAnsi="宋体" w:cs="Arial"/>
                <w:bCs/>
                <w:color w:val="000000"/>
                <w:szCs w:val="21"/>
              </w:rPr>
              <w:t>合作期限</w:t>
            </w:r>
          </w:p>
        </w:tc>
        <w:tc>
          <w:tcPr>
            <w:tcW w:w="6372" w:type="dxa"/>
            <w:tcBorders>
              <w:tl2br w:val="nil"/>
              <w:tr2bl w:val="nil"/>
            </w:tcBorders>
            <w:noWrap w:val="0"/>
            <w:vAlign w:val="center"/>
          </w:tcPr>
          <w:p>
            <w:pPr>
              <w:jc w:val="center"/>
              <w:rPr>
                <w:rFonts w:ascii="宋体" w:hAnsi="宋体" w:cs="Arial"/>
                <w:bCs/>
                <w:color w:val="000000"/>
                <w:szCs w:val="21"/>
              </w:rPr>
            </w:pPr>
            <w:r>
              <w:rPr>
                <w:rFonts w:hint="eastAsia" w:ascii="宋体" w:hAnsi="宋体" w:cs="Arial"/>
                <w:bCs/>
                <w:color w:val="000000"/>
                <w:szCs w:val="21"/>
              </w:rPr>
              <w:t>5年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591" w:hRule="atLeast"/>
          <w:jc w:val="center"/>
        </w:trPr>
        <w:tc>
          <w:tcPr>
            <w:tcW w:w="2085" w:type="dxa"/>
            <w:tcBorders>
              <w:tl2br w:val="nil"/>
              <w:tr2bl w:val="nil"/>
            </w:tcBorders>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设备报价</w:t>
            </w:r>
          </w:p>
        </w:tc>
        <w:tc>
          <w:tcPr>
            <w:tcW w:w="6372" w:type="dxa"/>
            <w:tcBorders>
              <w:tl2br w:val="nil"/>
              <w:tr2bl w:val="nil"/>
            </w:tcBorders>
            <w:noWrap w:val="0"/>
            <w:vAlign w:val="center"/>
          </w:tcPr>
          <w:p>
            <w:pPr>
              <w:jc w:val="center"/>
              <w:rPr>
                <w:rFonts w:hint="eastAsia" w:ascii="宋体" w:hAnsi="宋体" w:cs="Arial"/>
                <w:bCs/>
                <w:color w:val="000000"/>
                <w:szCs w:val="21"/>
              </w:rPr>
            </w:pPr>
            <w:r>
              <w:rPr>
                <w:rFonts w:hint="eastAsia" w:ascii="宋体" w:hAnsi="宋体" w:cs="Arial"/>
                <w:bCs/>
                <w:color w:val="000000"/>
                <w:szCs w:val="21"/>
                <w:u w:val="single"/>
              </w:rPr>
              <w:t xml:space="preserve">      万元</w:t>
            </w:r>
            <w:r>
              <w:rPr>
                <w:rFonts w:hint="eastAsia" w:ascii="Arial" w:hAnsi="Arial" w:cs="Arial"/>
                <w:bCs/>
                <w:color w:val="000000"/>
                <w:szCs w:val="21"/>
              </w:rPr>
              <w:t>（此报价中含</w:t>
            </w:r>
            <w:r>
              <w:rPr>
                <w:rFonts w:hint="eastAsia" w:ascii="Arial" w:hAnsi="Arial" w:cs="Arial"/>
                <w:bCs/>
                <w:color w:val="000000"/>
                <w:szCs w:val="21"/>
                <w:u w:val="single"/>
              </w:rPr>
              <w:t xml:space="preserve">      万</w:t>
            </w:r>
            <w:r>
              <w:rPr>
                <w:rFonts w:hint="eastAsia" w:ascii="Arial" w:hAnsi="Arial" w:cs="Arial"/>
                <w:bCs/>
                <w:color w:val="000000"/>
                <w:szCs w:val="21"/>
              </w:rPr>
              <w:t>元的试剂）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574" w:hRule="atLeast"/>
          <w:jc w:val="center"/>
        </w:trPr>
        <w:tc>
          <w:tcPr>
            <w:tcW w:w="2085" w:type="dxa"/>
            <w:tcBorders>
              <w:tl2br w:val="nil"/>
              <w:tr2bl w:val="nil"/>
            </w:tcBorders>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运营服务费</w:t>
            </w:r>
          </w:p>
          <w:p>
            <w:pPr>
              <w:jc w:val="center"/>
              <w:rPr>
                <w:rFonts w:ascii="宋体" w:hAnsi="宋体" w:cs="Arial"/>
                <w:bCs/>
                <w:color w:val="000000"/>
                <w:szCs w:val="21"/>
              </w:rPr>
            </w:pPr>
            <w:r>
              <w:rPr>
                <w:rFonts w:hint="eastAsia" w:ascii="宋体" w:hAnsi="宋体" w:cs="Arial"/>
                <w:bCs/>
                <w:color w:val="000000"/>
                <w:szCs w:val="21"/>
              </w:rPr>
              <w:t>占比</w:t>
            </w:r>
          </w:p>
        </w:tc>
        <w:tc>
          <w:tcPr>
            <w:tcW w:w="6372" w:type="dxa"/>
            <w:tcBorders>
              <w:tl2br w:val="nil"/>
              <w:tr2bl w:val="nil"/>
            </w:tcBorders>
            <w:noWrap w:val="0"/>
            <w:vAlign w:val="center"/>
          </w:tcPr>
          <w:p>
            <w:pPr>
              <w:spacing w:line="360" w:lineRule="auto"/>
              <w:jc w:val="center"/>
              <w:rPr>
                <w:rFonts w:ascii="宋体" w:hAnsi="宋体" w:cs="Arial"/>
                <w:bCs/>
                <w:color w:val="000000"/>
                <w:szCs w:val="21"/>
              </w:rPr>
            </w:pPr>
            <w:r>
              <w:rPr>
                <w:rFonts w:hint="eastAsia" w:ascii="宋体" w:hAnsi="宋体" w:cs="宋体"/>
                <w:color w:val="000000"/>
                <w:szCs w:val="21"/>
              </w:rPr>
              <w:t>临床检验试剂及配套耗材消耗费用占医院检验中心实验室临检项目收入的</w:t>
            </w:r>
            <w:r>
              <w:rPr>
                <w:rFonts w:ascii="宋体" w:hAnsi="宋体" w:cs="Arial"/>
                <w:bCs/>
                <w:snapToGrid w:val="0"/>
                <w:color w:val="000000"/>
                <w:kern w:val="0"/>
                <w:szCs w:val="21"/>
                <w:u w:val="single"/>
              </w:rPr>
              <w:t xml:space="preserve">     </w:t>
            </w:r>
            <w:r>
              <w:rPr>
                <w:rFonts w:ascii="宋体" w:hAnsi="宋体" w:cs="Arial"/>
                <w:bCs/>
                <w:snapToGrid w:val="0"/>
                <w:color w:val="00000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4" w:space="0"/>
          </w:tblBorders>
          <w:tblCellMar>
            <w:top w:w="0" w:type="dxa"/>
            <w:left w:w="108" w:type="dxa"/>
            <w:bottom w:w="0" w:type="dxa"/>
            <w:right w:w="108" w:type="dxa"/>
          </w:tblCellMar>
        </w:tblPrEx>
        <w:trPr>
          <w:trHeight w:val="354" w:hRule="atLeast"/>
          <w:jc w:val="center"/>
        </w:trPr>
        <w:tc>
          <w:tcPr>
            <w:tcW w:w="2085" w:type="dxa"/>
            <w:tcBorders>
              <w:tl2br w:val="nil"/>
              <w:tr2bl w:val="nil"/>
            </w:tcBorders>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投标说明</w:t>
            </w:r>
          </w:p>
          <w:p>
            <w:pPr>
              <w:jc w:val="center"/>
              <w:rPr>
                <w:rFonts w:hint="eastAsia" w:ascii="宋体" w:hAnsi="宋体" w:cs="Arial"/>
                <w:bCs/>
                <w:color w:val="000000"/>
                <w:szCs w:val="21"/>
              </w:rPr>
            </w:pPr>
            <w:r>
              <w:rPr>
                <w:rFonts w:hint="eastAsia" w:ascii="宋体" w:hAnsi="宋体" w:cs="Arial"/>
                <w:bCs/>
                <w:color w:val="000000"/>
                <w:szCs w:val="21"/>
              </w:rPr>
              <w:t>（如有）</w:t>
            </w:r>
          </w:p>
        </w:tc>
        <w:tc>
          <w:tcPr>
            <w:tcW w:w="6372" w:type="dxa"/>
            <w:tcBorders>
              <w:tl2br w:val="nil"/>
              <w:tr2bl w:val="nil"/>
            </w:tcBorders>
            <w:noWrap w:val="0"/>
            <w:vAlign w:val="center"/>
          </w:tcPr>
          <w:p>
            <w:pPr>
              <w:jc w:val="left"/>
              <w:rPr>
                <w:rFonts w:ascii="宋体" w:hAnsi="宋体" w:cs="Arial"/>
                <w:bCs/>
                <w:color w:val="000000"/>
                <w:szCs w:val="21"/>
              </w:rPr>
            </w:pPr>
          </w:p>
          <w:p>
            <w:pPr>
              <w:jc w:val="left"/>
              <w:rPr>
                <w:rFonts w:ascii="宋体" w:hAnsi="宋体" w:cs="Arial"/>
                <w:bCs/>
                <w:color w:val="000000"/>
                <w:szCs w:val="21"/>
              </w:rPr>
            </w:pPr>
          </w:p>
          <w:p>
            <w:pPr>
              <w:jc w:val="left"/>
              <w:rPr>
                <w:rFonts w:ascii="宋体" w:hAnsi="宋体" w:cs="Arial"/>
                <w:bCs/>
                <w:color w:val="000000"/>
                <w:szCs w:val="21"/>
              </w:rPr>
            </w:pPr>
          </w:p>
          <w:p>
            <w:pPr>
              <w:jc w:val="left"/>
              <w:rPr>
                <w:rFonts w:ascii="宋体" w:hAnsi="宋体" w:cs="Arial"/>
                <w:bCs/>
                <w:color w:val="000000"/>
                <w:szCs w:val="21"/>
              </w:rPr>
            </w:pPr>
          </w:p>
        </w:tc>
      </w:tr>
    </w:tbl>
    <w:p>
      <w:pPr>
        <w:snapToGrid w:val="0"/>
        <w:spacing w:before="50" w:after="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pStyle w:val="33"/>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3"/>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pStyle w:val="33"/>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日期:_____年___月___日</w:t>
      </w:r>
    </w:p>
    <w:p>
      <w:pPr>
        <w:rPr>
          <w:rFonts w:hint="eastAsia"/>
          <w:color w:val="000000" w:themeColor="text1"/>
          <w:highlight w:val="none"/>
          <w14:textFill>
            <w14:solidFill>
              <w14:schemeClr w14:val="tx1"/>
            </w14:solidFill>
          </w14:textFill>
        </w:rPr>
      </w:pPr>
    </w:p>
    <w:p>
      <w:pPr>
        <w:pStyle w:val="33"/>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p>
    <w:p>
      <w:pPr>
        <w:pStyle w:val="33"/>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br w:type="page"/>
      </w:r>
      <w:r>
        <w:rPr>
          <w:rFonts w:hint="eastAsia" w:hAnsi="宋体" w:cs="宋体"/>
          <w:b/>
          <w:color w:val="000000" w:themeColor="text1"/>
          <w:sz w:val="21"/>
          <w:szCs w:val="21"/>
          <w:highlight w:val="none"/>
          <w14:textFill>
            <w14:solidFill>
              <w14:schemeClr w14:val="tx1"/>
            </w14:solidFill>
          </w14:textFill>
        </w:rPr>
        <w:t xml:space="preserve">       </w:t>
      </w:r>
    </w:p>
    <w:p>
      <w:pPr>
        <w:pStyle w:val="33"/>
        <w:snapToGrid w:val="0"/>
        <w:spacing w:before="295" w:beforeLines="0" w:after="295" w:afterLines="0" w:line="240" w:lineRule="auto"/>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二、投标报价明细表</w:t>
      </w:r>
    </w:p>
    <w:p>
      <w:pPr>
        <w:pStyle w:val="33"/>
        <w:snapToGrid w:val="0"/>
        <w:spacing w:before="0" w:beforeLines="0" w:after="0" w:afterLines="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金额单位：人民币（元）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1909"/>
        <w:gridCol w:w="2108"/>
        <w:gridCol w:w="957"/>
        <w:gridCol w:w="1718"/>
        <w:gridCol w:w="14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59"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序号</w:t>
            </w:r>
          </w:p>
        </w:tc>
        <w:tc>
          <w:tcPr>
            <w:tcW w:w="1909"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分项内容</w:t>
            </w:r>
          </w:p>
        </w:tc>
        <w:tc>
          <w:tcPr>
            <w:tcW w:w="2108"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单价（元）</w:t>
            </w:r>
          </w:p>
        </w:tc>
        <w:tc>
          <w:tcPr>
            <w:tcW w:w="957"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数量</w:t>
            </w:r>
          </w:p>
        </w:tc>
        <w:tc>
          <w:tcPr>
            <w:tcW w:w="1718"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小计（元）</w:t>
            </w:r>
          </w:p>
        </w:tc>
        <w:tc>
          <w:tcPr>
            <w:tcW w:w="1449" w:type="dxa"/>
            <w:tcBorders>
              <w:tl2br w:val="nil"/>
              <w:tr2bl w:val="nil"/>
            </w:tcBorders>
            <w:noWrap w:val="0"/>
            <w:vAlign w:val="center"/>
          </w:tcPr>
          <w:p>
            <w:pPr>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r>
              <w:rPr>
                <w:rFonts w:hint="eastAsia" w:ascii="宋体" w:hAnsi="宋体" w:cs="宋体"/>
                <w:iCs/>
                <w:color w:val="000000"/>
                <w:szCs w:val="21"/>
              </w:rPr>
              <w:t>（一）</w:t>
            </w: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kern w:val="0"/>
                <w:szCs w:val="21"/>
              </w:rPr>
            </w:pPr>
            <w:r>
              <w:rPr>
                <w:rFonts w:hint="eastAsia" w:ascii="宋体" w:hAnsi="宋体" w:cs="宋体"/>
                <w:iCs/>
                <w:color w:val="000000"/>
                <w:szCs w:val="21"/>
              </w:rPr>
              <w:t>工程建设</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szCs w:val="21"/>
              </w:rPr>
            </w:pPr>
            <w:r>
              <w:rPr>
                <w:rFonts w:hint="eastAsia" w:ascii="宋体" w:hAnsi="宋体" w:cs="宋体"/>
                <w:iCs/>
                <w:color w:val="000000"/>
                <w:kern w:val="0"/>
                <w:szCs w:val="21"/>
              </w:rPr>
              <w:t>材料/人工等</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r>
              <w:rPr>
                <w:rFonts w:hint="eastAsia" w:ascii="宋体" w:hAnsi="宋体" w:cs="宋体"/>
                <w:iCs/>
                <w:color w:val="000000"/>
                <w:szCs w:val="21"/>
              </w:rPr>
              <w:t>（二）</w:t>
            </w: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kern w:val="0"/>
                <w:szCs w:val="21"/>
              </w:rPr>
            </w:pPr>
            <w:r>
              <w:rPr>
                <w:rFonts w:hint="eastAsia" w:ascii="宋体" w:hAnsi="宋体" w:cs="宋体"/>
                <w:iCs/>
                <w:color w:val="000000"/>
                <w:szCs w:val="21"/>
              </w:rPr>
              <w:t>投资标的物</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kern w:val="0"/>
                <w:szCs w:val="21"/>
              </w:rPr>
            </w:pPr>
            <w:r>
              <w:rPr>
                <w:rFonts w:hint="eastAsia" w:ascii="宋体" w:hAnsi="宋体" w:cs="宋体"/>
                <w:iCs/>
                <w:color w:val="000000"/>
                <w:kern w:val="0"/>
                <w:szCs w:val="21"/>
              </w:rPr>
              <w:t>设备/耗材/软件等（需具体细化）</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r>
              <w:rPr>
                <w:rFonts w:hint="eastAsia" w:ascii="宋体" w:hAnsi="宋体" w:cs="宋体"/>
                <w:iCs/>
                <w:color w:val="000000"/>
                <w:szCs w:val="21"/>
              </w:rPr>
              <w:t>（三）</w:t>
            </w: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kern w:val="0"/>
                <w:szCs w:val="21"/>
              </w:rPr>
            </w:pPr>
            <w:r>
              <w:rPr>
                <w:rFonts w:hint="eastAsia" w:ascii="宋体" w:hAnsi="宋体" w:cs="宋体"/>
                <w:iCs/>
                <w:color w:val="000000"/>
                <w:szCs w:val="21"/>
              </w:rPr>
              <w:t>运营管理服务</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tcBorders>
              <w:tl2br w:val="nil"/>
              <w:tr2bl w:val="nil"/>
            </w:tcBorders>
            <w:noWrap w:val="0"/>
            <w:vAlign w:val="center"/>
          </w:tcPr>
          <w:p>
            <w:pPr>
              <w:jc w:val="center"/>
              <w:rPr>
                <w:rFonts w:hint="eastAsia" w:ascii="宋体" w:hAnsi="宋体" w:cs="宋体"/>
                <w:iCs/>
                <w:color w:val="000000"/>
                <w:szCs w:val="21"/>
              </w:rPr>
            </w:pPr>
          </w:p>
        </w:tc>
        <w:tc>
          <w:tcPr>
            <w:tcW w:w="1909" w:type="dxa"/>
            <w:tcBorders>
              <w:tl2br w:val="nil"/>
              <w:tr2bl w:val="nil"/>
            </w:tcBorders>
            <w:noWrap w:val="0"/>
            <w:vAlign w:val="center"/>
          </w:tcPr>
          <w:p>
            <w:pPr>
              <w:spacing w:before="120" w:beforeLines="50" w:after="120" w:afterLines="50" w:line="360" w:lineRule="auto"/>
              <w:jc w:val="center"/>
              <w:rPr>
                <w:rFonts w:hint="eastAsia" w:ascii="宋体" w:hAnsi="宋体" w:cs="宋体"/>
                <w:iCs/>
                <w:color w:val="000000"/>
                <w:kern w:val="0"/>
                <w:szCs w:val="21"/>
              </w:rPr>
            </w:pPr>
            <w:r>
              <w:rPr>
                <w:rFonts w:hint="eastAsia" w:ascii="宋体" w:hAnsi="宋体" w:cs="宋体"/>
                <w:iCs/>
                <w:color w:val="000000"/>
                <w:kern w:val="0"/>
                <w:szCs w:val="21"/>
              </w:rPr>
              <w:t>人工/维保等</w:t>
            </w:r>
          </w:p>
        </w:tc>
        <w:tc>
          <w:tcPr>
            <w:tcW w:w="2108" w:type="dxa"/>
            <w:tcBorders>
              <w:tl2br w:val="nil"/>
              <w:tr2bl w:val="nil"/>
            </w:tcBorders>
            <w:noWrap w:val="0"/>
            <w:vAlign w:val="center"/>
          </w:tcPr>
          <w:p>
            <w:pPr>
              <w:jc w:val="center"/>
              <w:rPr>
                <w:rFonts w:hint="eastAsia" w:ascii="宋体" w:hAnsi="宋体" w:cs="宋体"/>
                <w:color w:val="000000"/>
                <w:szCs w:val="21"/>
              </w:rPr>
            </w:pPr>
          </w:p>
        </w:tc>
        <w:tc>
          <w:tcPr>
            <w:tcW w:w="957" w:type="dxa"/>
            <w:tcBorders>
              <w:tl2br w:val="nil"/>
              <w:tr2bl w:val="nil"/>
            </w:tcBorders>
            <w:noWrap w:val="0"/>
            <w:vAlign w:val="center"/>
          </w:tcPr>
          <w:p>
            <w:pPr>
              <w:jc w:val="center"/>
              <w:rPr>
                <w:rFonts w:hint="eastAsia" w:ascii="宋体" w:hAnsi="宋体" w:cs="宋体"/>
                <w:color w:val="000000"/>
                <w:szCs w:val="21"/>
              </w:rPr>
            </w:pPr>
          </w:p>
        </w:tc>
        <w:tc>
          <w:tcPr>
            <w:tcW w:w="1718" w:type="dxa"/>
            <w:tcBorders>
              <w:tl2br w:val="nil"/>
              <w:tr2bl w:val="nil"/>
            </w:tcBorders>
            <w:noWrap w:val="0"/>
            <w:vAlign w:val="center"/>
          </w:tcPr>
          <w:p>
            <w:pPr>
              <w:jc w:val="center"/>
              <w:rPr>
                <w:rFonts w:hint="eastAsia" w:ascii="宋体" w:hAnsi="宋体" w:cs="宋体"/>
                <w:color w:val="000000"/>
                <w:szCs w:val="21"/>
              </w:rPr>
            </w:pPr>
          </w:p>
        </w:tc>
        <w:tc>
          <w:tcPr>
            <w:tcW w:w="1449" w:type="dxa"/>
            <w:tcBorders>
              <w:tl2br w:val="nil"/>
              <w:tr2bl w:val="nil"/>
            </w:tcBorders>
            <w:noWrap w:val="0"/>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vMerge w:val="restart"/>
            <w:tcBorders>
              <w:tl2br w:val="nil"/>
              <w:tr2bl w:val="nil"/>
            </w:tcBorders>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项目投资</w:t>
            </w:r>
          </w:p>
        </w:tc>
        <w:tc>
          <w:tcPr>
            <w:tcW w:w="8141" w:type="dxa"/>
            <w:gridSpan w:val="5"/>
            <w:tcBorders>
              <w:tl2br w:val="nil"/>
              <w:tr2bl w:val="nil"/>
            </w:tcBorders>
            <w:noWrap w:val="0"/>
            <w:vAlign w:val="center"/>
          </w:tcPr>
          <w:p>
            <w:pPr>
              <w:jc w:val="left"/>
              <w:rPr>
                <w:rFonts w:hint="eastAsia" w:ascii="宋体" w:hAnsi="宋体" w:cs="宋体"/>
                <w:color w:val="000000"/>
                <w:sz w:val="21"/>
                <w:szCs w:val="21"/>
              </w:rPr>
            </w:pPr>
            <w:r>
              <w:rPr>
                <w:rFonts w:hint="eastAsia" w:ascii="宋体" w:hAnsi="宋体" w:cs="宋体"/>
                <w:color w:val="000000"/>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9" w:type="dxa"/>
            <w:vMerge w:val="continue"/>
            <w:tcBorders>
              <w:tl2br w:val="nil"/>
              <w:tr2bl w:val="nil"/>
            </w:tcBorders>
            <w:noWrap w:val="0"/>
            <w:vAlign w:val="center"/>
          </w:tcPr>
          <w:p>
            <w:pPr>
              <w:widowControl/>
              <w:jc w:val="left"/>
              <w:rPr>
                <w:rFonts w:hint="eastAsia" w:ascii="宋体" w:hAnsi="宋体" w:cs="宋体"/>
                <w:color w:val="000000"/>
                <w:sz w:val="21"/>
                <w:szCs w:val="21"/>
              </w:rPr>
            </w:pPr>
          </w:p>
        </w:tc>
        <w:tc>
          <w:tcPr>
            <w:tcW w:w="8141" w:type="dxa"/>
            <w:gridSpan w:val="5"/>
            <w:tcBorders>
              <w:tl2br w:val="nil"/>
              <w:tr2bl w:val="nil"/>
            </w:tcBorders>
            <w:noWrap w:val="0"/>
            <w:vAlign w:val="center"/>
          </w:tcPr>
          <w:p>
            <w:pPr>
              <w:jc w:val="left"/>
              <w:rPr>
                <w:rFonts w:hint="eastAsia" w:ascii="宋体" w:hAnsi="宋体" w:cs="宋体"/>
                <w:color w:val="000000"/>
                <w:sz w:val="21"/>
                <w:szCs w:val="21"/>
              </w:rPr>
            </w:pPr>
            <w:r>
              <w:rPr>
                <w:rFonts w:hint="eastAsia" w:ascii="宋体" w:hAnsi="宋体" w:cs="宋体"/>
                <w:color w:val="000000"/>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4" w:hRule="atLeast"/>
        </w:trPr>
        <w:tc>
          <w:tcPr>
            <w:tcW w:w="1259" w:type="dxa"/>
            <w:tcBorders>
              <w:tl2br w:val="nil"/>
              <w:tr2bl w:val="nil"/>
            </w:tcBorders>
            <w:noWrap w:val="0"/>
            <w:vAlign w:val="center"/>
          </w:tcPr>
          <w:p>
            <w:pPr>
              <w:spacing w:before="120" w:beforeLines="50" w:after="120" w:afterLines="50"/>
              <w:rPr>
                <w:rFonts w:hint="eastAsia" w:ascii="宋体" w:hAnsi="宋体" w:cs="宋体"/>
                <w:color w:val="000000"/>
                <w:sz w:val="21"/>
                <w:szCs w:val="21"/>
              </w:rPr>
            </w:pPr>
            <w:r>
              <w:rPr>
                <w:rFonts w:hint="eastAsia" w:ascii="宋体" w:hAnsi="宋体" w:cs="宋体"/>
                <w:color w:val="000000"/>
                <w:sz w:val="21"/>
                <w:szCs w:val="21"/>
              </w:rPr>
              <w:t>其他说明</w:t>
            </w:r>
          </w:p>
        </w:tc>
        <w:tc>
          <w:tcPr>
            <w:tcW w:w="8141" w:type="dxa"/>
            <w:gridSpan w:val="5"/>
            <w:tcBorders>
              <w:tl2br w:val="nil"/>
              <w:tr2bl w:val="nil"/>
            </w:tcBorders>
            <w:noWrap w:val="0"/>
            <w:vAlign w:val="center"/>
          </w:tcPr>
          <w:p>
            <w:pPr>
              <w:spacing w:before="120" w:beforeLines="50" w:after="120" w:afterLines="50"/>
              <w:rPr>
                <w:rFonts w:hint="eastAsia" w:ascii="宋体" w:hAnsi="宋体" w:cs="宋体"/>
                <w:color w:val="000000"/>
                <w:sz w:val="21"/>
                <w:szCs w:val="21"/>
              </w:rPr>
            </w:pPr>
          </w:p>
        </w:tc>
      </w:tr>
    </w:tbl>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tabs>
          <w:tab w:val="left" w:pos="1418"/>
        </w:tabs>
        <w:snapToGrid w:val="0"/>
        <w:spacing w:before="50" w:after="50"/>
        <w:ind w:left="1418" w:hanging="567"/>
        <w:jc w:val="center"/>
        <w:rPr>
          <w:rFonts w:hint="eastAsia" w:ascii="宋体" w:hAnsi="宋体" w:cs="宋体"/>
          <w:color w:val="000000" w:themeColor="text1"/>
          <w:spacing w:val="20"/>
          <w:szCs w:val="21"/>
          <w:highlight w:val="none"/>
          <w:u w:val="single"/>
          <w14:textFill>
            <w14:solidFill>
              <w14:schemeClr w14:val="tx1"/>
            </w14:solidFill>
          </w14:textFill>
        </w:rPr>
      </w:pPr>
    </w:p>
    <w:p>
      <w:pPr>
        <w:pStyle w:val="33"/>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3"/>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snapToGrid w:val="0"/>
        <w:spacing w:before="50" w:after="50"/>
        <w:rPr>
          <w:rFonts w:hint="eastAsia"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pPr>
        <w:pStyle w:val="33"/>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rPr>
          <w:rFonts w:ascii="宋体" w:hAnsi="宋体" w:eastAsia="宋体" w:cs="宋体"/>
          <w:color w:val="000000" w:themeColor="text1"/>
          <w:kern w:val="2"/>
          <w:sz w:val="32"/>
          <w:szCs w:val="32"/>
          <w:highlight w:val="none"/>
          <w14:textFill>
            <w14:solidFill>
              <w14:schemeClr w14:val="tx1"/>
            </w14:solidFill>
          </w14:textFill>
        </w:rPr>
      </w:pPr>
      <w:r>
        <w:rPr>
          <w:rFonts w:ascii="宋体" w:hAnsi="宋体" w:eastAsia="宋体" w:cs="宋体"/>
          <w:color w:val="000000" w:themeColor="text1"/>
          <w:kern w:val="2"/>
          <w:sz w:val="32"/>
          <w:szCs w:val="32"/>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三</w:t>
      </w:r>
      <w:r>
        <w:rPr>
          <w:rFonts w:hint="eastAsia" w:cs="Times New Roman"/>
          <w:b/>
          <w:bCs/>
          <w:snapToGrid/>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质保期后备品备件清单</w:t>
      </w:r>
    </w:p>
    <w:p>
      <w:pPr>
        <w:jc w:val="center"/>
        <w:rPr>
          <w:rFonts w:hint="eastAsia" w:ascii="宋体" w:hAnsi="宋体" w:cs="宋体"/>
          <w:b/>
          <w:color w:val="000000" w:themeColor="text1"/>
          <w:szCs w:val="21"/>
          <w:highlight w:val="none"/>
          <w14:textFill>
            <w14:solidFill>
              <w14:schemeClr w14:val="tx1"/>
            </w14:solidFill>
          </w14:textFill>
        </w:rPr>
      </w:pP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46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主要技术规格</w:t>
            </w:r>
          </w:p>
        </w:tc>
        <w:tc>
          <w:tcPr>
            <w:tcW w:w="859"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885"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w:t>
            </w: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pPr>
        <w:pStyle w:val="4"/>
        <w:spacing w:before="0" w:after="0" w:line="360" w:lineRule="auto"/>
        <w:outlineLvl w:val="9"/>
        <w:rPr>
          <w:rFonts w:hint="eastAsia" w:ascii="宋体" w:hAnsi="宋体" w:cs="宋体"/>
          <w:color w:val="000000" w:themeColor="text1"/>
          <w:sz w:val="21"/>
          <w:szCs w:val="21"/>
          <w:highlight w:val="none"/>
          <w14:textFill>
            <w14:solidFill>
              <w14:schemeClr w14:val="tx1"/>
            </w14:solidFill>
          </w14:textFill>
        </w:rPr>
      </w:pPr>
    </w:p>
    <w:p>
      <w:pPr>
        <w:pStyle w:val="33"/>
        <w:tabs>
          <w:tab w:val="left" w:pos="2472"/>
        </w:tabs>
        <w:snapToGrid w:val="0"/>
        <w:spacing w:before="0" w:beforeLines="0" w:after="0" w:afterLines="0" w:line="360" w:lineRule="auto"/>
        <w:ind w:firstLine="420"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:___________________</w:t>
      </w:r>
    </w:p>
    <w:p>
      <w:pPr>
        <w:pStyle w:val="33"/>
        <w:tabs>
          <w:tab w:val="left" w:pos="2472"/>
        </w:tabs>
        <w:snapToGrid w:val="0"/>
        <w:spacing w:before="0" w:beforeLines="0" w:after="0" w:afterLines="0"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期:_____年___月___日</w:t>
      </w:r>
    </w:p>
    <w:p>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4"/>
        <w:numPr>
          <w:ilvl w:val="0"/>
          <w:numId w:val="0"/>
        </w:numPr>
        <w:bidi w:val="0"/>
        <w:jc w:val="center"/>
        <w:rPr>
          <w:rFonts w:hint="eastAsia"/>
          <w:b/>
          <w:bCs/>
          <w:color w:val="000000" w:themeColor="text1"/>
          <w:sz w:val="32"/>
          <w:szCs w:val="32"/>
          <w:highlight w:val="none"/>
          <w14:textFill>
            <w14:solidFill>
              <w14:schemeClr w14:val="tx1"/>
            </w14:solidFill>
          </w14:textFill>
        </w:rPr>
      </w:pPr>
      <w:bookmarkStart w:id="457" w:name="_Toc8239"/>
      <w:r>
        <w:rPr>
          <w:rFonts w:hint="eastAsia"/>
          <w:b/>
          <w:bCs/>
          <w:color w:val="000000" w:themeColor="text1"/>
          <w:sz w:val="32"/>
          <w:szCs w:val="32"/>
          <w:highlight w:val="none"/>
          <w:lang w:val="en-US" w:eastAsia="zh-CN"/>
          <w14:textFill>
            <w14:solidFill>
              <w14:schemeClr w14:val="tx1"/>
            </w14:solidFill>
          </w14:textFill>
        </w:rPr>
        <w:t>四、</w:t>
      </w:r>
      <w:r>
        <w:rPr>
          <w:rFonts w:hint="eastAsia"/>
          <w:b/>
          <w:bCs/>
          <w:color w:val="000000" w:themeColor="text1"/>
          <w:sz w:val="32"/>
          <w:szCs w:val="32"/>
          <w:highlight w:val="none"/>
          <w14:textFill>
            <w14:solidFill>
              <w14:schemeClr w14:val="tx1"/>
            </w14:solidFill>
          </w14:textFill>
        </w:rPr>
        <w:t>中小企业声明函</w:t>
      </w:r>
      <w:bookmarkEnd w:id="457"/>
    </w:p>
    <w:p>
      <w:pPr>
        <w:pStyle w:val="694"/>
        <w:numPr>
          <w:ilvl w:val="0"/>
          <w:numId w:val="0"/>
        </w:numPr>
        <w:bidi w:val="0"/>
        <w:ind w:leftChars="0"/>
        <w:jc w:val="both"/>
        <w:rPr>
          <w:rFonts w:hint="eastAsia"/>
          <w:b/>
          <w:bCs/>
          <w:color w:val="000000" w:themeColor="text1"/>
          <w:sz w:val="32"/>
          <w:szCs w:val="32"/>
          <w:highlight w:val="none"/>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w:t>
      </w:r>
      <w:r>
        <w:rPr>
          <w:rFonts w:hint="eastAsia" w:ascii="宋体" w:hAnsi="宋体" w:cs="宋体"/>
          <w:b/>
          <w:color w:val="000000" w:themeColor="text1"/>
          <w:sz w:val="24"/>
          <w:highlight w:val="none"/>
          <w:lang w:val="en-US" w:eastAsia="zh-CN"/>
          <w14:textFill>
            <w14:solidFill>
              <w14:schemeClr w14:val="tx1"/>
            </w14:solidFill>
          </w14:textFill>
        </w:rPr>
        <w:t>格式见</w:t>
      </w: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rPr>
          <w:rFonts w:hint="eastAsia"/>
          <w:b/>
          <w:bCs/>
          <w:color w:val="000000" w:themeColor="text1"/>
          <w:sz w:val="44"/>
          <w:szCs w:val="44"/>
          <w:highlight w:val="none"/>
          <w14:textFill>
            <w14:solidFill>
              <w14:schemeClr w14:val="tx1"/>
            </w14:solidFill>
          </w14:textFill>
        </w:rPr>
      </w:pPr>
      <w:bookmarkStart w:id="458" w:name="_Toc465665161"/>
      <w:bookmarkStart w:id="459" w:name="_Toc20847"/>
      <w:r>
        <w:rPr>
          <w:rFonts w:hint="eastAsia"/>
          <w:b/>
          <w:bCs/>
          <w:color w:val="000000" w:themeColor="text1"/>
          <w:sz w:val="44"/>
          <w:szCs w:val="44"/>
          <w:highlight w:val="none"/>
          <w14:textFill>
            <w14:solidFill>
              <w14:schemeClr w14:val="tx1"/>
            </w14:solidFill>
          </w14:textFill>
        </w:rPr>
        <w:br w:type="page"/>
      </w:r>
    </w:p>
    <w:p>
      <w:pPr>
        <w:bidi w:val="0"/>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58"/>
      <w:bookmarkEnd w:id="459"/>
    </w:p>
    <w:p>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60" w:name="OLE_LINK14"/>
      <w:bookmarkStart w:id="461"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60"/>
    <w:bookmarkEnd w:id="461"/>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2</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hint="eastAsia"/>
          <w:b/>
          <w:bCs/>
          <w:color w:val="000000" w:themeColor="text1"/>
          <w:sz w:val="32"/>
          <w:szCs w:val="32"/>
          <w:highlight w:val="none"/>
          <w14:textFill>
            <w14:solidFill>
              <w14:schemeClr w14:val="tx1"/>
            </w14:solidFill>
          </w14:textFill>
        </w:rPr>
      </w:pPr>
      <w:bookmarkStart w:id="462" w:name="_Toc27865"/>
      <w:r>
        <w:rPr>
          <w:rFonts w:hint="eastAsia"/>
          <w:b/>
          <w:bCs/>
          <w:color w:val="000000" w:themeColor="text1"/>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3</w:t>
      </w:r>
      <w:r>
        <w:rPr>
          <w:rFonts w:hint="eastAsia"/>
          <w:b/>
          <w:bCs/>
          <w:color w:val="000000" w:themeColor="text1"/>
          <w:sz w:val="32"/>
          <w:szCs w:val="32"/>
          <w:highlight w:val="none"/>
          <w14:textFill>
            <w14:solidFill>
              <w14:schemeClr w14:val="tx1"/>
            </w14:solidFill>
          </w14:textFill>
        </w:rPr>
        <w:t>：联合协议</w:t>
      </w:r>
      <w:bookmarkEnd w:id="462"/>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63"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63"/>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bookmarkStart w:id="464" w:name="_Toc22286"/>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4</w:t>
      </w:r>
      <w:r>
        <w:rPr>
          <w:rFonts w:hint="eastAsia"/>
          <w:b/>
          <w:bCs/>
          <w:color w:val="000000" w:themeColor="text1"/>
          <w:sz w:val="32"/>
          <w:szCs w:val="32"/>
          <w:highlight w:val="none"/>
          <w14:textFill>
            <w14:solidFill>
              <w14:schemeClr w14:val="tx1"/>
            </w14:solidFill>
          </w14:textFill>
        </w:rPr>
        <w:t>：分包意向协议</w:t>
      </w:r>
      <w:bookmarkEnd w:id="464"/>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5"/>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465"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65"/>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6"/>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24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46" w:leftChars="2736" w:firstLine="0" w:firstLineChars="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bidi w:val="0"/>
        <w:jc w:val="left"/>
        <w:rPr>
          <w:rFonts w:hint="eastAsia" w:ascii="Times New Roman" w:hAnsi="Times New Roman" w:eastAsia="宋体" w:cs="Times New Roman"/>
          <w:b/>
          <w:bCs/>
          <w:color w:val="000000" w:themeColor="text1"/>
          <w:sz w:val="32"/>
          <w:szCs w:val="32"/>
          <w:highlight w:val="none"/>
          <w14:textFill>
            <w14:solidFill>
              <w14:schemeClr w14:val="tx1"/>
            </w14:solidFill>
          </w14:textFill>
        </w:rPr>
      </w:pPr>
      <w:bookmarkStart w:id="467" w:name="_Toc3460"/>
      <w:r>
        <w:rPr>
          <w:rFonts w:hint="eastAsia" w:ascii="Times New Roman" w:hAnsi="Times New Roman" w:eastAsia="宋体" w:cs="Times New Roman"/>
          <w:b/>
          <w:bCs/>
          <w:color w:val="000000" w:themeColor="text1"/>
          <w:sz w:val="32"/>
          <w:szCs w:val="32"/>
          <w:highlight w:val="none"/>
          <w14:textFill>
            <w14:solidFill>
              <w14:schemeClr w14:val="tx1"/>
            </w14:solidFill>
          </w14:textFill>
        </w:rPr>
        <w:t>附件</w:t>
      </w:r>
      <w:r>
        <w:rPr>
          <w:rFonts w:hint="eastAsia" w:ascii="Times New Roman" w:hAnsi="Times New Roman" w:eastAsia="宋体" w:cs="Times New Roman"/>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32"/>
          <w:szCs w:val="32"/>
          <w:highlight w:val="none"/>
          <w14:textFill>
            <w14:solidFill>
              <w14:schemeClr w14:val="tx1"/>
            </w14:solidFill>
          </w14:textFill>
        </w:rPr>
        <w:t>：中小企业声明函</w:t>
      </w:r>
      <w:bookmarkEnd w:id="467"/>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bidi w:val="0"/>
        <w:jc w:val="center"/>
        <w:rPr>
          <w:b/>
          <w:bCs/>
          <w:color w:val="000000" w:themeColor="text1"/>
          <w:sz w:val="32"/>
          <w:szCs w:val="32"/>
          <w:highlight w:val="none"/>
          <w14:textFill>
            <w14:solidFill>
              <w14:schemeClr w14:val="tx1"/>
            </w14:solidFill>
          </w14:textFill>
        </w:rPr>
      </w:pPr>
      <w:bookmarkStart w:id="468" w:name="_Toc28610"/>
      <w:r>
        <w:rPr>
          <w:rFonts w:hint="eastAsia"/>
          <w:b/>
          <w:bCs/>
          <w:color w:val="000000" w:themeColor="text1"/>
          <w:sz w:val="32"/>
          <w:szCs w:val="32"/>
          <w:highlight w:val="none"/>
          <w14:textFill>
            <w14:solidFill>
              <w14:schemeClr w14:val="tx1"/>
            </w14:solidFill>
          </w14:textFill>
        </w:rPr>
        <w:t>中小企业声明函（货物）</w:t>
      </w:r>
      <w:bookmarkEnd w:id="468"/>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全自动生化免疫流水线</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离心机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立式离心机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全自动阅片机</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医用冰箱（双开门）</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医用冰箱（单开门）</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全自动糖化血红蛋白分析仪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UPS</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全自动化学发光免疫分析仪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10</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全自动凝血分析仪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医用冷藏冷冻冰箱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12</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医用低温保存箱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13</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全自动免疫分析仪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恒温培养箱</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15</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全自动免疫发光分析仪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eastAsia="宋体" w:cs="宋体"/>
          <w:b/>
          <w:bCs/>
          <w:color w:val="000000" w:themeColor="text1"/>
          <w:sz w:val="18"/>
          <w:szCs w:val="18"/>
          <w:highlight w:val="none"/>
          <w:u w:val="single"/>
          <w14:textFill>
            <w14:solidFill>
              <w14:schemeClr w14:val="tx1"/>
            </w14:solidFill>
          </w14:textFill>
        </w:rPr>
      </w:pPr>
      <w:r>
        <w:rPr>
          <w:rFonts w:hint="eastAsia" w:ascii="宋体" w:hAnsi="宋体" w:eastAsia="宋体" w:cs="宋体"/>
          <w:b/>
          <w:bCs/>
          <w:color w:val="000000" w:themeColor="text1"/>
          <w:sz w:val="18"/>
          <w:szCs w:val="18"/>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u w:val="single"/>
          <w14:textFill>
            <w14:solidFill>
              <w14:schemeClr w14:val="tx1"/>
            </w14:solidFill>
          </w14:textFill>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ind w:left="0" w:leftChars="0" w:firstLine="0" w:firstLineChars="0"/>
        <w:rPr>
          <w:rFonts w:hint="eastAsia" w:eastAsia="宋体"/>
          <w:color w:val="000000" w:themeColor="text1"/>
          <w:highlight w:val="none"/>
          <w:lang w:val="en-US" w:eastAsia="zh-CN"/>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p>
    <w:sectPr>
      <w:headerReference r:id="rId22" w:type="first"/>
      <w:footerReference r:id="rId25" w:type="first"/>
      <w:headerReference r:id="rId21" w:type="default"/>
      <w:footerReference r:id="rId23" w:type="default"/>
      <w:footerReference r:id="rId24" w:type="even"/>
      <w:pgSz w:w="11905"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华文隶书">
    <w:panose1 w:val="02010800040101010101"/>
    <w:charset w:val="86"/>
    <w:family w:val="auto"/>
    <w:pitch w:val="default"/>
    <w:sig w:usb0="00000001" w:usb1="080F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p>
    <w:pPr>
      <w:pStyle w:val="4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000001A"/>
    <w:multiLevelType w:val="multilevel"/>
    <w:tmpl w:val="0000001A"/>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0000001D"/>
    <w:multiLevelType w:val="multilevel"/>
    <w:tmpl w:val="0000001D"/>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0000001F"/>
    <w:multiLevelType w:val="multilevel"/>
    <w:tmpl w:val="0000001F"/>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00000022"/>
    <w:multiLevelType w:val="multilevel"/>
    <w:tmpl w:val="00000022"/>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000025"/>
    <w:multiLevelType w:val="multilevel"/>
    <w:tmpl w:val="00000025"/>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27"/>
    <w:multiLevelType w:val="multilevel"/>
    <w:tmpl w:val="00000027"/>
    <w:lvl w:ilvl="0" w:tentative="0">
      <w:start w:val="1"/>
      <w:numFmt w:val="decimal"/>
      <w:lvlText w:val="(%1)"/>
      <w:lvlJc w:val="left"/>
      <w:pPr>
        <w:tabs>
          <w:tab w:val="left" w:pos="900"/>
        </w:tabs>
        <w:ind w:left="900" w:hanging="420"/>
      </w:pPr>
      <w:rPr>
        <w:rFonts w:hint="eastAsia" w:ascii="Times New Roman" w:hAnsi="Times New Roman" w:eastAsia="宋体"/>
        <w:b w:val="0"/>
        <w:sz w:val="21"/>
        <w:szCs w:val="21"/>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00000029"/>
    <w:multiLevelType w:val="multilevel"/>
    <w:tmpl w:val="00000029"/>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0000002A"/>
    <w:multiLevelType w:val="multilevel"/>
    <w:tmpl w:val="0000002A"/>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0000002E"/>
    <w:multiLevelType w:val="multilevel"/>
    <w:tmpl w:val="0000002E"/>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2F"/>
    <w:multiLevelType w:val="multilevel"/>
    <w:tmpl w:val="0000002F"/>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00000031"/>
    <w:multiLevelType w:val="multilevel"/>
    <w:tmpl w:val="00000031"/>
    <w:lvl w:ilvl="0" w:tentative="0">
      <w:start w:val="1"/>
      <w:numFmt w:val="decimal"/>
      <w:lvlText w:val="(%1)"/>
      <w:lvlJc w:val="left"/>
      <w:pPr>
        <w:tabs>
          <w:tab w:val="left" w:pos="900"/>
        </w:tabs>
        <w:ind w:left="900" w:hanging="420"/>
      </w:pPr>
      <w:rPr>
        <w:rFonts w:hint="eastAsia" w:ascii="Times New Roman" w:hAnsi="Times New Roman" w:eastAsia="宋体"/>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16">
    <w:nsid w:val="3B500D3E"/>
    <w:multiLevelType w:val="singleLevel"/>
    <w:tmpl w:val="3B500D3E"/>
    <w:lvl w:ilvl="0" w:tentative="0">
      <w:start w:val="1"/>
      <w:numFmt w:val="decimal"/>
      <w:suff w:val="nothing"/>
      <w:lvlText w:val="%1、"/>
      <w:lvlJc w:val="left"/>
    </w:lvl>
  </w:abstractNum>
  <w:abstractNum w:abstractNumId="17">
    <w:nsid w:val="5E3FE67C"/>
    <w:multiLevelType w:val="singleLevel"/>
    <w:tmpl w:val="5E3FE67C"/>
    <w:lvl w:ilvl="0" w:tentative="0">
      <w:start w:val="1"/>
      <w:numFmt w:val="decimal"/>
      <w:suff w:val="nothing"/>
      <w:lvlText w:val="（%1）"/>
      <w:lvlJc w:val="left"/>
    </w:lvl>
  </w:abstractNum>
  <w:abstractNum w:abstractNumId="18">
    <w:nsid w:val="76F2C2B9"/>
    <w:multiLevelType w:val="singleLevel"/>
    <w:tmpl w:val="76F2C2B9"/>
    <w:lvl w:ilvl="0" w:tentative="0">
      <w:start w:val="16"/>
      <w:numFmt w:val="decimal"/>
      <w:lvlText w:val="%1)"/>
      <w:lvlJc w:val="left"/>
      <w:pPr>
        <w:tabs>
          <w:tab w:val="left" w:pos="312"/>
        </w:tabs>
      </w:pPr>
    </w:lvl>
  </w:abstractNum>
  <w:num w:numId="1">
    <w:abstractNumId w:val="17"/>
  </w:num>
  <w:num w:numId="2">
    <w:abstractNumId w:val="2"/>
  </w:num>
  <w:num w:numId="3">
    <w:abstractNumId w:val="18"/>
  </w:num>
  <w:num w:numId="4">
    <w:abstractNumId w:val="14"/>
    <w:lvlOverride w:ilvl="0">
      <w:startOverride w:val="1"/>
    </w:lvlOverride>
  </w:num>
  <w:num w:numId="5">
    <w:abstractNumId w:val="5"/>
  </w:num>
  <w:num w:numId="6">
    <w:abstractNumId w:val="4"/>
  </w:num>
  <w:num w:numId="7">
    <w:abstractNumId w:val="10"/>
  </w:num>
  <w:num w:numId="8">
    <w:abstractNumId w:val="12"/>
  </w:num>
  <w:num w:numId="9">
    <w:abstractNumId w:val="6"/>
  </w:num>
  <w:num w:numId="10">
    <w:abstractNumId w:val="11"/>
  </w:num>
  <w:num w:numId="11">
    <w:abstractNumId w:val="13"/>
  </w:num>
  <w:num w:numId="12">
    <w:abstractNumId w:val="7"/>
  </w:num>
  <w:num w:numId="13">
    <w:abstractNumId w:val="8"/>
    <w:lvlOverride w:ilvl="0">
      <w:startOverride w:val="1"/>
    </w:lvlOverride>
  </w:num>
  <w:num w:numId="14">
    <w:abstractNumId w:val="9"/>
    <w:lvlOverride w:ilvl="0">
      <w:startOverride w:val="1"/>
    </w:lvlOverride>
  </w:num>
  <w:num w:numId="15">
    <w:abstractNumId w:val="0"/>
  </w:num>
  <w:num w:numId="16">
    <w:abstractNumId w:val="1"/>
  </w:num>
  <w:num w:numId="17">
    <w:abstractNumId w:val="15"/>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2YyODIzNWM5NzBhNzdlNTZjZGRkMzNjNGY5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B2"/>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02D3E"/>
    <w:rsid w:val="0170492F"/>
    <w:rsid w:val="019F7441"/>
    <w:rsid w:val="01B37585"/>
    <w:rsid w:val="01D55165"/>
    <w:rsid w:val="01DF6BF8"/>
    <w:rsid w:val="01E27736"/>
    <w:rsid w:val="01EC2C57"/>
    <w:rsid w:val="0205668B"/>
    <w:rsid w:val="021F7EEA"/>
    <w:rsid w:val="023D7C26"/>
    <w:rsid w:val="025F0711"/>
    <w:rsid w:val="026B2E25"/>
    <w:rsid w:val="026F46EB"/>
    <w:rsid w:val="02824D4D"/>
    <w:rsid w:val="02B17AA1"/>
    <w:rsid w:val="02D76F66"/>
    <w:rsid w:val="02DC4B10"/>
    <w:rsid w:val="02DD76CE"/>
    <w:rsid w:val="02F36323"/>
    <w:rsid w:val="02F5619C"/>
    <w:rsid w:val="031D13DA"/>
    <w:rsid w:val="0326446A"/>
    <w:rsid w:val="032D5555"/>
    <w:rsid w:val="036634D2"/>
    <w:rsid w:val="03772E0C"/>
    <w:rsid w:val="03C20B2B"/>
    <w:rsid w:val="03DD35E4"/>
    <w:rsid w:val="04076900"/>
    <w:rsid w:val="0414562B"/>
    <w:rsid w:val="041A5A3B"/>
    <w:rsid w:val="042311BA"/>
    <w:rsid w:val="042B157A"/>
    <w:rsid w:val="045E39DC"/>
    <w:rsid w:val="048F763B"/>
    <w:rsid w:val="049F330E"/>
    <w:rsid w:val="04A42A56"/>
    <w:rsid w:val="04AA775C"/>
    <w:rsid w:val="04AF1889"/>
    <w:rsid w:val="04C1204A"/>
    <w:rsid w:val="04E256FA"/>
    <w:rsid w:val="04F66F48"/>
    <w:rsid w:val="05251E14"/>
    <w:rsid w:val="05684DD5"/>
    <w:rsid w:val="056D7B11"/>
    <w:rsid w:val="05842FE2"/>
    <w:rsid w:val="05A16594"/>
    <w:rsid w:val="05A7762D"/>
    <w:rsid w:val="060E2E9D"/>
    <w:rsid w:val="060E5941"/>
    <w:rsid w:val="06110FAF"/>
    <w:rsid w:val="06493CA7"/>
    <w:rsid w:val="065A6178"/>
    <w:rsid w:val="06680312"/>
    <w:rsid w:val="066F1CF3"/>
    <w:rsid w:val="06930BB8"/>
    <w:rsid w:val="06B136E0"/>
    <w:rsid w:val="06BD60A6"/>
    <w:rsid w:val="06C55AF3"/>
    <w:rsid w:val="06C831BB"/>
    <w:rsid w:val="07245D42"/>
    <w:rsid w:val="07264C62"/>
    <w:rsid w:val="0779354C"/>
    <w:rsid w:val="07E37F3A"/>
    <w:rsid w:val="08061376"/>
    <w:rsid w:val="083176B6"/>
    <w:rsid w:val="08452D77"/>
    <w:rsid w:val="086401F8"/>
    <w:rsid w:val="086F044A"/>
    <w:rsid w:val="08751CAA"/>
    <w:rsid w:val="087E4C40"/>
    <w:rsid w:val="08A871D0"/>
    <w:rsid w:val="08C77EDE"/>
    <w:rsid w:val="08D66AD6"/>
    <w:rsid w:val="08DA33A3"/>
    <w:rsid w:val="08E80F13"/>
    <w:rsid w:val="09335624"/>
    <w:rsid w:val="0944690F"/>
    <w:rsid w:val="09535675"/>
    <w:rsid w:val="095F057D"/>
    <w:rsid w:val="09642282"/>
    <w:rsid w:val="09733572"/>
    <w:rsid w:val="0976241D"/>
    <w:rsid w:val="09772C16"/>
    <w:rsid w:val="097D541E"/>
    <w:rsid w:val="098353B5"/>
    <w:rsid w:val="09A92330"/>
    <w:rsid w:val="09AE0CC8"/>
    <w:rsid w:val="09B06B87"/>
    <w:rsid w:val="09C13146"/>
    <w:rsid w:val="09E04166"/>
    <w:rsid w:val="0A1C0718"/>
    <w:rsid w:val="0A3342C1"/>
    <w:rsid w:val="0A3E7710"/>
    <w:rsid w:val="0A5B7E63"/>
    <w:rsid w:val="0A631A57"/>
    <w:rsid w:val="0A8641A2"/>
    <w:rsid w:val="0AA374A5"/>
    <w:rsid w:val="0AAB7649"/>
    <w:rsid w:val="0AB70362"/>
    <w:rsid w:val="0ABC5606"/>
    <w:rsid w:val="0ACD6448"/>
    <w:rsid w:val="0B1E1CDD"/>
    <w:rsid w:val="0B30404E"/>
    <w:rsid w:val="0B4C6C14"/>
    <w:rsid w:val="0B547599"/>
    <w:rsid w:val="0B631A88"/>
    <w:rsid w:val="0B683D45"/>
    <w:rsid w:val="0B794658"/>
    <w:rsid w:val="0B7F3F11"/>
    <w:rsid w:val="0B884417"/>
    <w:rsid w:val="0BA4375D"/>
    <w:rsid w:val="0BAD476D"/>
    <w:rsid w:val="0BEE69CD"/>
    <w:rsid w:val="0BF6188C"/>
    <w:rsid w:val="0BF73C91"/>
    <w:rsid w:val="0C1026F8"/>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815A4"/>
    <w:rsid w:val="0CFE707A"/>
    <w:rsid w:val="0D063BDA"/>
    <w:rsid w:val="0D08375F"/>
    <w:rsid w:val="0D184CFB"/>
    <w:rsid w:val="0D4177D5"/>
    <w:rsid w:val="0D4A7419"/>
    <w:rsid w:val="0D50643D"/>
    <w:rsid w:val="0D827401"/>
    <w:rsid w:val="0D84094E"/>
    <w:rsid w:val="0D8A00E9"/>
    <w:rsid w:val="0D8D589E"/>
    <w:rsid w:val="0DA01C73"/>
    <w:rsid w:val="0DD63300"/>
    <w:rsid w:val="0DEB4F33"/>
    <w:rsid w:val="0DF50604"/>
    <w:rsid w:val="0DF702FE"/>
    <w:rsid w:val="0E060E51"/>
    <w:rsid w:val="0E5604B2"/>
    <w:rsid w:val="0E6D5D79"/>
    <w:rsid w:val="0E8371AE"/>
    <w:rsid w:val="0E9D0089"/>
    <w:rsid w:val="0EB803EE"/>
    <w:rsid w:val="0EC344BA"/>
    <w:rsid w:val="0EE25E06"/>
    <w:rsid w:val="0EF94D4B"/>
    <w:rsid w:val="0F0302F1"/>
    <w:rsid w:val="0F2E7E23"/>
    <w:rsid w:val="0F3A6FDE"/>
    <w:rsid w:val="0F4958DC"/>
    <w:rsid w:val="0F515DF7"/>
    <w:rsid w:val="0F596BA8"/>
    <w:rsid w:val="0F6248D2"/>
    <w:rsid w:val="0F693536"/>
    <w:rsid w:val="0F715A30"/>
    <w:rsid w:val="0F7B0511"/>
    <w:rsid w:val="0F7B76D9"/>
    <w:rsid w:val="0F816ACD"/>
    <w:rsid w:val="0F9832DB"/>
    <w:rsid w:val="0FBF3FD2"/>
    <w:rsid w:val="0FBF7FF3"/>
    <w:rsid w:val="0FCE5613"/>
    <w:rsid w:val="0FF053D0"/>
    <w:rsid w:val="101E2C79"/>
    <w:rsid w:val="105F1059"/>
    <w:rsid w:val="10601B53"/>
    <w:rsid w:val="10646583"/>
    <w:rsid w:val="10685C91"/>
    <w:rsid w:val="107D4B15"/>
    <w:rsid w:val="108A3C80"/>
    <w:rsid w:val="10C26171"/>
    <w:rsid w:val="10E80FC9"/>
    <w:rsid w:val="10F33360"/>
    <w:rsid w:val="10F47CB7"/>
    <w:rsid w:val="10FC16EA"/>
    <w:rsid w:val="110F1D40"/>
    <w:rsid w:val="11266F33"/>
    <w:rsid w:val="11507751"/>
    <w:rsid w:val="115661D4"/>
    <w:rsid w:val="115F1012"/>
    <w:rsid w:val="118963A1"/>
    <w:rsid w:val="11BC24C2"/>
    <w:rsid w:val="11C6522A"/>
    <w:rsid w:val="11E104CC"/>
    <w:rsid w:val="11E20309"/>
    <w:rsid w:val="12255233"/>
    <w:rsid w:val="12530213"/>
    <w:rsid w:val="1265440D"/>
    <w:rsid w:val="127723A9"/>
    <w:rsid w:val="12862074"/>
    <w:rsid w:val="12883966"/>
    <w:rsid w:val="129E45B4"/>
    <w:rsid w:val="12D81596"/>
    <w:rsid w:val="13072A44"/>
    <w:rsid w:val="1332653D"/>
    <w:rsid w:val="133E70C5"/>
    <w:rsid w:val="135F4BE2"/>
    <w:rsid w:val="137B2A7B"/>
    <w:rsid w:val="139B1A0A"/>
    <w:rsid w:val="139D25C7"/>
    <w:rsid w:val="13A20753"/>
    <w:rsid w:val="13BA7E55"/>
    <w:rsid w:val="13BF3CE4"/>
    <w:rsid w:val="141008D8"/>
    <w:rsid w:val="14125FE6"/>
    <w:rsid w:val="141C08E6"/>
    <w:rsid w:val="1428383E"/>
    <w:rsid w:val="146D271E"/>
    <w:rsid w:val="14982588"/>
    <w:rsid w:val="1499506F"/>
    <w:rsid w:val="149A5AD9"/>
    <w:rsid w:val="14A7619D"/>
    <w:rsid w:val="150536C3"/>
    <w:rsid w:val="150C1963"/>
    <w:rsid w:val="151447A0"/>
    <w:rsid w:val="15283AB3"/>
    <w:rsid w:val="154A6454"/>
    <w:rsid w:val="15762120"/>
    <w:rsid w:val="159308F9"/>
    <w:rsid w:val="16101951"/>
    <w:rsid w:val="1663325A"/>
    <w:rsid w:val="16A03C87"/>
    <w:rsid w:val="16A8729C"/>
    <w:rsid w:val="16B33777"/>
    <w:rsid w:val="16BC70A7"/>
    <w:rsid w:val="16C6339E"/>
    <w:rsid w:val="1710434C"/>
    <w:rsid w:val="1722394F"/>
    <w:rsid w:val="172F2D79"/>
    <w:rsid w:val="17557BEF"/>
    <w:rsid w:val="177D5D7B"/>
    <w:rsid w:val="17D1049D"/>
    <w:rsid w:val="17D349C1"/>
    <w:rsid w:val="18244F26"/>
    <w:rsid w:val="1830729E"/>
    <w:rsid w:val="183C64E6"/>
    <w:rsid w:val="1844469D"/>
    <w:rsid w:val="1870062C"/>
    <w:rsid w:val="18817102"/>
    <w:rsid w:val="18830A15"/>
    <w:rsid w:val="18852B28"/>
    <w:rsid w:val="188B5321"/>
    <w:rsid w:val="18AE2F08"/>
    <w:rsid w:val="192A2404"/>
    <w:rsid w:val="194B0C59"/>
    <w:rsid w:val="195017D9"/>
    <w:rsid w:val="19932372"/>
    <w:rsid w:val="19A20DD5"/>
    <w:rsid w:val="19AE03F1"/>
    <w:rsid w:val="1A071A03"/>
    <w:rsid w:val="1A1F16AE"/>
    <w:rsid w:val="1A3B5C77"/>
    <w:rsid w:val="1A62241F"/>
    <w:rsid w:val="1A8F16D7"/>
    <w:rsid w:val="1A984BAD"/>
    <w:rsid w:val="1AA60740"/>
    <w:rsid w:val="1AB8220E"/>
    <w:rsid w:val="1ABA3EE4"/>
    <w:rsid w:val="1AE4166C"/>
    <w:rsid w:val="1AF06CFB"/>
    <w:rsid w:val="1AF11B8D"/>
    <w:rsid w:val="1B11359C"/>
    <w:rsid w:val="1B2A271F"/>
    <w:rsid w:val="1B316724"/>
    <w:rsid w:val="1B530544"/>
    <w:rsid w:val="1B713184"/>
    <w:rsid w:val="1B86304B"/>
    <w:rsid w:val="1BA209CF"/>
    <w:rsid w:val="1BB4777D"/>
    <w:rsid w:val="1BD75AB8"/>
    <w:rsid w:val="1C0459C2"/>
    <w:rsid w:val="1C1B3B4A"/>
    <w:rsid w:val="1C88086E"/>
    <w:rsid w:val="1CE7157E"/>
    <w:rsid w:val="1D266CE1"/>
    <w:rsid w:val="1D3963AF"/>
    <w:rsid w:val="1D3D55C7"/>
    <w:rsid w:val="1D4A31E4"/>
    <w:rsid w:val="1D4A664D"/>
    <w:rsid w:val="1D6A673C"/>
    <w:rsid w:val="1D763E12"/>
    <w:rsid w:val="1D9247AE"/>
    <w:rsid w:val="1DB567EC"/>
    <w:rsid w:val="1DF51A98"/>
    <w:rsid w:val="1DFF7FB9"/>
    <w:rsid w:val="1E051CD9"/>
    <w:rsid w:val="1E3D060F"/>
    <w:rsid w:val="1E3F7D2E"/>
    <w:rsid w:val="1E4134E4"/>
    <w:rsid w:val="1E5062B3"/>
    <w:rsid w:val="1E523514"/>
    <w:rsid w:val="1E6510F2"/>
    <w:rsid w:val="1E714A66"/>
    <w:rsid w:val="1E802593"/>
    <w:rsid w:val="1E8B6156"/>
    <w:rsid w:val="1EA703CC"/>
    <w:rsid w:val="1EAD11F7"/>
    <w:rsid w:val="1EB5090D"/>
    <w:rsid w:val="1EB7330C"/>
    <w:rsid w:val="1EDC2C27"/>
    <w:rsid w:val="1F0A0FF3"/>
    <w:rsid w:val="1F174FA2"/>
    <w:rsid w:val="1F5771FF"/>
    <w:rsid w:val="1F744118"/>
    <w:rsid w:val="1FB87851"/>
    <w:rsid w:val="1FD52574"/>
    <w:rsid w:val="1FE50EA6"/>
    <w:rsid w:val="1FE868A9"/>
    <w:rsid w:val="20034907"/>
    <w:rsid w:val="20056CEC"/>
    <w:rsid w:val="20173E4B"/>
    <w:rsid w:val="20350D93"/>
    <w:rsid w:val="204E48BC"/>
    <w:rsid w:val="208921B3"/>
    <w:rsid w:val="20973DEB"/>
    <w:rsid w:val="20993B32"/>
    <w:rsid w:val="20A267A1"/>
    <w:rsid w:val="20B26522"/>
    <w:rsid w:val="20B44310"/>
    <w:rsid w:val="20ED45E5"/>
    <w:rsid w:val="210A2E51"/>
    <w:rsid w:val="211116EB"/>
    <w:rsid w:val="216133FC"/>
    <w:rsid w:val="21D56769"/>
    <w:rsid w:val="21DB649B"/>
    <w:rsid w:val="21E52EF3"/>
    <w:rsid w:val="21FB5D7B"/>
    <w:rsid w:val="22014309"/>
    <w:rsid w:val="22015E94"/>
    <w:rsid w:val="220B1C3D"/>
    <w:rsid w:val="221D1D20"/>
    <w:rsid w:val="22334A87"/>
    <w:rsid w:val="225B2CCF"/>
    <w:rsid w:val="22A2702D"/>
    <w:rsid w:val="22BE6801"/>
    <w:rsid w:val="232E07F7"/>
    <w:rsid w:val="233500BF"/>
    <w:rsid w:val="23377FF7"/>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4E06020"/>
    <w:rsid w:val="24E43B10"/>
    <w:rsid w:val="24FB6C37"/>
    <w:rsid w:val="25263944"/>
    <w:rsid w:val="2585779A"/>
    <w:rsid w:val="258B00E2"/>
    <w:rsid w:val="25A416A2"/>
    <w:rsid w:val="25A917A6"/>
    <w:rsid w:val="25BE27CC"/>
    <w:rsid w:val="25DC24E0"/>
    <w:rsid w:val="25F74A5C"/>
    <w:rsid w:val="2628662C"/>
    <w:rsid w:val="262D45DE"/>
    <w:rsid w:val="264157FE"/>
    <w:rsid w:val="26871DC8"/>
    <w:rsid w:val="26A53EF9"/>
    <w:rsid w:val="26A94201"/>
    <w:rsid w:val="26AC274F"/>
    <w:rsid w:val="26AE6CBB"/>
    <w:rsid w:val="26D83206"/>
    <w:rsid w:val="26E86A6C"/>
    <w:rsid w:val="26EF6645"/>
    <w:rsid w:val="27044A29"/>
    <w:rsid w:val="271C7216"/>
    <w:rsid w:val="271D34C8"/>
    <w:rsid w:val="273F7692"/>
    <w:rsid w:val="276142BF"/>
    <w:rsid w:val="27783712"/>
    <w:rsid w:val="27907362"/>
    <w:rsid w:val="27BE7852"/>
    <w:rsid w:val="27C543F8"/>
    <w:rsid w:val="27ED4F0A"/>
    <w:rsid w:val="2809643E"/>
    <w:rsid w:val="28333E1D"/>
    <w:rsid w:val="28454BD6"/>
    <w:rsid w:val="28455253"/>
    <w:rsid w:val="28551971"/>
    <w:rsid w:val="285B1C53"/>
    <w:rsid w:val="28885D5C"/>
    <w:rsid w:val="289F7086"/>
    <w:rsid w:val="28AB5ED8"/>
    <w:rsid w:val="28C32028"/>
    <w:rsid w:val="28CC490F"/>
    <w:rsid w:val="28DE40AA"/>
    <w:rsid w:val="28EA10A9"/>
    <w:rsid w:val="292439B7"/>
    <w:rsid w:val="29324FF4"/>
    <w:rsid w:val="29345E77"/>
    <w:rsid w:val="294C65AD"/>
    <w:rsid w:val="295C7F0E"/>
    <w:rsid w:val="29806583"/>
    <w:rsid w:val="29857D11"/>
    <w:rsid w:val="298B3C4C"/>
    <w:rsid w:val="29F26D24"/>
    <w:rsid w:val="2A15033F"/>
    <w:rsid w:val="2A1662C1"/>
    <w:rsid w:val="2A1C7367"/>
    <w:rsid w:val="2A2815FA"/>
    <w:rsid w:val="2A6D6092"/>
    <w:rsid w:val="2A7D76B4"/>
    <w:rsid w:val="2A9467FA"/>
    <w:rsid w:val="2B09293F"/>
    <w:rsid w:val="2B1D7A62"/>
    <w:rsid w:val="2B437463"/>
    <w:rsid w:val="2B7807EE"/>
    <w:rsid w:val="2BA50BF7"/>
    <w:rsid w:val="2BBF00EC"/>
    <w:rsid w:val="2BC37CFD"/>
    <w:rsid w:val="2BCE5AB1"/>
    <w:rsid w:val="2BD5237F"/>
    <w:rsid w:val="2BE52F67"/>
    <w:rsid w:val="2BE536CE"/>
    <w:rsid w:val="2BE758D9"/>
    <w:rsid w:val="2BF346BB"/>
    <w:rsid w:val="2C09049E"/>
    <w:rsid w:val="2C0A653C"/>
    <w:rsid w:val="2C191F85"/>
    <w:rsid w:val="2CE82D6F"/>
    <w:rsid w:val="2D045954"/>
    <w:rsid w:val="2D052664"/>
    <w:rsid w:val="2D0B1745"/>
    <w:rsid w:val="2D343236"/>
    <w:rsid w:val="2D575011"/>
    <w:rsid w:val="2DBD4B32"/>
    <w:rsid w:val="2DD15014"/>
    <w:rsid w:val="2DF72DE4"/>
    <w:rsid w:val="2E0220AF"/>
    <w:rsid w:val="2E304A41"/>
    <w:rsid w:val="2E3330F9"/>
    <w:rsid w:val="2E4B082A"/>
    <w:rsid w:val="2E4B53A4"/>
    <w:rsid w:val="2E5D4E86"/>
    <w:rsid w:val="2E5D790B"/>
    <w:rsid w:val="2E9A3C18"/>
    <w:rsid w:val="2EBB0FEE"/>
    <w:rsid w:val="2EC63002"/>
    <w:rsid w:val="2ED01C1A"/>
    <w:rsid w:val="2F0A6B38"/>
    <w:rsid w:val="2F3A5094"/>
    <w:rsid w:val="2F633E2C"/>
    <w:rsid w:val="2F946CCB"/>
    <w:rsid w:val="2F9E23BE"/>
    <w:rsid w:val="2FCD02D4"/>
    <w:rsid w:val="2FD25781"/>
    <w:rsid w:val="2FDC745C"/>
    <w:rsid w:val="2FFD7934"/>
    <w:rsid w:val="30485642"/>
    <w:rsid w:val="304E3DE9"/>
    <w:rsid w:val="305103C9"/>
    <w:rsid w:val="30733ACD"/>
    <w:rsid w:val="308C3862"/>
    <w:rsid w:val="309379D8"/>
    <w:rsid w:val="30A270F7"/>
    <w:rsid w:val="30DF1478"/>
    <w:rsid w:val="30EC586F"/>
    <w:rsid w:val="30F47234"/>
    <w:rsid w:val="30FC2003"/>
    <w:rsid w:val="319C6071"/>
    <w:rsid w:val="31AC537E"/>
    <w:rsid w:val="31C16900"/>
    <w:rsid w:val="31E3679B"/>
    <w:rsid w:val="31E732FD"/>
    <w:rsid w:val="32001DEF"/>
    <w:rsid w:val="32167744"/>
    <w:rsid w:val="32517576"/>
    <w:rsid w:val="325A43EC"/>
    <w:rsid w:val="329439C5"/>
    <w:rsid w:val="32B23C2D"/>
    <w:rsid w:val="32BE5C2C"/>
    <w:rsid w:val="32CD7542"/>
    <w:rsid w:val="32EA4477"/>
    <w:rsid w:val="32FB6478"/>
    <w:rsid w:val="330E5908"/>
    <w:rsid w:val="33263B3F"/>
    <w:rsid w:val="336963EB"/>
    <w:rsid w:val="33810A0F"/>
    <w:rsid w:val="338169DA"/>
    <w:rsid w:val="33816EEB"/>
    <w:rsid w:val="33EB55CD"/>
    <w:rsid w:val="33EC4C02"/>
    <w:rsid w:val="340D2360"/>
    <w:rsid w:val="3410665D"/>
    <w:rsid w:val="341744CB"/>
    <w:rsid w:val="34211214"/>
    <w:rsid w:val="342E63AB"/>
    <w:rsid w:val="3490594D"/>
    <w:rsid w:val="3494613A"/>
    <w:rsid w:val="34950E68"/>
    <w:rsid w:val="34986E94"/>
    <w:rsid w:val="34AF62C9"/>
    <w:rsid w:val="34CB4388"/>
    <w:rsid w:val="34FA6E12"/>
    <w:rsid w:val="353968BB"/>
    <w:rsid w:val="354D7158"/>
    <w:rsid w:val="358D5588"/>
    <w:rsid w:val="36391F5C"/>
    <w:rsid w:val="363A3B40"/>
    <w:rsid w:val="364E0CF5"/>
    <w:rsid w:val="365302AE"/>
    <w:rsid w:val="36607A0A"/>
    <w:rsid w:val="366E227C"/>
    <w:rsid w:val="366F2E0D"/>
    <w:rsid w:val="367B6A5C"/>
    <w:rsid w:val="36A74ADA"/>
    <w:rsid w:val="36AD60D5"/>
    <w:rsid w:val="36B224F9"/>
    <w:rsid w:val="36C11399"/>
    <w:rsid w:val="36EC0CC9"/>
    <w:rsid w:val="36FA4CBB"/>
    <w:rsid w:val="373F410B"/>
    <w:rsid w:val="37AA7D4E"/>
    <w:rsid w:val="37ED72DA"/>
    <w:rsid w:val="37EE7094"/>
    <w:rsid w:val="37F5663C"/>
    <w:rsid w:val="381226BF"/>
    <w:rsid w:val="38296C89"/>
    <w:rsid w:val="383002EB"/>
    <w:rsid w:val="38586797"/>
    <w:rsid w:val="385D15DF"/>
    <w:rsid w:val="385D2F30"/>
    <w:rsid w:val="38995E08"/>
    <w:rsid w:val="38BC0149"/>
    <w:rsid w:val="38D87D1C"/>
    <w:rsid w:val="39636459"/>
    <w:rsid w:val="396B7F6C"/>
    <w:rsid w:val="39832BF9"/>
    <w:rsid w:val="398B440F"/>
    <w:rsid w:val="39AF32EA"/>
    <w:rsid w:val="39B417A9"/>
    <w:rsid w:val="39FC5695"/>
    <w:rsid w:val="3A006D8E"/>
    <w:rsid w:val="3A085499"/>
    <w:rsid w:val="3A3651E5"/>
    <w:rsid w:val="3A744481"/>
    <w:rsid w:val="3A7E7A4E"/>
    <w:rsid w:val="3A8C7BEF"/>
    <w:rsid w:val="3A906246"/>
    <w:rsid w:val="3AF804DC"/>
    <w:rsid w:val="3B103F10"/>
    <w:rsid w:val="3B1918E3"/>
    <w:rsid w:val="3B2349B7"/>
    <w:rsid w:val="3B616CFF"/>
    <w:rsid w:val="3B6259F6"/>
    <w:rsid w:val="3B976654"/>
    <w:rsid w:val="3BB54E7D"/>
    <w:rsid w:val="3BC01EFC"/>
    <w:rsid w:val="3BCA786A"/>
    <w:rsid w:val="3BD31E2F"/>
    <w:rsid w:val="3BE42827"/>
    <w:rsid w:val="3BEC70B5"/>
    <w:rsid w:val="3BF15831"/>
    <w:rsid w:val="3C105946"/>
    <w:rsid w:val="3C471448"/>
    <w:rsid w:val="3C5F759A"/>
    <w:rsid w:val="3C6C525A"/>
    <w:rsid w:val="3CCE23CB"/>
    <w:rsid w:val="3CD17D17"/>
    <w:rsid w:val="3CE81211"/>
    <w:rsid w:val="3D2E7244"/>
    <w:rsid w:val="3D3C7F39"/>
    <w:rsid w:val="3D440F09"/>
    <w:rsid w:val="3D4504A0"/>
    <w:rsid w:val="3D8734BB"/>
    <w:rsid w:val="3D9A11D4"/>
    <w:rsid w:val="3DA16D89"/>
    <w:rsid w:val="3DA364BE"/>
    <w:rsid w:val="3DE041CB"/>
    <w:rsid w:val="3E0D48F6"/>
    <w:rsid w:val="3E1868B4"/>
    <w:rsid w:val="3E377251"/>
    <w:rsid w:val="3E42664B"/>
    <w:rsid w:val="3E5A7334"/>
    <w:rsid w:val="3E702748"/>
    <w:rsid w:val="3E7B5D6B"/>
    <w:rsid w:val="3E843E66"/>
    <w:rsid w:val="3E8F51FE"/>
    <w:rsid w:val="3E926F87"/>
    <w:rsid w:val="3E9A59DE"/>
    <w:rsid w:val="3EA428D4"/>
    <w:rsid w:val="3EAF4836"/>
    <w:rsid w:val="3EC33DFA"/>
    <w:rsid w:val="3EEF0E2E"/>
    <w:rsid w:val="3F060E16"/>
    <w:rsid w:val="3F1D1096"/>
    <w:rsid w:val="3F2F0234"/>
    <w:rsid w:val="3F453796"/>
    <w:rsid w:val="3F58701B"/>
    <w:rsid w:val="3F6363FE"/>
    <w:rsid w:val="3F756B8F"/>
    <w:rsid w:val="3F95482B"/>
    <w:rsid w:val="40045C0D"/>
    <w:rsid w:val="4019356B"/>
    <w:rsid w:val="40592157"/>
    <w:rsid w:val="406E1CAE"/>
    <w:rsid w:val="40A0133A"/>
    <w:rsid w:val="40A907DF"/>
    <w:rsid w:val="40C31A53"/>
    <w:rsid w:val="40FF545D"/>
    <w:rsid w:val="410067C8"/>
    <w:rsid w:val="418F0D2A"/>
    <w:rsid w:val="419B0237"/>
    <w:rsid w:val="41C25D13"/>
    <w:rsid w:val="41D01505"/>
    <w:rsid w:val="41FA3433"/>
    <w:rsid w:val="41FC45B8"/>
    <w:rsid w:val="41FE6B9D"/>
    <w:rsid w:val="42474939"/>
    <w:rsid w:val="424C3C57"/>
    <w:rsid w:val="42613FF3"/>
    <w:rsid w:val="42660D96"/>
    <w:rsid w:val="428667D2"/>
    <w:rsid w:val="428C7584"/>
    <w:rsid w:val="42CD1CE0"/>
    <w:rsid w:val="42E1381E"/>
    <w:rsid w:val="42ED6459"/>
    <w:rsid w:val="42FE58DD"/>
    <w:rsid w:val="430111CC"/>
    <w:rsid w:val="430F3BDE"/>
    <w:rsid w:val="4312099C"/>
    <w:rsid w:val="43174B3D"/>
    <w:rsid w:val="434B790E"/>
    <w:rsid w:val="4360274F"/>
    <w:rsid w:val="437A66FC"/>
    <w:rsid w:val="43977AB6"/>
    <w:rsid w:val="43A3342B"/>
    <w:rsid w:val="43C77C27"/>
    <w:rsid w:val="43DE09EE"/>
    <w:rsid w:val="44002FAD"/>
    <w:rsid w:val="449101DD"/>
    <w:rsid w:val="449636B7"/>
    <w:rsid w:val="44DE1391"/>
    <w:rsid w:val="451B225C"/>
    <w:rsid w:val="452410C9"/>
    <w:rsid w:val="45317DFB"/>
    <w:rsid w:val="45477EFF"/>
    <w:rsid w:val="455D3D9B"/>
    <w:rsid w:val="456241D7"/>
    <w:rsid w:val="456D3CE4"/>
    <w:rsid w:val="4579042C"/>
    <w:rsid w:val="457F0571"/>
    <w:rsid w:val="45851176"/>
    <w:rsid w:val="45C63B94"/>
    <w:rsid w:val="46002A8B"/>
    <w:rsid w:val="460E7DA5"/>
    <w:rsid w:val="46422483"/>
    <w:rsid w:val="465054AF"/>
    <w:rsid w:val="4659254A"/>
    <w:rsid w:val="465B0637"/>
    <w:rsid w:val="465E3F0D"/>
    <w:rsid w:val="466A16E6"/>
    <w:rsid w:val="46893F2B"/>
    <w:rsid w:val="46A76276"/>
    <w:rsid w:val="46C4686E"/>
    <w:rsid w:val="46F838C8"/>
    <w:rsid w:val="471574C9"/>
    <w:rsid w:val="473E75DC"/>
    <w:rsid w:val="47711F46"/>
    <w:rsid w:val="477B1CCE"/>
    <w:rsid w:val="477B778F"/>
    <w:rsid w:val="478203EC"/>
    <w:rsid w:val="478D10A0"/>
    <w:rsid w:val="47A24C4F"/>
    <w:rsid w:val="47A63CC7"/>
    <w:rsid w:val="47AD3020"/>
    <w:rsid w:val="47B025FA"/>
    <w:rsid w:val="4809698F"/>
    <w:rsid w:val="4811697D"/>
    <w:rsid w:val="48383CC7"/>
    <w:rsid w:val="483E568C"/>
    <w:rsid w:val="487A3E25"/>
    <w:rsid w:val="488B5503"/>
    <w:rsid w:val="48937E21"/>
    <w:rsid w:val="489A0361"/>
    <w:rsid w:val="48B94FF3"/>
    <w:rsid w:val="48D21567"/>
    <w:rsid w:val="48E17063"/>
    <w:rsid w:val="48E37AAB"/>
    <w:rsid w:val="48FD4B4C"/>
    <w:rsid w:val="490A68E0"/>
    <w:rsid w:val="491055FE"/>
    <w:rsid w:val="495F5B3E"/>
    <w:rsid w:val="496F77D7"/>
    <w:rsid w:val="497654FD"/>
    <w:rsid w:val="49B00A5E"/>
    <w:rsid w:val="49B64211"/>
    <w:rsid w:val="49F6167F"/>
    <w:rsid w:val="4A064FA0"/>
    <w:rsid w:val="4A16615C"/>
    <w:rsid w:val="4A4424D7"/>
    <w:rsid w:val="4A6D6E2B"/>
    <w:rsid w:val="4A8810AE"/>
    <w:rsid w:val="4AB82D0F"/>
    <w:rsid w:val="4AEB7664"/>
    <w:rsid w:val="4AFD7C19"/>
    <w:rsid w:val="4B0567D1"/>
    <w:rsid w:val="4B236AAE"/>
    <w:rsid w:val="4B3D36A6"/>
    <w:rsid w:val="4B69242C"/>
    <w:rsid w:val="4B707271"/>
    <w:rsid w:val="4B8900B2"/>
    <w:rsid w:val="4B9739F7"/>
    <w:rsid w:val="4BE85FBF"/>
    <w:rsid w:val="4BEE2503"/>
    <w:rsid w:val="4C245A30"/>
    <w:rsid w:val="4C5A5CCD"/>
    <w:rsid w:val="4C605BFB"/>
    <w:rsid w:val="4CB6685F"/>
    <w:rsid w:val="4CC367FE"/>
    <w:rsid w:val="4CE75EFE"/>
    <w:rsid w:val="4CEC50A7"/>
    <w:rsid w:val="4CF83B5C"/>
    <w:rsid w:val="4D077F3C"/>
    <w:rsid w:val="4D123355"/>
    <w:rsid w:val="4D2A3B31"/>
    <w:rsid w:val="4D2E6E78"/>
    <w:rsid w:val="4D312C52"/>
    <w:rsid w:val="4D345752"/>
    <w:rsid w:val="4D905305"/>
    <w:rsid w:val="4D964A72"/>
    <w:rsid w:val="4D9C1254"/>
    <w:rsid w:val="4E1A58B1"/>
    <w:rsid w:val="4E570845"/>
    <w:rsid w:val="4E793892"/>
    <w:rsid w:val="4E800872"/>
    <w:rsid w:val="4EC569ED"/>
    <w:rsid w:val="4ED50EA1"/>
    <w:rsid w:val="4EE240D2"/>
    <w:rsid w:val="4EEC050C"/>
    <w:rsid w:val="4F104EC3"/>
    <w:rsid w:val="4F47354A"/>
    <w:rsid w:val="4F6C4AC7"/>
    <w:rsid w:val="4F911C54"/>
    <w:rsid w:val="4FD23E71"/>
    <w:rsid w:val="4FE625E0"/>
    <w:rsid w:val="5014063C"/>
    <w:rsid w:val="5021480F"/>
    <w:rsid w:val="50962ECB"/>
    <w:rsid w:val="50A42E38"/>
    <w:rsid w:val="50A4577F"/>
    <w:rsid w:val="50B73D1F"/>
    <w:rsid w:val="50BD5BC9"/>
    <w:rsid w:val="50C11EEE"/>
    <w:rsid w:val="50CF4740"/>
    <w:rsid w:val="50E97CFC"/>
    <w:rsid w:val="50FA4028"/>
    <w:rsid w:val="510D65B7"/>
    <w:rsid w:val="511157AB"/>
    <w:rsid w:val="5142540C"/>
    <w:rsid w:val="518832C8"/>
    <w:rsid w:val="51883AB6"/>
    <w:rsid w:val="519D3C50"/>
    <w:rsid w:val="51A0432A"/>
    <w:rsid w:val="51A86090"/>
    <w:rsid w:val="51B7396D"/>
    <w:rsid w:val="51FF1C91"/>
    <w:rsid w:val="522E4CC3"/>
    <w:rsid w:val="5244713B"/>
    <w:rsid w:val="52481512"/>
    <w:rsid w:val="52615633"/>
    <w:rsid w:val="526F4DE4"/>
    <w:rsid w:val="52977FD4"/>
    <w:rsid w:val="52A25790"/>
    <w:rsid w:val="52A96B6F"/>
    <w:rsid w:val="52B45975"/>
    <w:rsid w:val="52C75E5D"/>
    <w:rsid w:val="52C97742"/>
    <w:rsid w:val="52D94AA4"/>
    <w:rsid w:val="52EA3A62"/>
    <w:rsid w:val="52F50BB8"/>
    <w:rsid w:val="53097272"/>
    <w:rsid w:val="531427E9"/>
    <w:rsid w:val="53544462"/>
    <w:rsid w:val="5397158E"/>
    <w:rsid w:val="53A70613"/>
    <w:rsid w:val="54013861"/>
    <w:rsid w:val="54487265"/>
    <w:rsid w:val="544D6070"/>
    <w:rsid w:val="54605E1E"/>
    <w:rsid w:val="548E31E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01122"/>
    <w:rsid w:val="55F429DC"/>
    <w:rsid w:val="56614220"/>
    <w:rsid w:val="566B6D1E"/>
    <w:rsid w:val="56CB694F"/>
    <w:rsid w:val="56FF69E5"/>
    <w:rsid w:val="57032A2C"/>
    <w:rsid w:val="570F5219"/>
    <w:rsid w:val="57581D98"/>
    <w:rsid w:val="575D12B5"/>
    <w:rsid w:val="57610A87"/>
    <w:rsid w:val="577B1140"/>
    <w:rsid w:val="577B7F21"/>
    <w:rsid w:val="577F181B"/>
    <w:rsid w:val="578942F7"/>
    <w:rsid w:val="57921984"/>
    <w:rsid w:val="579737F0"/>
    <w:rsid w:val="57AB7B30"/>
    <w:rsid w:val="57AF5251"/>
    <w:rsid w:val="57B26373"/>
    <w:rsid w:val="57B63F04"/>
    <w:rsid w:val="57CD20C2"/>
    <w:rsid w:val="57D675AB"/>
    <w:rsid w:val="57D73717"/>
    <w:rsid w:val="57D95FDD"/>
    <w:rsid w:val="58917D2F"/>
    <w:rsid w:val="5894085C"/>
    <w:rsid w:val="58AE4F0C"/>
    <w:rsid w:val="58B85899"/>
    <w:rsid w:val="58DB352A"/>
    <w:rsid w:val="58E363A9"/>
    <w:rsid w:val="59166304"/>
    <w:rsid w:val="594732F9"/>
    <w:rsid w:val="595263FD"/>
    <w:rsid w:val="595E1678"/>
    <w:rsid w:val="596D5BD4"/>
    <w:rsid w:val="597E3DD8"/>
    <w:rsid w:val="59A7181B"/>
    <w:rsid w:val="59F80043"/>
    <w:rsid w:val="5A09252F"/>
    <w:rsid w:val="5A0B2778"/>
    <w:rsid w:val="5A2A7C7B"/>
    <w:rsid w:val="5A3E2560"/>
    <w:rsid w:val="5A4411FB"/>
    <w:rsid w:val="5A4416A6"/>
    <w:rsid w:val="5A5D3B6E"/>
    <w:rsid w:val="5A637A76"/>
    <w:rsid w:val="5A6D33BA"/>
    <w:rsid w:val="5A7302E6"/>
    <w:rsid w:val="5A792B1F"/>
    <w:rsid w:val="5A874767"/>
    <w:rsid w:val="5AA85BE2"/>
    <w:rsid w:val="5AAD6F28"/>
    <w:rsid w:val="5AD63A24"/>
    <w:rsid w:val="5B285A75"/>
    <w:rsid w:val="5B2B5853"/>
    <w:rsid w:val="5B2E1A1D"/>
    <w:rsid w:val="5B843A1C"/>
    <w:rsid w:val="5B873E3F"/>
    <w:rsid w:val="5BBF0273"/>
    <w:rsid w:val="5BDF44D5"/>
    <w:rsid w:val="5C02690E"/>
    <w:rsid w:val="5C103123"/>
    <w:rsid w:val="5C196DA7"/>
    <w:rsid w:val="5C2A048C"/>
    <w:rsid w:val="5C435E21"/>
    <w:rsid w:val="5C80234E"/>
    <w:rsid w:val="5C8A680C"/>
    <w:rsid w:val="5CE261DD"/>
    <w:rsid w:val="5D0C4701"/>
    <w:rsid w:val="5D0F0395"/>
    <w:rsid w:val="5D1F0785"/>
    <w:rsid w:val="5D221076"/>
    <w:rsid w:val="5D397964"/>
    <w:rsid w:val="5D597720"/>
    <w:rsid w:val="5D5A391C"/>
    <w:rsid w:val="5D5F10C0"/>
    <w:rsid w:val="5D891B7B"/>
    <w:rsid w:val="5D920C30"/>
    <w:rsid w:val="5DAD38EE"/>
    <w:rsid w:val="5DB16269"/>
    <w:rsid w:val="5DB85AE5"/>
    <w:rsid w:val="5E006862"/>
    <w:rsid w:val="5E0207B9"/>
    <w:rsid w:val="5E1834A1"/>
    <w:rsid w:val="5E223697"/>
    <w:rsid w:val="5E261785"/>
    <w:rsid w:val="5E4A7017"/>
    <w:rsid w:val="5E552BBA"/>
    <w:rsid w:val="5E611C10"/>
    <w:rsid w:val="5E7A0F3F"/>
    <w:rsid w:val="5EB34EB7"/>
    <w:rsid w:val="5EC11E59"/>
    <w:rsid w:val="5EFC7377"/>
    <w:rsid w:val="5F06174D"/>
    <w:rsid w:val="5F287561"/>
    <w:rsid w:val="5F3A3602"/>
    <w:rsid w:val="5F45733B"/>
    <w:rsid w:val="5F6277C6"/>
    <w:rsid w:val="5F6D0B1D"/>
    <w:rsid w:val="5F8D0B82"/>
    <w:rsid w:val="5FCC5339"/>
    <w:rsid w:val="5FE34A5B"/>
    <w:rsid w:val="5FFE1E36"/>
    <w:rsid w:val="60232584"/>
    <w:rsid w:val="607330CE"/>
    <w:rsid w:val="608022A7"/>
    <w:rsid w:val="60825176"/>
    <w:rsid w:val="609F2AC4"/>
    <w:rsid w:val="60FA2EE8"/>
    <w:rsid w:val="61054A27"/>
    <w:rsid w:val="610A52BC"/>
    <w:rsid w:val="611D2366"/>
    <w:rsid w:val="61421856"/>
    <w:rsid w:val="615227C4"/>
    <w:rsid w:val="61654E3F"/>
    <w:rsid w:val="6182292A"/>
    <w:rsid w:val="619F7F92"/>
    <w:rsid w:val="61E81EE3"/>
    <w:rsid w:val="61F94C26"/>
    <w:rsid w:val="62000E56"/>
    <w:rsid w:val="62261892"/>
    <w:rsid w:val="624F3E49"/>
    <w:rsid w:val="62632286"/>
    <w:rsid w:val="62772819"/>
    <w:rsid w:val="627E4805"/>
    <w:rsid w:val="62885958"/>
    <w:rsid w:val="62BC7F1B"/>
    <w:rsid w:val="62D42564"/>
    <w:rsid w:val="62D47A8F"/>
    <w:rsid w:val="62F40B65"/>
    <w:rsid w:val="62FC2CFE"/>
    <w:rsid w:val="63024505"/>
    <w:rsid w:val="631808D5"/>
    <w:rsid w:val="635600A5"/>
    <w:rsid w:val="635B1DB5"/>
    <w:rsid w:val="63711FED"/>
    <w:rsid w:val="63880DDC"/>
    <w:rsid w:val="638D750D"/>
    <w:rsid w:val="63AC6CC0"/>
    <w:rsid w:val="64055776"/>
    <w:rsid w:val="641B4BE1"/>
    <w:rsid w:val="641B4F98"/>
    <w:rsid w:val="64240056"/>
    <w:rsid w:val="643E143A"/>
    <w:rsid w:val="64491666"/>
    <w:rsid w:val="647E6FB7"/>
    <w:rsid w:val="648B6EEF"/>
    <w:rsid w:val="64C158BF"/>
    <w:rsid w:val="64CE2EAA"/>
    <w:rsid w:val="64E27A0B"/>
    <w:rsid w:val="6533411E"/>
    <w:rsid w:val="653C3090"/>
    <w:rsid w:val="654033E0"/>
    <w:rsid w:val="65854376"/>
    <w:rsid w:val="658767BE"/>
    <w:rsid w:val="65892531"/>
    <w:rsid w:val="658B3375"/>
    <w:rsid w:val="65902FD3"/>
    <w:rsid w:val="65BE3902"/>
    <w:rsid w:val="65C23955"/>
    <w:rsid w:val="660C7396"/>
    <w:rsid w:val="66195831"/>
    <w:rsid w:val="662E75B1"/>
    <w:rsid w:val="66342C2E"/>
    <w:rsid w:val="663E784C"/>
    <w:rsid w:val="664452C4"/>
    <w:rsid w:val="66661B77"/>
    <w:rsid w:val="668B6A45"/>
    <w:rsid w:val="66B23906"/>
    <w:rsid w:val="66B30082"/>
    <w:rsid w:val="671372D5"/>
    <w:rsid w:val="672F3F24"/>
    <w:rsid w:val="673E055F"/>
    <w:rsid w:val="67551CE3"/>
    <w:rsid w:val="67A22552"/>
    <w:rsid w:val="67B22DCC"/>
    <w:rsid w:val="67BE71AA"/>
    <w:rsid w:val="67D90273"/>
    <w:rsid w:val="67DE5875"/>
    <w:rsid w:val="67E505E7"/>
    <w:rsid w:val="67E55852"/>
    <w:rsid w:val="67EB1AB4"/>
    <w:rsid w:val="67FA1285"/>
    <w:rsid w:val="6804392C"/>
    <w:rsid w:val="68551F4F"/>
    <w:rsid w:val="685D07F0"/>
    <w:rsid w:val="687C10C9"/>
    <w:rsid w:val="68840C16"/>
    <w:rsid w:val="68876EFB"/>
    <w:rsid w:val="68884654"/>
    <w:rsid w:val="689F444F"/>
    <w:rsid w:val="68A52CAD"/>
    <w:rsid w:val="68B96DBB"/>
    <w:rsid w:val="68CA2805"/>
    <w:rsid w:val="68E00250"/>
    <w:rsid w:val="68E02916"/>
    <w:rsid w:val="68E937A3"/>
    <w:rsid w:val="693E15D3"/>
    <w:rsid w:val="69623E63"/>
    <w:rsid w:val="69627681"/>
    <w:rsid w:val="6977531D"/>
    <w:rsid w:val="69C15E0F"/>
    <w:rsid w:val="69CC2BFF"/>
    <w:rsid w:val="69FD55B8"/>
    <w:rsid w:val="6A0B1C62"/>
    <w:rsid w:val="6A2406C8"/>
    <w:rsid w:val="6A38790E"/>
    <w:rsid w:val="6A6615A5"/>
    <w:rsid w:val="6ADE0BD1"/>
    <w:rsid w:val="6AE96859"/>
    <w:rsid w:val="6B147746"/>
    <w:rsid w:val="6B221B30"/>
    <w:rsid w:val="6B24787C"/>
    <w:rsid w:val="6B250454"/>
    <w:rsid w:val="6B573233"/>
    <w:rsid w:val="6B5B6274"/>
    <w:rsid w:val="6B71025C"/>
    <w:rsid w:val="6B935D53"/>
    <w:rsid w:val="6BFE0D85"/>
    <w:rsid w:val="6C196F71"/>
    <w:rsid w:val="6C226FCB"/>
    <w:rsid w:val="6C23202A"/>
    <w:rsid w:val="6C31226F"/>
    <w:rsid w:val="6C552F0B"/>
    <w:rsid w:val="6C7E5020"/>
    <w:rsid w:val="6C8C67B7"/>
    <w:rsid w:val="6C9D744C"/>
    <w:rsid w:val="6D167928"/>
    <w:rsid w:val="6D26299B"/>
    <w:rsid w:val="6D301BD1"/>
    <w:rsid w:val="6D4772EC"/>
    <w:rsid w:val="6D52775A"/>
    <w:rsid w:val="6D6240DC"/>
    <w:rsid w:val="6D9078AF"/>
    <w:rsid w:val="6DAA3FEF"/>
    <w:rsid w:val="6DBA3490"/>
    <w:rsid w:val="6DC0172B"/>
    <w:rsid w:val="6DCB690C"/>
    <w:rsid w:val="6DD41A5B"/>
    <w:rsid w:val="6DF43C2E"/>
    <w:rsid w:val="6DF51CA3"/>
    <w:rsid w:val="6E0732C3"/>
    <w:rsid w:val="6E8335BD"/>
    <w:rsid w:val="6E873036"/>
    <w:rsid w:val="6E8E12EF"/>
    <w:rsid w:val="6E972936"/>
    <w:rsid w:val="6EC66EAA"/>
    <w:rsid w:val="6ED446C5"/>
    <w:rsid w:val="6F1E43C5"/>
    <w:rsid w:val="6F2A7D94"/>
    <w:rsid w:val="6F8331F1"/>
    <w:rsid w:val="6FAE1A09"/>
    <w:rsid w:val="6FD75BF8"/>
    <w:rsid w:val="70394D24"/>
    <w:rsid w:val="7074780D"/>
    <w:rsid w:val="707723D0"/>
    <w:rsid w:val="70DC2853"/>
    <w:rsid w:val="70EF7B0C"/>
    <w:rsid w:val="70F5661B"/>
    <w:rsid w:val="70FE7E9D"/>
    <w:rsid w:val="71360107"/>
    <w:rsid w:val="713B688E"/>
    <w:rsid w:val="714C4950"/>
    <w:rsid w:val="715D458F"/>
    <w:rsid w:val="715F3E2C"/>
    <w:rsid w:val="71C0067F"/>
    <w:rsid w:val="71D43752"/>
    <w:rsid w:val="71DA33E3"/>
    <w:rsid w:val="71F1796A"/>
    <w:rsid w:val="72154626"/>
    <w:rsid w:val="721F602B"/>
    <w:rsid w:val="72262B5D"/>
    <w:rsid w:val="72283FF7"/>
    <w:rsid w:val="722E7212"/>
    <w:rsid w:val="723A0474"/>
    <w:rsid w:val="725923E4"/>
    <w:rsid w:val="72864BF7"/>
    <w:rsid w:val="729023FC"/>
    <w:rsid w:val="729C4FDE"/>
    <w:rsid w:val="72CA01E9"/>
    <w:rsid w:val="735162F6"/>
    <w:rsid w:val="73C0646E"/>
    <w:rsid w:val="73C0717E"/>
    <w:rsid w:val="74015934"/>
    <w:rsid w:val="741774A7"/>
    <w:rsid w:val="742222F5"/>
    <w:rsid w:val="742644BF"/>
    <w:rsid w:val="74476126"/>
    <w:rsid w:val="746C4121"/>
    <w:rsid w:val="74706664"/>
    <w:rsid w:val="747F3682"/>
    <w:rsid w:val="74876886"/>
    <w:rsid w:val="749C4185"/>
    <w:rsid w:val="75067759"/>
    <w:rsid w:val="7510420F"/>
    <w:rsid w:val="752E6DCD"/>
    <w:rsid w:val="7551380D"/>
    <w:rsid w:val="75600BE5"/>
    <w:rsid w:val="7564475C"/>
    <w:rsid w:val="7583797F"/>
    <w:rsid w:val="75D20F1D"/>
    <w:rsid w:val="75D3769B"/>
    <w:rsid w:val="75DA2C18"/>
    <w:rsid w:val="75F54412"/>
    <w:rsid w:val="761D08E0"/>
    <w:rsid w:val="765D347C"/>
    <w:rsid w:val="76770F4F"/>
    <w:rsid w:val="76826699"/>
    <w:rsid w:val="76C0037A"/>
    <w:rsid w:val="76C87133"/>
    <w:rsid w:val="76CD08D5"/>
    <w:rsid w:val="76D52C86"/>
    <w:rsid w:val="76DB4B92"/>
    <w:rsid w:val="77052AA4"/>
    <w:rsid w:val="77136511"/>
    <w:rsid w:val="77340A39"/>
    <w:rsid w:val="77351FD0"/>
    <w:rsid w:val="77472422"/>
    <w:rsid w:val="777F16C0"/>
    <w:rsid w:val="777F31F2"/>
    <w:rsid w:val="77A8452D"/>
    <w:rsid w:val="77D1700D"/>
    <w:rsid w:val="77E369E1"/>
    <w:rsid w:val="77EC04CC"/>
    <w:rsid w:val="77EC3B6D"/>
    <w:rsid w:val="783235FC"/>
    <w:rsid w:val="78425D1E"/>
    <w:rsid w:val="78775729"/>
    <w:rsid w:val="78931F4D"/>
    <w:rsid w:val="78A42DB0"/>
    <w:rsid w:val="78A656AB"/>
    <w:rsid w:val="78B20BAD"/>
    <w:rsid w:val="78B2245C"/>
    <w:rsid w:val="78E172CC"/>
    <w:rsid w:val="78EA1D1F"/>
    <w:rsid w:val="78FA09E4"/>
    <w:rsid w:val="7904172F"/>
    <w:rsid w:val="790F7E27"/>
    <w:rsid w:val="792A231A"/>
    <w:rsid w:val="79316829"/>
    <w:rsid w:val="797E66A9"/>
    <w:rsid w:val="798518A4"/>
    <w:rsid w:val="79901C69"/>
    <w:rsid w:val="79A97383"/>
    <w:rsid w:val="79E27E8B"/>
    <w:rsid w:val="79F850CE"/>
    <w:rsid w:val="79FC16DD"/>
    <w:rsid w:val="79FD443C"/>
    <w:rsid w:val="7A1D1975"/>
    <w:rsid w:val="7A282137"/>
    <w:rsid w:val="7A372396"/>
    <w:rsid w:val="7A3E5150"/>
    <w:rsid w:val="7A4670D6"/>
    <w:rsid w:val="7A4F4A5A"/>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C65A0"/>
    <w:rsid w:val="7C254906"/>
    <w:rsid w:val="7C3D5A7B"/>
    <w:rsid w:val="7C590818"/>
    <w:rsid w:val="7C651E12"/>
    <w:rsid w:val="7C7C10F6"/>
    <w:rsid w:val="7C853BEA"/>
    <w:rsid w:val="7C881368"/>
    <w:rsid w:val="7C973F37"/>
    <w:rsid w:val="7CE27788"/>
    <w:rsid w:val="7D0C32F1"/>
    <w:rsid w:val="7D0F408D"/>
    <w:rsid w:val="7D491C6C"/>
    <w:rsid w:val="7D5429C0"/>
    <w:rsid w:val="7D6E6D43"/>
    <w:rsid w:val="7D9365DF"/>
    <w:rsid w:val="7DB57A34"/>
    <w:rsid w:val="7DC6485A"/>
    <w:rsid w:val="7DE60973"/>
    <w:rsid w:val="7DEF0916"/>
    <w:rsid w:val="7E1E5218"/>
    <w:rsid w:val="7E25102D"/>
    <w:rsid w:val="7E9A4E1F"/>
    <w:rsid w:val="7EA7723A"/>
    <w:rsid w:val="7EB81432"/>
    <w:rsid w:val="7EE53E9B"/>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qFormat/>
    <w:uiPriority w:val="0"/>
    <w:rPr>
      <w:b/>
      <w:bCs/>
    </w:rPr>
  </w:style>
  <w:style w:type="paragraph" w:styleId="63">
    <w:name w:val="Body Text First Indent 2"/>
    <w:basedOn w:val="25"/>
    <w:next w:val="1"/>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样式3"/>
    <w:basedOn w:val="33"/>
    <w:next w:val="1"/>
    <w:qFormat/>
    <w:uiPriority w:val="0"/>
    <w:pPr>
      <w:tabs>
        <w:tab w:val="left" w:pos="2790"/>
        <w:tab w:val="left" w:pos="4230"/>
      </w:tabs>
      <w:spacing w:before="312" w:beforeLines="100"/>
      <w:jc w:val="left"/>
    </w:p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3"/>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33622</Words>
  <Characters>36204</Characters>
  <Lines>279</Lines>
  <Paragraphs>78</Paragraphs>
  <TotalTime>1</TotalTime>
  <ScaleCrop>false</ScaleCrop>
  <LinksUpToDate>false</LinksUpToDate>
  <CharactersWithSpaces>38849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蒋海佳</cp:lastModifiedBy>
  <cp:lastPrinted>2024-03-06T07:12:00Z</cp:lastPrinted>
  <dcterms:modified xsi:type="dcterms:W3CDTF">2024-03-06T07:55:22Z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25EF531068B14C0D9A32DCA34D81F112</vt:lpwstr>
  </property>
</Properties>
</file>