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w:t>
      </w:r>
    </w:p>
    <w:p>
      <w:pPr>
        <w:spacing w:line="360" w:lineRule="auto"/>
        <w:jc w:val="center"/>
        <w:rPr>
          <w:rFonts w:hint="eastAsia" w:ascii="宋体" w:hAnsi="宋体" w:eastAsia="宋体" w:cs="宋体"/>
          <w:b/>
          <w:color w:val="auto"/>
          <w:sz w:val="24"/>
          <w:highlight w:val="none"/>
        </w:rPr>
      </w:pPr>
    </w:p>
    <w:p>
      <w:pPr>
        <w:adjustRightInd/>
        <w:spacing w:line="360" w:lineRule="auto"/>
        <w:jc w:val="center"/>
        <w:rPr>
          <w:rFonts w:hint="eastAsia" w:ascii="宋体" w:hAnsi="宋体" w:eastAsia="宋体" w:cs="宋体"/>
          <w:color w:val="auto"/>
          <w:sz w:val="48"/>
          <w:szCs w:val="48"/>
          <w:highlight w:val="none"/>
        </w:rPr>
      </w:pPr>
    </w:p>
    <w:p>
      <w:pPr>
        <w:adjustRightInd/>
        <w:spacing w:line="360" w:lineRule="auto"/>
        <w:jc w:val="center"/>
        <w:rPr>
          <w:rFonts w:hint="eastAsia" w:ascii="宋体" w:hAnsi="宋体" w:eastAsia="宋体" w:cs="宋体"/>
          <w:color w:val="auto"/>
          <w:sz w:val="48"/>
          <w:szCs w:val="48"/>
          <w:highlight w:val="none"/>
        </w:rPr>
      </w:pPr>
      <w:r>
        <w:rPr>
          <w:rFonts w:hint="eastAsia" w:ascii="宋体" w:hAnsi="宋体" w:eastAsia="宋体" w:cs="宋体"/>
          <w:color w:val="auto"/>
          <w:sz w:val="48"/>
          <w:szCs w:val="48"/>
          <w:highlight w:val="none"/>
        </w:rPr>
        <w:t>招标文件 （服务）</w:t>
      </w:r>
    </w:p>
    <w:p>
      <w:pPr>
        <w:adjustRightInd/>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 xml:space="preserve"> （电子招投标）</w:t>
      </w:r>
    </w:p>
    <w:p>
      <w:pPr>
        <w:snapToGrid w:val="0"/>
        <w:spacing w:line="360" w:lineRule="auto"/>
        <w:jc w:val="left"/>
        <w:rPr>
          <w:rFonts w:hint="eastAsia" w:ascii="宋体" w:hAnsi="宋体" w:eastAsia="宋体" w:cs="宋体"/>
          <w:color w:val="auto"/>
          <w:sz w:val="30"/>
          <w:szCs w:val="30"/>
          <w:highlight w:val="none"/>
        </w:rPr>
      </w:pPr>
    </w:p>
    <w:p>
      <w:pPr>
        <w:snapToGrid w:val="0"/>
        <w:spacing w:line="360" w:lineRule="auto"/>
        <w:jc w:val="left"/>
        <w:rPr>
          <w:rFonts w:hint="eastAsia" w:ascii="宋体" w:hAnsi="宋体" w:eastAsia="宋体" w:cs="宋体"/>
          <w:color w:val="auto"/>
          <w:sz w:val="30"/>
          <w:szCs w:val="30"/>
          <w:highlight w:val="none"/>
        </w:rPr>
      </w:pPr>
    </w:p>
    <w:p>
      <w:pPr>
        <w:snapToGrid w:val="0"/>
        <w:spacing w:line="360" w:lineRule="auto"/>
        <w:jc w:val="left"/>
        <w:rPr>
          <w:rFonts w:hint="eastAsia" w:ascii="宋体" w:hAnsi="宋体" w:eastAsia="宋体" w:cs="宋体"/>
          <w:color w:val="auto"/>
          <w:sz w:val="32"/>
          <w:szCs w:val="32"/>
          <w:highlight w:val="none"/>
        </w:rPr>
      </w:pPr>
    </w:p>
    <w:p>
      <w:pPr>
        <w:pStyle w:val="23"/>
        <w:rPr>
          <w:rFonts w:hint="eastAsia" w:ascii="宋体" w:hAnsi="宋体" w:eastAsia="宋体" w:cs="宋体"/>
          <w:color w:val="auto"/>
          <w:highlight w:val="none"/>
        </w:rPr>
      </w:pPr>
    </w:p>
    <w:p>
      <w:pPr>
        <w:snapToGrid w:val="0"/>
        <w:spacing w:line="360" w:lineRule="auto"/>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 xml:space="preserve">项目编号：330282202309006470   </w:t>
      </w:r>
    </w:p>
    <w:p>
      <w:pPr>
        <w:snapToGrid w:val="0"/>
        <w:spacing w:line="360" w:lineRule="auto"/>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项目名称：慈溪市城镇住房综合保险加房屋安全动态监测项目</w:t>
      </w:r>
    </w:p>
    <w:p>
      <w:pPr>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 xml:space="preserve"> </w:t>
      </w:r>
    </w:p>
    <w:p>
      <w:pPr>
        <w:spacing w:line="360" w:lineRule="auto"/>
        <w:jc w:val="center"/>
        <w:rPr>
          <w:rFonts w:hint="eastAsia" w:ascii="宋体" w:hAnsi="宋体" w:eastAsia="宋体" w:cs="宋体"/>
          <w:b/>
          <w:color w:val="auto"/>
          <w:sz w:val="44"/>
          <w:szCs w:val="44"/>
          <w:highlight w:val="none"/>
        </w:rPr>
      </w:pPr>
    </w:p>
    <w:p>
      <w:pPr>
        <w:spacing w:line="360" w:lineRule="auto"/>
        <w:rPr>
          <w:rFonts w:hint="eastAsia" w:ascii="宋体" w:hAnsi="宋体" w:eastAsia="宋体" w:cs="宋体"/>
          <w:color w:val="auto"/>
          <w:sz w:val="32"/>
          <w:szCs w:val="32"/>
          <w:highlight w:val="none"/>
        </w:rPr>
      </w:pPr>
    </w:p>
    <w:p>
      <w:pPr>
        <w:spacing w:line="360" w:lineRule="auto"/>
        <w:jc w:val="center"/>
        <w:rPr>
          <w:rFonts w:hint="eastAsia" w:ascii="宋体" w:hAnsi="宋体" w:eastAsia="宋体" w:cs="宋体"/>
          <w:bCs/>
          <w:color w:val="auto"/>
          <w:sz w:val="32"/>
          <w:szCs w:val="32"/>
          <w:highlight w:val="none"/>
        </w:rPr>
      </w:pPr>
    </w:p>
    <w:p>
      <w:pPr>
        <w:spacing w:line="360" w:lineRule="auto"/>
        <w:ind w:firstLine="320" w:firstLineChars="100"/>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采购人：慈溪市房产管理中心</w:t>
      </w:r>
    </w:p>
    <w:p>
      <w:pPr>
        <w:spacing w:line="360" w:lineRule="auto"/>
        <w:ind w:firstLine="320" w:firstLineChars="100"/>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采购代理机构：宁波中基国际招标有限公司</w:t>
      </w:r>
    </w:p>
    <w:p>
      <w:pPr>
        <w:snapToGrid w:val="0"/>
        <w:spacing w:line="360" w:lineRule="auto"/>
        <w:jc w:val="center"/>
        <w:rPr>
          <w:rFonts w:hint="eastAsia" w:ascii="宋体" w:hAnsi="宋体" w:eastAsia="宋体" w:cs="宋体"/>
          <w:bCs/>
          <w:color w:val="auto"/>
          <w:sz w:val="32"/>
          <w:szCs w:val="32"/>
          <w:highlight w:val="none"/>
        </w:rPr>
      </w:pPr>
    </w:p>
    <w:p>
      <w:pPr>
        <w:snapToGrid w:val="0"/>
        <w:spacing w:line="360" w:lineRule="auto"/>
        <w:jc w:val="center"/>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二〇二三年</w:t>
      </w:r>
      <w:r>
        <w:rPr>
          <w:rFonts w:hint="eastAsia" w:ascii="宋体" w:hAnsi="宋体" w:cs="宋体"/>
          <w:bCs/>
          <w:color w:val="auto"/>
          <w:sz w:val="32"/>
          <w:szCs w:val="32"/>
          <w:highlight w:val="none"/>
          <w:lang w:eastAsia="zh-CN"/>
        </w:rPr>
        <w:t>十</w:t>
      </w:r>
      <w:r>
        <w:rPr>
          <w:rFonts w:hint="eastAsia" w:ascii="宋体" w:hAnsi="宋体" w:eastAsia="宋体" w:cs="宋体"/>
          <w:bCs/>
          <w:color w:val="auto"/>
          <w:sz w:val="32"/>
          <w:szCs w:val="32"/>
          <w:highlight w:val="none"/>
        </w:rPr>
        <w:t>月</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bookmarkStart w:id="0" w:name="_Hlt67893495"/>
      <w:bookmarkEnd w:id="0"/>
    </w:p>
    <w:p>
      <w:pPr>
        <w:spacing w:line="360" w:lineRule="auto"/>
        <w:jc w:val="center"/>
        <w:rPr>
          <w:rFonts w:hint="eastAsia" w:ascii="宋体" w:hAnsi="宋体" w:eastAsia="宋体" w:cs="宋体"/>
          <w:b/>
          <w:color w:val="auto"/>
          <w:sz w:val="48"/>
          <w:szCs w:val="48"/>
          <w:highlight w:val="none"/>
        </w:rPr>
      </w:pPr>
    </w:p>
    <w:p>
      <w:pPr>
        <w:spacing w:line="360" w:lineRule="auto"/>
        <w:jc w:val="center"/>
        <w:rPr>
          <w:rFonts w:hint="eastAsia" w:ascii="宋体" w:hAnsi="宋体" w:eastAsia="宋体" w:cs="宋体"/>
          <w:color w:val="auto"/>
          <w:sz w:val="32"/>
          <w:szCs w:val="32"/>
          <w:highlight w:val="none"/>
        </w:rPr>
      </w:pPr>
      <w:r>
        <w:rPr>
          <w:rFonts w:hint="eastAsia" w:ascii="宋体" w:hAnsi="宋体" w:eastAsia="宋体" w:cs="宋体"/>
          <w:b/>
          <w:color w:val="auto"/>
          <w:sz w:val="48"/>
          <w:szCs w:val="48"/>
          <w:highlight w:val="none"/>
        </w:rPr>
        <w:t>目  录</w:t>
      </w:r>
    </w:p>
    <w:p>
      <w:pPr>
        <w:spacing w:line="360" w:lineRule="auto"/>
        <w:rPr>
          <w:rFonts w:hint="eastAsia" w:ascii="宋体" w:hAnsi="宋体" w:eastAsia="宋体" w:cs="宋体"/>
          <w:color w:val="auto"/>
          <w:sz w:val="32"/>
          <w:szCs w:val="32"/>
          <w:highlight w:val="none"/>
        </w:rPr>
      </w:pP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第一部分      招标公告.............................1</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 xml:space="preserve">第二部分      </w:t>
      </w:r>
      <w:r>
        <w:rPr>
          <w:rFonts w:hint="eastAsia" w:ascii="宋体" w:hAnsi="宋体" w:cs="宋体"/>
          <w:color w:val="auto"/>
          <w:sz w:val="32"/>
          <w:szCs w:val="32"/>
          <w:highlight w:val="none"/>
          <w:lang w:eastAsia="zh-CN"/>
        </w:rPr>
        <w:t>供应商</w:t>
      </w:r>
      <w:r>
        <w:rPr>
          <w:rFonts w:hint="eastAsia" w:ascii="宋体" w:hAnsi="宋体" w:eastAsia="宋体" w:cs="宋体"/>
          <w:color w:val="auto"/>
          <w:sz w:val="32"/>
          <w:szCs w:val="32"/>
          <w:highlight w:val="none"/>
        </w:rPr>
        <w:t>须知...........................6</w:t>
      </w:r>
    </w:p>
    <w:p>
      <w:pPr>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第三部分      采购需求............................23</w:t>
      </w:r>
    </w:p>
    <w:p>
      <w:pPr>
        <w:spacing w:line="360" w:lineRule="auto"/>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rPr>
        <w:t>第四部分      评标办法............................3</w:t>
      </w:r>
      <w:r>
        <w:rPr>
          <w:rFonts w:hint="eastAsia" w:ascii="宋体" w:hAnsi="宋体" w:cs="宋体"/>
          <w:color w:val="auto"/>
          <w:sz w:val="32"/>
          <w:szCs w:val="32"/>
          <w:highlight w:val="none"/>
          <w:lang w:val="en-US" w:eastAsia="zh-CN"/>
        </w:rPr>
        <w:t>7</w:t>
      </w:r>
    </w:p>
    <w:p>
      <w:pPr>
        <w:spacing w:line="360" w:lineRule="auto"/>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rPr>
        <w:t>第五部分      拟签订的合同文本....................4</w:t>
      </w:r>
      <w:r>
        <w:rPr>
          <w:rFonts w:hint="eastAsia" w:ascii="宋体" w:hAnsi="宋体" w:cs="宋体"/>
          <w:color w:val="auto"/>
          <w:sz w:val="32"/>
          <w:szCs w:val="32"/>
          <w:highlight w:val="none"/>
          <w:lang w:val="en-US" w:eastAsia="zh-CN"/>
        </w:rPr>
        <w:t>5</w:t>
      </w:r>
    </w:p>
    <w:p>
      <w:pPr>
        <w:spacing w:line="360" w:lineRule="auto"/>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rPr>
        <w:t>第六部分      应提交的有关格式范例................5</w:t>
      </w:r>
      <w:r>
        <w:rPr>
          <w:rFonts w:hint="eastAsia" w:ascii="宋体" w:hAnsi="宋体" w:cs="宋体"/>
          <w:color w:val="auto"/>
          <w:sz w:val="32"/>
          <w:szCs w:val="32"/>
          <w:highlight w:val="none"/>
          <w:lang w:val="en-US" w:eastAsia="zh-CN"/>
        </w:rPr>
        <w:t>8</w:t>
      </w:r>
    </w:p>
    <w:p>
      <w:pPr>
        <w:spacing w:line="360" w:lineRule="auto"/>
        <w:ind w:firstLine="549" w:firstLineChars="229"/>
        <w:rPr>
          <w:rFonts w:hint="eastAsia" w:ascii="宋体" w:hAnsi="宋体" w:eastAsia="宋体" w:cs="宋体"/>
          <w:color w:val="auto"/>
          <w:sz w:val="24"/>
          <w:highlight w:val="none"/>
        </w:rPr>
      </w:pPr>
      <w:bookmarkStart w:id="1" w:name="_Hlt91233176"/>
      <w:bookmarkEnd w:id="1"/>
      <w:bookmarkStart w:id="2" w:name="_Toc91899869"/>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bookmarkEnd w:id="2"/>
    <w:p>
      <w:pPr>
        <w:adjustRightInd/>
        <w:spacing w:line="360" w:lineRule="auto"/>
        <w:jc w:val="center"/>
        <w:outlineLvl w:val="0"/>
        <w:rPr>
          <w:rFonts w:hint="eastAsia" w:ascii="宋体" w:hAnsi="宋体" w:eastAsia="宋体" w:cs="宋体"/>
          <w:b/>
          <w:color w:val="auto"/>
          <w:sz w:val="36"/>
          <w:szCs w:val="20"/>
          <w:highlight w:val="none"/>
        </w:rPr>
        <w:sectPr>
          <w:headerReference r:id="rId4" w:type="first"/>
          <w:headerReference r:id="rId3" w:type="default"/>
          <w:footerReference r:id="rId5" w:type="even"/>
          <w:pgSz w:w="11906" w:h="16838"/>
          <w:pgMar w:top="680" w:right="1418" w:bottom="468" w:left="1418" w:header="851" w:footer="992" w:gutter="0"/>
          <w:cols w:space="720" w:num="1"/>
          <w:titlePg/>
          <w:docGrid w:linePitch="312" w:charSpace="0"/>
        </w:sectPr>
      </w:pPr>
      <w:bookmarkStart w:id="3" w:name="_Hlt74707423"/>
      <w:bookmarkEnd w:id="3"/>
      <w:bookmarkStart w:id="4" w:name="_Hlt74729822"/>
      <w:bookmarkEnd w:id="4"/>
      <w:bookmarkStart w:id="5" w:name="_Hlt74649545"/>
      <w:bookmarkEnd w:id="5"/>
      <w:bookmarkStart w:id="6" w:name="_Hlt74728647"/>
      <w:bookmarkEnd w:id="6"/>
      <w:bookmarkStart w:id="7" w:name="第二部分"/>
      <w:bookmarkStart w:id="8" w:name="_Toc91899870"/>
      <w:bookmarkStart w:id="9" w:name="_Toc91899871"/>
    </w:p>
    <w:p>
      <w:pPr>
        <w:adjustRightInd/>
        <w:spacing w:line="360" w:lineRule="auto"/>
        <w:jc w:val="center"/>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（慈溪市城镇住房综合保险加房屋安全动态监测项目）</w:t>
      </w:r>
      <w:r>
        <w:rPr>
          <w:rFonts w:hint="eastAsia" w:ascii="宋体" w:hAnsi="宋体" w:eastAsia="宋体" w:cs="宋体"/>
          <w:color w:val="auto"/>
          <w:sz w:val="24"/>
          <w:highlight w:val="none"/>
        </w:rPr>
        <w:t>招标项目的潜在</w:t>
      </w:r>
      <w:r>
        <w:rPr>
          <w:rFonts w:hint="eastAsia" w:ascii="宋体" w:hAnsi="宋体" w:cs="宋体"/>
          <w:color w:val="auto"/>
          <w:sz w:val="24"/>
          <w:highlight w:val="none"/>
          <w:lang w:eastAsia="zh-CN"/>
        </w:rPr>
        <w:t>供应商</w:t>
      </w:r>
      <w:r>
        <w:rPr>
          <w:rFonts w:hint="eastAsia" w:ascii="宋体" w:hAnsi="宋体" w:eastAsia="宋体" w:cs="宋体"/>
          <w:color w:val="auto"/>
          <w:sz w:val="24"/>
          <w:highlight w:val="none"/>
        </w:rPr>
        <w:t>应在政采云平台（</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"https://www.zcygov.cn/）获取（下载）招标文件，并于202%20年%20月%20日%20点%20分00秒" </w:instrText>
      </w:r>
      <w:r>
        <w:rPr>
          <w:rFonts w:hint="eastAsia" w:ascii="宋体" w:hAnsi="宋体" w:eastAsia="宋体" w:cs="宋体"/>
          <w:color w:val="auto"/>
          <w:highlight w:val="none"/>
        </w:rPr>
        <w:fldChar w:fldCharType="separate"/>
      </w:r>
      <w:r>
        <w:rPr>
          <w:rStyle w:val="76"/>
          <w:rFonts w:hint="eastAsia" w:ascii="宋体" w:hAnsi="宋体" w:eastAsia="宋体" w:cs="宋体"/>
          <w:snapToGrid/>
          <w:color w:val="auto"/>
          <w:kern w:val="2"/>
          <w:sz w:val="24"/>
          <w:szCs w:val="24"/>
          <w:highlight w:val="none"/>
        </w:rPr>
        <w:t>https://www.zcygov.cn/）获取（下载）招标文件，并于2023年</w:t>
      </w:r>
      <w:r>
        <w:rPr>
          <w:rStyle w:val="76"/>
          <w:rFonts w:hint="eastAsia" w:ascii="宋体" w:hAnsi="宋体" w:eastAsia="宋体" w:cs="宋体"/>
          <w:snapToGrid/>
          <w:color w:val="auto"/>
          <w:kern w:val="2"/>
          <w:sz w:val="24"/>
          <w:szCs w:val="24"/>
          <w:highlight w:val="none"/>
          <w:lang w:val="en-US" w:eastAsia="zh-CN"/>
        </w:rPr>
        <w:t>11</w:t>
      </w:r>
      <w:r>
        <w:rPr>
          <w:rStyle w:val="76"/>
          <w:rFonts w:hint="eastAsia" w:ascii="宋体" w:hAnsi="宋体" w:eastAsia="宋体" w:cs="宋体"/>
          <w:snapToGrid/>
          <w:color w:val="auto"/>
          <w:kern w:val="2"/>
          <w:sz w:val="24"/>
          <w:szCs w:val="24"/>
          <w:highlight w:val="none"/>
        </w:rPr>
        <w:t>月</w:t>
      </w:r>
      <w:r>
        <w:rPr>
          <w:rStyle w:val="76"/>
          <w:rFonts w:hint="eastAsia" w:ascii="宋体" w:hAnsi="宋体" w:eastAsia="宋体" w:cs="宋体"/>
          <w:snapToGrid/>
          <w:color w:val="auto"/>
          <w:kern w:val="2"/>
          <w:sz w:val="24"/>
          <w:szCs w:val="24"/>
          <w:highlight w:val="none"/>
          <w:lang w:val="en-US" w:eastAsia="zh-CN"/>
        </w:rPr>
        <w:t>9</w:t>
      </w:r>
      <w:r>
        <w:rPr>
          <w:rStyle w:val="76"/>
          <w:rFonts w:hint="eastAsia" w:ascii="宋体" w:hAnsi="宋体" w:eastAsia="宋体" w:cs="宋体"/>
          <w:snapToGrid/>
          <w:color w:val="auto"/>
          <w:kern w:val="2"/>
          <w:sz w:val="24"/>
          <w:szCs w:val="24"/>
          <w:highlight w:val="none"/>
        </w:rPr>
        <w:t>日</w:t>
      </w:r>
      <w:r>
        <w:rPr>
          <w:rStyle w:val="76"/>
          <w:rFonts w:hint="eastAsia" w:ascii="宋体" w:hAnsi="宋体" w:eastAsia="宋体" w:cs="宋体"/>
          <w:snapToGrid/>
          <w:color w:val="auto"/>
          <w:kern w:val="2"/>
          <w:sz w:val="24"/>
          <w:szCs w:val="24"/>
          <w:highlight w:val="none"/>
          <w:lang w:val="en-US" w:eastAsia="zh-CN"/>
        </w:rPr>
        <w:t>14</w:t>
      </w:r>
      <w:r>
        <w:rPr>
          <w:rStyle w:val="76"/>
          <w:rFonts w:hint="eastAsia" w:ascii="宋体" w:hAnsi="宋体" w:eastAsia="宋体" w:cs="宋体"/>
          <w:snapToGrid/>
          <w:color w:val="auto"/>
          <w:kern w:val="2"/>
          <w:sz w:val="24"/>
          <w:szCs w:val="24"/>
          <w:highlight w:val="none"/>
        </w:rPr>
        <w:t>点30分00秒</w:t>
      </w:r>
      <w:r>
        <w:rPr>
          <w:rStyle w:val="76"/>
          <w:rFonts w:hint="eastAsia" w:ascii="宋体" w:hAnsi="宋体" w:eastAsia="宋体" w:cs="宋体"/>
          <w:bCs/>
          <w:snapToGrid/>
          <w:color w:val="auto"/>
          <w:kern w:val="2"/>
          <w:sz w:val="24"/>
          <w:szCs w:val="24"/>
          <w:highlight w:val="none"/>
        </w:rPr>
        <w:fldChar w:fldCharType="end"/>
      </w:r>
      <w:r>
        <w:rPr>
          <w:rFonts w:hint="eastAsia" w:ascii="宋体" w:hAnsi="宋体" w:eastAsia="宋体" w:cs="宋体"/>
          <w:bCs/>
          <w:color w:val="auto"/>
          <w:sz w:val="24"/>
          <w:highlight w:val="none"/>
        </w:rPr>
        <w:t>（北京时间）前</w:t>
      </w:r>
      <w:r>
        <w:rPr>
          <w:rFonts w:hint="eastAsia" w:ascii="宋体" w:hAnsi="宋体" w:eastAsia="宋体" w:cs="宋体"/>
          <w:color w:val="auto"/>
          <w:sz w:val="24"/>
          <w:highlight w:val="none"/>
        </w:rPr>
        <w:t>递交（上传）投标文件。</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一、项目基本情况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b/>
          <w:color w:val="auto"/>
          <w:sz w:val="24"/>
          <w:highlight w:val="none"/>
        </w:rPr>
        <w:t>项目编号：</w:t>
      </w:r>
      <w:r>
        <w:rPr>
          <w:rFonts w:hint="eastAsia" w:ascii="宋体" w:hAnsi="宋体" w:eastAsia="宋体" w:cs="宋体"/>
          <w:b w:val="0"/>
          <w:bCs/>
          <w:color w:val="auto"/>
          <w:sz w:val="24"/>
          <w:highlight w:val="none"/>
        </w:rPr>
        <w:t xml:space="preserve">330282202309006470 </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b/>
          <w:color w:val="auto"/>
          <w:sz w:val="24"/>
          <w:highlight w:val="none"/>
        </w:rPr>
        <w:t xml:space="preserve"> 项目名称：</w:t>
      </w:r>
      <w:r>
        <w:rPr>
          <w:rFonts w:hint="eastAsia" w:ascii="宋体" w:hAnsi="宋体" w:eastAsia="宋体" w:cs="宋体"/>
          <w:color w:val="auto"/>
          <w:sz w:val="24"/>
          <w:highlight w:val="none"/>
        </w:rPr>
        <w:t>慈溪市城镇住房综合保险加房屋安全动态监测项目</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b/>
          <w:color w:val="auto"/>
          <w:sz w:val="24"/>
          <w:highlight w:val="none"/>
        </w:rPr>
        <w:t xml:space="preserve"> 预算金额（元</w:t>
      </w:r>
      <w:r>
        <w:rPr>
          <w:rFonts w:hint="eastAsia" w:ascii="宋体" w:hAnsi="宋体" w:eastAsia="宋体" w:cs="宋体"/>
          <w:b/>
          <w:color w:val="auto"/>
          <w:sz w:val="24"/>
          <w:highlight w:val="none"/>
          <w:lang w:val="en-US" w:eastAsia="zh-CN"/>
        </w:rPr>
        <w:t>/年</w:t>
      </w:r>
      <w:r>
        <w:rPr>
          <w:rFonts w:hint="eastAsia" w:ascii="宋体" w:hAnsi="宋体" w:eastAsia="宋体" w:cs="宋体"/>
          <w:b/>
          <w:color w:val="auto"/>
          <w:sz w:val="24"/>
          <w:highlight w:val="none"/>
        </w:rPr>
        <w:t>）：</w:t>
      </w:r>
      <w:r>
        <w:rPr>
          <w:rFonts w:hint="eastAsia" w:ascii="宋体" w:hAnsi="宋体" w:cs="宋体"/>
          <w:bCs/>
          <w:color w:val="auto"/>
          <w:sz w:val="24"/>
          <w:highlight w:val="none"/>
          <w:lang w:eastAsia="zh-CN"/>
        </w:rPr>
        <w:t>6000000</w:t>
      </w:r>
      <w:r>
        <w:rPr>
          <w:rFonts w:hint="eastAsia" w:ascii="宋体" w:hAnsi="宋体" w:eastAsia="宋体" w:cs="宋体"/>
          <w:bCs/>
          <w:color w:val="auto"/>
          <w:sz w:val="24"/>
          <w:highlight w:val="none"/>
        </w:rPr>
        <w:t>.00</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b/>
          <w:color w:val="auto"/>
          <w:sz w:val="24"/>
          <w:highlight w:val="none"/>
        </w:rPr>
        <w:t>最高限价（元</w:t>
      </w:r>
      <w:r>
        <w:rPr>
          <w:rFonts w:hint="eastAsia" w:ascii="宋体" w:hAnsi="宋体" w:eastAsia="宋体" w:cs="宋体"/>
          <w:b/>
          <w:color w:val="auto"/>
          <w:sz w:val="24"/>
          <w:highlight w:val="none"/>
          <w:lang w:val="en-US" w:eastAsia="zh-CN"/>
        </w:rPr>
        <w:t>/年</w:t>
      </w:r>
      <w:r>
        <w:rPr>
          <w:rFonts w:hint="eastAsia" w:ascii="宋体" w:hAnsi="宋体" w:eastAsia="宋体" w:cs="宋体"/>
          <w:b/>
          <w:color w:val="auto"/>
          <w:sz w:val="24"/>
          <w:highlight w:val="none"/>
        </w:rPr>
        <w:t>）：</w:t>
      </w:r>
      <w:r>
        <w:rPr>
          <w:rFonts w:hint="eastAsia" w:ascii="宋体" w:hAnsi="宋体" w:cs="宋体"/>
          <w:bCs/>
          <w:color w:val="auto"/>
          <w:sz w:val="24"/>
          <w:highlight w:val="none"/>
          <w:lang w:eastAsia="zh-CN"/>
        </w:rPr>
        <w:t>6000000</w:t>
      </w:r>
      <w:r>
        <w:rPr>
          <w:rFonts w:hint="eastAsia" w:ascii="宋体" w:hAnsi="宋体" w:eastAsia="宋体" w:cs="宋体"/>
          <w:bCs/>
          <w:color w:val="auto"/>
          <w:sz w:val="24"/>
          <w:highlight w:val="none"/>
        </w:rPr>
        <w:t>.00</w:t>
      </w:r>
    </w:p>
    <w:p>
      <w:pPr>
        <w:spacing w:line="360" w:lineRule="auto"/>
        <w:ind w:firstLine="48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采购需求：</w:t>
      </w:r>
    </w:p>
    <w:p>
      <w:pPr>
        <w:spacing w:line="360" w:lineRule="auto"/>
        <w:ind w:firstLine="48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标项名称：</w:t>
      </w:r>
      <w:r>
        <w:rPr>
          <w:rFonts w:hint="eastAsia" w:ascii="宋体" w:hAnsi="宋体" w:eastAsia="宋体" w:cs="宋体"/>
          <w:color w:val="auto"/>
          <w:sz w:val="24"/>
          <w:highlight w:val="none"/>
        </w:rPr>
        <w:t>慈溪市城镇住房综合保险加房屋安全动态监测项目</w:t>
      </w:r>
    </w:p>
    <w:p>
      <w:pPr>
        <w:spacing w:line="360" w:lineRule="auto"/>
        <w:ind w:firstLine="48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数量：</w:t>
      </w:r>
      <w:r>
        <w:rPr>
          <w:rFonts w:hint="eastAsia" w:ascii="宋体" w:hAnsi="宋体" w:cs="宋体"/>
          <w:bCs/>
          <w:color w:val="auto"/>
          <w:sz w:val="24"/>
          <w:highlight w:val="none"/>
          <w:lang w:val="en-US" w:eastAsia="zh-CN"/>
        </w:rPr>
        <w:t>3</w:t>
      </w:r>
      <w:r>
        <w:rPr>
          <w:rFonts w:hint="eastAsia" w:ascii="宋体" w:hAnsi="宋体" w:eastAsia="宋体" w:cs="宋体"/>
          <w:bCs/>
          <w:color w:val="auto"/>
          <w:sz w:val="24"/>
          <w:highlight w:val="none"/>
        </w:rPr>
        <w:t>年</w:t>
      </w:r>
    </w:p>
    <w:p>
      <w:pPr>
        <w:spacing w:line="360" w:lineRule="auto"/>
        <w:ind w:firstLine="48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预算金额（元</w:t>
      </w:r>
      <w:r>
        <w:rPr>
          <w:rFonts w:hint="eastAsia" w:ascii="宋体" w:hAnsi="宋体" w:eastAsia="宋体" w:cs="宋体"/>
          <w:bCs/>
          <w:color w:val="auto"/>
          <w:sz w:val="24"/>
          <w:highlight w:val="none"/>
          <w:lang w:val="en-US" w:eastAsia="zh-CN"/>
        </w:rPr>
        <w:t>/年</w:t>
      </w:r>
      <w:r>
        <w:rPr>
          <w:rFonts w:hint="eastAsia" w:ascii="宋体" w:hAnsi="宋体" w:eastAsia="宋体" w:cs="宋体"/>
          <w:bCs/>
          <w:color w:val="auto"/>
          <w:sz w:val="24"/>
          <w:highlight w:val="none"/>
        </w:rPr>
        <w:t>）：</w:t>
      </w:r>
      <w:r>
        <w:rPr>
          <w:rFonts w:hint="eastAsia" w:ascii="宋体" w:hAnsi="宋体" w:cs="宋体"/>
          <w:bCs/>
          <w:color w:val="auto"/>
          <w:sz w:val="24"/>
          <w:highlight w:val="none"/>
          <w:lang w:eastAsia="zh-CN"/>
        </w:rPr>
        <w:t>6000000</w:t>
      </w:r>
      <w:r>
        <w:rPr>
          <w:rFonts w:hint="eastAsia" w:ascii="宋体" w:hAnsi="宋体" w:eastAsia="宋体" w:cs="宋体"/>
          <w:bCs/>
          <w:color w:val="auto"/>
          <w:sz w:val="24"/>
          <w:highlight w:val="none"/>
        </w:rPr>
        <w:t>.00</w:t>
      </w:r>
    </w:p>
    <w:p>
      <w:pPr>
        <w:pStyle w:val="57"/>
        <w:spacing w:before="0" w:beforeAutospacing="0" w:after="0" w:afterAutospacing="0" w:line="360" w:lineRule="auto"/>
        <w:ind w:left="420" w:leftChars="200"/>
        <w:rPr>
          <w:rFonts w:hint="eastAsia" w:ascii="宋体" w:hAnsi="宋体" w:eastAsia="宋体" w:cs="宋体"/>
          <w:bCs/>
          <w:color w:val="auto"/>
          <w:highlight w:val="none"/>
        </w:rPr>
      </w:pPr>
      <w:r>
        <w:rPr>
          <w:rFonts w:hint="eastAsia" w:ascii="宋体" w:hAnsi="宋体" w:eastAsia="宋体" w:cs="宋体"/>
          <w:bCs/>
          <w:color w:val="auto"/>
          <w:highlight w:val="none"/>
        </w:rPr>
        <w:t>简要规格描述或项目基本概况介绍、用途：为进一步提升慈溪城市房屋安全管理水</w:t>
      </w:r>
    </w:p>
    <w:p>
      <w:pPr>
        <w:pStyle w:val="57"/>
        <w:spacing w:before="0" w:beforeAutospacing="0" w:after="0" w:afterAutospacing="0" w:line="360" w:lineRule="auto"/>
        <w:rPr>
          <w:rFonts w:hint="eastAsia" w:ascii="宋体" w:hAnsi="宋体" w:eastAsia="宋体" w:cs="宋体"/>
          <w:bCs/>
          <w:color w:val="auto"/>
          <w:highlight w:val="none"/>
        </w:rPr>
      </w:pPr>
      <w:r>
        <w:rPr>
          <w:rFonts w:hint="eastAsia" w:ascii="宋体" w:hAnsi="宋体" w:eastAsia="宋体" w:cs="宋体"/>
          <w:bCs/>
          <w:color w:val="auto"/>
          <w:highlight w:val="none"/>
        </w:rPr>
        <w:t>平，根据《宁波市人民政府办公厅关于全面推进城镇居民住房综合保险的通知》（甬政办发〔2015〕238号）文件要求、宁波市住房和城乡建设委员会《关于进一步做好既有房屋外墙面使用安全排查全覆盖的通知》（甬建发【2018】128号）、宁波市住房和城乡建设委员会、宁波市规划局根据《宁波市城市房屋建筑幕墙安全管理办法》(市政府令第236号)等法规文件精神发布的《关于加强城市房屋建筑幕墙安全管理的实施意见》（甬建发(2017)153号）等文件精神，全面建立城镇居民住房综合保险机制及外墙保险机制。采用“保险+服务”模式，由保险机构组建或聘请专业技术队伍开展房屋动态监测等工作，通过运用现代科技手段，加强房屋日常监测、房屋安全预警、加固解危咨询等风险管理服务，确保房屋使用安全，具体要求见《第三部分 采购需求》。</w:t>
      </w:r>
    </w:p>
    <w:p>
      <w:pPr>
        <w:spacing w:line="360" w:lineRule="auto"/>
        <w:ind w:firstLine="48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备注：1.</w:t>
      </w:r>
      <w:r>
        <w:rPr>
          <w:rFonts w:hint="eastAsia" w:ascii="宋体" w:hAnsi="宋体" w:eastAsia="宋体" w:cs="宋体"/>
          <w:color w:val="auto"/>
          <w:kern w:val="0"/>
          <w:sz w:val="24"/>
          <w:highlight w:val="none"/>
        </w:rPr>
        <w:t>若为联合体参加投标的，组成联合体的成员数量不超过</w:t>
      </w:r>
      <w:r>
        <w:rPr>
          <w:rFonts w:hint="eastAsia" w:ascii="宋体" w:hAnsi="宋体" w:cs="宋体"/>
          <w:color w:val="auto"/>
          <w:kern w:val="0"/>
          <w:sz w:val="24"/>
          <w:highlight w:val="none"/>
          <w:lang w:val="en-US" w:eastAsia="zh-CN"/>
        </w:rPr>
        <w:t>3</w:t>
      </w:r>
      <w:r>
        <w:rPr>
          <w:rFonts w:hint="eastAsia" w:ascii="宋体" w:hAnsi="宋体" w:cs="宋体"/>
          <w:color w:val="auto"/>
          <w:kern w:val="0"/>
          <w:sz w:val="24"/>
          <w:highlight w:val="none"/>
          <w:lang w:eastAsia="zh-CN"/>
        </w:rPr>
        <w:t>家</w:t>
      </w:r>
      <w:r>
        <w:rPr>
          <w:rFonts w:hint="eastAsia" w:ascii="宋体" w:hAnsi="宋体" w:eastAsia="宋体" w:cs="宋体"/>
          <w:color w:val="auto"/>
          <w:kern w:val="0"/>
          <w:sz w:val="24"/>
          <w:highlight w:val="none"/>
        </w:rPr>
        <w:t>（含联合体牵头人）</w:t>
      </w:r>
      <w:r>
        <w:rPr>
          <w:rFonts w:hint="eastAsia" w:ascii="宋体" w:hAnsi="宋体" w:cs="宋体"/>
          <w:color w:val="auto"/>
          <w:kern w:val="0"/>
          <w:sz w:val="24"/>
          <w:highlight w:val="none"/>
          <w:lang w:eastAsia="zh-CN"/>
        </w:rPr>
        <w:t>，其中保险公司不超过</w:t>
      </w:r>
      <w:r>
        <w:rPr>
          <w:rFonts w:hint="eastAsia" w:ascii="宋体" w:hAnsi="宋体" w:cs="宋体"/>
          <w:color w:val="auto"/>
          <w:kern w:val="0"/>
          <w:sz w:val="24"/>
          <w:highlight w:val="none"/>
          <w:lang w:val="en-US" w:eastAsia="zh-CN"/>
        </w:rPr>
        <w:t>1家，房屋安全动态监测单位不超过2家</w:t>
      </w:r>
      <w:r>
        <w:rPr>
          <w:rFonts w:hint="eastAsia" w:ascii="宋体" w:hAnsi="宋体" w:eastAsia="宋体" w:cs="宋体"/>
          <w:bCs/>
          <w:color w:val="auto"/>
          <w:sz w:val="24"/>
          <w:highlight w:val="none"/>
        </w:rPr>
        <w:t>。2.本项目单年度预算金额为</w:t>
      </w:r>
      <w:r>
        <w:rPr>
          <w:rFonts w:hint="eastAsia" w:ascii="宋体" w:hAnsi="宋体" w:cs="宋体"/>
          <w:bCs/>
          <w:color w:val="auto"/>
          <w:sz w:val="24"/>
          <w:highlight w:val="none"/>
          <w:lang w:val="en-US" w:eastAsia="zh-CN"/>
        </w:rPr>
        <w:t>600</w:t>
      </w:r>
      <w:r>
        <w:rPr>
          <w:rFonts w:hint="eastAsia" w:ascii="宋体" w:hAnsi="宋体" w:eastAsia="宋体" w:cs="宋体"/>
          <w:bCs/>
          <w:color w:val="auto"/>
          <w:sz w:val="24"/>
          <w:highlight w:val="none"/>
        </w:rPr>
        <w:t>万元。</w:t>
      </w:r>
    </w:p>
    <w:p>
      <w:pPr>
        <w:pStyle w:val="131"/>
        <w:spacing w:before="0"/>
        <w:ind w:firstLine="482"/>
        <w:outlineLvl w:val="2"/>
        <w:rPr>
          <w:rFonts w:hint="eastAsia" w:ascii="宋体" w:hAnsi="宋体" w:eastAsia="宋体" w:cs="宋体"/>
          <w:color w:val="auto"/>
          <w:highlight w:val="none"/>
        </w:rPr>
      </w:pPr>
      <w:r>
        <w:rPr>
          <w:rFonts w:hint="eastAsia" w:ascii="宋体" w:hAnsi="宋体" w:eastAsia="宋体" w:cs="宋体"/>
          <w:b/>
          <w:color w:val="auto"/>
          <w:highlight w:val="none"/>
        </w:rPr>
        <w:t>合同履约期限：</w:t>
      </w:r>
      <w:r>
        <w:rPr>
          <w:rFonts w:hint="eastAsia" w:ascii="宋体" w:hAnsi="宋体" w:eastAsia="宋体" w:cs="宋体"/>
          <w:color w:val="auto"/>
          <w:sz w:val="24"/>
          <w:highlight w:val="none"/>
        </w:rPr>
        <w:t>本项目总服务期限为三年，合同一年一签</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第一</w:t>
      </w:r>
      <w:r>
        <w:rPr>
          <w:rFonts w:hint="eastAsia" w:ascii="宋体" w:hAnsi="宋体" w:eastAsia="宋体" w:cs="宋体"/>
          <w:color w:val="auto"/>
          <w:sz w:val="24"/>
          <w:highlight w:val="none"/>
          <w:lang w:val="en-US" w:eastAsia="zh-CN"/>
        </w:rPr>
        <w:t>年</w:t>
      </w:r>
      <w:r>
        <w:rPr>
          <w:rFonts w:hint="eastAsia" w:ascii="宋体" w:hAnsi="宋体" w:eastAsia="宋体" w:cs="宋体"/>
          <w:color w:val="auto"/>
          <w:sz w:val="24"/>
          <w:highlight w:val="none"/>
        </w:rPr>
        <w:t>：预计自2023年12月23日起至2024年12月22日止；第二</w:t>
      </w:r>
      <w:r>
        <w:rPr>
          <w:rFonts w:hint="eastAsia" w:ascii="宋体" w:hAnsi="宋体" w:cs="宋体"/>
          <w:color w:val="auto"/>
          <w:sz w:val="24"/>
          <w:highlight w:val="none"/>
          <w:lang w:eastAsia="zh-CN"/>
        </w:rPr>
        <w:t>年</w:t>
      </w:r>
      <w:r>
        <w:rPr>
          <w:rFonts w:hint="eastAsia" w:ascii="宋体" w:hAnsi="宋体" w:eastAsia="宋体" w:cs="宋体"/>
          <w:color w:val="auto"/>
          <w:sz w:val="24"/>
          <w:highlight w:val="none"/>
        </w:rPr>
        <w:t>：预计自2024年12月23日</w:t>
      </w:r>
      <w:r>
        <w:rPr>
          <w:rFonts w:hint="eastAsia" w:ascii="宋体" w:hAnsi="宋体" w:cs="宋体"/>
          <w:color w:val="auto"/>
          <w:sz w:val="24"/>
          <w:highlight w:val="none"/>
          <w:lang w:eastAsia="zh-CN"/>
        </w:rPr>
        <w:t>起</w:t>
      </w:r>
      <w:r>
        <w:rPr>
          <w:rFonts w:hint="eastAsia" w:ascii="宋体" w:hAnsi="宋体" w:eastAsia="宋体" w:cs="宋体"/>
          <w:color w:val="auto"/>
          <w:sz w:val="24"/>
          <w:highlight w:val="none"/>
        </w:rPr>
        <w:t>至2025年12月22日</w:t>
      </w:r>
      <w:r>
        <w:rPr>
          <w:rFonts w:hint="eastAsia" w:ascii="宋体" w:hAnsi="宋体" w:cs="宋体"/>
          <w:color w:val="auto"/>
          <w:sz w:val="24"/>
          <w:highlight w:val="none"/>
          <w:lang w:eastAsia="zh-CN"/>
        </w:rPr>
        <w:t>止</w:t>
      </w:r>
      <w:r>
        <w:rPr>
          <w:rFonts w:hint="eastAsia" w:ascii="宋体" w:hAnsi="宋体" w:eastAsia="宋体" w:cs="宋体"/>
          <w:color w:val="auto"/>
          <w:sz w:val="24"/>
          <w:highlight w:val="none"/>
        </w:rPr>
        <w:t>，第三</w:t>
      </w:r>
      <w:r>
        <w:rPr>
          <w:rFonts w:hint="eastAsia" w:ascii="宋体" w:hAnsi="宋体" w:cs="宋体"/>
          <w:color w:val="auto"/>
          <w:sz w:val="24"/>
          <w:highlight w:val="none"/>
          <w:lang w:eastAsia="zh-CN"/>
        </w:rPr>
        <w:t>年</w:t>
      </w:r>
      <w:r>
        <w:rPr>
          <w:rFonts w:hint="eastAsia" w:ascii="宋体" w:hAnsi="宋体" w:eastAsia="宋体" w:cs="宋体"/>
          <w:color w:val="auto"/>
          <w:sz w:val="24"/>
          <w:highlight w:val="none"/>
        </w:rPr>
        <w:t>：预计自2025年12月23日</w:t>
      </w:r>
      <w:r>
        <w:rPr>
          <w:rFonts w:hint="eastAsia" w:ascii="宋体" w:hAnsi="宋体" w:cs="宋体"/>
          <w:color w:val="auto"/>
          <w:sz w:val="24"/>
          <w:highlight w:val="none"/>
          <w:lang w:eastAsia="zh-CN"/>
        </w:rPr>
        <w:t>起</w:t>
      </w:r>
      <w:r>
        <w:rPr>
          <w:rFonts w:hint="eastAsia" w:ascii="宋体" w:hAnsi="宋体" w:eastAsia="宋体" w:cs="宋体"/>
          <w:color w:val="auto"/>
          <w:sz w:val="24"/>
          <w:highlight w:val="none"/>
        </w:rPr>
        <w:t>至2026年12月22日</w:t>
      </w:r>
      <w:r>
        <w:rPr>
          <w:rFonts w:hint="eastAsia" w:ascii="宋体" w:hAnsi="宋体" w:cs="宋体"/>
          <w:color w:val="auto"/>
          <w:sz w:val="24"/>
          <w:highlight w:val="none"/>
          <w:lang w:eastAsia="zh-CN"/>
        </w:rPr>
        <w:t>止</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。第一年度合同期满后，经采购人考核合格，可续签下一年度合同，最多可续签二次</w:t>
      </w:r>
      <w:r>
        <w:rPr>
          <w:rFonts w:hint="eastAsia" w:ascii="宋体" w:hAnsi="宋体" w:eastAsia="宋体" w:cs="宋体"/>
          <w:color w:val="auto"/>
          <w:highlight w:val="none"/>
        </w:rPr>
        <w:t>。</w:t>
      </w:r>
    </w:p>
    <w:p>
      <w:pPr>
        <w:pStyle w:val="5"/>
        <w:snapToGrid/>
        <w:spacing w:line="360" w:lineRule="auto"/>
        <w:ind w:firstLine="480"/>
        <w:rPr>
          <w:rFonts w:hint="eastAsia" w:ascii="宋体" w:hAnsi="宋体" w:eastAsia="宋体" w:cs="宋体"/>
          <w:b/>
          <w:color w:val="auto"/>
          <w:highlight w:val="none"/>
        </w:rPr>
      </w:pPr>
      <w:r>
        <w:rPr>
          <w:rFonts w:hint="eastAsia" w:ascii="宋体" w:hAnsi="宋体" w:eastAsia="宋体" w:cs="宋体"/>
          <w:b/>
          <w:color w:val="auto"/>
          <w:sz w:val="24"/>
          <w:highlight w:val="none"/>
        </w:rPr>
        <w:t>本项目接受联合体投标：</w:t>
      </w:r>
      <w:r>
        <w:rPr>
          <w:rFonts w:hint="eastAsia" w:ascii="宋体" w:hAnsi="宋体" w:eastAsia="宋体" w:cs="宋体"/>
          <w:color w:val="auto"/>
          <w:kern w:val="0"/>
          <w:sz w:val="24"/>
          <w:highlight w:val="none"/>
        </w:rPr>
        <w:t xml:space="preserve"> </w:t>
      </w:r>
      <w:sdt>
        <w:sdtPr>
          <w:rPr>
            <w:rFonts w:hint="eastAsia" w:ascii="宋体" w:hAnsi="宋体" w:eastAsia="宋体" w:cs="宋体"/>
            <w:color w:val="auto"/>
            <w:kern w:val="0"/>
            <w:sz w:val="24"/>
            <w:highlight w:val="none"/>
          </w:rPr>
          <w:id w:val="-441836950"/>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snapToGrid w:val="0"/>
              <w:color w:val="auto"/>
              <w:kern w:val="0"/>
              <w:sz w:val="24"/>
              <w:szCs w:val="20"/>
              <w:highlight w:val="none"/>
              <w:lang w:val="en-US" w:eastAsia="zh-CN" w:bidi="ar-SA"/>
            </w:rPr>
            <w:t>þ</w:t>
          </w:r>
        </w:sdtContent>
      </w:sdt>
      <w:r>
        <w:rPr>
          <w:rFonts w:hint="eastAsia" w:ascii="宋体" w:hAnsi="宋体" w:eastAsia="宋体" w:cs="宋体"/>
          <w:b/>
          <w:color w:val="auto"/>
          <w:sz w:val="24"/>
          <w:highlight w:val="none"/>
        </w:rPr>
        <w:t>是；</w:t>
      </w:r>
      <w:sdt>
        <w:sdtPr>
          <w:rPr>
            <w:rFonts w:hint="eastAsia" w:ascii="宋体" w:hAnsi="宋体" w:eastAsia="宋体" w:cs="宋体"/>
            <w:color w:val="auto"/>
            <w:kern w:val="0"/>
            <w:sz w:val="24"/>
            <w:highlight w:val="none"/>
          </w:rPr>
          <w:id w:val="-1591624199"/>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snapToGrid w:val="0"/>
              <w:color w:val="auto"/>
              <w:kern w:val="0"/>
              <w:sz w:val="24"/>
              <w:szCs w:val="20"/>
              <w:highlight w:val="none"/>
              <w:lang w:val="en-US" w:eastAsia="zh-CN" w:bidi="ar-SA"/>
            </w:rPr>
            <w:t>☐</w:t>
          </w:r>
        </w:sdtContent>
      </w:sdt>
      <w:r>
        <w:rPr>
          <w:rFonts w:hint="eastAsia" w:ascii="宋体" w:hAnsi="宋体" w:eastAsia="宋体" w:cs="宋体"/>
          <w:b/>
          <w:color w:val="auto"/>
          <w:sz w:val="24"/>
          <w:highlight w:val="none"/>
        </w:rPr>
        <w:t>否</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二、申请人的资格要求：</w:t>
      </w:r>
    </w:p>
    <w:p>
      <w:pPr>
        <w:spacing w:line="360" w:lineRule="auto"/>
        <w:ind w:firstLine="48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1.满足《中华人民共和国政府采购法》第二十二条规定；未被“信用中国”（www.creditchina.gov.cn)、中国政府采购网（www.ccgp.gov.cn）列入失信被执行人、重大税收违法案件当事人名单（重大税收违法失信主体）、政府采购严重违法失信行为记录名单；</w:t>
      </w:r>
    </w:p>
    <w:p>
      <w:pPr>
        <w:spacing w:line="360" w:lineRule="auto"/>
        <w:ind w:firstLine="48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2.以联合体形式投标的，提供联合协议(本项目不接受联合体响应或者供应商不以联合体形式响应的，则不需要提供)；</w:t>
      </w:r>
    </w:p>
    <w:p>
      <w:pPr>
        <w:spacing w:line="360" w:lineRule="auto"/>
        <w:ind w:firstLine="480" w:firstLineChars="20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3.落实政府采购政策需满足的资格要求：</w:t>
      </w:r>
    </w:p>
    <w:p>
      <w:pPr>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928616923"/>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sz w:val="24"/>
          <w:highlight w:val="none"/>
        </w:rPr>
        <w:t>无</w:t>
      </w:r>
      <w:r>
        <w:rPr>
          <w:rFonts w:hint="eastAsia" w:ascii="宋体" w:hAnsi="宋体" w:eastAsia="宋体" w:cs="宋体"/>
          <w:snapToGrid w:val="0"/>
          <w:color w:val="auto"/>
          <w:kern w:val="28"/>
          <w:sz w:val="24"/>
          <w:szCs w:val="20"/>
          <w:highlight w:val="none"/>
        </w:rPr>
        <w:t>；</w:t>
      </w:r>
    </w:p>
    <w:p>
      <w:pPr>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024704304"/>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专</w:t>
      </w:r>
      <w:r>
        <w:rPr>
          <w:rFonts w:hint="eastAsia" w:ascii="宋体" w:hAnsi="宋体" w:eastAsia="宋体" w:cs="宋体"/>
          <w:color w:val="auto"/>
          <w:sz w:val="24"/>
          <w:highlight w:val="none"/>
        </w:rPr>
        <w:t>门面向中小企业</w:t>
      </w:r>
    </w:p>
    <w:p>
      <w:pPr>
        <w:spacing w:line="360" w:lineRule="auto"/>
        <w:ind w:firstLine="897" w:firstLineChars="374"/>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333685401"/>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服务全部由符合政策要求的中小企业承接，提供中小企业声明函；</w:t>
      </w:r>
    </w:p>
    <w:p>
      <w:pPr>
        <w:spacing w:line="360" w:lineRule="auto"/>
        <w:ind w:firstLine="897" w:firstLineChars="374"/>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2141025358"/>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服务全部由符合政策要求的小微企业承接，提供中小企业声明函；</w:t>
      </w:r>
    </w:p>
    <w:p>
      <w:pPr>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985607795"/>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要求以联合体形式参加，提供联合协议和中小企业声明函，联合协议中中小企业合同金额应当达到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%，其中小微企业合同金额应当达到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要求合同分包，提供分包意向协议和中小企业声明函，分包意向协议中中小企业合同金额应当达到达到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%，其中小微企业合同金额应当达到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w:t>
      </w:r>
      <w:r>
        <w:rPr>
          <w:rFonts w:hint="eastAsia" w:ascii="宋体" w:hAnsi="宋体" w:eastAsia="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4.本项目的特定资格要求：供应商具有</w:t>
      </w:r>
      <w:r>
        <w:rPr>
          <w:rFonts w:hint="eastAsia" w:ascii="宋体" w:hAnsi="宋体" w:eastAsia="宋体" w:cs="宋体"/>
          <w:color w:val="auto"/>
          <w:sz w:val="24"/>
          <w:highlight w:val="none"/>
          <w:lang w:val="en-US" w:eastAsia="zh-CN"/>
        </w:rPr>
        <w:t>国家金融监督管理总局（原中国保险监督管理委员会）</w:t>
      </w:r>
      <w:r>
        <w:rPr>
          <w:rFonts w:hint="eastAsia" w:ascii="宋体" w:hAnsi="宋体" w:eastAsia="宋体" w:cs="宋体"/>
          <w:color w:val="auto"/>
          <w:sz w:val="24"/>
          <w:highlight w:val="none"/>
        </w:rPr>
        <w:t>颁发的《经营保险业务许可证》</w:t>
      </w:r>
      <w:r>
        <w:rPr>
          <w:rFonts w:hint="eastAsia" w:ascii="宋体" w:hAnsi="宋体" w:eastAsia="宋体" w:cs="宋体"/>
          <w:color w:val="auto"/>
          <w:sz w:val="24"/>
          <w:highlight w:val="none"/>
          <w:lang w:val="en-US" w:eastAsia="zh-CN"/>
        </w:rPr>
        <w:t>的保险公司或其分支机构</w:t>
      </w:r>
      <w:r>
        <w:rPr>
          <w:rFonts w:hint="eastAsia" w:ascii="宋体" w:hAnsi="宋体" w:eastAsia="宋体" w:cs="宋体"/>
          <w:color w:val="auto"/>
          <w:sz w:val="24"/>
          <w:highlight w:val="none"/>
        </w:rPr>
        <w:t>，许可经营范围含有财产损失险的保险业务资格。（如以联合体形式参加政府采购活动的，联合体的牵头单位必须符合本条资格要求）。</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三、获取招标文件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时间：</w:t>
      </w:r>
      <w:r>
        <w:rPr>
          <w:rFonts w:hint="eastAsia" w:ascii="宋体" w:hAnsi="宋体" w:eastAsia="宋体" w:cs="宋体"/>
          <w:color w:val="auto"/>
          <w:sz w:val="24"/>
          <w:highlight w:val="none"/>
        </w:rPr>
        <w:t>2023年</w:t>
      </w:r>
      <w:r>
        <w:rPr>
          <w:rFonts w:hint="eastAsia" w:ascii="宋体" w:hAnsi="宋体" w:cs="宋体"/>
          <w:color w:val="auto"/>
          <w:sz w:val="24"/>
          <w:highlight w:val="none"/>
          <w:lang w:val="en-US" w:eastAsia="zh-CN"/>
        </w:rPr>
        <w:t>10</w:t>
      </w:r>
      <w:r>
        <w:rPr>
          <w:rFonts w:hint="eastAsia" w:ascii="宋体" w:hAnsi="宋体" w:eastAsia="宋体" w:cs="宋体"/>
          <w:color w:val="auto"/>
          <w:sz w:val="24"/>
          <w:highlight w:val="none"/>
        </w:rPr>
        <w:t>月</w:t>
      </w:r>
      <w:r>
        <w:rPr>
          <w:rFonts w:hint="eastAsia" w:ascii="宋体" w:hAnsi="宋体" w:cs="宋体"/>
          <w:color w:val="auto"/>
          <w:sz w:val="24"/>
          <w:highlight w:val="none"/>
          <w:lang w:val="en-US" w:eastAsia="zh-CN"/>
        </w:rPr>
        <w:t>19</w:t>
      </w:r>
      <w:r>
        <w:rPr>
          <w:rFonts w:hint="eastAsia" w:ascii="宋体" w:hAnsi="宋体" w:eastAsia="宋体" w:cs="宋体"/>
          <w:color w:val="auto"/>
          <w:sz w:val="24"/>
          <w:highlight w:val="none"/>
        </w:rPr>
        <w:t>日至2023年</w:t>
      </w:r>
      <w:r>
        <w:rPr>
          <w:rFonts w:hint="eastAsia" w:ascii="宋体" w:hAnsi="宋体" w:cs="宋体"/>
          <w:color w:val="auto"/>
          <w:sz w:val="24"/>
          <w:highlight w:val="none"/>
          <w:lang w:val="en-US" w:eastAsia="zh-CN"/>
        </w:rPr>
        <w:t>10</w:t>
      </w:r>
      <w:r>
        <w:rPr>
          <w:rFonts w:hint="eastAsia" w:ascii="宋体" w:hAnsi="宋体" w:eastAsia="宋体" w:cs="宋体"/>
          <w:color w:val="auto"/>
          <w:sz w:val="24"/>
          <w:highlight w:val="none"/>
        </w:rPr>
        <w:t>月</w:t>
      </w:r>
      <w:r>
        <w:rPr>
          <w:rFonts w:hint="eastAsia" w:ascii="宋体" w:hAnsi="宋体" w:cs="宋体"/>
          <w:color w:val="auto"/>
          <w:sz w:val="24"/>
          <w:highlight w:val="none"/>
          <w:lang w:val="en-US" w:eastAsia="zh-CN"/>
        </w:rPr>
        <w:t>27</w:t>
      </w:r>
      <w:r>
        <w:rPr>
          <w:rFonts w:hint="eastAsia" w:ascii="宋体" w:hAnsi="宋体" w:eastAsia="宋体" w:cs="宋体"/>
          <w:color w:val="auto"/>
          <w:sz w:val="24"/>
          <w:highlight w:val="none"/>
        </w:rPr>
        <w:t>日，每天上午00:00至12:00，下午12:00至23:59（北京时间，线上获取法定节假日均可，线下获取文件法定节假日除外）</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地点（网址）：</w:t>
      </w:r>
      <w:r>
        <w:rPr>
          <w:rFonts w:hint="eastAsia" w:ascii="宋体" w:hAnsi="宋体" w:eastAsia="宋体" w:cs="宋体"/>
          <w:color w:val="auto"/>
          <w:sz w:val="24"/>
          <w:highlight w:val="none"/>
        </w:rPr>
        <w:t>政采云平台（https://www.zcygov.cn/）</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方式：</w:t>
      </w:r>
      <w:r>
        <w:rPr>
          <w:rFonts w:hint="eastAsia" w:ascii="宋体" w:hAnsi="宋体" w:eastAsia="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售价（元）：</w:t>
      </w:r>
      <w:r>
        <w:rPr>
          <w:rFonts w:hint="eastAsia" w:ascii="宋体" w:hAnsi="宋体" w:eastAsia="宋体" w:cs="宋体"/>
          <w:color w:val="auto"/>
          <w:sz w:val="24"/>
          <w:highlight w:val="none"/>
        </w:rPr>
        <w:t>0</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四、提交投标文件截止时间、开标时间和地点</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提交投标文件截止时间：</w:t>
      </w:r>
      <w:r>
        <w:rPr>
          <w:rFonts w:hint="eastAsia" w:ascii="宋体" w:hAnsi="宋体" w:eastAsia="宋体" w:cs="宋体"/>
          <w:color w:val="auto"/>
          <w:sz w:val="24"/>
          <w:highlight w:val="none"/>
        </w:rPr>
        <w:t>2023年</w:t>
      </w:r>
      <w:r>
        <w:rPr>
          <w:rFonts w:hint="eastAsia" w:ascii="宋体" w:hAnsi="宋体" w:eastAsia="宋体" w:cs="宋体"/>
          <w:color w:val="auto"/>
          <w:sz w:val="24"/>
          <w:highlight w:val="none"/>
          <w:lang w:val="en-US" w:eastAsia="zh-CN"/>
        </w:rPr>
        <w:t>11</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日</w:t>
      </w:r>
      <w:r>
        <w:rPr>
          <w:rFonts w:hint="eastAsia" w:ascii="宋体" w:hAnsi="宋体" w:eastAsia="宋体" w:cs="宋体"/>
          <w:color w:val="auto"/>
          <w:sz w:val="24"/>
          <w:highlight w:val="none"/>
          <w:lang w:val="en-US" w:eastAsia="zh-CN"/>
        </w:rPr>
        <w:t>14</w:t>
      </w:r>
      <w:r>
        <w:rPr>
          <w:rFonts w:hint="eastAsia" w:ascii="宋体" w:hAnsi="宋体" w:eastAsia="宋体" w:cs="宋体"/>
          <w:color w:val="auto"/>
          <w:sz w:val="24"/>
          <w:highlight w:val="none"/>
        </w:rPr>
        <w:t>点30分00秒（北京时间）</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投标地点（网址）：</w:t>
      </w:r>
      <w:r>
        <w:rPr>
          <w:rFonts w:hint="eastAsia" w:ascii="宋体" w:hAnsi="宋体" w:eastAsia="宋体" w:cs="宋体"/>
          <w:b w:val="0"/>
          <w:bCs/>
          <w:color w:val="auto"/>
          <w:sz w:val="24"/>
          <w:highlight w:val="none"/>
        </w:rPr>
        <w:t>政</w:t>
      </w:r>
      <w:r>
        <w:rPr>
          <w:rFonts w:hint="eastAsia" w:ascii="宋体" w:hAnsi="宋体" w:eastAsia="宋体" w:cs="宋体"/>
          <w:color w:val="auto"/>
          <w:sz w:val="24"/>
          <w:highlight w:val="none"/>
        </w:rPr>
        <w:t>采云平台（https：//www.zcygov.cn/）。</w:t>
      </w:r>
    </w:p>
    <w:p>
      <w:pPr>
        <w:spacing w:line="360" w:lineRule="auto"/>
        <w:ind w:firstLine="482" w:firstLineChars="200"/>
        <w:rPr>
          <w:rFonts w:hint="eastAsia" w:ascii="宋体" w:hAnsi="宋体" w:eastAsia="宋体" w:cs="宋体"/>
          <w:bCs/>
          <w:color w:val="auto"/>
          <w:sz w:val="24"/>
          <w:highlight w:val="none"/>
          <w:u w:val="single"/>
        </w:rPr>
      </w:pPr>
      <w:r>
        <w:rPr>
          <w:rFonts w:hint="eastAsia" w:ascii="宋体" w:hAnsi="宋体" w:eastAsia="宋体" w:cs="宋体"/>
          <w:b/>
          <w:color w:val="auto"/>
          <w:sz w:val="24"/>
          <w:highlight w:val="none"/>
        </w:rPr>
        <w:t>开标时间：</w:t>
      </w:r>
      <w:r>
        <w:rPr>
          <w:rFonts w:hint="eastAsia" w:ascii="宋体" w:hAnsi="宋体" w:eastAsia="宋体" w:cs="宋体"/>
          <w:color w:val="auto"/>
          <w:sz w:val="24"/>
          <w:highlight w:val="none"/>
        </w:rPr>
        <w:t>2023年</w:t>
      </w:r>
      <w:r>
        <w:rPr>
          <w:rFonts w:hint="eastAsia" w:ascii="宋体" w:hAnsi="宋体" w:eastAsia="宋体" w:cs="宋体"/>
          <w:color w:val="auto"/>
          <w:sz w:val="24"/>
          <w:highlight w:val="none"/>
          <w:lang w:val="en-US" w:eastAsia="zh-CN"/>
        </w:rPr>
        <w:t>11</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日</w:t>
      </w:r>
      <w:r>
        <w:rPr>
          <w:rFonts w:hint="eastAsia" w:ascii="宋体" w:hAnsi="宋体" w:eastAsia="宋体" w:cs="宋体"/>
          <w:color w:val="auto"/>
          <w:sz w:val="24"/>
          <w:highlight w:val="none"/>
          <w:lang w:val="en-US" w:eastAsia="zh-CN"/>
        </w:rPr>
        <w:t>14</w:t>
      </w:r>
      <w:r>
        <w:rPr>
          <w:rFonts w:hint="eastAsia" w:ascii="宋体" w:hAnsi="宋体" w:eastAsia="宋体" w:cs="宋体"/>
          <w:color w:val="auto"/>
          <w:sz w:val="24"/>
          <w:highlight w:val="none"/>
        </w:rPr>
        <w:t>点30分00秒</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开标地点（网址）：</w:t>
      </w:r>
      <w:r>
        <w:rPr>
          <w:rFonts w:hint="eastAsia" w:ascii="宋体" w:hAnsi="宋体" w:eastAsia="宋体" w:cs="宋体"/>
          <w:color w:val="auto"/>
          <w:sz w:val="24"/>
          <w:highlight w:val="none"/>
        </w:rPr>
        <w:t>政采云平台（https：//www.zcygov.cn/）。</w:t>
      </w:r>
    </w:p>
    <w:p>
      <w:pPr>
        <w:spacing w:line="360" w:lineRule="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 xml:space="preserve">五、公告期限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自本公告发布之日起5个工作日。</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六、其他补充事宜</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4.其他事项：</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（1）需要落实的政府采购政策：包括节约资源、保护环境、支持创新、促进中小企业发展等。见招标文件的第二部分总则。</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电子招投标的说明：①电子招投标：本项目以数据电文形式，依托“政府采购云平台（www.zcygov.cn）”进行招投标活动，不接受纸质投标文件；②投标准备：注册账号--点击“商家入驻”，进行政府采购供应商资料填写；申领CA数字证书---申领流程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文件后缀为：jmbs）：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w:t>
      </w:r>
      <w:r>
        <w:rPr>
          <w:rFonts w:hint="eastAsia" w:ascii="宋体" w:hAnsi="宋体" w:cs="宋体"/>
          <w:color w:val="auto"/>
          <w:sz w:val="24"/>
          <w:highlight w:val="none"/>
          <w:lang w:eastAsia="zh-CN"/>
        </w:rPr>
        <w:t>供应商</w:t>
      </w:r>
      <w:r>
        <w:rPr>
          <w:rFonts w:hint="eastAsia" w:ascii="宋体" w:hAnsi="宋体" w:eastAsia="宋体" w:cs="宋体"/>
          <w:color w:val="auto"/>
          <w:sz w:val="24"/>
          <w:highlight w:val="none"/>
        </w:rPr>
        <w:t>在投标截止时间前将加密的投标文件上传至政府采购云平台，还可以在投标截止时间前直接提交或者以邮政快递方式递交备份投标文件1份。备份投标文件（文件后缀为：bfbs）的制作、存储、密封见招标文件第二部分第15点—“备份投标文件”；⑨投标文件的解密：</w:t>
      </w:r>
      <w:r>
        <w:rPr>
          <w:rFonts w:hint="eastAsia" w:ascii="宋体" w:hAnsi="宋体" w:cs="宋体"/>
          <w:color w:val="auto"/>
          <w:sz w:val="24"/>
          <w:highlight w:val="none"/>
          <w:lang w:eastAsia="zh-CN"/>
        </w:rPr>
        <w:t>供应商</w:t>
      </w:r>
      <w:r>
        <w:rPr>
          <w:rFonts w:hint="eastAsia" w:ascii="宋体" w:hAnsi="宋体" w:eastAsia="宋体" w:cs="宋体"/>
          <w:color w:val="auto"/>
          <w:sz w:val="24"/>
          <w:highlight w:val="none"/>
        </w:rPr>
        <w:t>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w:t>
      </w:r>
      <w:r>
        <w:rPr>
          <w:rFonts w:hint="eastAsia" w:ascii="宋体" w:hAnsi="宋体" w:cs="宋体"/>
          <w:color w:val="auto"/>
          <w:sz w:val="24"/>
          <w:highlight w:val="none"/>
          <w:lang w:eastAsia="zh-CN"/>
        </w:rPr>
        <w:t>供应商</w:t>
      </w:r>
      <w:r>
        <w:rPr>
          <w:rFonts w:hint="eastAsia" w:ascii="宋体" w:hAnsi="宋体" w:eastAsia="宋体" w:cs="宋体"/>
          <w:color w:val="auto"/>
          <w:sz w:val="24"/>
          <w:highlight w:val="none"/>
        </w:rPr>
        <w:t>仅提交备份投标文件，未在电子交易平台传输递交投标文件的，投标无效；⑩具体操作指南：见政采云平台“服务中心-帮助文档-项目采购-操作流程-电子招投标-政府采购项目电子交易管理操作指南-供应商”。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（3）招标文件公告期限与招标公告的公告期限一致。</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（4）本公告中二、申请人的资格要求：第一条中的“重大税收违法案件当事人名单”即为“重大税收违法失信主体”。</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七、对本次采购提出询问、质疑、投诉，请按以下方式联系</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1.采购人信息</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名   称：慈溪市房产管理中心 　　　　　</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址：慈溪市三北大街768号</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传   真：/</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项目联系人（询问）：余老师  </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项目联系方式（询问）：0574-63035743 </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质疑联系人：陈利展    </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质疑联系方式：0574-63035761</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2.采购代理机构信息</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名    称：宁波中基国际招标有限公司　　　　　　　　　　</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址：宁波市鄞州区天童南路666号19楼</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传    真：0574-87425373　　　　　　　　　　　</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项目联系人（询问）：陈健、孔晖 　   　　　　　　　　　　　</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项目联系方式（询问）：0574-87425570 </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质疑联系人：王莹巧</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质疑联系方式：0574-87425583</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3.同级政府采购监督管理部门：</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名    称：慈溪市财政局</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址：慈溪市南二环东路1158号</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传    真：/</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联 系 人：赵先生、王女士</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监督投诉电话：0574-63032032、0574-63837170</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CA问题联系电话（人工）：汇信CA 400-888-4636；天谷CA 400-087-8198。</w:t>
      </w:r>
    </w:p>
    <w:p>
      <w:pPr>
        <w:widowControl/>
        <w:adjustRightInd/>
        <w:jc w:val="left"/>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br w:type="page"/>
      </w:r>
    </w:p>
    <w:p>
      <w:pPr>
        <w:adjustRightInd/>
        <w:spacing w:line="360" w:lineRule="auto"/>
        <w:jc w:val="center"/>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第二部分</w:t>
      </w:r>
      <w:bookmarkEnd w:id="7"/>
      <w:r>
        <w:rPr>
          <w:rFonts w:hint="eastAsia" w:ascii="宋体" w:hAnsi="宋体" w:eastAsia="宋体" w:cs="宋体"/>
          <w:b/>
          <w:color w:val="auto"/>
          <w:sz w:val="36"/>
          <w:szCs w:val="20"/>
          <w:highlight w:val="none"/>
        </w:rPr>
        <w:t xml:space="preserve"> </w:t>
      </w:r>
      <w:r>
        <w:rPr>
          <w:rFonts w:hint="eastAsia" w:ascii="宋体" w:hAnsi="宋体" w:cs="宋体"/>
          <w:b/>
          <w:color w:val="auto"/>
          <w:sz w:val="36"/>
          <w:szCs w:val="20"/>
          <w:highlight w:val="none"/>
          <w:lang w:eastAsia="zh-CN"/>
        </w:rPr>
        <w:t>供应商</w:t>
      </w:r>
      <w:r>
        <w:rPr>
          <w:rFonts w:hint="eastAsia" w:ascii="宋体" w:hAnsi="宋体" w:eastAsia="宋体" w:cs="宋体"/>
          <w:b/>
          <w:color w:val="auto"/>
          <w:sz w:val="36"/>
          <w:szCs w:val="20"/>
          <w:highlight w:val="none"/>
        </w:rPr>
        <w:t>须知</w:t>
      </w:r>
      <w:bookmarkEnd w:id="8"/>
    </w:p>
    <w:p>
      <w:pPr>
        <w:adjustRightInd/>
        <w:spacing w:line="360" w:lineRule="auto"/>
        <w:ind w:firstLine="3845" w:firstLineChars="1197"/>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前附表</w:t>
      </w:r>
    </w:p>
    <w:tbl>
      <w:tblPr>
        <w:tblStyle w:val="62"/>
        <w:tblW w:w="9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9"/>
        <w:gridCol w:w="1843"/>
        <w:gridCol w:w="6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jc w:val="center"/>
        </w:trPr>
        <w:tc>
          <w:tcPr>
            <w:tcW w:w="629" w:type="dxa"/>
          </w:tcPr>
          <w:p>
            <w:pPr>
              <w:snapToGrid w:val="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843" w:type="dxa"/>
            <w:vAlign w:val="center"/>
          </w:tcPr>
          <w:p>
            <w:pPr>
              <w:snapToGrid w:val="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事项</w:t>
            </w:r>
          </w:p>
        </w:tc>
        <w:tc>
          <w:tcPr>
            <w:tcW w:w="6733" w:type="dxa"/>
            <w:vAlign w:val="center"/>
          </w:tcPr>
          <w:p>
            <w:pPr>
              <w:snapToGrid w:val="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jc w:val="center"/>
        </w:trPr>
        <w:tc>
          <w:tcPr>
            <w:tcW w:w="629" w:type="dxa"/>
            <w:vAlign w:val="center"/>
          </w:tcPr>
          <w:p>
            <w:pPr>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843" w:type="dxa"/>
            <w:vAlign w:val="center"/>
          </w:tcPr>
          <w:p>
            <w:pPr>
              <w:snapToGrid w:val="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项目属性</w:t>
            </w:r>
          </w:p>
        </w:tc>
        <w:tc>
          <w:tcPr>
            <w:tcW w:w="6733"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jc w:val="center"/>
        </w:trPr>
        <w:tc>
          <w:tcPr>
            <w:tcW w:w="629" w:type="dxa"/>
            <w:vAlign w:val="center"/>
          </w:tcPr>
          <w:p>
            <w:pPr>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843" w:type="dxa"/>
            <w:vAlign w:val="center"/>
          </w:tcPr>
          <w:p>
            <w:pPr>
              <w:snapToGrid w:val="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采购标的及其对应的中小企业划分标准所属行业</w:t>
            </w:r>
          </w:p>
        </w:tc>
        <w:tc>
          <w:tcPr>
            <w:tcW w:w="6733" w:type="dxa"/>
            <w:vAlign w:val="center"/>
          </w:tcPr>
          <w:p>
            <w:pPr>
              <w:snapToGrid w:val="0"/>
              <w:rPr>
                <w:rFonts w:hint="eastAsia" w:ascii="宋体" w:hAnsi="宋体" w:eastAsia="宋体" w:cs="宋体"/>
                <w:color w:val="auto"/>
                <w:highlight w:val="none"/>
              </w:rPr>
            </w:pPr>
            <w:r>
              <w:rPr>
                <w:rFonts w:hint="eastAsia" w:ascii="宋体" w:hAnsi="宋体" w:eastAsia="宋体" w:cs="宋体"/>
                <w:color w:val="auto"/>
                <w:kern w:val="0"/>
                <w:sz w:val="24"/>
                <w:highlight w:val="none"/>
              </w:rPr>
              <w:t>标的：</w:t>
            </w:r>
            <w:r>
              <w:rPr>
                <w:rFonts w:hint="eastAsia" w:ascii="宋体" w:hAnsi="宋体" w:eastAsia="宋体" w:cs="宋体"/>
                <w:color w:val="auto"/>
                <w:sz w:val="24"/>
                <w:highlight w:val="none"/>
                <w:u w:val="single"/>
              </w:rPr>
              <w:t>城镇住房综合保险、城镇房屋安全动态监测</w:t>
            </w:r>
            <w:r>
              <w:rPr>
                <w:rFonts w:hint="eastAsia" w:ascii="宋体" w:hAnsi="宋体" w:eastAsia="宋体" w:cs="宋体"/>
                <w:color w:val="auto"/>
                <w:kern w:val="0"/>
                <w:sz w:val="24"/>
                <w:highlight w:val="none"/>
              </w:rPr>
              <w:t>，属于</w:t>
            </w:r>
            <w:r>
              <w:rPr>
                <w:rFonts w:hint="eastAsia" w:ascii="宋体" w:hAnsi="宋体" w:eastAsia="宋体" w:cs="宋体"/>
                <w:color w:val="auto"/>
                <w:kern w:val="0"/>
                <w:sz w:val="24"/>
                <w:highlight w:val="none"/>
                <w:u w:val="single"/>
              </w:rPr>
              <w:t>其他未列明行业</w:t>
            </w:r>
            <w:r>
              <w:rPr>
                <w:rFonts w:hint="eastAsia" w:ascii="宋体" w:hAnsi="宋体" w:eastAsia="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jc w:val="center"/>
        </w:trPr>
        <w:tc>
          <w:tcPr>
            <w:tcW w:w="629" w:type="dxa"/>
            <w:vAlign w:val="center"/>
          </w:tcPr>
          <w:p>
            <w:pPr>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843" w:type="dxa"/>
            <w:vAlign w:val="center"/>
          </w:tcPr>
          <w:p>
            <w:pPr>
              <w:snapToGrid w:val="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是否允许采购进口产品</w:t>
            </w:r>
          </w:p>
        </w:tc>
        <w:tc>
          <w:tcPr>
            <w:tcW w:w="6733" w:type="dxa"/>
            <w:vAlign w:val="center"/>
          </w:tcPr>
          <w:p>
            <w:pPr>
              <w:rPr>
                <w:rFonts w:hint="eastAsia" w:ascii="宋体" w:hAnsi="宋体" w:eastAsia="宋体" w:cs="宋体"/>
                <w:color w:val="auto"/>
                <w:kern w:val="0"/>
                <w:sz w:val="24"/>
                <w:highlight w:val="none"/>
              </w:rPr>
            </w:pPr>
            <w:sdt>
              <w:sdtPr>
                <w:rPr>
                  <w:rFonts w:hint="eastAsia" w:ascii="宋体" w:hAnsi="宋体" w:eastAsia="宋体" w:cs="宋体"/>
                  <w:color w:val="auto"/>
                  <w:kern w:val="0"/>
                  <w:sz w:val="24"/>
                  <w:highlight w:val="none"/>
                </w:rPr>
                <w:id w:val="-1828425707"/>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sym w:font="Wingdings" w:char="F0FE"/>
                </w:r>
              </w:sdtContent>
            </w:sdt>
            <w:r>
              <w:rPr>
                <w:rFonts w:hint="eastAsia" w:ascii="宋体" w:hAnsi="宋体" w:eastAsia="宋体" w:cs="宋体"/>
                <w:color w:val="auto"/>
                <w:kern w:val="0"/>
                <w:sz w:val="24"/>
                <w:highlight w:val="none"/>
              </w:rPr>
              <w:t>本项目不允许采购进口产品。</w:t>
            </w:r>
          </w:p>
          <w:p>
            <w:pPr>
              <w:rPr>
                <w:rFonts w:hint="eastAsia" w:ascii="宋体" w:hAnsi="宋体" w:eastAsia="宋体" w:cs="宋体"/>
                <w:color w:val="auto"/>
                <w:highlight w:val="none"/>
              </w:rPr>
            </w:pPr>
            <w:sdt>
              <w:sdtPr>
                <w:rPr>
                  <w:rFonts w:hint="eastAsia" w:ascii="宋体" w:hAnsi="宋体" w:eastAsia="宋体" w:cs="宋体"/>
                  <w:color w:val="auto"/>
                  <w:kern w:val="0"/>
                  <w:sz w:val="24"/>
                  <w:highlight w:val="none"/>
                </w:rPr>
                <w:id w:val="-52852824"/>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可以就</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jc w:val="center"/>
        </w:trPr>
        <w:tc>
          <w:tcPr>
            <w:tcW w:w="629" w:type="dxa"/>
            <w:vAlign w:val="center"/>
          </w:tcPr>
          <w:p>
            <w:pPr>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1843" w:type="dxa"/>
            <w:vAlign w:val="center"/>
          </w:tcPr>
          <w:p>
            <w:pPr>
              <w:snapToGrid w:val="0"/>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分包</w:t>
            </w:r>
          </w:p>
        </w:tc>
        <w:tc>
          <w:tcPr>
            <w:tcW w:w="6733" w:type="dxa"/>
            <w:vAlign w:val="center"/>
          </w:tcPr>
          <w:p>
            <w:pPr>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477286927"/>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 xml:space="preserve"> A</w:t>
            </w:r>
            <w:r>
              <w:rPr>
                <w:rFonts w:hint="eastAsia" w:ascii="宋体" w:hAnsi="宋体" w:eastAsia="宋体" w:cs="宋体"/>
                <w:color w:val="auto"/>
                <w:sz w:val="24"/>
                <w:highlight w:val="none"/>
              </w:rPr>
              <w:t>同意将非主体、非关键性的</w:t>
            </w:r>
            <w:r>
              <w:rPr>
                <w:rFonts w:hint="eastAsia" w:ascii="宋体" w:hAnsi="宋体" w:eastAsia="宋体" w:cs="宋体"/>
                <w:color w:val="auto"/>
                <w:sz w:val="24"/>
                <w:highlight w:val="none"/>
                <w:u w:val="single"/>
              </w:rPr>
              <w:t xml:space="preserve"> 房屋安全动态监测 </w:t>
            </w:r>
            <w:r>
              <w:rPr>
                <w:rFonts w:hint="eastAsia" w:ascii="宋体" w:hAnsi="宋体" w:eastAsia="宋体" w:cs="宋体"/>
                <w:color w:val="auto"/>
                <w:sz w:val="24"/>
                <w:highlight w:val="none"/>
              </w:rPr>
              <w:t>工作分包。</w:t>
            </w:r>
          </w:p>
          <w:p>
            <w:pPr>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276331357"/>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 xml:space="preserve"> B</w:t>
            </w:r>
            <w:r>
              <w:rPr>
                <w:rFonts w:hint="eastAsia" w:ascii="宋体" w:hAnsi="宋体" w:eastAsia="宋体" w:cs="宋体"/>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jc w:val="center"/>
        </w:trPr>
        <w:tc>
          <w:tcPr>
            <w:tcW w:w="629" w:type="dxa"/>
            <w:vAlign w:val="center"/>
          </w:tcPr>
          <w:p>
            <w:pPr>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1843" w:type="dxa"/>
            <w:vAlign w:val="center"/>
          </w:tcPr>
          <w:p>
            <w:pPr>
              <w:snapToGrid w:val="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开标前答疑会或现场考察</w:t>
            </w:r>
          </w:p>
        </w:tc>
        <w:tc>
          <w:tcPr>
            <w:tcW w:w="6733" w:type="dxa"/>
            <w:vAlign w:val="center"/>
          </w:tcPr>
          <w:p>
            <w:pPr>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212966419"/>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不组织。</w:t>
            </w:r>
          </w:p>
          <w:p>
            <w:pPr>
              <w:rPr>
                <w:rFonts w:hint="eastAsia" w:ascii="宋体" w:hAnsi="宋体" w:eastAsia="宋体" w:cs="宋体"/>
                <w:color w:val="auto"/>
                <w:sz w:val="24"/>
                <w:szCs w:val="20"/>
                <w:highlight w:val="none"/>
              </w:rPr>
            </w:pPr>
            <w:sdt>
              <w:sdtPr>
                <w:rPr>
                  <w:rFonts w:hint="eastAsia" w:ascii="宋体" w:hAnsi="宋体" w:eastAsia="宋体" w:cs="宋体"/>
                  <w:color w:val="auto"/>
                  <w:kern w:val="0"/>
                  <w:sz w:val="24"/>
                  <w:highlight w:val="none"/>
                </w:rPr>
                <w:id w:val="-999802974"/>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B组织，</w:t>
            </w:r>
            <w:r>
              <w:rPr>
                <w:rFonts w:hint="eastAsia" w:ascii="宋体" w:hAnsi="宋体" w:eastAsia="宋体" w:cs="宋体"/>
                <w:color w:val="auto"/>
                <w:sz w:val="24"/>
                <w:highlight w:val="none"/>
              </w:rPr>
              <w:t>时间：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,地点：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，联系方式：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jc w:val="center"/>
        </w:trPr>
        <w:tc>
          <w:tcPr>
            <w:tcW w:w="629" w:type="dxa"/>
            <w:vAlign w:val="center"/>
          </w:tcPr>
          <w:p>
            <w:pPr>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1843" w:type="dxa"/>
            <w:vAlign w:val="center"/>
          </w:tcPr>
          <w:p>
            <w:pPr>
              <w:snapToGrid w:val="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样品提供</w:t>
            </w:r>
          </w:p>
        </w:tc>
        <w:tc>
          <w:tcPr>
            <w:tcW w:w="6733" w:type="dxa"/>
            <w:vAlign w:val="center"/>
          </w:tcPr>
          <w:p>
            <w:pPr>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639946486"/>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不要求提供。</w:t>
            </w:r>
          </w:p>
          <w:p>
            <w:pPr>
              <w:rPr>
                <w:rFonts w:hint="eastAsia" w:ascii="宋体" w:hAnsi="宋体" w:eastAsia="宋体" w:cs="宋体"/>
                <w:color w:val="auto"/>
                <w:kern w:val="0"/>
                <w:sz w:val="24"/>
                <w:highlight w:val="none"/>
              </w:rPr>
            </w:pPr>
            <w:sdt>
              <w:sdtPr>
                <w:rPr>
                  <w:rFonts w:hint="eastAsia" w:ascii="宋体" w:hAnsi="宋体" w:eastAsia="宋体" w:cs="宋体"/>
                  <w:color w:val="auto"/>
                  <w:kern w:val="0"/>
                  <w:sz w:val="24"/>
                  <w:highlight w:val="none"/>
                </w:rPr>
                <w:id w:val="1026831988"/>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B要求提供，</w:t>
            </w:r>
          </w:p>
          <w:p>
            <w:pP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r>
              <w:rPr>
                <w:rFonts w:hint="eastAsia" w:ascii="宋体" w:hAnsi="宋体" w:eastAsia="宋体" w:cs="宋体"/>
                <w:snapToGrid w:val="0"/>
                <w:color w:val="auto"/>
                <w:kern w:val="28"/>
                <w:sz w:val="24"/>
                <w:highlight w:val="none"/>
              </w:rPr>
              <w:t>样品：</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w:t>
            </w:r>
          </w:p>
          <w:p>
            <w:pP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r>
              <w:rPr>
                <w:rFonts w:hint="eastAsia" w:ascii="宋体" w:hAnsi="宋体" w:eastAsia="宋体" w:cs="宋体"/>
                <w:snapToGrid w:val="0"/>
                <w:color w:val="auto"/>
                <w:kern w:val="28"/>
                <w:sz w:val="24"/>
                <w:highlight w:val="none"/>
              </w:rPr>
              <w:t>样品制作的标准和要求：</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w:t>
            </w:r>
          </w:p>
          <w:p>
            <w:pP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（3）样品的评审方法以及评审标准</w:t>
            </w:r>
            <w:r>
              <w:rPr>
                <w:rFonts w:hint="eastAsia" w:ascii="宋体" w:hAnsi="宋体" w:eastAsia="宋体" w:cs="宋体"/>
                <w:snapToGrid w:val="0"/>
                <w:color w:val="auto"/>
                <w:kern w:val="28"/>
                <w:sz w:val="24"/>
                <w:highlight w:val="none"/>
              </w:rPr>
              <w:t>：详见</w:t>
            </w:r>
            <w:r>
              <w:rPr>
                <w:rFonts w:hint="eastAsia" w:ascii="宋体" w:hAnsi="宋体" w:eastAsia="宋体" w:cs="宋体"/>
                <w:color w:val="auto"/>
                <w:sz w:val="24"/>
                <w:highlight w:val="none"/>
                <w:u w:val="single"/>
              </w:rPr>
              <w:t>评标办法</w:t>
            </w:r>
            <w:r>
              <w:rPr>
                <w:rFonts w:hint="eastAsia" w:ascii="宋体" w:hAnsi="宋体" w:eastAsia="宋体" w:cs="宋体"/>
                <w:color w:val="auto"/>
                <w:kern w:val="0"/>
                <w:sz w:val="24"/>
                <w:highlight w:val="none"/>
              </w:rPr>
              <w:t>；</w:t>
            </w:r>
          </w:p>
          <w:p>
            <w:pP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（4）是否需要随样品提交检测报告：</w:t>
            </w:r>
            <w:sdt>
              <w:sdtPr>
                <w:rPr>
                  <w:rFonts w:hint="eastAsia" w:ascii="宋体" w:hAnsi="宋体" w:eastAsia="宋体" w:cs="宋体"/>
                  <w:color w:val="auto"/>
                  <w:kern w:val="0"/>
                  <w:sz w:val="24"/>
                  <w:highlight w:val="none"/>
                </w:rPr>
                <w:id w:val="1303421454"/>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否；</w:t>
            </w:r>
            <w:sdt>
              <w:sdtPr>
                <w:rPr>
                  <w:rFonts w:hint="eastAsia" w:ascii="宋体" w:hAnsi="宋体" w:eastAsia="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是，检测机构的要求</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；检测内容</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（5）提供样品的时间：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；地点：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；联系人</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28"/>
                <w:sz w:val="24"/>
                <w:highlight w:val="none"/>
              </w:rPr>
              <w:t>联系电话：</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。请</w:t>
            </w:r>
            <w:r>
              <w:rPr>
                <w:rFonts w:hint="eastAsia" w:ascii="宋体" w:hAnsi="宋体" w:cs="宋体"/>
                <w:color w:val="auto"/>
                <w:sz w:val="24"/>
                <w:highlight w:val="none"/>
                <w:lang w:eastAsia="zh-CN"/>
              </w:rPr>
              <w:t>供应商</w:t>
            </w:r>
            <w:r>
              <w:rPr>
                <w:rFonts w:hint="eastAsia" w:ascii="宋体" w:hAnsi="宋体" w:eastAsia="宋体" w:cs="宋体"/>
                <w:color w:val="auto"/>
                <w:sz w:val="24"/>
                <w:highlight w:val="none"/>
              </w:rPr>
              <w:t>在上述时间内提供样品并按规定位置安装完毕。超过截止时间的，采购人或采购代理机构将不予接收，并将清场并封闭样品现场。</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rPr>
                <w:rFonts w:hint="eastAsia" w:ascii="宋体" w:hAnsi="宋体" w:eastAsia="宋体" w:cs="宋体"/>
                <w:b/>
                <w:color w:val="auto"/>
                <w:sz w:val="24"/>
                <w:highlight w:val="none"/>
              </w:rPr>
            </w:pPr>
            <w:r>
              <w:rPr>
                <w:rFonts w:hint="eastAsia" w:ascii="宋体" w:hAnsi="宋体" w:eastAsia="宋体" w:cs="宋体"/>
                <w:color w:val="auto"/>
                <w:sz w:val="24"/>
                <w:highlight w:val="none"/>
              </w:rPr>
              <w:t>（7）制作、运输、安装和保管样品所发生的一切费用由</w:t>
            </w:r>
            <w:r>
              <w:rPr>
                <w:rFonts w:hint="eastAsia" w:ascii="宋体" w:hAnsi="宋体" w:cs="宋体"/>
                <w:color w:val="auto"/>
                <w:sz w:val="24"/>
                <w:highlight w:val="none"/>
                <w:lang w:eastAsia="zh-CN"/>
              </w:rPr>
              <w:t>供应商</w:t>
            </w:r>
            <w:r>
              <w:rPr>
                <w:rFonts w:hint="eastAsia" w:ascii="宋体" w:hAnsi="宋体" w:eastAsia="宋体" w:cs="宋体"/>
                <w:color w:val="auto"/>
                <w:sz w:val="24"/>
                <w:highlight w:val="none"/>
              </w:rPr>
              <w:t>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jc w:val="center"/>
        </w:trPr>
        <w:tc>
          <w:tcPr>
            <w:tcW w:w="629" w:type="dxa"/>
            <w:vAlign w:val="center"/>
          </w:tcPr>
          <w:p>
            <w:pPr>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1843" w:type="dxa"/>
            <w:vAlign w:val="center"/>
          </w:tcPr>
          <w:p>
            <w:pPr>
              <w:keepNext w:val="0"/>
              <w:keepLines w:val="0"/>
              <w:suppressLineNumbers w:val="0"/>
              <w:snapToGrid w:val="0"/>
              <w:spacing w:before="0" w:beforeAutospacing="0" w:after="0" w:afterAutospacing="0"/>
              <w:ind w:left="0" w:leftChars="0" w:right="0" w:rightChars="0"/>
              <w:jc w:val="center"/>
              <w:rPr>
                <w:rFonts w:hint="eastAsia" w:ascii="宋体" w:hAnsi="宋体" w:eastAsia="宋体" w:cs="宋体"/>
                <w:bCs/>
                <w:color w:val="auto"/>
                <w:sz w:val="24"/>
                <w:highlight w:val="none"/>
              </w:rPr>
            </w:pPr>
            <w:r>
              <w:rPr>
                <w:rFonts w:hint="eastAsia" w:ascii="宋体" w:hAnsi="宋体" w:cs="宋体"/>
                <w:b/>
                <w:color w:val="auto"/>
                <w:sz w:val="24"/>
                <w:highlight w:val="none"/>
              </w:rPr>
              <w:t>方案讲解演示</w:t>
            </w:r>
          </w:p>
        </w:tc>
        <w:tc>
          <w:tcPr>
            <w:tcW w:w="6733" w:type="dxa"/>
            <w:vAlign w:val="center"/>
          </w:tcPr>
          <w:p>
            <w:pPr>
              <w:keepNext w:val="0"/>
              <w:keepLines w:val="0"/>
              <w:suppressLineNumbers w:val="0"/>
              <w:spacing w:before="0" w:beforeAutospacing="0" w:after="0" w:afterAutospacing="0"/>
              <w:ind w:left="0" w:right="0"/>
              <w:rPr>
                <w:rFonts w:hint="default" w:ascii="宋体" w:hAnsi="宋体" w:cs="宋体"/>
                <w:color w:val="auto"/>
                <w:sz w:val="24"/>
                <w:highlight w:val="none"/>
              </w:rPr>
            </w:pPr>
            <w:sdt>
              <w:sdtPr>
                <w:rPr>
                  <w:rFonts w:hint="eastAsia" w:ascii="宋体" w:hAnsi="宋体" w:cs="宋体"/>
                  <w:color w:val="auto"/>
                  <w:kern w:val="0"/>
                  <w:sz w:val="24"/>
                  <w:highlight w:val="none"/>
                </w:rPr>
                <w:id w:val="-185934854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keepNext w:val="0"/>
              <w:keepLines w:val="0"/>
              <w:suppressLineNumbers w:val="0"/>
              <w:spacing w:before="0" w:beforeAutospacing="0" w:after="0" w:afterAutospacing="0"/>
              <w:ind w:left="0" w:right="0"/>
              <w:rPr>
                <w:rFonts w:hint="default" w:ascii="宋体" w:hAnsi="宋体" w:cs="宋体"/>
                <w:color w:val="auto"/>
                <w:kern w:val="0"/>
                <w:sz w:val="24"/>
                <w:highlight w:val="none"/>
              </w:rPr>
            </w:pPr>
            <w:sdt>
              <w:sdtPr>
                <w:rPr>
                  <w:rFonts w:hint="eastAsia" w:ascii="宋体" w:hAnsi="宋体" w:cs="宋体"/>
                  <w:color w:val="auto"/>
                  <w:kern w:val="0"/>
                  <w:sz w:val="24"/>
                  <w:highlight w:val="none"/>
                </w:rPr>
                <w:id w:val="117407171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kern w:val="0"/>
                <w:sz w:val="24"/>
                <w:highlight w:val="none"/>
              </w:rPr>
              <w:t>B组织。</w:t>
            </w:r>
          </w:p>
          <w:p>
            <w:pPr>
              <w:keepNext w:val="0"/>
              <w:keepLines w:val="0"/>
              <w:suppressLineNumbers w:val="0"/>
              <w:snapToGrid w:val="0"/>
              <w:spacing w:before="0" w:beforeAutospacing="0" w:after="0" w:afterAutospacing="0"/>
              <w:ind w:left="0" w:right="0"/>
              <w:rPr>
                <w:rFonts w:hint="default" w:ascii="宋体" w:hAnsi="宋体" w:cs="宋体"/>
                <w:color w:val="auto"/>
                <w:kern w:val="0"/>
                <w:sz w:val="24"/>
                <w:highlight w:val="none"/>
              </w:rPr>
            </w:pPr>
            <w:r>
              <w:rPr>
                <w:rFonts w:hint="eastAsia" w:ascii="宋体" w:hAnsi="宋体" w:cs="宋体"/>
                <w:color w:val="auto"/>
                <w:kern w:val="0"/>
                <w:sz w:val="24"/>
                <w:highlight w:val="none"/>
              </w:rPr>
              <w:t>（1）供应商提供讲解演示，每家单位讲解演示时间不超过</w:t>
            </w:r>
            <w:r>
              <w:rPr>
                <w:rFonts w:hint="eastAsia" w:ascii="宋体" w:hAnsi="宋体" w:cs="宋体"/>
                <w:color w:val="auto"/>
                <w:kern w:val="0"/>
                <w:sz w:val="24"/>
                <w:highlight w:val="none"/>
                <w:u w:val="single"/>
                <w:lang w:val="en-US" w:eastAsia="zh-CN"/>
              </w:rPr>
              <w:t>/</w:t>
            </w:r>
            <w:r>
              <w:rPr>
                <w:rFonts w:hint="eastAsia" w:ascii="宋体" w:hAnsi="宋体" w:cs="宋体"/>
                <w:color w:val="auto"/>
                <w:kern w:val="0"/>
                <w:sz w:val="24"/>
                <w:highlight w:val="none"/>
              </w:rPr>
              <w:t>分钟</w:t>
            </w:r>
            <w:r>
              <w:rPr>
                <w:rFonts w:hint="eastAsia" w:ascii="宋体" w:hAnsi="宋体" w:cs="宋体"/>
                <w:color w:val="auto"/>
                <w:kern w:val="0"/>
                <w:sz w:val="24"/>
                <w:highlight w:val="none"/>
                <w:lang w:eastAsia="zh-CN"/>
              </w:rPr>
              <w:t>（超时演示的，打分时直接按</w:t>
            </w:r>
            <w:r>
              <w:rPr>
                <w:rFonts w:hint="eastAsia" w:ascii="宋体" w:hAnsi="宋体" w:cs="宋体"/>
                <w:color w:val="auto"/>
                <w:kern w:val="0"/>
                <w:sz w:val="24"/>
                <w:highlight w:val="none"/>
                <w:lang w:val="en-US" w:eastAsia="zh-CN"/>
              </w:rPr>
              <w:t>/分计</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rPr>
              <w:t>，讲解</w:t>
            </w:r>
            <w:r>
              <w:rPr>
                <w:rFonts w:hint="eastAsia" w:ascii="宋体" w:hAnsi="宋体" w:cs="宋体"/>
                <w:color w:val="auto"/>
                <w:kern w:val="0"/>
                <w:sz w:val="24"/>
                <w:highlight w:val="none"/>
                <w:lang w:eastAsia="zh-CN"/>
              </w:rPr>
              <w:t>演示</w:t>
            </w:r>
            <w:r>
              <w:rPr>
                <w:rFonts w:hint="eastAsia" w:ascii="宋体" w:hAnsi="宋体" w:cs="宋体"/>
                <w:color w:val="auto"/>
                <w:kern w:val="0"/>
                <w:sz w:val="24"/>
                <w:highlight w:val="none"/>
              </w:rPr>
              <w:t>次序以供应商</w:t>
            </w:r>
            <w:r>
              <w:rPr>
                <w:rFonts w:hint="eastAsia" w:ascii="宋体" w:hAnsi="宋体" w:cs="宋体"/>
                <w:color w:val="auto"/>
                <w:kern w:val="0"/>
                <w:sz w:val="24"/>
                <w:highlight w:val="none"/>
                <w:lang w:eastAsia="zh-CN"/>
              </w:rPr>
              <w:t>在政采云平台上标书解密时间先后顺序</w:t>
            </w:r>
            <w:r>
              <w:rPr>
                <w:rFonts w:hint="eastAsia" w:ascii="宋体" w:hAnsi="宋体" w:cs="宋体"/>
                <w:color w:val="auto"/>
                <w:kern w:val="0"/>
                <w:sz w:val="24"/>
                <w:highlight w:val="none"/>
              </w:rPr>
              <w:t>为准。</w:t>
            </w:r>
          </w:p>
          <w:p>
            <w:pPr>
              <w:keepNext w:val="0"/>
              <w:keepLines w:val="0"/>
              <w:suppressLineNumbers w:val="0"/>
              <w:snapToGrid w:val="0"/>
              <w:spacing w:before="0" w:beforeAutospacing="0" w:after="0" w:afterAutospacing="0"/>
              <w:ind w:left="0" w:right="0"/>
              <w:rPr>
                <w:rFonts w:hint="default" w:ascii="宋体" w:hAnsi="宋体" w:cs="宋体"/>
                <w:color w:val="auto"/>
                <w:kern w:val="0"/>
                <w:sz w:val="24"/>
                <w:highlight w:val="none"/>
              </w:rPr>
            </w:pPr>
            <w:r>
              <w:rPr>
                <w:rFonts w:hint="eastAsia" w:ascii="宋体" w:hAnsi="宋体" w:cs="宋体"/>
                <w:color w:val="auto"/>
                <w:kern w:val="0"/>
                <w:sz w:val="24"/>
                <w:highlight w:val="none"/>
              </w:rPr>
              <w:t>（2）方案讲解演示选择以下方式：</w:t>
            </w:r>
          </w:p>
          <w:p>
            <w:pPr>
              <w:keepNext w:val="0"/>
              <w:keepLines w:val="0"/>
              <w:suppressLineNumbers w:val="0"/>
              <w:snapToGrid w:val="0"/>
              <w:spacing w:before="0" w:beforeAutospacing="0" w:after="0" w:afterAutospacing="0"/>
              <w:ind w:left="0" w:right="0"/>
              <w:rPr>
                <w:rFonts w:hint="default" w:ascii="宋体" w:hAnsi="宋体" w:cs="宋体"/>
                <w:color w:val="auto"/>
                <w:kern w:val="0"/>
                <w:sz w:val="24"/>
                <w:highlight w:val="none"/>
              </w:rPr>
            </w:pPr>
            <w:sdt>
              <w:sdtPr>
                <w:rPr>
                  <w:rFonts w:hint="eastAsia" w:ascii="宋体" w:hAnsi="宋体" w:cs="宋体"/>
                  <w:color w:val="auto"/>
                  <w:kern w:val="0"/>
                  <w:sz w:val="24"/>
                  <w:highlight w:val="none"/>
                </w:rPr>
                <w:id w:val="-1515457712"/>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方式一：政采云平台在线讲解演示。政采云平台在线讲解需供应商根据政采云平台操作要求做好准备工作，提前完善软硬件配置环境。</w:t>
            </w:r>
          </w:p>
          <w:p>
            <w:pPr>
              <w:keepNext w:val="0"/>
              <w:keepLines w:val="0"/>
              <w:suppressLineNumbers w:val="0"/>
              <w:spacing w:before="0" w:beforeAutospacing="0" w:after="0" w:afterAutospacing="0"/>
              <w:ind w:left="0" w:leftChars="0" w:right="0" w:rightChars="0"/>
              <w:rPr>
                <w:rFonts w:hint="default" w:ascii="宋体" w:hAnsi="宋体" w:eastAsia="宋体" w:cs="宋体"/>
                <w:b/>
                <w:color w:val="auto"/>
                <w:kern w:val="0"/>
                <w:sz w:val="24"/>
                <w:highlight w:val="none"/>
                <w:lang w:val="en-US" w:eastAsia="zh-CN"/>
              </w:rPr>
            </w:pPr>
            <w:sdt>
              <w:sdtPr>
                <w:rPr>
                  <w:rFonts w:hint="eastAsia" w:ascii="宋体" w:hAnsi="宋体" w:cs="宋体"/>
                  <w:color w:val="auto"/>
                  <w:kern w:val="0"/>
                  <w:sz w:val="24"/>
                  <w:highlight w:val="none"/>
                </w:rPr>
                <w:id w:val="-1333906316"/>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kern w:val="0"/>
                <w:sz w:val="24"/>
                <w:highlight w:val="none"/>
              </w:rPr>
              <w:t>方式二：</w:t>
            </w:r>
            <w:r>
              <w:rPr>
                <w:rFonts w:hint="eastAsia" w:ascii="宋体" w:hAnsi="宋体" w:cs="宋体"/>
                <w:color w:val="auto"/>
                <w:kern w:val="0"/>
                <w:sz w:val="24"/>
                <w:highlight w:val="none"/>
                <w:u w:val="singl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jc w:val="center"/>
        </w:trPr>
        <w:tc>
          <w:tcPr>
            <w:tcW w:w="629" w:type="dxa"/>
            <w:vMerge w:val="restart"/>
            <w:vAlign w:val="center"/>
          </w:tcPr>
          <w:p>
            <w:pPr>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1843" w:type="dxa"/>
            <w:vMerge w:val="restart"/>
            <w:vAlign w:val="center"/>
          </w:tcPr>
          <w:p>
            <w:pPr>
              <w:snapToGrid w:val="0"/>
              <w:jc w:val="center"/>
              <w:rPr>
                <w:rFonts w:hint="eastAsia" w:ascii="宋体" w:hAnsi="宋体" w:eastAsia="宋体" w:cs="宋体"/>
                <w:b/>
                <w:color w:val="auto"/>
                <w:sz w:val="24"/>
                <w:highlight w:val="none"/>
              </w:rPr>
            </w:pPr>
            <w:r>
              <w:rPr>
                <w:rFonts w:hint="eastAsia" w:ascii="宋体" w:hAnsi="宋体" w:cs="宋体"/>
                <w:b/>
                <w:color w:val="auto"/>
                <w:sz w:val="24"/>
                <w:highlight w:val="none"/>
                <w:lang w:eastAsia="zh-CN"/>
              </w:rPr>
              <w:t>供应商</w:t>
            </w:r>
            <w:r>
              <w:rPr>
                <w:rFonts w:hint="eastAsia" w:ascii="宋体" w:hAnsi="宋体" w:eastAsia="宋体" w:cs="宋体"/>
                <w:b/>
                <w:color w:val="auto"/>
                <w:sz w:val="24"/>
                <w:highlight w:val="none"/>
              </w:rPr>
              <w:t>应当提供的资格、资信证明文件</w:t>
            </w:r>
          </w:p>
        </w:tc>
        <w:tc>
          <w:tcPr>
            <w:tcW w:w="6733"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（1）资格证明文件：见招标文件第二部分11.1。</w:t>
            </w:r>
          </w:p>
          <w:p>
            <w:pPr>
              <w:rPr>
                <w:rFonts w:hint="eastAsia" w:ascii="宋体" w:hAnsi="宋体" w:eastAsia="宋体" w:cs="宋体"/>
                <w:snapToGrid w:val="0"/>
                <w:color w:val="auto"/>
                <w:kern w:val="0"/>
                <w:szCs w:val="21"/>
                <w:highlight w:val="none"/>
              </w:rPr>
            </w:pPr>
            <w:r>
              <w:rPr>
                <w:rFonts w:hint="eastAsia" w:ascii="宋体" w:hAnsi="宋体" w:cs="宋体"/>
                <w:color w:val="auto"/>
                <w:kern w:val="0"/>
                <w:sz w:val="24"/>
                <w:highlight w:val="none"/>
                <w:lang w:val="zh-CN"/>
              </w:rPr>
              <w:t>供应商</w:t>
            </w:r>
            <w:r>
              <w:rPr>
                <w:rFonts w:hint="eastAsia" w:ascii="宋体" w:hAnsi="宋体" w:eastAsia="宋体" w:cs="宋体"/>
                <w:color w:val="auto"/>
                <w:kern w:val="0"/>
                <w:sz w:val="24"/>
                <w:highlight w:val="none"/>
                <w:lang w:val="zh-CN"/>
              </w:rPr>
              <w:t>未提供有效的资格证明文件的，视为</w:t>
            </w:r>
            <w:r>
              <w:rPr>
                <w:rFonts w:hint="eastAsia" w:ascii="宋体" w:hAnsi="宋体" w:cs="宋体"/>
                <w:color w:val="auto"/>
                <w:kern w:val="0"/>
                <w:sz w:val="24"/>
                <w:highlight w:val="none"/>
                <w:lang w:val="zh-CN"/>
              </w:rPr>
              <w:t>供应商</w:t>
            </w:r>
            <w:r>
              <w:rPr>
                <w:rFonts w:hint="eastAsia" w:ascii="宋体" w:hAnsi="宋体" w:eastAsia="宋体" w:cs="宋体"/>
                <w:color w:val="auto"/>
                <w:kern w:val="0"/>
                <w:sz w:val="24"/>
                <w:highlight w:val="none"/>
                <w:lang w:val="zh-CN"/>
              </w:rPr>
              <w:t>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jc w:val="center"/>
        </w:trPr>
        <w:tc>
          <w:tcPr>
            <w:tcW w:w="629" w:type="dxa"/>
            <w:vMerge w:val="continue"/>
            <w:vAlign w:val="center"/>
          </w:tcPr>
          <w:p>
            <w:pPr>
              <w:snapToGrid w:val="0"/>
              <w:jc w:val="center"/>
              <w:rPr>
                <w:rFonts w:hint="eastAsia" w:ascii="宋体" w:hAnsi="宋体" w:eastAsia="宋体" w:cs="宋体"/>
                <w:color w:val="auto"/>
                <w:sz w:val="24"/>
                <w:highlight w:val="none"/>
              </w:rPr>
            </w:pPr>
          </w:p>
        </w:tc>
        <w:tc>
          <w:tcPr>
            <w:tcW w:w="1843" w:type="dxa"/>
            <w:vMerge w:val="continue"/>
            <w:vAlign w:val="center"/>
          </w:tcPr>
          <w:p>
            <w:pPr>
              <w:snapToGrid w:val="0"/>
              <w:jc w:val="center"/>
              <w:rPr>
                <w:rFonts w:hint="eastAsia" w:ascii="宋体" w:hAnsi="宋体" w:eastAsia="宋体" w:cs="宋体"/>
                <w:b/>
                <w:color w:val="auto"/>
                <w:sz w:val="24"/>
                <w:highlight w:val="none"/>
              </w:rPr>
            </w:pPr>
          </w:p>
        </w:tc>
        <w:tc>
          <w:tcPr>
            <w:tcW w:w="6733"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（2）资信证明文件：根据招标文件第四部分评标办法提供。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jc w:val="center"/>
        </w:trPr>
        <w:tc>
          <w:tcPr>
            <w:tcW w:w="629" w:type="dxa"/>
            <w:vAlign w:val="center"/>
          </w:tcPr>
          <w:p>
            <w:pPr>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1843" w:type="dxa"/>
            <w:vAlign w:val="center"/>
          </w:tcPr>
          <w:p>
            <w:pPr>
              <w:snapToGrid w:val="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节能产品、环境标志产品</w:t>
            </w:r>
          </w:p>
        </w:tc>
        <w:tc>
          <w:tcPr>
            <w:tcW w:w="6733" w:type="dxa"/>
            <w:vAlign w:val="center"/>
          </w:tcPr>
          <w:p>
            <w:pPr>
              <w:snapToGrid w:val="0"/>
              <w:rPr>
                <w:rFonts w:hint="eastAsia" w:ascii="宋体" w:hAnsi="宋体" w:eastAsia="宋体" w:cs="宋体"/>
                <w:color w:val="auto"/>
                <w:highlight w:val="none"/>
              </w:rPr>
            </w:pPr>
            <w:r>
              <w:rPr>
                <w:rFonts w:hint="eastAsia" w:ascii="宋体" w:hAnsi="宋体" w:eastAsia="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jc w:val="center"/>
        </w:trPr>
        <w:tc>
          <w:tcPr>
            <w:tcW w:w="629" w:type="dxa"/>
            <w:vAlign w:val="center"/>
          </w:tcPr>
          <w:p>
            <w:pPr>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1843" w:type="dxa"/>
            <w:vAlign w:val="center"/>
          </w:tcPr>
          <w:p>
            <w:pPr>
              <w:snapToGrid w:val="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报价要求</w:t>
            </w:r>
          </w:p>
        </w:tc>
        <w:tc>
          <w:tcPr>
            <w:tcW w:w="6733" w:type="dxa"/>
            <w:vAlign w:val="center"/>
          </w:tcPr>
          <w:p>
            <w:pPr>
              <w:snapToGrid w:val="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有关本项目实施所需的所有费用（含税费）均计入报价。</w:t>
            </w:r>
            <w:r>
              <w:rPr>
                <w:rFonts w:hint="eastAsia" w:ascii="宋体" w:hAnsi="宋体" w:eastAsia="宋体" w:cs="宋体"/>
                <w:b/>
                <w:bCs/>
                <w:color w:val="auto"/>
                <w:kern w:val="0"/>
                <w:sz w:val="24"/>
                <w:highlight w:val="none"/>
                <w:lang w:val="zh-CN"/>
              </w:rPr>
              <w:t>投标文件</w:t>
            </w:r>
            <w:r>
              <w:rPr>
                <w:rFonts w:hint="eastAsia" w:ascii="宋体" w:hAnsi="宋体" w:eastAsia="宋体" w:cs="宋体"/>
                <w:b/>
                <w:bCs/>
                <w:color w:val="auto"/>
                <w:sz w:val="24"/>
                <w:highlight w:val="none"/>
              </w:rPr>
              <w:t>开标一览表（报价表）是报价的唯一载体，如</w:t>
            </w:r>
            <w:r>
              <w:rPr>
                <w:rFonts w:hint="eastAsia" w:ascii="宋体" w:hAnsi="宋体" w:cs="宋体"/>
                <w:b/>
                <w:bCs/>
                <w:color w:val="auto"/>
                <w:sz w:val="24"/>
                <w:highlight w:val="none"/>
                <w:lang w:eastAsia="zh-CN"/>
              </w:rPr>
              <w:t>供应商</w:t>
            </w:r>
            <w:r>
              <w:rPr>
                <w:rFonts w:hint="eastAsia" w:ascii="宋体" w:hAnsi="宋体" w:eastAsia="宋体" w:cs="宋体"/>
                <w:b/>
                <w:bCs/>
                <w:color w:val="auto"/>
                <w:sz w:val="24"/>
                <w:highlight w:val="none"/>
              </w:rPr>
              <w:t>在政府采购云平台填写的投标报价与投标文件报价文件中开标一览表（报价表）不一致的，以报价文件中开标一览表（报价表）为准。</w:t>
            </w:r>
            <w:r>
              <w:rPr>
                <w:rFonts w:hint="eastAsia" w:ascii="宋体" w:hAnsi="宋体" w:eastAsia="宋体" w:cs="宋体"/>
                <w:color w:val="auto"/>
                <w:kern w:val="0"/>
                <w:sz w:val="24"/>
                <w:highlight w:val="none"/>
                <w:lang w:val="zh-CN"/>
              </w:rPr>
              <w:t>招标文件未列明，而供应商认为必需的费用也需列入报价。</w:t>
            </w:r>
            <w:r>
              <w:rPr>
                <w:rFonts w:hint="eastAsia" w:ascii="宋体" w:hAnsi="宋体" w:eastAsia="宋体" w:cs="宋体"/>
                <w:color w:val="auto"/>
                <w:kern w:val="0"/>
                <w:sz w:val="24"/>
                <w:highlight w:val="none"/>
                <w:lang w:val="zh-CN" w:eastAsia="zh-CN"/>
              </w:rPr>
              <w:t>供应商应报出包含了完成完整的一个年度保险服务</w:t>
            </w:r>
            <w:r>
              <w:rPr>
                <w:rFonts w:hint="eastAsia" w:ascii="宋体" w:hAnsi="宋体" w:eastAsia="宋体" w:cs="宋体"/>
                <w:color w:val="auto"/>
                <w:kern w:val="0"/>
                <w:sz w:val="24"/>
                <w:highlight w:val="none"/>
                <w:lang w:val="en-US" w:eastAsia="zh-CN"/>
              </w:rPr>
              <w:t>以及房屋安全动态监测</w:t>
            </w:r>
            <w:r>
              <w:rPr>
                <w:rFonts w:hint="eastAsia" w:ascii="宋体" w:hAnsi="宋体" w:eastAsia="宋体" w:cs="宋体"/>
                <w:color w:val="auto"/>
                <w:kern w:val="0"/>
                <w:sz w:val="24"/>
                <w:highlight w:val="none"/>
                <w:lang w:val="zh-CN" w:eastAsia="zh-CN"/>
              </w:rPr>
              <w:t>所需的所有费用，包括但不限于完成本项目所需的人工、设备、材料、规费及税金、政策性文件规定及合同包含的所有风险、责任等各项应有的费用</w:t>
            </w:r>
            <w:r>
              <w:rPr>
                <w:rFonts w:hint="eastAsia" w:ascii="宋体" w:hAnsi="宋体" w:eastAsia="宋体" w:cs="宋体"/>
                <w:color w:val="auto"/>
                <w:kern w:val="0"/>
                <w:sz w:val="24"/>
                <w:highlight w:val="none"/>
                <w:lang w:val="zh-CN"/>
              </w:rPr>
              <w:t>。</w:t>
            </w:r>
          </w:p>
          <w:p>
            <w:pPr>
              <w:snapToGrid w:val="0"/>
              <w:jc w:val="left"/>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投标报价出现下列情形的，投标无效：</w:t>
            </w:r>
          </w:p>
          <w:p>
            <w:pPr>
              <w:snapToGrid w:val="0"/>
              <w:ind w:firstLine="241" w:firstLineChars="100"/>
              <w:jc w:val="left"/>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投标文件出现不是唯一的、有选择性投标报价的；</w:t>
            </w:r>
          </w:p>
          <w:p>
            <w:pPr>
              <w:snapToGrid w:val="0"/>
              <w:ind w:firstLine="241" w:firstLineChars="100"/>
              <w:jc w:val="left"/>
              <w:rPr>
                <w:rFonts w:hint="eastAsia" w:ascii="宋体" w:hAnsi="宋体" w:eastAsia="宋体" w:cs="宋体"/>
                <w:color w:val="auto"/>
                <w:kern w:val="0"/>
                <w:sz w:val="24"/>
                <w:highlight w:val="none"/>
                <w:lang w:val="zh-CN"/>
              </w:rPr>
            </w:pPr>
            <w:r>
              <w:rPr>
                <w:rFonts w:hint="eastAsia" w:ascii="宋体" w:hAnsi="宋体" w:eastAsia="宋体" w:cs="宋体"/>
                <w:b/>
                <w:color w:val="auto"/>
                <w:kern w:val="0"/>
                <w:sz w:val="24"/>
                <w:highlight w:val="none"/>
                <w:lang w:val="zh-CN"/>
              </w:rPr>
              <w:t>投标报价超过招标文件中规定的预算金额或者最高限价的；</w:t>
            </w:r>
          </w:p>
          <w:p>
            <w:pPr>
              <w:ind w:firstLine="241" w:firstLineChars="100"/>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rPr>
              <w:t>报价明显低于其他通过符合性审查</w:t>
            </w:r>
            <w:r>
              <w:rPr>
                <w:rFonts w:hint="eastAsia" w:ascii="宋体" w:hAnsi="宋体" w:cs="宋体"/>
                <w:b/>
                <w:color w:val="auto"/>
                <w:kern w:val="0"/>
                <w:sz w:val="24"/>
                <w:highlight w:val="none"/>
                <w:lang w:eastAsia="zh-CN"/>
              </w:rPr>
              <w:t>供应商</w:t>
            </w:r>
            <w:r>
              <w:rPr>
                <w:rFonts w:hint="eastAsia" w:ascii="宋体" w:hAnsi="宋体" w:eastAsia="宋体" w:cs="宋体"/>
                <w:b/>
                <w:color w:val="auto"/>
                <w:kern w:val="0"/>
                <w:sz w:val="24"/>
                <w:highlight w:val="none"/>
              </w:rPr>
              <w:t>的报价，有可能影响产品质量或者不能诚信履约的，未能按要求提供书面说明或者提交相关证明材料证明其报价合理性的</w:t>
            </w:r>
            <w:r>
              <w:rPr>
                <w:rFonts w:hint="eastAsia" w:ascii="宋体" w:hAnsi="宋体" w:eastAsia="宋体" w:cs="宋体"/>
                <w:b/>
                <w:color w:val="auto"/>
                <w:sz w:val="24"/>
                <w:szCs w:val="21"/>
                <w:highlight w:val="none"/>
              </w:rPr>
              <w:t>；</w:t>
            </w:r>
          </w:p>
          <w:p>
            <w:pPr>
              <w:ind w:firstLine="241" w:firstLineChars="100"/>
              <w:rPr>
                <w:rFonts w:hint="eastAsia" w:ascii="宋体" w:hAnsi="宋体" w:eastAsia="宋体" w:cs="宋体"/>
                <w:color w:val="auto"/>
                <w:sz w:val="24"/>
                <w:highlight w:val="none"/>
              </w:rPr>
            </w:pPr>
            <w:r>
              <w:rPr>
                <w:rFonts w:hint="eastAsia" w:ascii="宋体" w:hAnsi="宋体" w:cs="宋体"/>
                <w:b/>
                <w:color w:val="auto"/>
                <w:kern w:val="0"/>
                <w:sz w:val="24"/>
                <w:highlight w:val="none"/>
                <w:lang w:eastAsia="zh-CN"/>
              </w:rPr>
              <w:t>供应商</w:t>
            </w:r>
            <w:r>
              <w:rPr>
                <w:rFonts w:hint="eastAsia" w:ascii="宋体" w:hAnsi="宋体" w:eastAsia="宋体" w:cs="宋体"/>
                <w:b/>
                <w:color w:val="auto"/>
                <w:kern w:val="0"/>
                <w:sz w:val="24"/>
                <w:highlight w:val="none"/>
              </w:rPr>
              <w:t>对根据修正原则修正后的报价不确认的</w:t>
            </w:r>
            <w:r>
              <w:rPr>
                <w:rFonts w:hint="eastAsia" w:ascii="宋体" w:hAnsi="宋体" w:eastAsia="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jc w:val="center"/>
        </w:trPr>
        <w:tc>
          <w:tcPr>
            <w:tcW w:w="629" w:type="dxa"/>
            <w:vAlign w:val="center"/>
          </w:tcPr>
          <w:p>
            <w:pPr>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1843" w:type="dxa"/>
            <w:vAlign w:val="center"/>
          </w:tcPr>
          <w:p>
            <w:pPr>
              <w:snapToGrid w:val="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中小企业</w:t>
            </w:r>
          </w:p>
          <w:p>
            <w:pPr>
              <w:snapToGrid w:val="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信用融资</w:t>
            </w:r>
          </w:p>
        </w:tc>
        <w:tc>
          <w:tcPr>
            <w:tcW w:w="6733" w:type="dxa"/>
            <w:vAlign w:val="center"/>
          </w:tcPr>
          <w:p>
            <w:pPr>
              <w:rPr>
                <w:rFonts w:hint="eastAsia" w:ascii="宋体" w:hAnsi="宋体" w:eastAsia="宋体" w:cs="宋体"/>
                <w:color w:val="auto"/>
                <w:sz w:val="24"/>
                <w:highlight w:val="none"/>
              </w:rPr>
            </w:pPr>
            <w:r>
              <w:rPr>
                <w:rFonts w:hint="eastAsia" w:ascii="宋体" w:hAnsi="宋体" w:eastAsia="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jc w:val="center"/>
        </w:trPr>
        <w:tc>
          <w:tcPr>
            <w:tcW w:w="629" w:type="dxa"/>
            <w:vAlign w:val="center"/>
          </w:tcPr>
          <w:p>
            <w:pPr>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12</w:t>
            </w:r>
          </w:p>
        </w:tc>
        <w:tc>
          <w:tcPr>
            <w:tcW w:w="1843" w:type="dxa"/>
            <w:vAlign w:val="center"/>
          </w:tcPr>
          <w:p>
            <w:pPr>
              <w:snapToGrid w:val="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备份投标文件送达时间、地点和签收人员 </w:t>
            </w:r>
          </w:p>
        </w:tc>
        <w:tc>
          <w:tcPr>
            <w:tcW w:w="6733" w:type="dxa"/>
            <w:vAlign w:val="center"/>
          </w:tcPr>
          <w:p>
            <w:pPr>
              <w:pStyle w:val="32"/>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1）邮寄送达：</w:t>
            </w:r>
          </w:p>
          <w:p>
            <w:pPr>
              <w:pStyle w:val="32"/>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各供应商在</w:t>
            </w:r>
            <w:r>
              <w:rPr>
                <w:rFonts w:hint="eastAsia" w:ascii="宋体" w:hAnsi="宋体" w:eastAsia="宋体" w:cs="宋体"/>
                <w:color w:val="auto"/>
                <w:kern w:val="0"/>
                <w:sz w:val="24"/>
                <w:highlight w:val="none"/>
              </w:rPr>
              <w:t>提交投标文件截止时间</w:t>
            </w:r>
            <w:r>
              <w:rPr>
                <w:rFonts w:hint="eastAsia" w:ascii="宋体" w:hAnsi="宋体" w:eastAsia="宋体" w:cs="宋体"/>
                <w:color w:val="auto"/>
                <w:kern w:val="28"/>
                <w:sz w:val="24"/>
                <w:szCs w:val="24"/>
                <w:highlight w:val="none"/>
              </w:rPr>
              <w:t>前一工作日17:00前将电子备份投标文件邮寄至规定地点，由采购代理工作人员进行签收，各供应商自行考虑邮寄在途时间，邮寄过程中无论何种因素导致电子备份投标文件未按时递交的后果，均由供应商自行负责。电子备份投标文件递交时间以采购代理实际收到电子备份投标文件的时间为准。</w:t>
            </w:r>
          </w:p>
          <w:p>
            <w:pPr>
              <w:pStyle w:val="32"/>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邮寄地址为：宁波市鄞州区天童南路666号中基大厦19楼业务六部；</w:t>
            </w:r>
          </w:p>
          <w:p>
            <w:pPr>
              <w:pStyle w:val="32"/>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收件人：陈健  联系方式：15306685552</w:t>
            </w:r>
          </w:p>
          <w:p>
            <w:pPr>
              <w:pStyle w:val="32"/>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请各供应商确保密封包装在邮寄过程密封包装完好，因邮寄过程的密封破损造成不符合开标要求的，本采购代理及采购人概不负责。</w:t>
            </w:r>
          </w:p>
          <w:p>
            <w:pPr>
              <w:pStyle w:val="32"/>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（2）</w:t>
            </w:r>
            <w:r>
              <w:rPr>
                <w:rFonts w:hint="eastAsia" w:hAnsi="宋体" w:cs="宋体"/>
                <w:color w:val="auto"/>
                <w:kern w:val="28"/>
                <w:sz w:val="24"/>
                <w:szCs w:val="24"/>
                <w:highlight w:val="none"/>
                <w:lang w:eastAsia="zh-CN"/>
              </w:rPr>
              <w:t>现场</w:t>
            </w:r>
            <w:r>
              <w:rPr>
                <w:rFonts w:hint="eastAsia" w:ascii="宋体" w:hAnsi="宋体" w:eastAsia="宋体" w:cs="宋体"/>
                <w:color w:val="auto"/>
                <w:kern w:val="28"/>
                <w:sz w:val="24"/>
                <w:szCs w:val="24"/>
                <w:highlight w:val="none"/>
              </w:rPr>
              <w:t>提交：</w:t>
            </w:r>
          </w:p>
          <w:p>
            <w:pPr>
              <w:pStyle w:val="32"/>
              <w:rPr>
                <w:rFonts w:hint="eastAsia" w:ascii="宋体" w:hAnsi="宋体" w:eastAsia="宋体" w:cs="宋体"/>
                <w:color w:val="auto"/>
                <w:kern w:val="28"/>
                <w:sz w:val="24"/>
                <w:szCs w:val="24"/>
                <w:highlight w:val="none"/>
              </w:rPr>
            </w:pPr>
            <w:r>
              <w:rPr>
                <w:rFonts w:hint="eastAsia" w:ascii="宋体" w:hAnsi="宋体" w:eastAsia="宋体" w:cs="宋体"/>
                <w:color w:val="auto"/>
                <w:kern w:val="0"/>
                <w:sz w:val="24"/>
                <w:highlight w:val="none"/>
              </w:rPr>
              <w:t>提交投标文件截止时间</w:t>
            </w:r>
            <w:r>
              <w:rPr>
                <w:rFonts w:hint="eastAsia" w:ascii="宋体" w:hAnsi="宋体" w:eastAsia="宋体" w:cs="宋体"/>
                <w:color w:val="auto"/>
                <w:kern w:val="28"/>
                <w:sz w:val="24"/>
                <w:szCs w:val="24"/>
                <w:highlight w:val="none"/>
              </w:rPr>
              <w:t>前送达至慈溪市公共资源交易中心二楼开标室（慈溪市南二环东路1355号，具体开标室见现场电子显示屏）；</w:t>
            </w:r>
            <w:r>
              <w:rPr>
                <w:rFonts w:hint="eastAsia" w:hAnsi="宋体" w:cs="宋体"/>
                <w:color w:val="auto"/>
                <w:kern w:val="28"/>
                <w:sz w:val="24"/>
                <w:szCs w:val="24"/>
                <w:highlight w:val="none"/>
                <w:lang w:eastAsia="zh-CN"/>
              </w:rPr>
              <w:t>联系人及</w:t>
            </w:r>
            <w:r>
              <w:rPr>
                <w:rFonts w:hint="eastAsia" w:ascii="宋体" w:hAnsi="宋体" w:eastAsia="宋体" w:cs="宋体"/>
                <w:color w:val="auto"/>
                <w:kern w:val="28"/>
                <w:sz w:val="24"/>
                <w:szCs w:val="24"/>
                <w:highlight w:val="none"/>
              </w:rPr>
              <w:t>联系电话：陈健   15306685552。</w:t>
            </w:r>
          </w:p>
          <w:p>
            <w:pPr>
              <w:pStyle w:val="32"/>
              <w:rPr>
                <w:rFonts w:hint="eastAsia" w:ascii="宋体" w:hAnsi="宋体" w:eastAsia="宋体" w:cs="宋体"/>
                <w:color w:val="auto"/>
                <w:kern w:val="28"/>
                <w:sz w:val="24"/>
                <w:highlight w:val="none"/>
              </w:rPr>
            </w:pPr>
            <w:r>
              <w:rPr>
                <w:rFonts w:hint="eastAsia" w:ascii="宋体" w:hAnsi="宋体" w:eastAsia="宋体" w:cs="宋体"/>
                <w:b/>
                <w:bCs/>
                <w:color w:val="auto"/>
                <w:kern w:val="28"/>
                <w:sz w:val="24"/>
                <w:szCs w:val="24"/>
                <w:highlight w:val="none"/>
              </w:rPr>
              <w:t>采购人、采购代理机构不强制或变相强制供应商提交备份投标文件</w:t>
            </w:r>
            <w:r>
              <w:rPr>
                <w:rFonts w:hint="eastAsia" w:ascii="宋体" w:hAnsi="宋体" w:eastAsia="宋体" w:cs="宋体"/>
                <w:b/>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jc w:val="center"/>
        </w:trPr>
        <w:tc>
          <w:tcPr>
            <w:tcW w:w="629" w:type="dxa"/>
            <w:vMerge w:val="restart"/>
            <w:vAlign w:val="center"/>
          </w:tcPr>
          <w:p>
            <w:pPr>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13</w:t>
            </w:r>
          </w:p>
        </w:tc>
        <w:tc>
          <w:tcPr>
            <w:tcW w:w="1843" w:type="dxa"/>
            <w:vMerge w:val="restart"/>
            <w:vAlign w:val="center"/>
          </w:tcPr>
          <w:p>
            <w:pPr>
              <w:snapToGrid w:val="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特别说明</w:t>
            </w:r>
          </w:p>
        </w:tc>
        <w:tc>
          <w:tcPr>
            <w:tcW w:w="6733" w:type="dxa"/>
            <w:vAlign w:val="center"/>
          </w:tcPr>
          <w:p>
            <w:pPr>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jc w:val="center"/>
        </w:trPr>
        <w:tc>
          <w:tcPr>
            <w:tcW w:w="629" w:type="dxa"/>
            <w:vMerge w:val="continue"/>
          </w:tcPr>
          <w:p>
            <w:pPr>
              <w:snapToGrid w:val="0"/>
              <w:jc w:val="center"/>
              <w:rPr>
                <w:rFonts w:hint="eastAsia" w:ascii="宋体" w:hAnsi="宋体" w:eastAsia="宋体" w:cs="宋体"/>
                <w:color w:val="auto"/>
                <w:sz w:val="24"/>
                <w:highlight w:val="none"/>
              </w:rPr>
            </w:pPr>
          </w:p>
        </w:tc>
        <w:tc>
          <w:tcPr>
            <w:tcW w:w="1843" w:type="dxa"/>
            <w:vMerge w:val="continue"/>
            <w:vAlign w:val="center"/>
          </w:tcPr>
          <w:p>
            <w:pPr>
              <w:snapToGrid w:val="0"/>
              <w:jc w:val="center"/>
              <w:rPr>
                <w:rFonts w:hint="eastAsia" w:ascii="宋体" w:hAnsi="宋体" w:eastAsia="宋体" w:cs="宋体"/>
                <w:b/>
                <w:color w:val="auto"/>
                <w:sz w:val="24"/>
                <w:highlight w:val="none"/>
              </w:rPr>
            </w:pPr>
          </w:p>
        </w:tc>
        <w:tc>
          <w:tcPr>
            <w:tcW w:w="6733" w:type="dxa"/>
            <w:vAlign w:val="center"/>
          </w:tcPr>
          <w:p>
            <w:pPr>
              <w:rPr>
                <w:rFonts w:hint="eastAsia" w:ascii="宋体" w:hAnsi="宋体" w:eastAsia="宋体" w:cs="宋体"/>
                <w:snapToGrid w:val="0"/>
                <w:color w:val="auto"/>
                <w:kern w:val="28"/>
                <w:sz w:val="24"/>
                <w:highlight w:val="none"/>
              </w:rPr>
            </w:pPr>
            <w:sdt>
              <w:sdtPr>
                <w:rPr>
                  <w:rFonts w:hint="eastAsia" w:ascii="宋体" w:hAnsi="宋体" w:eastAsia="宋体" w:cs="宋体"/>
                  <w:color w:val="auto"/>
                  <w:kern w:val="0"/>
                  <w:sz w:val="24"/>
                  <w:highlight w:val="none"/>
                </w:rPr>
                <w:id w:val="-1816336663"/>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snapToGrid w:val="0"/>
                <w:color w:val="auto"/>
                <w:kern w:val="28"/>
                <w:sz w:val="24"/>
                <w:highlight w:val="none"/>
              </w:rPr>
              <w:t>联合体投标的，联合体各方均需按招标文件第四部分评标标准要求提供资信证明文件，否则视为不符合相关要求。</w:t>
            </w:r>
          </w:p>
          <w:p>
            <w:pPr>
              <w:rPr>
                <w:rFonts w:hint="eastAsia" w:ascii="宋体" w:hAnsi="宋体" w:eastAsia="宋体" w:cs="宋体"/>
                <w:snapToGrid w:val="0"/>
                <w:color w:val="auto"/>
                <w:kern w:val="28"/>
                <w:sz w:val="24"/>
                <w:highlight w:val="none"/>
              </w:rPr>
            </w:pPr>
            <w:sdt>
              <w:sdtPr>
                <w:rPr>
                  <w:rFonts w:hint="eastAsia" w:ascii="宋体" w:hAnsi="宋体" w:eastAsia="宋体" w:cs="宋体"/>
                  <w:color w:val="auto"/>
                  <w:kern w:val="0"/>
                  <w:sz w:val="24"/>
                  <w:highlight w:val="none"/>
                </w:rPr>
                <w:id w:val="-232311894"/>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snapToGrid w:val="0"/>
                <w:color w:val="auto"/>
                <w:kern w:val="28"/>
                <w:sz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jc w:val="center"/>
        </w:trPr>
        <w:tc>
          <w:tcPr>
            <w:tcW w:w="629" w:type="dxa"/>
            <w:vAlign w:val="center"/>
          </w:tcPr>
          <w:p>
            <w:pPr>
              <w:snapToGri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14</w:t>
            </w:r>
          </w:p>
        </w:tc>
        <w:tc>
          <w:tcPr>
            <w:tcW w:w="1843" w:type="dxa"/>
            <w:vAlign w:val="center"/>
          </w:tcPr>
          <w:p>
            <w:pPr>
              <w:snapToGrid w:val="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招标代理服务费</w:t>
            </w:r>
          </w:p>
        </w:tc>
        <w:tc>
          <w:tcPr>
            <w:tcW w:w="6733" w:type="dxa"/>
            <w:vAlign w:val="center"/>
          </w:tcPr>
          <w:p>
            <w:pP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招标代理服务费的收取标准：</w:t>
            </w:r>
          </w:p>
          <w:p>
            <w:pP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招标代理服务费由本项目中标单位支付，费用</w:t>
            </w:r>
            <w:r>
              <w:rPr>
                <w:rFonts w:hint="eastAsia" w:ascii="宋体" w:hAnsi="宋体" w:cs="宋体"/>
                <w:color w:val="auto"/>
                <w:kern w:val="0"/>
                <w:sz w:val="24"/>
                <w:highlight w:val="none"/>
                <w:u w:val="single"/>
                <w:lang w:val="en-US" w:eastAsia="zh-CN"/>
              </w:rPr>
              <w:t>40000</w:t>
            </w:r>
            <w:r>
              <w:rPr>
                <w:rFonts w:hint="eastAsia" w:ascii="宋体" w:hAnsi="宋体" w:eastAsia="宋体" w:cs="宋体"/>
                <w:color w:val="auto"/>
                <w:kern w:val="0"/>
                <w:sz w:val="24"/>
                <w:highlight w:val="none"/>
              </w:rPr>
              <w:t>元</w:t>
            </w:r>
            <w:r>
              <w:rPr>
                <w:rFonts w:hint="eastAsia" w:ascii="宋体" w:hAnsi="宋体" w:cs="宋体"/>
                <w:color w:val="auto"/>
                <w:kern w:val="0"/>
                <w:sz w:val="24"/>
                <w:highlight w:val="none"/>
                <w:lang w:eastAsia="zh-CN"/>
              </w:rPr>
              <w:t>（若为联合体中标的，由联合体牵头单位统一支付）</w:t>
            </w:r>
            <w:r>
              <w:rPr>
                <w:rFonts w:hint="eastAsia" w:ascii="宋体" w:hAnsi="宋体" w:eastAsia="宋体" w:cs="宋体"/>
                <w:color w:val="auto"/>
                <w:kern w:val="0"/>
                <w:sz w:val="24"/>
                <w:highlight w:val="none"/>
              </w:rPr>
              <w:t>。</w:t>
            </w:r>
          </w:p>
          <w:p>
            <w:pP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关于本次采购的服务费汇入以下账户：</w:t>
            </w:r>
          </w:p>
          <w:p>
            <w:pP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开户银行：宁波银行科技支行</w:t>
            </w:r>
          </w:p>
          <w:p>
            <w:pP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账    号：31010122000005488</w:t>
            </w:r>
          </w:p>
          <w:p>
            <w:pP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户    名：宁波中基国际招标有限公司</w:t>
            </w:r>
          </w:p>
          <w:p>
            <w:pP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注：中标人接到本公司通知后5个工作日内向本采购代理机构领取成交通知书（根据中标人需求可采用邮寄或到采购代理机构现场领取）。</w:t>
            </w:r>
          </w:p>
        </w:tc>
      </w:tr>
    </w:tbl>
    <w:p>
      <w:pPr>
        <w:snapToGrid w:val="0"/>
        <w:spacing w:line="360" w:lineRule="auto"/>
        <w:jc w:val="center"/>
        <w:rPr>
          <w:rFonts w:hint="eastAsia" w:ascii="宋体" w:hAnsi="宋体" w:eastAsia="宋体" w:cs="宋体"/>
          <w:b/>
          <w:color w:val="auto"/>
          <w:sz w:val="32"/>
          <w:szCs w:val="20"/>
          <w:highlight w:val="none"/>
        </w:rPr>
      </w:pPr>
    </w:p>
    <w:bookmarkEnd w:id="9"/>
    <w:p>
      <w:pPr>
        <w:adjustRightInd/>
        <w:spacing w:line="360" w:lineRule="auto"/>
        <w:ind w:firstLine="3845" w:firstLineChars="1197"/>
        <w:outlineLvl w:val="0"/>
        <w:rPr>
          <w:rFonts w:hint="eastAsia" w:ascii="宋体" w:hAnsi="宋体" w:eastAsia="宋体" w:cs="宋体"/>
          <w:b/>
          <w:color w:val="auto"/>
          <w:sz w:val="32"/>
          <w:szCs w:val="20"/>
          <w:highlight w:val="none"/>
        </w:rPr>
      </w:pPr>
      <w:bookmarkStart w:id="10" w:name="_Toc164416483"/>
      <w:bookmarkStart w:id="11" w:name="第三部分"/>
    </w:p>
    <w:p>
      <w:pPr>
        <w:adjustRightInd/>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br w:type="page"/>
      </w:r>
    </w:p>
    <w:p>
      <w:pPr>
        <w:adjustRightInd/>
        <w:spacing w:line="360" w:lineRule="auto"/>
        <w:jc w:val="center"/>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一、总则</w:t>
      </w:r>
    </w:p>
    <w:p>
      <w:pPr>
        <w:snapToGrid w:val="0"/>
        <w:spacing w:line="360" w:lineRule="auto"/>
        <w:jc w:val="left"/>
        <w:outlineLvl w:val="1"/>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1.适用范围</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本招标文件适用于该项目的招标、投标、开标、资格审查及信用信息查询、评标、定标、合同、验收等行为（法律、法规另有规定的，从其规定）。</w:t>
      </w:r>
    </w:p>
    <w:p>
      <w:pPr>
        <w:snapToGrid w:val="0"/>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2.定义</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 “采购人”系指招标公告中载明的本项目的采购人。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 “采购代理机构”系指招标公告中载明的本项目的采购代理机构。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 “</w:t>
      </w:r>
      <w:r>
        <w:rPr>
          <w:rFonts w:hint="eastAsia" w:ascii="宋体" w:hAnsi="宋体" w:cs="宋体"/>
          <w:color w:val="auto"/>
          <w:sz w:val="24"/>
          <w:highlight w:val="none"/>
          <w:lang w:eastAsia="zh-CN"/>
        </w:rPr>
        <w:t>供应商</w:t>
      </w:r>
      <w:r>
        <w:rPr>
          <w:rFonts w:hint="eastAsia" w:ascii="宋体" w:hAnsi="宋体" w:eastAsia="宋体" w:cs="宋体"/>
          <w:color w:val="auto"/>
          <w:sz w:val="24"/>
          <w:highlight w:val="none"/>
        </w:rPr>
        <w:t>”系指是指响应招标、参加投标竞争的法人、其他组织或者自然人。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2.6“电子交易平台”系指本项目政府采购活动所依托的政府采购云平台（https://www.zcygov.cn/）。</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 “▲” 系指实质性要求条款，“</w:t>
      </w:r>
      <w:sdt>
        <w:sdtPr>
          <w:rPr>
            <w:rFonts w:hint="eastAsia" w:ascii="宋体" w:hAnsi="宋体" w:eastAsia="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sz w:val="24"/>
          <w:highlight w:val="none"/>
        </w:rPr>
        <w:t>” 系指适用本项目的要求，“</w:t>
      </w:r>
      <w:sdt>
        <w:sdtPr>
          <w:rPr>
            <w:rFonts w:hint="eastAsia" w:ascii="宋体" w:hAnsi="宋体" w:eastAsia="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 系指不适用本项目的要求。</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3.采购项目需要落实的政府采购政策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eastAsia="宋体" w:cs="宋体"/>
          <w:color w:val="auto"/>
          <w:kern w:val="0"/>
          <w:sz w:val="24"/>
          <w:highlight w:val="none"/>
        </w:rPr>
        <w:t>优先采购向我国企业转让技术、与我国企业签订消化吸收再创新方案的供应商的进口产品</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 支持绿色发展</w:t>
      </w: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w:t>
      </w:r>
      <w:r>
        <w:rPr>
          <w:rFonts w:hint="eastAsia" w:ascii="宋体" w:hAnsi="宋体" w:cs="宋体"/>
          <w:color w:val="auto"/>
          <w:sz w:val="24"/>
          <w:highlight w:val="none"/>
          <w:lang w:eastAsia="zh-CN"/>
        </w:rPr>
        <w:t>供应商</w:t>
      </w:r>
      <w:r>
        <w:rPr>
          <w:rFonts w:hint="eastAsia" w:ascii="宋体" w:hAnsi="宋体" w:eastAsia="宋体" w:cs="宋体"/>
          <w:color w:val="auto"/>
          <w:sz w:val="24"/>
          <w:highlight w:val="none"/>
        </w:rPr>
        <w:t>须按招标文件要求提供相关产品认证证书。</w:t>
      </w:r>
      <w:r>
        <w:rPr>
          <w:rFonts w:hint="eastAsia" w:ascii="宋体" w:hAnsi="宋体" w:eastAsia="宋体" w:cs="宋体"/>
          <w:b/>
          <w:color w:val="auto"/>
          <w:sz w:val="24"/>
          <w:highlight w:val="none"/>
        </w:rPr>
        <w:t>▲采购人拟采购的产品属于政府强制采购的节能产品品目清单范围的，</w:t>
      </w:r>
      <w:r>
        <w:rPr>
          <w:rFonts w:hint="eastAsia" w:ascii="宋体" w:hAnsi="宋体" w:cs="宋体"/>
          <w:b/>
          <w:color w:val="auto"/>
          <w:sz w:val="24"/>
          <w:highlight w:val="none"/>
          <w:lang w:eastAsia="zh-CN"/>
        </w:rPr>
        <w:t>供应商</w:t>
      </w:r>
      <w:r>
        <w:rPr>
          <w:rFonts w:hint="eastAsia" w:ascii="宋体" w:hAnsi="宋体" w:eastAsia="宋体" w:cs="宋体"/>
          <w:b/>
          <w:color w:val="auto"/>
          <w:sz w:val="24"/>
          <w:highlight w:val="none"/>
        </w:rPr>
        <w:t>相应的投标产品未获得国家确定的认证机构出具的、处于有效期之内的节能产品认证证书的，投标无效。</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3.3支持中小企业发展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bCs/>
          <w:color w:val="auto"/>
          <w:sz w:val="24"/>
          <w:highlight w:val="none"/>
        </w:rPr>
        <w:t>3.3.2</w:t>
      </w:r>
      <w:r>
        <w:rPr>
          <w:rFonts w:hint="eastAsia" w:ascii="宋体" w:hAnsi="宋体" w:eastAsia="宋体" w:cs="宋体"/>
          <w:color w:val="auto"/>
          <w:kern w:val="0"/>
          <w:sz w:val="24"/>
          <w:highlight w:val="none"/>
        </w:rPr>
        <w:t>在政府采购活动中，服务类项目采购，服务由中小企业承接，即提供服务的人员为中小企业依照《中华人民共和国劳动合同法》订立劳动合同的从业人员。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3.3.6可享受中小企业扶持政策的</w:t>
      </w:r>
      <w:r>
        <w:rPr>
          <w:rFonts w:hint="eastAsia" w:ascii="宋体" w:hAnsi="宋体" w:cs="宋体"/>
          <w:color w:val="auto"/>
          <w:sz w:val="24"/>
          <w:highlight w:val="none"/>
          <w:lang w:eastAsia="zh-CN"/>
        </w:rPr>
        <w:t>供应商</w:t>
      </w:r>
      <w:r>
        <w:rPr>
          <w:rFonts w:hint="eastAsia" w:ascii="宋体" w:hAnsi="宋体" w:eastAsia="宋体" w:cs="宋体"/>
          <w:color w:val="auto"/>
          <w:sz w:val="24"/>
          <w:highlight w:val="none"/>
        </w:rPr>
        <w:t>应按照招标文件格式要求提供《中小企业声明函》，</w:t>
      </w:r>
      <w:r>
        <w:rPr>
          <w:rFonts w:hint="eastAsia" w:ascii="宋体" w:hAnsi="宋体" w:cs="宋体"/>
          <w:color w:val="auto"/>
          <w:sz w:val="24"/>
          <w:highlight w:val="none"/>
          <w:lang w:eastAsia="zh-CN"/>
        </w:rPr>
        <w:t>供应商</w:t>
      </w:r>
      <w:r>
        <w:rPr>
          <w:rFonts w:hint="eastAsia" w:ascii="宋体" w:hAnsi="宋体" w:eastAsia="宋体" w:cs="宋体"/>
          <w:color w:val="auto"/>
          <w:sz w:val="24"/>
          <w:highlight w:val="none"/>
        </w:rPr>
        <w:t>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w:t>
      </w:r>
      <w:r>
        <w:rPr>
          <w:rFonts w:hint="eastAsia" w:ascii="宋体" w:hAnsi="宋体" w:eastAsia="宋体" w:cs="宋体"/>
          <w:bCs/>
          <w:color w:val="auto"/>
          <w:sz w:val="24"/>
          <w:highlight w:val="none"/>
        </w:rPr>
        <w:t>支持创新发展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3.4.1 采购人优先采购被认定为首台套产品和“制造精品”的自主创新产品。</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3.5平等对待内外资企业和符合条件的破产重整企业</w:t>
      </w: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平等对待内外资企业和符合条件的破产重整企业，切实保障企业公平竞争，平等维护企业的合法利益。</w:t>
      </w:r>
      <w:r>
        <w:rPr>
          <w:rFonts w:hint="eastAsia" w:ascii="宋体" w:hAnsi="宋体" w:eastAsia="宋体" w:cs="宋体"/>
          <w:color w:val="auto"/>
          <w:sz w:val="24"/>
          <w:highlight w:val="none"/>
        </w:rPr>
        <w:cr/>
      </w:r>
      <w:r>
        <w:rPr>
          <w:rFonts w:hint="eastAsia" w:ascii="宋体" w:hAnsi="宋体" w:eastAsia="宋体" w:cs="宋体"/>
          <w:b/>
          <w:color w:val="auto"/>
          <w:sz w:val="24"/>
          <w:highlight w:val="none"/>
        </w:rPr>
        <w:t>4.询问、质疑、投诉</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4.2供应商询问</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4.3供应商质疑</w:t>
      </w:r>
    </w:p>
    <w:p>
      <w:pPr>
        <w:pStyle w:val="32"/>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4.3</w:t>
      </w:r>
      <w:r>
        <w:rPr>
          <w:rFonts w:hint="eastAsia" w:ascii="宋体" w:hAnsi="宋体" w:eastAsia="宋体" w:cs="宋体"/>
          <w:color w:val="auto"/>
          <w:sz w:val="24"/>
          <w:highlight w:val="none"/>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4.3</w:t>
      </w:r>
      <w:r>
        <w:rPr>
          <w:rFonts w:hint="eastAsia" w:ascii="宋体" w:hAnsi="宋体" w:eastAsia="宋体" w:cs="宋体"/>
          <w:color w:val="auto"/>
          <w:sz w:val="24"/>
          <w:highlight w:val="none"/>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5"/>
        <w:spacing w:line="360" w:lineRule="auto"/>
        <w:ind w:firstLine="480" w:firstLineChars="200"/>
        <w:rPr>
          <w:rFonts w:hint="eastAsia" w:ascii="宋体" w:hAnsi="宋体" w:eastAsia="宋体" w:cs="宋体"/>
          <w:snapToGrid/>
          <w:color w:val="auto"/>
          <w:kern w:val="2"/>
          <w:sz w:val="24"/>
          <w:highlight w:val="none"/>
        </w:rPr>
      </w:pPr>
      <w:r>
        <w:rPr>
          <w:rFonts w:hint="eastAsia" w:ascii="宋体" w:hAnsi="宋体" w:eastAsia="宋体" w:cs="宋体"/>
          <w:snapToGrid/>
          <w:color w:val="auto"/>
          <w:kern w:val="2"/>
          <w:sz w:val="24"/>
          <w:highlight w:val="none"/>
        </w:rPr>
        <w:t>4.3.2.1对招标文件提出质疑的，质疑期限为供应商获得招标文件之日或者招标文件公告期限届满之日起计算。</w:t>
      </w:r>
    </w:p>
    <w:p>
      <w:pPr>
        <w:pStyle w:val="32"/>
        <w:spacing w:line="360" w:lineRule="auto"/>
        <w:ind w:left="479" w:leftChars="228"/>
        <w:rPr>
          <w:rFonts w:hint="eastAsia" w:ascii="宋体" w:hAnsi="宋体" w:eastAsia="宋体" w:cs="宋体"/>
          <w:color w:val="auto"/>
          <w:sz w:val="24"/>
          <w:highlight w:val="none"/>
        </w:rPr>
      </w:pPr>
      <w:r>
        <w:rPr>
          <w:rFonts w:hint="eastAsia" w:ascii="宋体" w:hAnsi="宋体" w:eastAsia="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4.3.3</w:t>
      </w:r>
      <w:r>
        <w:rPr>
          <w:rFonts w:hint="eastAsia" w:ascii="宋体" w:hAnsi="宋体" w:eastAsia="宋体" w:cs="宋体"/>
          <w:color w:val="auto"/>
          <w:sz w:val="24"/>
          <w:highlight w:val="none"/>
        </w:rPr>
        <w:t>供应商提出质疑应当提交质疑函和必要的证明材料。质疑函应当包括下列内容：</w:t>
      </w:r>
    </w:p>
    <w:p>
      <w:pPr>
        <w:pStyle w:val="32"/>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4.3.3.1供应商的姓名或者名称、地址、邮编、联系人及联系电话；</w:t>
      </w:r>
    </w:p>
    <w:p>
      <w:pPr>
        <w:pStyle w:val="32"/>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4.3.3.2质疑项目的名称、编号；</w:t>
      </w:r>
    </w:p>
    <w:p>
      <w:pPr>
        <w:pStyle w:val="32"/>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4.3.3.3具体、明确的质疑事项和与质疑事项相关的请求；</w:t>
      </w:r>
    </w:p>
    <w:p>
      <w:pPr>
        <w:pStyle w:val="32"/>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4.3.3.4事实依据；</w:t>
      </w:r>
    </w:p>
    <w:p>
      <w:pPr>
        <w:pStyle w:val="32"/>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4.3.3.5必要的法律依据；</w:t>
      </w:r>
    </w:p>
    <w:p>
      <w:pPr>
        <w:pStyle w:val="32"/>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4.3.3.6提出质疑的日期。</w:t>
      </w:r>
    </w:p>
    <w:p>
      <w:pPr>
        <w:pStyle w:val="888"/>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8"/>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质疑函范本及制作说明详见附件2。</w:t>
      </w:r>
    </w:p>
    <w:p>
      <w:pPr>
        <w:pStyle w:val="888"/>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4.3.4对同一采购程序环节的质疑，供应商须在法定质疑期内一次性提出。</w:t>
      </w:r>
    </w:p>
    <w:p>
      <w:pPr>
        <w:pStyle w:val="888"/>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lang w:val="zh-CN"/>
        </w:rPr>
        <w:t>4.3</w:t>
      </w:r>
      <w:r>
        <w:rPr>
          <w:rFonts w:hint="eastAsia" w:ascii="宋体" w:hAnsi="宋体" w:eastAsia="宋体" w:cs="宋体"/>
          <w:color w:val="auto"/>
          <w:highlight w:val="none"/>
        </w:rPr>
        <w:t>.5采购人或者采购代理机构应当在收到供应商的书面质疑后七个工作日内作出答复，并以书面形式通知质疑供应商和其他与质疑处理结果有利害关系的政府采购当事人，但答复的内容不得涉及商业秘密。根据《浙江省财政厅关于进一步加强政府采购公平竞争打造最优营商环境的通知》（浙财采监〔2021〕22号）,采购人或者采购代理机构在质疑回复后5个工作日内，在浙江政府采购网的“其他公告”栏目公开质疑答复，答复内容应当完整。质疑函作为附件上传。</w:t>
      </w:r>
    </w:p>
    <w:p>
      <w:pPr>
        <w:pStyle w:val="888"/>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lang w:val="zh-CN"/>
        </w:rPr>
        <w:t>4.3</w:t>
      </w:r>
      <w:r>
        <w:rPr>
          <w:rFonts w:hint="eastAsia" w:ascii="宋体" w:hAnsi="宋体" w:eastAsia="宋体" w:cs="宋体"/>
          <w:color w:val="auto"/>
          <w:highlight w:val="none"/>
        </w:rPr>
        <w:t>.6询问或者质疑事项可能影响采购结果的，采购人应当暂停签订合同，已经签订合同的，应当中止履行合同。</w:t>
      </w:r>
    </w:p>
    <w:p>
      <w:pPr>
        <w:pStyle w:val="888"/>
        <w:snapToGrid w:val="0"/>
        <w:spacing w:after="240" w:afterAutospacing="0" w:line="360" w:lineRule="auto"/>
        <w:ind w:firstLine="480" w:firstLineChars="200"/>
        <w:contextualSpacing/>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4.4供应商投诉</w:t>
      </w:r>
    </w:p>
    <w:p>
      <w:pPr>
        <w:pStyle w:val="888"/>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4.4.1质疑供应商对采购人、采购代理机构的答复不满意或者采购人、采购代理机构未在规定的时间内作出答复的，可以在答复期满后十五个工作日内向同级政府采购监督管理部门提出投诉。</w:t>
      </w:r>
    </w:p>
    <w:p>
      <w:pPr>
        <w:pStyle w:val="888"/>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4.4.</w:t>
      </w:r>
      <w:r>
        <w:rPr>
          <w:rFonts w:hint="eastAsia" w:ascii="宋体" w:hAnsi="宋体" w:eastAsia="宋体" w:cs="宋体"/>
          <w:color w:val="auto"/>
          <w:highlight w:val="none"/>
          <w:lang w:val="zh-CN"/>
        </w:rPr>
        <w:t>2</w:t>
      </w:r>
      <w:r>
        <w:rPr>
          <w:rFonts w:hint="eastAsia" w:ascii="宋体" w:hAnsi="宋体" w:eastAsia="宋体" w:cs="宋体"/>
          <w:color w:val="auto"/>
          <w:highlight w:val="none"/>
        </w:rPr>
        <w:t>供应商投诉的事项不得超出已质疑事项的范围，基于质疑答复内容提出的投诉事项除外。</w:t>
      </w:r>
    </w:p>
    <w:p>
      <w:pPr>
        <w:pStyle w:val="888"/>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4.4.3供应商投诉应当有明确的请求和必要的证明材料。</w:t>
      </w:r>
    </w:p>
    <w:p>
      <w:pPr>
        <w:pStyle w:val="888"/>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4.4.4以联合体形式参加政府采购活动的，其投诉应当由组成联合体的所有供应商共同提出。</w:t>
      </w:r>
    </w:p>
    <w:p>
      <w:pPr>
        <w:pStyle w:val="888"/>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4.4.5投诉材料寄送相关信息详见《第一部分  招标公告》。</w:t>
      </w:r>
    </w:p>
    <w:p>
      <w:pPr>
        <w:pStyle w:val="888"/>
        <w:snapToGrid w:val="0"/>
        <w:spacing w:after="240" w:afterAutospacing="0" w:line="360" w:lineRule="auto"/>
        <w:ind w:firstLine="400"/>
        <w:contextualSpacing/>
        <w:rPr>
          <w:rFonts w:hint="eastAsia" w:ascii="宋体" w:hAnsi="宋体" w:eastAsia="宋体" w:cs="宋体"/>
          <w:color w:val="auto"/>
          <w:sz w:val="18"/>
          <w:szCs w:val="18"/>
          <w:highlight w:val="none"/>
        </w:rPr>
      </w:pPr>
      <w:r>
        <w:rPr>
          <w:rFonts w:hint="eastAsia" w:ascii="宋体" w:hAnsi="宋体" w:eastAsia="宋体" w:cs="宋体"/>
          <w:color w:val="auto"/>
          <w:highlight w:val="none"/>
        </w:rPr>
        <w:t>投诉书范本及制作说明详见附件3。</w:t>
      </w:r>
    </w:p>
    <w:p>
      <w:pPr>
        <w:adjustRightInd/>
        <w:spacing w:line="360" w:lineRule="auto"/>
        <w:jc w:val="center"/>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二、招标文件的构成、澄清、修改</w:t>
      </w:r>
    </w:p>
    <w:p>
      <w:pPr>
        <w:pStyle w:val="32"/>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5．招标文件的构成</w:t>
      </w:r>
    </w:p>
    <w:p>
      <w:pPr>
        <w:pStyle w:val="32"/>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 招标文件包括下列文件及附件：</w:t>
      </w:r>
    </w:p>
    <w:p>
      <w:pPr>
        <w:pStyle w:val="32"/>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5.1.1招标公告；</w:t>
      </w:r>
    </w:p>
    <w:p>
      <w:pPr>
        <w:pStyle w:val="32"/>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5.1.2</w:t>
      </w:r>
      <w:r>
        <w:rPr>
          <w:rFonts w:hint="eastAsia" w:hAnsi="宋体" w:cs="宋体"/>
          <w:color w:val="auto"/>
          <w:sz w:val="24"/>
          <w:szCs w:val="24"/>
          <w:highlight w:val="none"/>
          <w:lang w:eastAsia="zh-CN"/>
        </w:rPr>
        <w:t>供应商</w:t>
      </w:r>
      <w:r>
        <w:rPr>
          <w:rFonts w:hint="eastAsia" w:ascii="宋体" w:hAnsi="宋体" w:eastAsia="宋体" w:cs="宋体"/>
          <w:color w:val="auto"/>
          <w:sz w:val="24"/>
          <w:szCs w:val="24"/>
          <w:highlight w:val="none"/>
        </w:rPr>
        <w:t>须知；</w:t>
      </w:r>
    </w:p>
    <w:p>
      <w:pPr>
        <w:pStyle w:val="32"/>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5.1.3采购需求；</w:t>
      </w:r>
    </w:p>
    <w:p>
      <w:pPr>
        <w:pStyle w:val="32"/>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5.1.4评标办法；</w:t>
      </w:r>
    </w:p>
    <w:p>
      <w:pPr>
        <w:pStyle w:val="32"/>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5.1.5拟签订的合同文本；</w:t>
      </w:r>
    </w:p>
    <w:p>
      <w:pPr>
        <w:pStyle w:val="32"/>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5.1.6</w:t>
      </w:r>
      <w:r>
        <w:rPr>
          <w:rFonts w:hint="eastAsia" w:ascii="宋体" w:hAnsi="宋体" w:eastAsia="宋体" w:cs="宋体"/>
          <w:color w:val="auto"/>
          <w:sz w:val="24"/>
          <w:szCs w:val="24"/>
          <w:highlight w:val="none"/>
        </w:rPr>
        <w:t>应提交的有关格式范例。</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5.2与本项目有关的</w:t>
      </w:r>
      <w:r>
        <w:rPr>
          <w:rFonts w:hint="eastAsia" w:ascii="宋体" w:hAnsi="宋体" w:eastAsia="宋体" w:cs="宋体"/>
          <w:bCs/>
          <w:color w:val="auto"/>
          <w:sz w:val="24"/>
          <w:highlight w:val="none"/>
        </w:rPr>
        <w:t>澄清或者修改的内容为招标文件的组成部分</w:t>
      </w:r>
      <w:r>
        <w:rPr>
          <w:rFonts w:hint="eastAsia" w:ascii="宋体" w:hAnsi="宋体" w:eastAsia="宋体" w:cs="宋体"/>
          <w:color w:val="auto"/>
          <w:sz w:val="24"/>
          <w:highlight w:val="none"/>
        </w:rPr>
        <w:t>。</w:t>
      </w:r>
    </w:p>
    <w:p>
      <w:pPr>
        <w:pStyle w:val="32"/>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6.招标文件的澄清、修改</w:t>
      </w:r>
    </w:p>
    <w:p>
      <w:pPr>
        <w:pStyle w:val="131"/>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6.1已获取招标文件的潜在</w:t>
      </w:r>
      <w:r>
        <w:rPr>
          <w:rFonts w:hint="eastAsia" w:ascii="宋体" w:hAnsi="宋体" w:cs="宋体"/>
          <w:color w:val="auto"/>
          <w:highlight w:val="none"/>
          <w:lang w:eastAsia="zh-CN"/>
        </w:rPr>
        <w:t>供应商</w:t>
      </w:r>
      <w:r>
        <w:rPr>
          <w:rFonts w:hint="eastAsia" w:ascii="宋体" w:hAnsi="宋体" w:eastAsia="宋体" w:cs="宋体"/>
          <w:color w:val="auto"/>
          <w:highlight w:val="none"/>
        </w:rPr>
        <w:t>，若有问题需要澄清，应于投标截止时间前，以书面形式向采购代理机构提出。</w:t>
      </w:r>
    </w:p>
    <w:p>
      <w:pPr>
        <w:pStyle w:val="131"/>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6.2 采购代理机构对招标文件进行澄清或修改的，将同时通过电子交易平台通知已获取招标文件的潜在</w:t>
      </w:r>
      <w:r>
        <w:rPr>
          <w:rFonts w:hint="eastAsia" w:ascii="宋体" w:hAnsi="宋体" w:cs="宋体"/>
          <w:color w:val="auto"/>
          <w:highlight w:val="none"/>
          <w:lang w:eastAsia="zh-CN"/>
        </w:rPr>
        <w:t>供应商</w:t>
      </w:r>
      <w:r>
        <w:rPr>
          <w:rFonts w:hint="eastAsia" w:ascii="宋体" w:hAnsi="宋体" w:eastAsia="宋体" w:cs="宋体"/>
          <w:color w:val="auto"/>
          <w:highlight w:val="none"/>
        </w:rPr>
        <w:t>。依法应当公告的，将按规定公告，同时视情况延长投标截止时间和开标时间。该澄清或者修改的内容为招标文件的组成部分。</w:t>
      </w:r>
    </w:p>
    <w:p>
      <w:pPr>
        <w:adjustRightInd/>
        <w:spacing w:line="360" w:lineRule="auto"/>
        <w:jc w:val="center"/>
        <w:outlineLvl w:val="0"/>
        <w:rPr>
          <w:rFonts w:hint="eastAsia" w:ascii="宋体" w:hAnsi="宋体" w:eastAsia="宋体" w:cs="宋体"/>
          <w:b/>
          <w:color w:val="auto"/>
          <w:sz w:val="30"/>
          <w:szCs w:val="20"/>
          <w:highlight w:val="none"/>
        </w:rPr>
      </w:pPr>
      <w:r>
        <w:rPr>
          <w:rFonts w:hint="eastAsia" w:ascii="宋体" w:hAnsi="宋体" w:eastAsia="宋体" w:cs="宋体"/>
          <w:b/>
          <w:color w:val="auto"/>
          <w:sz w:val="30"/>
          <w:szCs w:val="20"/>
          <w:highlight w:val="none"/>
        </w:rPr>
        <w:t>三、投标</w:t>
      </w:r>
    </w:p>
    <w:p>
      <w:pPr>
        <w:pStyle w:val="32"/>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7.招标文件的获取</w:t>
      </w:r>
    </w:p>
    <w:p>
      <w:pPr>
        <w:spacing w:line="360" w:lineRule="auto"/>
        <w:ind w:firstLine="480" w:firstLineChars="200"/>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详见招标公告中获取招标文件的时间期限、地点、方式及招标文件售价。</w:t>
      </w:r>
    </w:p>
    <w:p>
      <w:pPr>
        <w:pStyle w:val="32"/>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8.开标前答疑会或现场考察</w:t>
      </w:r>
    </w:p>
    <w:p>
      <w:pPr>
        <w:pStyle w:val="32"/>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采购人组织潜在</w:t>
      </w:r>
      <w:r>
        <w:rPr>
          <w:rFonts w:hint="eastAsia" w:hAnsi="宋体" w:cs="宋体"/>
          <w:color w:val="auto"/>
          <w:sz w:val="24"/>
          <w:szCs w:val="24"/>
          <w:highlight w:val="none"/>
          <w:lang w:eastAsia="zh-CN"/>
        </w:rPr>
        <w:t>供应商</w:t>
      </w:r>
      <w:r>
        <w:rPr>
          <w:rFonts w:hint="eastAsia" w:ascii="宋体" w:hAnsi="宋体" w:eastAsia="宋体" w:cs="宋体"/>
          <w:color w:val="auto"/>
          <w:sz w:val="24"/>
          <w:szCs w:val="24"/>
          <w:highlight w:val="none"/>
        </w:rPr>
        <w:t>现场考察或者召开开标前答疑会的，潜在</w:t>
      </w:r>
      <w:r>
        <w:rPr>
          <w:rFonts w:hint="eastAsia" w:hAnsi="宋体" w:cs="宋体"/>
          <w:color w:val="auto"/>
          <w:sz w:val="24"/>
          <w:szCs w:val="24"/>
          <w:highlight w:val="none"/>
          <w:lang w:eastAsia="zh-CN"/>
        </w:rPr>
        <w:t>供应商</w:t>
      </w:r>
      <w:r>
        <w:rPr>
          <w:rFonts w:hint="eastAsia" w:ascii="宋体" w:hAnsi="宋体" w:eastAsia="宋体" w:cs="宋体"/>
          <w:color w:val="auto"/>
          <w:sz w:val="24"/>
          <w:szCs w:val="24"/>
          <w:highlight w:val="none"/>
        </w:rPr>
        <w:t>按第二部分</w:t>
      </w:r>
      <w:r>
        <w:rPr>
          <w:rFonts w:hint="eastAsia" w:hAnsi="宋体" w:cs="宋体"/>
          <w:color w:val="auto"/>
          <w:sz w:val="24"/>
          <w:szCs w:val="24"/>
          <w:highlight w:val="none"/>
          <w:lang w:eastAsia="zh-CN"/>
        </w:rPr>
        <w:t>供应商</w:t>
      </w:r>
      <w:r>
        <w:rPr>
          <w:rFonts w:hint="eastAsia" w:ascii="宋体" w:hAnsi="宋体" w:eastAsia="宋体" w:cs="宋体"/>
          <w:color w:val="auto"/>
          <w:sz w:val="24"/>
          <w:szCs w:val="24"/>
          <w:highlight w:val="none"/>
        </w:rPr>
        <w:t>须知前附表的规定参加现场考察或者开标前答疑会。</w:t>
      </w:r>
    </w:p>
    <w:p>
      <w:pPr>
        <w:pStyle w:val="32"/>
        <w:spacing w:line="360" w:lineRule="auto"/>
        <w:rPr>
          <w:rFonts w:hint="eastAsia" w:ascii="宋体" w:hAnsi="宋体" w:eastAsia="宋体" w:cs="宋体"/>
          <w:b/>
          <w:color w:val="auto"/>
          <w:szCs w:val="24"/>
          <w:highlight w:val="none"/>
        </w:rPr>
      </w:pPr>
      <w:r>
        <w:rPr>
          <w:rFonts w:hint="eastAsia" w:ascii="宋体" w:hAnsi="宋体" w:eastAsia="宋体" w:cs="宋体"/>
          <w:b/>
          <w:color w:val="auto"/>
          <w:kern w:val="28"/>
          <w:sz w:val="24"/>
          <w:szCs w:val="24"/>
          <w:highlight w:val="none"/>
        </w:rPr>
        <w:t>9.投标保证金</w:t>
      </w:r>
    </w:p>
    <w:p>
      <w:pPr>
        <w:pStyle w:val="5"/>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本项目不需缴纳投标保证金。</w:t>
      </w:r>
    </w:p>
    <w:p>
      <w:pPr>
        <w:pStyle w:val="32"/>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10.投标文件的语言</w:t>
      </w:r>
    </w:p>
    <w:p>
      <w:pPr>
        <w:autoSpaceDE w:val="0"/>
        <w:autoSpaceDN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投标文件及</w:t>
      </w:r>
      <w:r>
        <w:rPr>
          <w:rFonts w:hint="eastAsia" w:ascii="宋体" w:hAnsi="宋体" w:cs="宋体"/>
          <w:color w:val="auto"/>
          <w:sz w:val="24"/>
          <w:highlight w:val="none"/>
          <w:lang w:eastAsia="zh-CN"/>
        </w:rPr>
        <w:t>供应商</w:t>
      </w:r>
      <w:r>
        <w:rPr>
          <w:rFonts w:hint="eastAsia" w:ascii="宋体" w:hAnsi="宋体" w:eastAsia="宋体" w:cs="宋体"/>
          <w:color w:val="auto"/>
          <w:sz w:val="24"/>
          <w:highlight w:val="none"/>
        </w:rPr>
        <w:t>与采购有关的来往通知、函件和文件均应使用中文。</w:t>
      </w:r>
    </w:p>
    <w:p>
      <w:pPr>
        <w:pStyle w:val="32"/>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11.投标文件的组成</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11.1</w:t>
      </w:r>
      <w:r>
        <w:rPr>
          <w:rFonts w:hint="eastAsia" w:ascii="宋体" w:hAnsi="宋体" w:eastAsia="宋体" w:cs="宋体"/>
          <w:b/>
          <w:color w:val="auto"/>
          <w:sz w:val="24"/>
          <w:highlight w:val="none"/>
        </w:rPr>
        <w:t>资格文件</w:t>
      </w:r>
      <w:r>
        <w:rPr>
          <w:rFonts w:hint="eastAsia" w:ascii="宋体" w:hAnsi="宋体" w:eastAsia="宋体" w:cs="宋体"/>
          <w:color w:val="auto"/>
          <w:sz w:val="24"/>
          <w:highlight w:val="none"/>
        </w:rPr>
        <w:t>：</w:t>
      </w:r>
    </w:p>
    <w:p>
      <w:pPr>
        <w:snapToGrid w:val="0"/>
        <w:spacing w:line="348"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11.1.1有效的企业法人营业执照（或事业法人登记证）、其他组织（个体工商户）的营业执照或者民办非企业单位登记证书</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提供原件扫描件或电子营业执照</w:t>
      </w:r>
      <w:r>
        <w:rPr>
          <w:rFonts w:hint="eastAsia" w:ascii="宋体" w:hAnsi="宋体" w:eastAsia="宋体" w:cs="宋体"/>
          <w:color w:val="auto"/>
          <w:sz w:val="24"/>
          <w:highlight w:val="none"/>
          <w:lang w:eastAsia="zh-CN"/>
        </w:rPr>
        <w:t>）</w:t>
      </w:r>
      <w:r>
        <w:rPr>
          <w:rFonts w:hint="eastAsia" w:ascii="宋体" w:hAnsi="宋体" w:cs="宋体"/>
          <w:color w:val="auto"/>
          <w:sz w:val="24"/>
          <w:highlight w:val="none"/>
          <w:lang w:eastAsia="zh-CN"/>
        </w:rPr>
        <w:t>，供应商如果有名称变更的，应提供由行政主管部门出具的变更证明文件；</w:t>
      </w:r>
    </w:p>
    <w:p>
      <w:pPr>
        <w:snapToGrid w:val="0"/>
        <w:spacing w:line="348" w:lineRule="auto"/>
        <w:ind w:firstLine="960" w:firstLineChars="4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11.1.2</w:t>
      </w:r>
      <w:r>
        <w:rPr>
          <w:rFonts w:hint="eastAsia" w:ascii="宋体" w:hAnsi="宋体" w:eastAsia="宋体" w:cs="宋体"/>
          <w:color w:val="auto"/>
          <w:sz w:val="24"/>
          <w:highlight w:val="none"/>
        </w:rPr>
        <w:t>符合参加政府采购活动应当具备的一般条件的承诺函；</w:t>
      </w:r>
    </w:p>
    <w:p>
      <w:pPr>
        <w:snapToGrid w:val="0"/>
        <w:spacing w:line="348"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w:t>
      </w:r>
      <w:bookmarkStart w:id="12" w:name="_Hlk101259339"/>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联合协议</w:t>
      </w:r>
      <w:bookmarkEnd w:id="12"/>
      <w:r>
        <w:rPr>
          <w:rFonts w:hint="eastAsia" w:ascii="宋体" w:hAnsi="宋体" w:eastAsia="宋体" w:cs="宋体"/>
          <w:color w:val="auto"/>
          <w:sz w:val="24"/>
          <w:highlight w:val="none"/>
        </w:rPr>
        <w:t>（如适用)；</w:t>
      </w:r>
    </w:p>
    <w:p>
      <w:pPr>
        <w:snapToGrid w:val="0"/>
        <w:spacing w:line="360" w:lineRule="auto"/>
        <w:ind w:firstLine="960" w:firstLineChars="400"/>
        <w:rPr>
          <w:rFonts w:hint="eastAsia" w:ascii="宋体" w:hAnsi="宋体" w:eastAsia="宋体" w:cs="宋体"/>
          <w:snapToGrid w:val="0"/>
          <w:color w:val="auto"/>
          <w:kern w:val="28"/>
          <w:sz w:val="24"/>
          <w:highlight w:val="none"/>
        </w:rPr>
      </w:pPr>
      <w:r>
        <w:rPr>
          <w:rFonts w:hint="eastAsia" w:ascii="宋体" w:hAnsi="宋体" w:eastAsia="宋体" w:cs="宋体"/>
          <w:color w:val="auto"/>
          <w:sz w:val="24"/>
          <w:highlight w:val="none"/>
        </w:rPr>
        <w:t>11.1.</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落实政府采购政策需满足的资格要求（如适用）</w:t>
      </w:r>
      <w:r>
        <w:rPr>
          <w:rFonts w:hint="eastAsia" w:ascii="宋体" w:hAnsi="宋体" w:eastAsia="宋体" w:cs="宋体"/>
          <w:snapToGrid w:val="0"/>
          <w:color w:val="auto"/>
          <w:kern w:val="28"/>
          <w:sz w:val="24"/>
          <w:highlight w:val="none"/>
        </w:rPr>
        <w:t>：</w:t>
      </w:r>
    </w:p>
    <w:p>
      <w:pPr>
        <w:snapToGrid w:val="0"/>
        <w:spacing w:line="348"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本项目的特定资格要求：供应商具有</w:t>
      </w:r>
      <w:r>
        <w:rPr>
          <w:rFonts w:hint="eastAsia" w:ascii="宋体" w:hAnsi="宋体" w:eastAsia="宋体" w:cs="宋体"/>
          <w:color w:val="auto"/>
          <w:sz w:val="24"/>
          <w:highlight w:val="none"/>
          <w:lang w:val="en-US" w:eastAsia="zh-CN"/>
        </w:rPr>
        <w:t>国家金融监督管理总局（原中国保险监督管理委员会）</w:t>
      </w:r>
      <w:r>
        <w:rPr>
          <w:rFonts w:hint="eastAsia" w:ascii="宋体" w:hAnsi="宋体" w:eastAsia="宋体" w:cs="宋体"/>
          <w:color w:val="auto"/>
          <w:sz w:val="24"/>
          <w:highlight w:val="none"/>
        </w:rPr>
        <w:t>颁发的《经营保险业务许可证》</w:t>
      </w:r>
      <w:r>
        <w:rPr>
          <w:rFonts w:hint="eastAsia" w:ascii="宋体" w:hAnsi="宋体" w:eastAsia="宋体" w:cs="宋体"/>
          <w:color w:val="auto"/>
          <w:sz w:val="24"/>
          <w:highlight w:val="none"/>
          <w:lang w:val="en-US" w:eastAsia="zh-CN"/>
        </w:rPr>
        <w:t>的保险公司或其分支机构</w:t>
      </w:r>
      <w:r>
        <w:rPr>
          <w:rFonts w:hint="eastAsia" w:ascii="宋体" w:hAnsi="宋体" w:eastAsia="宋体" w:cs="宋体"/>
          <w:color w:val="auto"/>
          <w:sz w:val="24"/>
          <w:highlight w:val="none"/>
        </w:rPr>
        <w:t>，许可经营范围含有财产损失险的保险业务资格，投标文件中提供证书复印件加盖公章（如以联合体形式参加政府采购活动的，联合体的牵头单位必须符合本条资格要求）；</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w:t>
      </w: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rPr>
        <w:t>业务专用章使用说明函（如适用）。</w:t>
      </w:r>
    </w:p>
    <w:p>
      <w:pPr>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11.</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 xml:space="preserve"> </w:t>
      </w:r>
      <w:r>
        <w:rPr>
          <w:rFonts w:hint="eastAsia" w:ascii="宋体" w:hAnsi="宋体" w:eastAsia="宋体" w:cs="宋体"/>
          <w:b/>
          <w:color w:val="auto"/>
          <w:sz w:val="24"/>
          <w:highlight w:val="none"/>
        </w:rPr>
        <w:t>商务技术</w:t>
      </w:r>
      <w:r>
        <w:rPr>
          <w:rFonts w:hint="eastAsia" w:ascii="宋体" w:hAnsi="宋体" w:eastAsia="宋体" w:cs="宋体"/>
          <w:b/>
          <w:color w:val="auto"/>
          <w:sz w:val="24"/>
          <w:highlight w:val="none"/>
          <w:lang w:val="zh-CN"/>
        </w:rPr>
        <w:t>文件</w:t>
      </w:r>
      <w:r>
        <w:rPr>
          <w:rFonts w:hint="eastAsia" w:ascii="宋体" w:hAnsi="宋体" w:eastAsia="宋体" w:cs="宋体"/>
          <w:color w:val="auto"/>
          <w:sz w:val="24"/>
          <w:highlight w:val="none"/>
          <w:lang w:val="zh-CN"/>
        </w:rPr>
        <w:t>：</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11.2.1投标函；</w:t>
      </w:r>
      <w:r>
        <w:rPr>
          <w:rFonts w:hint="eastAsia" w:ascii="宋体" w:hAnsi="宋体" w:eastAsia="宋体" w:cs="宋体"/>
          <w:color w:val="auto"/>
          <w:sz w:val="24"/>
          <w:highlight w:val="none"/>
          <w:lang w:val="zh-CN"/>
        </w:rPr>
        <w:t xml:space="preserve"> </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11.2.2授权委托书或法定代表人（单位负责人、自然人本人）身份证明；</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11.2.3分包意向协议（如适用）</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11.2.4符合性审查资料；</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11.2.5招标文件第四部分-评标办法：评标办法前附表中要求提供的各项方案以及相关证明材料；</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11.2.6商务技术偏离表；</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11.2.7业绩表；</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11.2.8拟投入本项目的实施团队人员一览表；</w:t>
      </w:r>
    </w:p>
    <w:p>
      <w:pPr>
        <w:snapToGrid w:val="0"/>
        <w:spacing w:line="360" w:lineRule="auto"/>
        <w:ind w:firstLine="960" w:firstLineChars="4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11.</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9</w:t>
      </w:r>
      <w:r>
        <w:rPr>
          <w:rFonts w:hint="eastAsia" w:ascii="宋体" w:hAnsi="宋体" w:eastAsia="宋体" w:cs="宋体"/>
          <w:color w:val="auto"/>
          <w:sz w:val="24"/>
          <w:highlight w:val="none"/>
          <w:lang w:val="zh-CN"/>
        </w:rPr>
        <w:t>政府采购供应商廉洁自律承诺书；</w:t>
      </w:r>
    </w:p>
    <w:p>
      <w:pPr>
        <w:snapToGrid w:val="0"/>
        <w:spacing w:line="360" w:lineRule="auto"/>
        <w:ind w:firstLine="480" w:firstLineChars="200"/>
        <w:rPr>
          <w:rFonts w:hint="eastAsia" w:ascii="宋体" w:hAnsi="宋体" w:eastAsia="宋体" w:cs="宋体"/>
          <w:color w:val="auto"/>
          <w:sz w:val="24"/>
          <w:highlight w:val="none"/>
          <w:u w:val="single"/>
          <w:lang w:val="zh-CN"/>
        </w:rPr>
      </w:pPr>
      <w:r>
        <w:rPr>
          <w:rFonts w:hint="eastAsia" w:ascii="宋体" w:hAnsi="宋体" w:eastAsia="宋体" w:cs="宋体"/>
          <w:color w:val="auto"/>
          <w:kern w:val="0"/>
          <w:sz w:val="24"/>
          <w:highlight w:val="none"/>
          <w:lang w:val="zh-CN"/>
        </w:rPr>
        <w:t>11.</w:t>
      </w:r>
      <w:r>
        <w:rPr>
          <w:rFonts w:hint="eastAsia" w:ascii="宋体" w:hAnsi="宋体" w:eastAsia="宋体" w:cs="宋体"/>
          <w:color w:val="auto"/>
          <w:kern w:val="0"/>
          <w:sz w:val="24"/>
          <w:highlight w:val="none"/>
        </w:rPr>
        <w:t>3</w:t>
      </w:r>
      <w:r>
        <w:rPr>
          <w:rFonts w:hint="eastAsia" w:ascii="宋体" w:hAnsi="宋体" w:eastAsia="宋体" w:cs="宋体"/>
          <w:b/>
          <w:color w:val="auto"/>
          <w:sz w:val="24"/>
          <w:highlight w:val="none"/>
        </w:rPr>
        <w:t>报价文件：</w:t>
      </w:r>
      <w:r>
        <w:rPr>
          <w:rFonts w:hint="eastAsia" w:ascii="宋体" w:hAnsi="宋体" w:eastAsia="宋体" w:cs="宋体"/>
          <w:color w:val="auto"/>
          <w:sz w:val="24"/>
          <w:highlight w:val="none"/>
        </w:rPr>
        <w:t xml:space="preserve"> </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11.3.1开标一览表（报价表）；</w:t>
      </w:r>
    </w:p>
    <w:p>
      <w:pPr>
        <w:snapToGrid w:val="0"/>
        <w:spacing w:line="360" w:lineRule="auto"/>
        <w:ind w:firstLine="960" w:firstLineChars="4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11.3.2投标报价明细表；</w:t>
      </w:r>
    </w:p>
    <w:p>
      <w:pPr>
        <w:snapToGrid w:val="0"/>
        <w:spacing w:line="360" w:lineRule="auto"/>
        <w:ind w:firstLine="960" w:firstLineChars="4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11.3.</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中小企业声明函（如是，请提供）</w:t>
      </w:r>
      <w:r>
        <w:rPr>
          <w:rFonts w:hint="eastAsia" w:ascii="宋体" w:hAnsi="宋体" w:cs="宋体"/>
          <w:color w:val="auto"/>
          <w:sz w:val="24"/>
          <w:highlight w:val="none"/>
          <w:lang w:eastAsia="zh-CN"/>
        </w:rPr>
        <w:t>；</w:t>
      </w:r>
    </w:p>
    <w:p>
      <w:pPr>
        <w:snapToGrid w:val="0"/>
        <w:spacing w:line="360" w:lineRule="auto"/>
        <w:ind w:firstLine="960" w:firstLineChars="4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11.3.</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供应商为监狱企业的证明文件：省级以上监狱管理局、戒毒管理局（含新疆生产建设兵团）出具（如是，请提供）</w:t>
      </w:r>
      <w:r>
        <w:rPr>
          <w:rFonts w:hint="eastAsia" w:ascii="宋体" w:hAnsi="宋体" w:cs="宋体"/>
          <w:color w:val="auto"/>
          <w:sz w:val="24"/>
          <w:highlight w:val="none"/>
          <w:lang w:eastAsia="zh-CN"/>
        </w:rPr>
        <w:t>；</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11.3.</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残疾人福利性单位声明函（如是，请提供）。</w:t>
      </w:r>
    </w:p>
    <w:p>
      <w:pPr>
        <w:spacing w:line="360" w:lineRule="auto"/>
        <w:ind w:firstLine="723" w:firstLineChars="3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投标文件含有采购人不能接受的附加条件的，投标无效；</w:t>
      </w:r>
    </w:p>
    <w:p>
      <w:pPr>
        <w:spacing w:line="360" w:lineRule="auto"/>
        <w:ind w:firstLine="723" w:firstLineChars="300"/>
        <w:rPr>
          <w:rFonts w:hint="eastAsia" w:ascii="宋体" w:hAnsi="宋体" w:eastAsia="宋体" w:cs="宋体"/>
          <w:b/>
          <w:color w:val="auto"/>
          <w:sz w:val="24"/>
          <w:szCs w:val="21"/>
          <w:highlight w:val="none"/>
        </w:rPr>
      </w:pPr>
      <w:r>
        <w:rPr>
          <w:rFonts w:hint="eastAsia" w:ascii="宋体" w:hAnsi="宋体" w:cs="宋体"/>
          <w:b/>
          <w:color w:val="auto"/>
          <w:sz w:val="24"/>
          <w:highlight w:val="none"/>
          <w:lang w:eastAsia="zh-CN"/>
        </w:rPr>
        <w:t>供应商</w:t>
      </w:r>
      <w:r>
        <w:rPr>
          <w:rFonts w:hint="eastAsia" w:ascii="宋体" w:hAnsi="宋体" w:eastAsia="宋体" w:cs="宋体"/>
          <w:b/>
          <w:color w:val="auto"/>
          <w:sz w:val="24"/>
          <w:highlight w:val="none"/>
        </w:rPr>
        <w:t>提供虚假材料投标的，投标无效。</w:t>
      </w:r>
    </w:p>
    <w:p>
      <w:pPr>
        <w:pStyle w:val="131"/>
        <w:snapToGrid w:val="0"/>
        <w:spacing w:before="0"/>
        <w:ind w:firstLine="0" w:firstLineChars="0"/>
        <w:outlineLvl w:val="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12</w:t>
      </w:r>
      <w:r>
        <w:rPr>
          <w:rFonts w:hint="eastAsia" w:ascii="宋体" w:hAnsi="宋体" w:eastAsia="宋体" w:cs="宋体"/>
          <w:b/>
          <w:color w:val="auto"/>
          <w:kern w:val="0"/>
          <w:szCs w:val="24"/>
          <w:highlight w:val="none"/>
          <w:lang w:val="zh-CN"/>
        </w:rPr>
        <w:t>.</w:t>
      </w:r>
      <w:r>
        <w:rPr>
          <w:rFonts w:hint="eastAsia" w:ascii="宋体" w:hAnsi="宋体" w:eastAsia="宋体" w:cs="宋体"/>
          <w:b/>
          <w:color w:val="auto"/>
          <w:szCs w:val="24"/>
          <w:highlight w:val="none"/>
        </w:rPr>
        <w:t>投标文件的编制</w:t>
      </w: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kern w:val="0"/>
          <w:sz w:val="24"/>
          <w:highlight w:val="none"/>
          <w:lang w:val="zh-CN"/>
        </w:rPr>
        <w:t>12.1投标文件分为资格文件、商务技术文件、报价文件三部分。各</w:t>
      </w:r>
      <w:r>
        <w:rPr>
          <w:rFonts w:hint="eastAsia" w:ascii="宋体" w:hAnsi="宋体" w:cs="宋体"/>
          <w:color w:val="auto"/>
          <w:kern w:val="0"/>
          <w:sz w:val="24"/>
          <w:highlight w:val="none"/>
          <w:lang w:val="zh-CN"/>
        </w:rPr>
        <w:t>供应商</w:t>
      </w:r>
      <w:r>
        <w:rPr>
          <w:rFonts w:hint="eastAsia" w:ascii="宋体" w:hAnsi="宋体" w:eastAsia="宋体" w:cs="宋体"/>
          <w:color w:val="auto"/>
          <w:kern w:val="0"/>
          <w:sz w:val="24"/>
          <w:highlight w:val="none"/>
          <w:lang w:val="zh-CN"/>
        </w:rPr>
        <w:t>在编制投标文件时请按照招标文件第六部分规定的格式进行，混乱的编排导致投标文件被误读或评标委员会查找不到有效文件是</w:t>
      </w:r>
      <w:r>
        <w:rPr>
          <w:rFonts w:hint="eastAsia" w:ascii="宋体" w:hAnsi="宋体" w:cs="宋体"/>
          <w:color w:val="auto"/>
          <w:kern w:val="0"/>
          <w:sz w:val="24"/>
          <w:highlight w:val="none"/>
          <w:lang w:val="zh-CN"/>
        </w:rPr>
        <w:t>供应商</w:t>
      </w:r>
      <w:r>
        <w:rPr>
          <w:rFonts w:hint="eastAsia" w:ascii="宋体" w:hAnsi="宋体" w:eastAsia="宋体" w:cs="宋体"/>
          <w:color w:val="auto"/>
          <w:kern w:val="0"/>
          <w:sz w:val="24"/>
          <w:highlight w:val="none"/>
          <w:lang w:val="zh-CN"/>
        </w:rPr>
        <w:t>的风险。</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12.2</w:t>
      </w:r>
      <w:r>
        <w:rPr>
          <w:rFonts w:hint="eastAsia" w:ascii="宋体" w:hAnsi="宋体" w:cs="宋体"/>
          <w:color w:val="auto"/>
          <w:kern w:val="0"/>
          <w:sz w:val="24"/>
          <w:highlight w:val="none"/>
          <w:lang w:val="zh-CN"/>
        </w:rPr>
        <w:t>供应商</w:t>
      </w:r>
      <w:r>
        <w:rPr>
          <w:rFonts w:hint="eastAsia" w:ascii="宋体" w:hAnsi="宋体" w:eastAsia="宋体" w:cs="宋体"/>
          <w:color w:val="auto"/>
          <w:kern w:val="0"/>
          <w:sz w:val="24"/>
          <w:highlight w:val="none"/>
          <w:lang w:val="zh-CN"/>
        </w:rPr>
        <w:t>进行电子投标应安装客户端软件—“政采云电子交易客户端”，并按照招标文件和电子交易平台的要求编制并加密投标文件。</w:t>
      </w:r>
      <w:r>
        <w:rPr>
          <w:rFonts w:hint="eastAsia" w:ascii="宋体" w:hAnsi="宋体" w:cs="宋体"/>
          <w:color w:val="auto"/>
          <w:kern w:val="0"/>
          <w:sz w:val="24"/>
          <w:highlight w:val="none"/>
          <w:lang w:val="zh-CN"/>
        </w:rPr>
        <w:t>供应商</w:t>
      </w:r>
      <w:r>
        <w:rPr>
          <w:rFonts w:hint="eastAsia" w:ascii="宋体" w:hAnsi="宋体" w:eastAsia="宋体" w:cs="宋体"/>
          <w:color w:val="auto"/>
          <w:kern w:val="0"/>
          <w:sz w:val="24"/>
          <w:highlight w:val="none"/>
          <w:lang w:val="zh-CN"/>
        </w:rPr>
        <w:t>未按规定加密的投标文件，电子交易平台将拒收并提示。</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13.投标文件的签署、盖章</w:t>
      </w:r>
    </w:p>
    <w:p>
      <w:pPr>
        <w:pStyle w:val="131"/>
        <w:snapToGrid w:val="0"/>
        <w:spacing w:before="0"/>
        <w:ind w:firstLine="480"/>
        <w:rPr>
          <w:rFonts w:hint="eastAsia" w:ascii="宋体" w:hAnsi="宋体" w:eastAsia="宋体" w:cs="宋体"/>
          <w:color w:val="auto"/>
          <w:highlight w:val="none"/>
          <w:lang w:eastAsia="zh-CN"/>
        </w:rPr>
      </w:pPr>
      <w:r>
        <w:rPr>
          <w:rFonts w:hint="eastAsia" w:ascii="宋体" w:hAnsi="宋体" w:eastAsia="宋体" w:cs="宋体"/>
          <w:color w:val="auto"/>
          <w:szCs w:val="24"/>
          <w:highlight w:val="none"/>
        </w:rPr>
        <w:t>13.1投标文件按照招标文件第六部分格式要</w:t>
      </w:r>
      <w:r>
        <w:rPr>
          <w:rFonts w:hint="eastAsia" w:ascii="宋体" w:hAnsi="宋体" w:eastAsia="宋体" w:cs="宋体"/>
          <w:color w:val="auto"/>
          <w:highlight w:val="none"/>
        </w:rPr>
        <w:t>求进行签署、盖章。除银行、保险、石油石化、电力、电信等特殊行业允许分公司投标外，其余法人的分支机构不允许参加投标，分支机构参加本项目投标并由分支构负责人签署的相关投标资料与本招标文件规定由法定代表人签署的的文件材料具有同等效力</w:t>
      </w:r>
      <w:r>
        <w:rPr>
          <w:rFonts w:hint="eastAsia" w:ascii="宋体" w:hAnsi="宋体" w:cs="宋体"/>
          <w:color w:val="auto"/>
          <w:highlight w:val="none"/>
          <w:lang w:eastAsia="zh-CN"/>
        </w:rPr>
        <w:t>。</w:t>
      </w:r>
    </w:p>
    <w:p>
      <w:pPr>
        <w:pStyle w:val="131"/>
        <w:snapToGrid w:val="0"/>
        <w:spacing w:before="0"/>
        <w:ind w:firstLine="480"/>
        <w:rPr>
          <w:rFonts w:hint="eastAsia" w:ascii="宋体" w:hAnsi="宋体" w:eastAsia="宋体" w:cs="宋体"/>
          <w:b/>
          <w:color w:val="auto"/>
          <w:highlight w:val="none"/>
        </w:rPr>
      </w:pPr>
      <w:r>
        <w:rPr>
          <w:rFonts w:hint="eastAsia" w:ascii="宋体" w:hAnsi="宋体" w:eastAsia="宋体" w:cs="宋体"/>
          <w:b/>
          <w:color w:val="auto"/>
          <w:highlight w:val="none"/>
        </w:rPr>
        <w:t>▲</w:t>
      </w:r>
      <w:r>
        <w:rPr>
          <w:rFonts w:hint="eastAsia" w:ascii="宋体" w:hAnsi="宋体" w:cs="宋体"/>
          <w:b/>
          <w:color w:val="auto"/>
          <w:highlight w:val="none"/>
          <w:lang w:eastAsia="zh-CN"/>
        </w:rPr>
        <w:t>供应商</w:t>
      </w:r>
      <w:r>
        <w:rPr>
          <w:rFonts w:hint="eastAsia" w:ascii="宋体" w:hAnsi="宋体" w:eastAsia="宋体" w:cs="宋体"/>
          <w:b/>
          <w:color w:val="auto"/>
          <w:highlight w:val="none"/>
        </w:rPr>
        <w:t>的投标文件未按照招标文件要求签署、盖章的，其投标无效</w:t>
      </w:r>
      <w:r>
        <w:rPr>
          <w:rFonts w:hint="eastAsia" w:ascii="宋体" w:hAnsi="宋体" w:eastAsia="宋体" w:cs="宋体"/>
          <w:color w:val="auto"/>
          <w:szCs w:val="24"/>
          <w:highlight w:val="none"/>
        </w:rPr>
        <w:t>。</w:t>
      </w:r>
    </w:p>
    <w:p>
      <w:pPr>
        <w:pStyle w:val="131"/>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13.2为确保网上操作合法、有效和安全，</w:t>
      </w:r>
      <w:r>
        <w:rPr>
          <w:rFonts w:hint="eastAsia" w:ascii="宋体" w:hAnsi="宋体" w:cs="宋体"/>
          <w:color w:val="auto"/>
          <w:highlight w:val="none"/>
          <w:lang w:eastAsia="zh-CN"/>
        </w:rPr>
        <w:t>供应商</w:t>
      </w:r>
      <w:r>
        <w:rPr>
          <w:rFonts w:hint="eastAsia" w:ascii="宋体" w:hAnsi="宋体" w:eastAsia="宋体" w:cs="宋体"/>
          <w:color w:val="auto"/>
          <w:highlight w:val="none"/>
        </w:rPr>
        <w:t>应当在投标截止时间前完成在“政府采购云平台”的身份认证，确保在电子投标过程中能够对相关数据电文进行加密和使用电子签名。</w:t>
      </w:r>
    </w:p>
    <w:p>
      <w:pPr>
        <w:pStyle w:val="131"/>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highlight w:val="none"/>
        </w:rPr>
        <w:t>13.3招标文件对投标文件签署、盖章的要求适用于电子签名。</w:t>
      </w:r>
    </w:p>
    <w:p>
      <w:pPr>
        <w:pStyle w:val="131"/>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14.投标文件的提交、补充、修改、撤回</w:t>
      </w:r>
    </w:p>
    <w:p>
      <w:pPr>
        <w:pStyle w:val="131"/>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1"/>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1"/>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14.3采购人、采购代理机构可以视情况延长投标文件提交的截止时间。在上述情况下，采购代理机构与</w:t>
      </w:r>
      <w:r>
        <w:rPr>
          <w:rFonts w:hint="eastAsia" w:ascii="宋体" w:hAnsi="宋体" w:cs="宋体"/>
          <w:color w:val="auto"/>
          <w:szCs w:val="24"/>
          <w:highlight w:val="none"/>
          <w:lang w:eastAsia="zh-CN"/>
        </w:rPr>
        <w:t>供应商</w:t>
      </w:r>
      <w:r>
        <w:rPr>
          <w:rFonts w:hint="eastAsia" w:ascii="宋体" w:hAnsi="宋体" w:eastAsia="宋体" w:cs="宋体"/>
          <w:color w:val="auto"/>
          <w:szCs w:val="24"/>
          <w:highlight w:val="none"/>
        </w:rPr>
        <w:t>以前在投标截止期方面的全部权利、责任和义务，将适用于延长至新的投标截止期。</w:t>
      </w:r>
    </w:p>
    <w:p>
      <w:pPr>
        <w:pStyle w:val="32"/>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15.备份投标文件（文件后缀为：bfbs）</w:t>
      </w:r>
    </w:p>
    <w:p>
      <w:pPr>
        <w:pStyle w:val="32"/>
        <w:spacing w:line="360" w:lineRule="auto"/>
        <w:ind w:firstLine="360" w:firstLineChars="15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15.1</w:t>
      </w:r>
      <w:r>
        <w:rPr>
          <w:rFonts w:hint="eastAsia" w:hAnsi="宋体" w:cs="宋体"/>
          <w:color w:val="auto"/>
          <w:sz w:val="24"/>
          <w:szCs w:val="24"/>
          <w:highlight w:val="none"/>
          <w:lang w:eastAsia="zh-CN"/>
        </w:rPr>
        <w:t>供应商</w:t>
      </w:r>
      <w:r>
        <w:rPr>
          <w:rFonts w:hint="eastAsia" w:ascii="宋体" w:hAnsi="宋体" w:eastAsia="宋体" w:cs="宋体"/>
          <w:color w:val="auto"/>
          <w:sz w:val="24"/>
          <w:szCs w:val="24"/>
          <w:highlight w:val="none"/>
        </w:rPr>
        <w:t>在电子交易平台传输递交投标文件后，还可以在投标截止时间前直接提交或者以邮政快递方式递交备份投标文件1份，</w:t>
      </w:r>
      <w:r>
        <w:rPr>
          <w:rFonts w:hint="eastAsia" w:ascii="宋体" w:hAnsi="宋体" w:eastAsia="宋体" w:cs="宋体"/>
          <w:b/>
          <w:color w:val="auto"/>
          <w:sz w:val="24"/>
          <w:szCs w:val="24"/>
          <w:highlight w:val="none"/>
        </w:rPr>
        <w:t>但采购人、采购代理机构不强制或变相强制</w:t>
      </w:r>
      <w:r>
        <w:rPr>
          <w:rFonts w:hint="eastAsia" w:hAnsi="宋体" w:cs="宋体"/>
          <w:b/>
          <w:color w:val="auto"/>
          <w:sz w:val="24"/>
          <w:szCs w:val="24"/>
          <w:highlight w:val="none"/>
          <w:lang w:eastAsia="zh-CN"/>
        </w:rPr>
        <w:t>供应商</w:t>
      </w:r>
      <w:r>
        <w:rPr>
          <w:rFonts w:hint="eastAsia" w:ascii="宋体" w:hAnsi="宋体" w:eastAsia="宋体" w:cs="宋体"/>
          <w:b/>
          <w:color w:val="auto"/>
          <w:sz w:val="24"/>
          <w:szCs w:val="24"/>
          <w:highlight w:val="none"/>
        </w:rPr>
        <w:t>提交备份投标文件。</w:t>
      </w:r>
    </w:p>
    <w:p>
      <w:pPr>
        <w:pStyle w:val="32"/>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15.2备份投标文件须在“政采云投标客户端”制作生成，并储存在</w:t>
      </w:r>
      <w:r>
        <w:rPr>
          <w:rFonts w:hint="eastAsia" w:ascii="宋体" w:hAnsi="宋体" w:eastAsia="宋体" w:cs="宋体"/>
          <w:color w:val="auto"/>
          <w:sz w:val="24"/>
          <w:highlight w:val="none"/>
        </w:rPr>
        <w:t>U盘</w:t>
      </w:r>
      <w:r>
        <w:rPr>
          <w:rFonts w:hint="eastAsia" w:ascii="宋体" w:hAnsi="宋体" w:eastAsia="宋体" w:cs="宋体"/>
          <w:color w:val="auto"/>
          <w:sz w:val="24"/>
          <w:szCs w:val="24"/>
          <w:highlight w:val="none"/>
        </w:rPr>
        <w:t>中。备份投标文件应当密封包装并在包装上加盖公章并注明投标项目名称，</w:t>
      </w:r>
      <w:r>
        <w:rPr>
          <w:rFonts w:hint="eastAsia" w:hAnsi="宋体" w:cs="宋体"/>
          <w:color w:val="auto"/>
          <w:sz w:val="24"/>
          <w:szCs w:val="24"/>
          <w:highlight w:val="none"/>
          <w:lang w:eastAsia="zh-CN"/>
        </w:rPr>
        <w:t>供应商</w:t>
      </w:r>
      <w:r>
        <w:rPr>
          <w:rFonts w:hint="eastAsia" w:ascii="宋体" w:hAnsi="宋体" w:eastAsia="宋体" w:cs="宋体"/>
          <w:color w:val="auto"/>
          <w:sz w:val="24"/>
          <w:szCs w:val="24"/>
          <w:highlight w:val="none"/>
        </w:rPr>
        <w:t>名称(联合体投标的，包装物封面需注明联合体投标，并注明联合体成员各方的名称和联合协议中约定的牵头人的名称)。</w:t>
      </w:r>
      <w:r>
        <w:rPr>
          <w:rFonts w:hint="eastAsia" w:ascii="宋体" w:hAnsi="宋体" w:eastAsia="宋体" w:cs="宋体"/>
          <w:b/>
          <w:color w:val="auto"/>
          <w:sz w:val="24"/>
          <w:highlight w:val="none"/>
        </w:rPr>
        <w:t>不符合上述制作、</w:t>
      </w:r>
      <w:r>
        <w:rPr>
          <w:rFonts w:hint="eastAsia" w:ascii="宋体" w:hAnsi="宋体" w:eastAsia="宋体" w:cs="宋体"/>
          <w:b/>
          <w:color w:val="auto"/>
          <w:sz w:val="24"/>
          <w:szCs w:val="24"/>
          <w:highlight w:val="none"/>
        </w:rPr>
        <w:t>存储、密封规定的备份投标文件将被视为无效或者被拒绝接收。</w:t>
      </w:r>
    </w:p>
    <w:p>
      <w:pPr>
        <w:pStyle w:val="32"/>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15.3直接提交备份投标文件的，</w:t>
      </w:r>
      <w:r>
        <w:rPr>
          <w:rFonts w:hint="eastAsia" w:hAnsi="宋体" w:cs="宋体"/>
          <w:color w:val="auto"/>
          <w:sz w:val="24"/>
          <w:szCs w:val="24"/>
          <w:highlight w:val="none"/>
          <w:lang w:eastAsia="zh-CN"/>
        </w:rPr>
        <w:t>供应商</w:t>
      </w:r>
      <w:r>
        <w:rPr>
          <w:rFonts w:hint="eastAsia" w:ascii="宋体" w:hAnsi="宋体" w:eastAsia="宋体" w:cs="宋体"/>
          <w:color w:val="auto"/>
          <w:sz w:val="24"/>
          <w:szCs w:val="24"/>
          <w:highlight w:val="none"/>
        </w:rPr>
        <w:t>应于投标截止时间前在</w:t>
      </w:r>
      <w:r>
        <w:rPr>
          <w:rFonts w:hint="eastAsia" w:ascii="宋体" w:hAnsi="宋体" w:eastAsia="宋体" w:cs="宋体"/>
          <w:snapToGrid/>
          <w:color w:val="auto"/>
          <w:sz w:val="24"/>
          <w:szCs w:val="24"/>
          <w:highlight w:val="none"/>
        </w:rPr>
        <w:t>招标文件第二部分</w:t>
      </w:r>
      <w:r>
        <w:rPr>
          <w:rFonts w:hint="eastAsia" w:hAnsi="宋体" w:cs="宋体"/>
          <w:snapToGrid/>
          <w:color w:val="auto"/>
          <w:sz w:val="24"/>
          <w:szCs w:val="24"/>
          <w:highlight w:val="none"/>
          <w:lang w:eastAsia="zh-CN"/>
        </w:rPr>
        <w:t>供应商</w:t>
      </w:r>
      <w:r>
        <w:rPr>
          <w:rFonts w:hint="eastAsia" w:ascii="宋体" w:hAnsi="宋体" w:eastAsia="宋体" w:cs="宋体"/>
          <w:snapToGrid/>
          <w:color w:val="auto"/>
          <w:sz w:val="24"/>
          <w:szCs w:val="24"/>
          <w:highlight w:val="none"/>
        </w:rPr>
        <w:t>须知前附表规定的备份投标文件送达地点</w:t>
      </w:r>
      <w:r>
        <w:rPr>
          <w:rFonts w:hint="eastAsia" w:ascii="宋体" w:hAnsi="宋体" w:eastAsia="宋体" w:cs="宋体"/>
          <w:color w:val="auto"/>
          <w:sz w:val="24"/>
          <w:szCs w:val="24"/>
          <w:highlight w:val="none"/>
        </w:rPr>
        <w:t>将备份投标文件提交给采购代理机构，采购代理机构将拒绝接受逾期送达的备份投标文件。</w:t>
      </w:r>
    </w:p>
    <w:p>
      <w:pPr>
        <w:pStyle w:val="32"/>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15.4以邮政快递方式递交备份投标文件的，</w:t>
      </w:r>
      <w:r>
        <w:rPr>
          <w:rFonts w:hint="eastAsia" w:hAnsi="宋体" w:cs="宋体"/>
          <w:color w:val="auto"/>
          <w:sz w:val="24"/>
          <w:szCs w:val="24"/>
          <w:highlight w:val="none"/>
          <w:lang w:eastAsia="zh-CN"/>
        </w:rPr>
        <w:t>供应商</w:t>
      </w:r>
      <w:r>
        <w:rPr>
          <w:rFonts w:hint="eastAsia" w:ascii="宋体" w:hAnsi="宋体" w:eastAsia="宋体" w:cs="宋体"/>
          <w:color w:val="auto"/>
          <w:sz w:val="24"/>
          <w:szCs w:val="24"/>
          <w:highlight w:val="none"/>
        </w:rPr>
        <w:t>应先将备份投标文件按要求密封和标记，再进行邮政快递包装后邮寄。备份投标文件须在</w:t>
      </w:r>
      <w:r>
        <w:rPr>
          <w:rFonts w:hint="eastAsia" w:ascii="宋体" w:hAnsi="宋体" w:eastAsia="宋体" w:cs="宋体"/>
          <w:snapToGrid/>
          <w:color w:val="auto"/>
          <w:sz w:val="24"/>
          <w:szCs w:val="24"/>
          <w:highlight w:val="none"/>
        </w:rPr>
        <w:t>第二部分</w:t>
      </w:r>
      <w:r>
        <w:rPr>
          <w:rFonts w:hint="eastAsia" w:hAnsi="宋体" w:cs="宋体"/>
          <w:snapToGrid/>
          <w:color w:val="auto"/>
          <w:sz w:val="24"/>
          <w:szCs w:val="24"/>
          <w:highlight w:val="none"/>
          <w:lang w:eastAsia="zh-CN"/>
        </w:rPr>
        <w:t>供应商</w:t>
      </w:r>
      <w:r>
        <w:rPr>
          <w:rFonts w:hint="eastAsia" w:ascii="宋体" w:hAnsi="宋体" w:eastAsia="宋体" w:cs="宋体"/>
          <w:snapToGrid/>
          <w:color w:val="auto"/>
          <w:sz w:val="24"/>
          <w:szCs w:val="24"/>
          <w:highlight w:val="none"/>
        </w:rPr>
        <w:t>须知前附表规定的备份投标文件送达</w:t>
      </w:r>
      <w:r>
        <w:rPr>
          <w:rFonts w:hint="eastAsia" w:ascii="宋体" w:hAnsi="宋体" w:eastAsia="宋体" w:cs="宋体"/>
          <w:color w:val="auto"/>
          <w:sz w:val="24"/>
          <w:szCs w:val="24"/>
          <w:highlight w:val="none"/>
        </w:rPr>
        <w:t>截止时间之前送达</w:t>
      </w:r>
      <w:r>
        <w:rPr>
          <w:rFonts w:hint="eastAsia" w:ascii="宋体" w:hAnsi="宋体" w:eastAsia="宋体" w:cs="宋体"/>
          <w:snapToGrid/>
          <w:color w:val="auto"/>
          <w:sz w:val="24"/>
          <w:szCs w:val="24"/>
          <w:highlight w:val="none"/>
        </w:rPr>
        <w:t>招标文件第二部分</w:t>
      </w:r>
      <w:r>
        <w:rPr>
          <w:rFonts w:hint="eastAsia" w:hAnsi="宋体" w:cs="宋体"/>
          <w:snapToGrid/>
          <w:color w:val="auto"/>
          <w:sz w:val="24"/>
          <w:szCs w:val="24"/>
          <w:highlight w:val="none"/>
          <w:lang w:eastAsia="zh-CN"/>
        </w:rPr>
        <w:t>供应商</w:t>
      </w:r>
      <w:r>
        <w:rPr>
          <w:rFonts w:hint="eastAsia" w:ascii="宋体" w:hAnsi="宋体" w:eastAsia="宋体" w:cs="宋体"/>
          <w:snapToGrid/>
          <w:color w:val="auto"/>
          <w:sz w:val="24"/>
          <w:szCs w:val="24"/>
          <w:highlight w:val="none"/>
        </w:rPr>
        <w:t>须知前附表规定的备份投标文件送达地点；</w:t>
      </w:r>
      <w:r>
        <w:rPr>
          <w:rFonts w:hint="eastAsia" w:ascii="宋体" w:hAnsi="宋体" w:eastAsia="宋体" w:cs="宋体"/>
          <w:color w:val="auto"/>
          <w:sz w:val="24"/>
          <w:szCs w:val="24"/>
          <w:highlight w:val="none"/>
        </w:rPr>
        <w:t>送达时间以签收人签收时间为准。采购代理机构将拒绝接受逾期送达的备份投标文件。邮寄过程中，电子备份投标文件发生泄露、遗失、损坏或延期送达等情况的，由</w:t>
      </w:r>
      <w:r>
        <w:rPr>
          <w:rFonts w:hint="eastAsia" w:hAnsi="宋体" w:cs="宋体"/>
          <w:color w:val="auto"/>
          <w:sz w:val="24"/>
          <w:szCs w:val="24"/>
          <w:highlight w:val="none"/>
          <w:lang w:eastAsia="zh-CN"/>
        </w:rPr>
        <w:t>供应商</w:t>
      </w:r>
      <w:r>
        <w:rPr>
          <w:rFonts w:hint="eastAsia" w:ascii="宋体" w:hAnsi="宋体" w:eastAsia="宋体" w:cs="宋体"/>
          <w:color w:val="auto"/>
          <w:sz w:val="24"/>
          <w:szCs w:val="24"/>
          <w:highlight w:val="none"/>
        </w:rPr>
        <w:t>自行负责。</w:t>
      </w:r>
    </w:p>
    <w:p>
      <w:pPr>
        <w:pStyle w:val="32"/>
        <w:spacing w:line="360" w:lineRule="auto"/>
        <w:ind w:firstLine="479" w:firstLineChars="19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15.5</w:t>
      </w:r>
      <w:r>
        <w:rPr>
          <w:rFonts w:hint="eastAsia" w:hAnsi="宋体" w:cs="宋体"/>
          <w:b/>
          <w:color w:val="auto"/>
          <w:sz w:val="24"/>
          <w:szCs w:val="24"/>
          <w:highlight w:val="none"/>
          <w:lang w:eastAsia="zh-CN"/>
        </w:rPr>
        <w:t>供应商</w:t>
      </w:r>
      <w:r>
        <w:rPr>
          <w:rFonts w:hint="eastAsia" w:ascii="宋体" w:hAnsi="宋体" w:eastAsia="宋体" w:cs="宋体"/>
          <w:b/>
          <w:color w:val="auto"/>
          <w:sz w:val="24"/>
          <w:szCs w:val="24"/>
          <w:highlight w:val="none"/>
        </w:rPr>
        <w:t>仅提交备份投标文件，未在电子交易平台传输递交投标文件的，投标无效。</w:t>
      </w:r>
    </w:p>
    <w:p>
      <w:pPr>
        <w:pStyle w:val="131"/>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16.投标文件的无效处理</w:t>
      </w:r>
    </w:p>
    <w:p>
      <w:pPr>
        <w:pStyle w:val="24"/>
        <w:spacing w:line="360" w:lineRule="auto"/>
        <w:ind w:firstLine="360" w:firstLineChars="15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有招标文件第四部分4.2规定的情形之一的，投标无效：</w:t>
      </w:r>
    </w:p>
    <w:p>
      <w:pPr>
        <w:pStyle w:val="131"/>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17.投标有效期</w:t>
      </w:r>
    </w:p>
    <w:p>
      <w:pPr>
        <w:spacing w:line="360" w:lineRule="auto"/>
        <w:ind w:firstLine="480" w:firstLineChars="200"/>
        <w:rPr>
          <w:rFonts w:hint="eastAsia" w:ascii="宋体" w:hAnsi="宋体" w:eastAsia="宋体" w:cs="宋体"/>
          <w:b/>
          <w:color w:val="auto"/>
          <w:sz w:val="24"/>
          <w:szCs w:val="21"/>
          <w:highlight w:val="none"/>
        </w:rPr>
      </w:pPr>
      <w:r>
        <w:rPr>
          <w:rFonts w:hint="eastAsia" w:ascii="宋体" w:hAnsi="宋体" w:eastAsia="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lang w:eastAsia="zh-CN"/>
        </w:rPr>
        <w:t>供应商</w:t>
      </w:r>
      <w:r>
        <w:rPr>
          <w:rFonts w:hint="eastAsia" w:ascii="宋体" w:hAnsi="宋体" w:eastAsia="宋体" w:cs="宋体"/>
          <w:b/>
          <w:color w:val="auto"/>
          <w:sz w:val="24"/>
          <w:szCs w:val="20"/>
          <w:highlight w:val="none"/>
        </w:rPr>
        <w:t>的投标文件中承</w:t>
      </w:r>
      <w:r>
        <w:rPr>
          <w:rFonts w:hint="eastAsia" w:ascii="宋体" w:hAnsi="宋体" w:eastAsia="宋体" w:cs="宋体"/>
          <w:b/>
          <w:color w:val="auto"/>
          <w:sz w:val="24"/>
          <w:szCs w:val="21"/>
          <w:highlight w:val="none"/>
        </w:rPr>
        <w:t>诺的投标有效期少于招标文件中载明的投标有效期的，投标无效。</w:t>
      </w:r>
    </w:p>
    <w:p>
      <w:pPr>
        <w:pStyle w:val="131"/>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17.2投标文件合格投递后，自投标截止日期起，在投标有效期内有效。</w:t>
      </w:r>
    </w:p>
    <w:p>
      <w:pPr>
        <w:pStyle w:val="131"/>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17.3在原定投标有效期满之前，如果出现特殊情况，采购代理机构可以以书面形式通知</w:t>
      </w:r>
      <w:r>
        <w:rPr>
          <w:rFonts w:hint="eastAsia" w:ascii="宋体" w:hAnsi="宋体" w:cs="宋体"/>
          <w:color w:val="auto"/>
          <w:highlight w:val="none"/>
          <w:lang w:eastAsia="zh-CN"/>
        </w:rPr>
        <w:t>供应商</w:t>
      </w:r>
      <w:r>
        <w:rPr>
          <w:rFonts w:hint="eastAsia" w:ascii="宋体" w:hAnsi="宋体" w:eastAsia="宋体" w:cs="宋体"/>
          <w:color w:val="auto"/>
          <w:highlight w:val="none"/>
        </w:rPr>
        <w:t>延长投标有效期。</w:t>
      </w:r>
      <w:r>
        <w:rPr>
          <w:rFonts w:hint="eastAsia" w:ascii="宋体" w:hAnsi="宋体" w:cs="宋体"/>
          <w:color w:val="auto"/>
          <w:highlight w:val="none"/>
          <w:lang w:eastAsia="zh-CN"/>
        </w:rPr>
        <w:t>供应商</w:t>
      </w:r>
      <w:r>
        <w:rPr>
          <w:rFonts w:hint="eastAsia" w:ascii="宋体" w:hAnsi="宋体" w:eastAsia="宋体" w:cs="宋体"/>
          <w:color w:val="auto"/>
          <w:highlight w:val="none"/>
        </w:rPr>
        <w:t>同意延长的，不得要求或被允许修改其投标文件，</w:t>
      </w:r>
      <w:r>
        <w:rPr>
          <w:rFonts w:hint="eastAsia" w:ascii="宋体" w:hAnsi="宋体" w:cs="宋体"/>
          <w:color w:val="auto"/>
          <w:highlight w:val="none"/>
          <w:lang w:eastAsia="zh-CN"/>
        </w:rPr>
        <w:t>供应商</w:t>
      </w:r>
      <w:r>
        <w:rPr>
          <w:rFonts w:hint="eastAsia" w:ascii="宋体" w:hAnsi="宋体" w:eastAsia="宋体" w:cs="宋体"/>
          <w:color w:val="auto"/>
          <w:highlight w:val="none"/>
        </w:rPr>
        <w:t>拒绝延长的，其投标无效。</w:t>
      </w:r>
    </w:p>
    <w:p>
      <w:pPr>
        <w:pStyle w:val="131"/>
        <w:spacing w:before="0"/>
        <w:ind w:firstLine="1928" w:firstLineChars="600"/>
        <w:rPr>
          <w:rFonts w:hint="eastAsia" w:ascii="宋体" w:hAnsi="宋体" w:eastAsia="宋体" w:cs="宋体"/>
          <w:b/>
          <w:color w:val="auto"/>
          <w:sz w:val="32"/>
          <w:highlight w:val="none"/>
        </w:rPr>
      </w:pPr>
    </w:p>
    <w:p>
      <w:pPr>
        <w:pStyle w:val="131"/>
        <w:spacing w:before="0"/>
        <w:ind w:firstLine="1928" w:firstLineChars="600"/>
        <w:rPr>
          <w:rFonts w:hint="eastAsia" w:ascii="宋体" w:hAnsi="宋体" w:eastAsia="宋体" w:cs="宋体"/>
          <w:b/>
          <w:color w:val="auto"/>
          <w:sz w:val="32"/>
          <w:highlight w:val="none"/>
        </w:rPr>
      </w:pPr>
    </w:p>
    <w:p>
      <w:pPr>
        <w:pStyle w:val="131"/>
        <w:spacing w:before="0"/>
        <w:ind w:firstLine="1928" w:firstLineChars="600"/>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四、开标、资格审查与信用信息查询</w:t>
      </w:r>
    </w:p>
    <w:p>
      <w:pPr>
        <w:pStyle w:val="556"/>
        <w:spacing w:before="0" w:line="360" w:lineRule="auto"/>
        <w:ind w:left="0" w:firstLine="0"/>
        <w:contextualSpacing/>
        <w:rPr>
          <w:rFonts w:hint="eastAsia" w:ascii="宋体" w:hAnsi="宋体" w:eastAsia="宋体" w:cs="宋体"/>
          <w:color w:val="auto"/>
          <w:sz w:val="24"/>
          <w:highlight w:val="none"/>
        </w:rPr>
      </w:pPr>
      <w:r>
        <w:rPr>
          <w:rFonts w:hint="eastAsia" w:ascii="宋体" w:hAnsi="宋体" w:eastAsia="宋体" w:cs="宋体"/>
          <w:b/>
          <w:color w:val="auto"/>
          <w:sz w:val="24"/>
          <w:szCs w:val="24"/>
          <w:highlight w:val="none"/>
        </w:rPr>
        <w:t>18.开标</w:t>
      </w:r>
      <w:r>
        <w:rPr>
          <w:rFonts w:hint="eastAsia" w:ascii="宋体" w:hAnsi="宋体" w:eastAsia="宋体" w:cs="宋体"/>
          <w:color w:val="auto"/>
          <w:sz w:val="24"/>
          <w:highlight w:val="none"/>
        </w:rPr>
        <w:t xml:space="preserve"> </w:t>
      </w:r>
    </w:p>
    <w:p>
      <w:pPr>
        <w:pStyle w:val="556"/>
        <w:spacing w:before="0" w:line="360" w:lineRule="auto"/>
        <w:ind w:left="0" w:firstLine="480" w:firstLineChars="2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18.1采购代理机构按照招标文件规定的时间通过电子交易平台组织开标，所有</w:t>
      </w:r>
      <w:r>
        <w:rPr>
          <w:rFonts w:hint="eastAsia" w:ascii="宋体" w:hAnsi="宋体" w:cs="宋体"/>
          <w:color w:val="auto"/>
          <w:sz w:val="24"/>
          <w:highlight w:val="none"/>
          <w:lang w:eastAsia="zh-CN"/>
        </w:rPr>
        <w:t>供应商</w:t>
      </w:r>
      <w:r>
        <w:rPr>
          <w:rFonts w:hint="eastAsia" w:ascii="宋体" w:hAnsi="宋体" w:eastAsia="宋体" w:cs="宋体"/>
          <w:color w:val="auto"/>
          <w:sz w:val="24"/>
          <w:highlight w:val="none"/>
        </w:rPr>
        <w:t>均应当准时在线参加。</w:t>
      </w:r>
      <w:r>
        <w:rPr>
          <w:rFonts w:hint="eastAsia" w:ascii="宋体" w:hAnsi="宋体" w:cs="宋体"/>
          <w:color w:val="auto"/>
          <w:sz w:val="24"/>
          <w:highlight w:val="none"/>
          <w:lang w:eastAsia="zh-CN"/>
        </w:rPr>
        <w:t>供应商</w:t>
      </w:r>
      <w:r>
        <w:rPr>
          <w:rFonts w:hint="eastAsia" w:ascii="宋体" w:hAnsi="宋体" w:eastAsia="宋体" w:cs="宋体"/>
          <w:color w:val="auto"/>
          <w:sz w:val="24"/>
          <w:highlight w:val="none"/>
        </w:rPr>
        <w:t>不足3家的，不得开标。</w:t>
      </w:r>
    </w:p>
    <w:p>
      <w:pPr>
        <w:pStyle w:val="556"/>
        <w:spacing w:before="0" w:line="348" w:lineRule="auto"/>
        <w:ind w:left="0" w:firstLine="480" w:firstLineChars="2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18.2开标时，电子交易平台按开标时间自动提取所有投标文件。采购代理机构依托电子交易平台发起开始解密指令，</w:t>
      </w:r>
      <w:r>
        <w:rPr>
          <w:rFonts w:hint="eastAsia" w:ascii="宋体" w:hAnsi="宋体" w:cs="宋体"/>
          <w:color w:val="auto"/>
          <w:sz w:val="24"/>
          <w:highlight w:val="none"/>
          <w:lang w:eastAsia="zh-CN"/>
        </w:rPr>
        <w:t>供应商</w:t>
      </w:r>
      <w:r>
        <w:rPr>
          <w:rFonts w:hint="eastAsia" w:ascii="宋体" w:hAnsi="宋体" w:eastAsia="宋体" w:cs="宋体"/>
          <w:color w:val="auto"/>
          <w:sz w:val="24"/>
          <w:highlight w:val="none"/>
        </w:rPr>
        <w:t>按照平台提示和招标文件的规定在半小时内完成在线解密。</w:t>
      </w:r>
    </w:p>
    <w:p>
      <w:pPr>
        <w:pStyle w:val="556"/>
        <w:spacing w:before="0" w:line="348" w:lineRule="auto"/>
        <w:ind w:left="0" w:firstLine="480" w:firstLineChars="2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18.2.1具体开标程序：</w:t>
      </w:r>
    </w:p>
    <w:p>
      <w:pPr>
        <w:pStyle w:val="556"/>
        <w:spacing w:before="0" w:line="348" w:lineRule="auto"/>
        <w:ind w:left="0" w:firstLine="480" w:firstLineChars="2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第一阶段：</w:t>
      </w:r>
    </w:p>
    <w:p>
      <w:pPr>
        <w:pStyle w:val="556"/>
        <w:spacing w:before="0" w:line="348" w:lineRule="auto"/>
        <w:ind w:left="0" w:firstLine="480" w:firstLineChars="2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（1）投标截止时间后，供应商登录政府采购云平台，用“项目采购-开标评标”功能对电子投标文件进行在线解密，在线解密电子投标文件时间为开标时间后30分钟内。</w:t>
      </w:r>
    </w:p>
    <w:p>
      <w:pPr>
        <w:pStyle w:val="556"/>
        <w:spacing w:before="0" w:line="348" w:lineRule="auto"/>
        <w:ind w:left="0" w:firstLine="480" w:firstLineChars="2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（2）在政府采购云平台开启已解密供应商的“资格文件、商务技术文件”，并做开标记录；</w:t>
      </w:r>
    </w:p>
    <w:p>
      <w:pPr>
        <w:pStyle w:val="556"/>
        <w:spacing w:before="0" w:line="348" w:lineRule="auto"/>
        <w:ind w:left="0" w:firstLine="480" w:firstLineChars="2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第二阶段：</w:t>
      </w:r>
    </w:p>
    <w:p>
      <w:pPr>
        <w:pStyle w:val="556"/>
        <w:spacing w:before="0" w:line="348" w:lineRule="auto"/>
        <w:ind w:left="0" w:firstLine="480" w:firstLineChars="2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（1）在政府采购云平台宣告第一阶段评审无效供应商名单及理由；</w:t>
      </w:r>
    </w:p>
    <w:p>
      <w:pPr>
        <w:pStyle w:val="556"/>
        <w:spacing w:before="0" w:line="348" w:lineRule="auto"/>
        <w:ind w:left="0" w:firstLine="480" w:firstLineChars="2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（2）公布经第一阶段评审符合招标文件要求的供应商的商务技术得分情况；</w:t>
      </w:r>
    </w:p>
    <w:p>
      <w:pPr>
        <w:pStyle w:val="556"/>
        <w:spacing w:before="0" w:line="348" w:lineRule="auto"/>
        <w:ind w:left="0" w:firstLine="480" w:firstLineChars="2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（3）在政府采购云平台开启除第一阶段无效标外的供应商的“报价文件”，并做开标记录；</w:t>
      </w:r>
    </w:p>
    <w:p>
      <w:pPr>
        <w:pStyle w:val="556"/>
        <w:spacing w:before="0" w:line="348" w:lineRule="auto"/>
        <w:ind w:left="0" w:firstLine="480" w:firstLineChars="2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（4）在政府采购云平台公布评审结果。</w:t>
      </w:r>
    </w:p>
    <w:p>
      <w:pPr>
        <w:pStyle w:val="556"/>
        <w:spacing w:before="0" w:line="348" w:lineRule="auto"/>
        <w:ind w:left="0" w:firstLine="480" w:firstLineChars="2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（5）开标会议结束。</w:t>
      </w:r>
    </w:p>
    <w:p>
      <w:pPr>
        <w:pStyle w:val="556"/>
        <w:spacing w:before="0" w:line="360" w:lineRule="auto"/>
        <w:ind w:left="0" w:firstLine="240" w:firstLineChars="100"/>
        <w:contextualSpacing/>
        <w:rPr>
          <w:rFonts w:hint="eastAsia" w:ascii="宋体" w:hAnsi="宋体" w:eastAsia="宋体" w:cs="宋体"/>
          <w:b/>
          <w:color w:val="auto"/>
          <w:sz w:val="24"/>
          <w:highlight w:val="none"/>
        </w:rPr>
      </w:pPr>
      <w:r>
        <w:rPr>
          <w:rFonts w:hint="eastAsia" w:ascii="宋体" w:hAnsi="宋体" w:eastAsia="宋体" w:cs="宋体"/>
          <w:color w:val="auto"/>
          <w:sz w:val="24"/>
          <w:highlight w:val="none"/>
        </w:rPr>
        <w:t>　18.3</w:t>
      </w:r>
      <w:r>
        <w:rPr>
          <w:rFonts w:hint="eastAsia" w:ascii="宋体" w:hAnsi="宋体" w:eastAsia="宋体" w:cs="宋体"/>
          <w:b/>
          <w:color w:val="auto"/>
          <w:sz w:val="24"/>
          <w:highlight w:val="none"/>
        </w:rPr>
        <w:t>投标文件未按时解密，</w:t>
      </w:r>
      <w:r>
        <w:rPr>
          <w:rFonts w:hint="eastAsia" w:ascii="宋体" w:hAnsi="宋体" w:cs="宋体"/>
          <w:b/>
          <w:color w:val="auto"/>
          <w:sz w:val="24"/>
          <w:highlight w:val="none"/>
          <w:lang w:eastAsia="zh-CN"/>
        </w:rPr>
        <w:t>供应商</w:t>
      </w:r>
      <w:r>
        <w:rPr>
          <w:rFonts w:hint="eastAsia" w:ascii="宋体" w:hAnsi="宋体" w:eastAsia="宋体" w:cs="宋体"/>
          <w:b/>
          <w:color w:val="auto"/>
          <w:sz w:val="24"/>
          <w:highlight w:val="none"/>
        </w:rPr>
        <w:t>提供了备份投标文件的，以备份投标文件作为依据，否则视为投标文件撤回。投标文件已按时解密的，备份投标文件自动失效。</w:t>
      </w:r>
    </w:p>
    <w:p>
      <w:pPr>
        <w:pStyle w:val="131"/>
        <w:spacing w:before="0"/>
        <w:ind w:firstLine="0" w:firstLineChars="0"/>
        <w:rPr>
          <w:rFonts w:hint="eastAsia" w:ascii="宋体" w:hAnsi="宋体" w:eastAsia="宋体" w:cs="宋体"/>
          <w:b/>
          <w:bCs/>
          <w:color w:val="auto"/>
          <w:kern w:val="0"/>
          <w:szCs w:val="24"/>
          <w:highlight w:val="none"/>
        </w:rPr>
      </w:pPr>
      <w:r>
        <w:rPr>
          <w:rFonts w:hint="eastAsia" w:ascii="宋体" w:hAnsi="宋体" w:eastAsia="宋体" w:cs="宋体"/>
          <w:b/>
          <w:bCs/>
          <w:color w:val="auto"/>
          <w:kern w:val="0"/>
          <w:szCs w:val="24"/>
          <w:highlight w:val="none"/>
        </w:rPr>
        <w:t>19.资格审查</w:t>
      </w:r>
    </w:p>
    <w:p>
      <w:pPr>
        <w:pStyle w:val="131"/>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19.1采购人或采购代理机构依据法律法规和招标文件的规定，对</w:t>
      </w:r>
      <w:r>
        <w:rPr>
          <w:rFonts w:hint="eastAsia" w:ascii="宋体" w:hAnsi="宋体" w:cs="宋体"/>
          <w:color w:val="auto"/>
          <w:kern w:val="0"/>
          <w:szCs w:val="24"/>
          <w:highlight w:val="none"/>
          <w:lang w:eastAsia="zh-CN"/>
        </w:rPr>
        <w:t>供应商</w:t>
      </w:r>
      <w:r>
        <w:rPr>
          <w:rFonts w:hint="eastAsia" w:ascii="宋体" w:hAnsi="宋体" w:eastAsia="宋体" w:cs="宋体"/>
          <w:color w:val="auto"/>
          <w:kern w:val="0"/>
          <w:szCs w:val="24"/>
          <w:highlight w:val="none"/>
        </w:rPr>
        <w:t>的资格进行审查。</w:t>
      </w:r>
    </w:p>
    <w:p>
      <w:pPr>
        <w:pStyle w:val="131"/>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19.2</w:t>
      </w:r>
      <w:r>
        <w:rPr>
          <w:rFonts w:hint="eastAsia" w:ascii="宋体" w:hAnsi="宋体" w:cs="宋体"/>
          <w:color w:val="auto"/>
          <w:kern w:val="0"/>
          <w:szCs w:val="24"/>
          <w:highlight w:val="none"/>
          <w:lang w:eastAsia="zh-CN"/>
        </w:rPr>
        <w:t>供应商</w:t>
      </w:r>
      <w:r>
        <w:rPr>
          <w:rFonts w:hint="eastAsia" w:ascii="宋体" w:hAnsi="宋体" w:eastAsia="宋体" w:cs="宋体"/>
          <w:color w:val="auto"/>
          <w:kern w:val="0"/>
          <w:szCs w:val="24"/>
          <w:highlight w:val="none"/>
        </w:rPr>
        <w:t>未按照招标文件要求提供与</w:t>
      </w:r>
      <w:r>
        <w:rPr>
          <w:rFonts w:hint="eastAsia" w:ascii="宋体" w:hAnsi="宋体" w:eastAsia="宋体" w:cs="宋体"/>
          <w:color w:val="auto"/>
          <w:highlight w:val="none"/>
        </w:rPr>
        <w:t>资格条件相应的</w:t>
      </w:r>
      <w:r>
        <w:rPr>
          <w:rFonts w:hint="eastAsia" w:ascii="宋体" w:hAnsi="宋体" w:eastAsia="宋体" w:cs="宋体"/>
          <w:color w:val="auto"/>
          <w:kern w:val="0"/>
          <w:szCs w:val="24"/>
          <w:highlight w:val="none"/>
        </w:rPr>
        <w:t>有效资格证明材料的，视为</w:t>
      </w:r>
      <w:r>
        <w:rPr>
          <w:rFonts w:hint="eastAsia" w:ascii="宋体" w:hAnsi="宋体" w:cs="宋体"/>
          <w:color w:val="auto"/>
          <w:highlight w:val="none"/>
          <w:lang w:eastAsia="zh-CN"/>
        </w:rPr>
        <w:t>供应商</w:t>
      </w:r>
      <w:r>
        <w:rPr>
          <w:rFonts w:hint="eastAsia" w:ascii="宋体" w:hAnsi="宋体" w:eastAsia="宋体" w:cs="宋体"/>
          <w:color w:val="auto"/>
          <w:highlight w:val="none"/>
        </w:rPr>
        <w:t>不具备招标文件中规定的资格要求，其投标无效。</w:t>
      </w:r>
    </w:p>
    <w:p>
      <w:pPr>
        <w:pStyle w:val="131"/>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rPr>
        <w:t>3对未通过资格审查的</w:t>
      </w:r>
      <w:r>
        <w:rPr>
          <w:rFonts w:hint="eastAsia" w:ascii="宋体" w:hAnsi="宋体" w:cs="宋体"/>
          <w:color w:val="auto"/>
          <w:highlight w:val="none"/>
          <w:lang w:eastAsia="zh-CN"/>
        </w:rPr>
        <w:t>供应商</w:t>
      </w:r>
      <w:r>
        <w:rPr>
          <w:rFonts w:hint="eastAsia" w:ascii="宋体" w:hAnsi="宋体" w:eastAsia="宋体" w:cs="宋体"/>
          <w:color w:val="auto"/>
          <w:highlight w:val="none"/>
        </w:rPr>
        <w:t>，采购人或采购代理机构告知其未通过的原因。</w:t>
      </w:r>
    </w:p>
    <w:p>
      <w:pPr>
        <w:pStyle w:val="131"/>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rPr>
        <w:t>4合格</w:t>
      </w:r>
      <w:r>
        <w:rPr>
          <w:rFonts w:hint="eastAsia" w:ascii="宋体" w:hAnsi="宋体" w:cs="宋体"/>
          <w:color w:val="auto"/>
          <w:highlight w:val="none"/>
          <w:lang w:eastAsia="zh-CN"/>
        </w:rPr>
        <w:t>供应商</w:t>
      </w:r>
      <w:r>
        <w:rPr>
          <w:rFonts w:hint="eastAsia" w:ascii="宋体" w:hAnsi="宋体" w:eastAsia="宋体" w:cs="宋体"/>
          <w:color w:val="auto"/>
          <w:highlight w:val="none"/>
        </w:rPr>
        <w:t>不足3家的，不再评标。</w:t>
      </w:r>
    </w:p>
    <w:p>
      <w:pPr>
        <w:pStyle w:val="131"/>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20.信用信息查询</w:t>
      </w:r>
    </w:p>
    <w:p>
      <w:pPr>
        <w:pStyle w:val="131"/>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20.1信用信息查询渠道及截止时间：采购代理机构将在资格审查时通过“信用中国”网站(www.creditchina.gov.cn)、中国政府采购网(www.ccgp.gov.cn)渠道查询</w:t>
      </w:r>
      <w:r>
        <w:rPr>
          <w:rFonts w:hint="eastAsia" w:ascii="宋体" w:hAnsi="宋体" w:cs="宋体"/>
          <w:color w:val="auto"/>
          <w:kern w:val="0"/>
          <w:szCs w:val="24"/>
          <w:highlight w:val="none"/>
          <w:lang w:eastAsia="zh-CN"/>
        </w:rPr>
        <w:t>供应商</w:t>
      </w:r>
      <w:r>
        <w:rPr>
          <w:rFonts w:hint="eastAsia" w:ascii="宋体" w:hAnsi="宋体" w:eastAsia="宋体" w:cs="宋体"/>
          <w:color w:val="auto"/>
          <w:kern w:val="0"/>
          <w:szCs w:val="24"/>
          <w:highlight w:val="none"/>
        </w:rPr>
        <w:t>接受资格时的信用记录。</w:t>
      </w:r>
    </w:p>
    <w:p>
      <w:pPr>
        <w:pStyle w:val="131"/>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20.2信用信息查询记录和证据留存的具体方式：现场查询的</w:t>
      </w:r>
      <w:r>
        <w:rPr>
          <w:rFonts w:hint="eastAsia" w:ascii="宋体" w:hAnsi="宋体" w:cs="宋体"/>
          <w:color w:val="auto"/>
          <w:kern w:val="0"/>
          <w:szCs w:val="24"/>
          <w:highlight w:val="none"/>
          <w:lang w:eastAsia="zh-CN"/>
        </w:rPr>
        <w:t>供应商</w:t>
      </w:r>
      <w:r>
        <w:rPr>
          <w:rFonts w:hint="eastAsia" w:ascii="宋体" w:hAnsi="宋体" w:eastAsia="宋体" w:cs="宋体"/>
          <w:color w:val="auto"/>
          <w:kern w:val="0"/>
          <w:szCs w:val="24"/>
          <w:highlight w:val="none"/>
        </w:rPr>
        <w:t>的信用记录、查询结果经确认后将与采购文件一起存档。</w:t>
      </w:r>
    </w:p>
    <w:p>
      <w:pPr>
        <w:pStyle w:val="131"/>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20.3信用信息的使用规则：经查询列入失信被执行人名单、重大税收违法案件当事人名单（</w:t>
      </w:r>
      <w:r>
        <w:rPr>
          <w:rFonts w:hint="eastAsia" w:ascii="宋体" w:hAnsi="宋体" w:eastAsia="宋体" w:cs="宋体"/>
          <w:color w:val="auto"/>
          <w:highlight w:val="none"/>
        </w:rPr>
        <w:t>重大税收违法失信主体</w:t>
      </w:r>
      <w:r>
        <w:rPr>
          <w:rFonts w:hint="eastAsia" w:ascii="宋体" w:hAnsi="宋体" w:eastAsia="宋体" w:cs="宋体"/>
          <w:color w:val="auto"/>
          <w:kern w:val="0"/>
          <w:szCs w:val="24"/>
          <w:highlight w:val="none"/>
        </w:rPr>
        <w:t>）、政府采购严重违法失信行为记录名单的</w:t>
      </w:r>
      <w:r>
        <w:rPr>
          <w:rFonts w:hint="eastAsia" w:ascii="宋体" w:hAnsi="宋体" w:cs="宋体"/>
          <w:color w:val="auto"/>
          <w:kern w:val="0"/>
          <w:szCs w:val="24"/>
          <w:highlight w:val="none"/>
          <w:lang w:eastAsia="zh-CN"/>
        </w:rPr>
        <w:t>供应商</w:t>
      </w:r>
      <w:r>
        <w:rPr>
          <w:rFonts w:hint="eastAsia" w:ascii="宋体" w:hAnsi="宋体" w:eastAsia="宋体" w:cs="宋体"/>
          <w:color w:val="auto"/>
          <w:kern w:val="0"/>
          <w:szCs w:val="24"/>
          <w:highlight w:val="none"/>
        </w:rPr>
        <w:t>将被拒绝参与政府采购活动。</w:t>
      </w:r>
    </w:p>
    <w:p>
      <w:pPr>
        <w:pStyle w:val="131"/>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color w:val="auto"/>
          <w:highlight w:val="none"/>
        </w:rPr>
        <w:t>。</w:t>
      </w:r>
    </w:p>
    <w:p>
      <w:pPr>
        <w:snapToGrid w:val="0"/>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五、评标</w:t>
      </w:r>
    </w:p>
    <w:p>
      <w:pPr>
        <w:spacing w:line="360" w:lineRule="auto"/>
        <w:rPr>
          <w:rFonts w:hint="eastAsia" w:ascii="宋体" w:hAnsi="宋体" w:eastAsia="宋体" w:cs="宋体"/>
          <w:b/>
          <w:color w:val="auto"/>
          <w:sz w:val="24"/>
          <w:highlight w:val="none"/>
        </w:rPr>
      </w:pPr>
      <w:bookmarkStart w:id="13" w:name="_Toc91899903"/>
      <w:r>
        <w:rPr>
          <w:rFonts w:hint="eastAsia" w:ascii="宋体" w:hAnsi="宋体" w:eastAsia="宋体" w:cs="宋体"/>
          <w:b/>
          <w:color w:val="auto"/>
          <w:sz w:val="24"/>
          <w:highlight w:val="none"/>
        </w:rPr>
        <w:t>21.</w:t>
      </w:r>
      <w:r>
        <w:rPr>
          <w:rFonts w:hint="eastAsia" w:ascii="宋体" w:hAnsi="宋体" w:eastAsia="宋体" w:cs="宋体"/>
          <w:color w:val="auto"/>
          <w:sz w:val="24"/>
          <w:highlight w:val="none"/>
        </w:rPr>
        <w:t>评标委员会将根据招标文件和有关规定，履行评标工作职责，并按照评标方法及评分标准，全面衡量各</w:t>
      </w:r>
      <w:r>
        <w:rPr>
          <w:rFonts w:hint="eastAsia" w:ascii="宋体" w:hAnsi="宋体" w:cs="宋体"/>
          <w:color w:val="auto"/>
          <w:sz w:val="24"/>
          <w:highlight w:val="none"/>
          <w:lang w:eastAsia="zh-CN"/>
        </w:rPr>
        <w:t>供应商</w:t>
      </w:r>
      <w:r>
        <w:rPr>
          <w:rFonts w:hint="eastAsia" w:ascii="宋体" w:hAnsi="宋体" w:eastAsia="宋体" w:cs="宋体"/>
          <w:color w:val="auto"/>
          <w:sz w:val="24"/>
          <w:highlight w:val="none"/>
        </w:rPr>
        <w:t>对招标文件的响应情况。对实质上响应招标文件的</w:t>
      </w:r>
      <w:r>
        <w:rPr>
          <w:rFonts w:hint="eastAsia" w:ascii="宋体" w:hAnsi="宋体" w:cs="宋体"/>
          <w:color w:val="auto"/>
          <w:sz w:val="24"/>
          <w:highlight w:val="none"/>
          <w:lang w:eastAsia="zh-CN"/>
        </w:rPr>
        <w:t>供应商</w:t>
      </w:r>
      <w:r>
        <w:rPr>
          <w:rFonts w:hint="eastAsia" w:ascii="宋体" w:hAnsi="宋体" w:eastAsia="宋体" w:cs="宋体"/>
          <w:color w:val="auto"/>
          <w:sz w:val="24"/>
          <w:highlight w:val="none"/>
        </w:rPr>
        <w:t>，按照评审因素的量化指标排出推荐中标的</w:t>
      </w:r>
      <w:r>
        <w:rPr>
          <w:rFonts w:hint="eastAsia" w:ascii="宋体" w:hAnsi="宋体" w:cs="宋体"/>
          <w:color w:val="auto"/>
          <w:sz w:val="24"/>
          <w:highlight w:val="none"/>
          <w:lang w:eastAsia="zh-CN"/>
        </w:rPr>
        <w:t>供应商</w:t>
      </w:r>
      <w:r>
        <w:rPr>
          <w:rFonts w:hint="eastAsia" w:ascii="宋体" w:hAnsi="宋体" w:eastAsia="宋体" w:cs="宋体"/>
          <w:color w:val="auto"/>
          <w:sz w:val="24"/>
          <w:highlight w:val="none"/>
        </w:rPr>
        <w:t>的先后顺序，并按顺序提出授标建议。</w:t>
      </w:r>
      <w:r>
        <w:rPr>
          <w:rFonts w:hint="eastAsia" w:ascii="宋体" w:hAnsi="宋体" w:eastAsia="宋体" w:cs="宋体"/>
          <w:b/>
          <w:color w:val="auto"/>
          <w:sz w:val="24"/>
          <w:highlight w:val="none"/>
        </w:rPr>
        <w:t>详见招标文件第四部分评标办法。</w:t>
      </w:r>
    </w:p>
    <w:p>
      <w:pPr>
        <w:snapToGrid w:val="0"/>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六、定 标</w:t>
      </w:r>
    </w:p>
    <w:p>
      <w:pPr>
        <w:pStyle w:val="24"/>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22.确定中标供应商</w:t>
      </w:r>
    </w:p>
    <w:p>
      <w:pPr>
        <w:pStyle w:val="131"/>
        <w:snapToGrid w:val="0"/>
        <w:spacing w:before="0"/>
        <w:ind w:firstLine="480"/>
        <w:rPr>
          <w:rFonts w:hint="eastAsia" w:ascii="宋体" w:hAnsi="宋体" w:eastAsia="宋体" w:cs="宋体"/>
          <w:b/>
          <w:color w:val="auto"/>
          <w:szCs w:val="24"/>
          <w:highlight w:val="none"/>
        </w:rPr>
      </w:pPr>
      <w:r>
        <w:rPr>
          <w:rFonts w:hint="eastAsia" w:ascii="宋体" w:hAnsi="宋体" w:eastAsia="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5个工作日内在线确定中标或者成交供应商。中标、成交通知书和中标、成交结果公告应当在规定时间内同时发出。</w:t>
      </w:r>
      <w:r>
        <w:rPr>
          <w:rFonts w:hint="eastAsia" w:ascii="宋体" w:hAnsi="宋体" w:eastAsia="宋体" w:cs="宋体"/>
          <w:b/>
          <w:bCs/>
          <w:color w:val="auto"/>
          <w:szCs w:val="24"/>
          <w:highlight w:val="none"/>
        </w:rPr>
        <w:t>注：本项目</w:t>
      </w:r>
      <w:r>
        <w:rPr>
          <w:rFonts w:hint="eastAsia" w:ascii="宋体" w:hAnsi="宋体" w:eastAsia="宋体" w:cs="宋体"/>
          <w:b/>
          <w:bCs/>
          <w:color w:val="auto"/>
          <w:szCs w:val="21"/>
          <w:highlight w:val="none"/>
        </w:rPr>
        <w:t>按评审后得分由高到低顺序确定1名中标人。</w:t>
      </w:r>
    </w:p>
    <w:p>
      <w:pPr>
        <w:pStyle w:val="131"/>
        <w:snapToGrid w:val="0"/>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23.中标通知与中标结果公告</w:t>
      </w:r>
    </w:p>
    <w:p>
      <w:pPr>
        <w:widowControl/>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23.1自中标人确定之日起2个工作日内，采购代理机构通过电子交易平台向中标人发出中标通知书，同时编制发布采购结果公告。采购代理机构也可以以纸质形式进行中标通知。</w:t>
      </w:r>
    </w:p>
    <w:p>
      <w:pPr>
        <w:widowControl/>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23.2中标结果公告内容包括采购人及其委托的采购代理机构的名称、地址、联系方式，项目名称和项目编号，中标人名称、地址和中标金额，主要中标标的的名称、服务范围、服务要求、服务时间、服务标准，开标记录、</w:t>
      </w:r>
      <w:bookmarkStart w:id="14" w:name="_Hlk101184471"/>
      <w:r>
        <w:rPr>
          <w:rFonts w:hint="eastAsia" w:ascii="宋体" w:hAnsi="宋体" w:eastAsia="宋体" w:cs="宋体"/>
          <w:color w:val="auto"/>
          <w:sz w:val="24"/>
          <w:highlight w:val="none"/>
        </w:rPr>
        <w:t>资格审查情况、评审专家抽取规则、符合性审查情况、</w:t>
      </w:r>
      <w:bookmarkEnd w:id="14"/>
      <w:r>
        <w:rPr>
          <w:rFonts w:hint="eastAsia" w:ascii="宋体" w:hAnsi="宋体" w:eastAsia="宋体" w:cs="宋体"/>
          <w:color w:val="auto"/>
          <w:sz w:val="24"/>
          <w:highlight w:val="none"/>
        </w:rPr>
        <w:t>未中标情况说明、中标公告期限以及评审专家名单、评分汇总及明细。</w:t>
      </w:r>
    </w:p>
    <w:p>
      <w:pPr>
        <w:widowControl/>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23.3公告期限为1个工作日。</w:t>
      </w:r>
    </w:p>
    <w:p>
      <w:pPr>
        <w:snapToGrid w:val="0"/>
        <w:spacing w:line="360" w:lineRule="auto"/>
        <w:ind w:left="120" w:leftChars="57" w:firstLine="482" w:firstLineChars="15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七、合同授予</w:t>
      </w:r>
    </w:p>
    <w:p>
      <w:pPr>
        <w:pStyle w:val="24"/>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24.</w:t>
      </w:r>
      <w:r>
        <w:rPr>
          <w:rFonts w:hint="eastAsia" w:ascii="宋体" w:hAnsi="宋体" w:eastAsia="宋体" w:cs="宋体"/>
          <w:color w:val="auto"/>
          <w:highlight w:val="none"/>
        </w:rPr>
        <w:t>合同主要条款详见第五部分拟签订的合同文本。</w:t>
      </w:r>
    </w:p>
    <w:p>
      <w:pPr>
        <w:pStyle w:val="24"/>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25.合同的签订</w:t>
      </w:r>
    </w:p>
    <w:p>
      <w:pPr>
        <w:widowControl/>
        <w:spacing w:line="360" w:lineRule="auto"/>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25.1</w:t>
      </w:r>
      <w:r>
        <w:rPr>
          <w:rFonts w:hint="eastAsia" w:ascii="宋体" w:hAnsi="宋体" w:eastAsia="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30日内，与中标供应商按照采购文件确定的事项签订政府采购合同</w:t>
      </w:r>
    </w:p>
    <w:p>
      <w:pPr>
        <w:pStyle w:val="131"/>
        <w:snapToGrid w:val="0"/>
        <w:spacing w:before="0"/>
        <w:ind w:firstLine="480"/>
        <w:rPr>
          <w:rFonts w:hint="eastAsia" w:ascii="宋体" w:hAnsi="宋体" w:eastAsia="宋体" w:cs="宋体"/>
          <w:color w:val="auto"/>
          <w:kern w:val="0"/>
          <w:highlight w:val="none"/>
        </w:rPr>
      </w:pPr>
      <w:r>
        <w:rPr>
          <w:rFonts w:hint="eastAsia" w:ascii="宋体" w:hAnsi="宋体" w:eastAsia="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31"/>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25.3如签订合同并生效后，供应商无故拒绝或延期，除按照合同条款处理外，列入不良行为记录一次，并给予通报。</w:t>
      </w:r>
    </w:p>
    <w:p>
      <w:pPr>
        <w:pStyle w:val="131"/>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31"/>
        <w:snapToGrid w:val="0"/>
        <w:spacing w:before="0" w:after="120"/>
        <w:ind w:firstLine="480"/>
        <w:rPr>
          <w:rFonts w:hint="eastAsia" w:ascii="宋体" w:hAnsi="宋体" w:eastAsia="宋体" w:cs="宋体"/>
          <w:color w:val="auto"/>
          <w:highlight w:val="none"/>
        </w:rPr>
      </w:pPr>
      <w:r>
        <w:rPr>
          <w:rFonts w:hint="eastAsia" w:ascii="宋体" w:hAnsi="宋体" w:eastAsia="宋体" w:cs="宋体"/>
          <w:color w:val="auto"/>
          <w:highlight w:val="none"/>
        </w:rPr>
        <w:t>25.5采购合同由采购人与中标供应商根据招标文件、投标文件等内容通过政府采购电子交易平台在线签订，自动备案。</w:t>
      </w:r>
    </w:p>
    <w:p>
      <w:pPr>
        <w:pStyle w:val="24"/>
        <w:spacing w:line="360" w:lineRule="auto"/>
        <w:ind w:left="479" w:hanging="479" w:hangingChars="199"/>
        <w:rPr>
          <w:rFonts w:hint="eastAsia" w:ascii="宋体" w:hAnsi="宋体" w:eastAsia="宋体" w:cs="宋体"/>
          <w:b/>
          <w:color w:val="auto"/>
          <w:highlight w:val="none"/>
          <w:lang w:eastAsia="zh-CN"/>
        </w:rPr>
      </w:pPr>
      <w:r>
        <w:rPr>
          <w:rFonts w:hint="eastAsia" w:ascii="宋体" w:hAnsi="宋体" w:eastAsia="宋体" w:cs="宋体"/>
          <w:b/>
          <w:color w:val="auto"/>
          <w:highlight w:val="none"/>
        </w:rPr>
        <w:t>26.履约保证金</w:t>
      </w:r>
      <w:r>
        <w:rPr>
          <w:rFonts w:hint="eastAsia" w:cs="宋体"/>
          <w:b/>
          <w:color w:val="auto"/>
          <w:highlight w:val="none"/>
          <w:lang w:eastAsia="zh-CN"/>
        </w:rPr>
        <w:t>（如有）</w:t>
      </w:r>
    </w:p>
    <w:p>
      <w:pPr>
        <w:tabs>
          <w:tab w:val="left" w:pos="0"/>
        </w:tabs>
        <w:spacing w:line="360" w:lineRule="auto"/>
        <w:ind w:firstLine="482"/>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eastAsia="宋体" w:cs="宋体"/>
          <w:color w:val="auto"/>
          <w:sz w:val="24"/>
          <w:highlight w:val="none"/>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pStyle w:val="3"/>
        <w:ind w:left="0" w:firstLine="480" w:firstLineChars="200"/>
        <w:rPr>
          <w:rFonts w:hint="eastAsia"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adjustRightInd/>
        <w:spacing w:line="360" w:lineRule="auto"/>
        <w:ind w:firstLine="420" w:firstLineChars="200"/>
        <w:rPr>
          <w:rFonts w:hint="eastAsia" w:ascii="宋体" w:hAnsi="宋体" w:eastAsia="宋体" w:cs="宋体"/>
          <w:color w:val="auto"/>
          <w:highlight w:val="none"/>
        </w:rPr>
      </w:pPr>
    </w:p>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32"/>
          <w:highlight w:val="none"/>
        </w:rPr>
        <w:t>八、电子交易活动的中止</w:t>
      </w:r>
    </w:p>
    <w:p>
      <w:pPr>
        <w:pStyle w:val="131"/>
        <w:snapToGrid w:val="0"/>
        <w:spacing w:before="0"/>
        <w:ind w:firstLine="0" w:firstLineChars="0"/>
        <w:rPr>
          <w:rFonts w:hint="eastAsia" w:ascii="宋体" w:hAnsi="宋体" w:eastAsia="宋体" w:cs="宋体"/>
          <w:color w:val="auto"/>
          <w:highlight w:val="none"/>
        </w:rPr>
      </w:pPr>
      <w:r>
        <w:rPr>
          <w:rFonts w:hint="eastAsia" w:ascii="宋体" w:hAnsi="宋体" w:eastAsia="宋体" w:cs="宋体"/>
          <w:b/>
          <w:bCs/>
          <w:color w:val="auto"/>
          <w:highlight w:val="none"/>
        </w:rPr>
        <w:t>2</w:t>
      </w:r>
      <w:r>
        <w:rPr>
          <w:rFonts w:hint="eastAsia" w:ascii="宋体" w:hAnsi="宋体" w:eastAsia="宋体" w:cs="宋体"/>
          <w:b/>
          <w:bCs/>
          <w:color w:val="auto"/>
          <w:szCs w:val="24"/>
          <w:highlight w:val="none"/>
        </w:rPr>
        <w:t>7</w:t>
      </w:r>
      <w:r>
        <w:rPr>
          <w:rFonts w:hint="eastAsia" w:ascii="宋体" w:hAnsi="宋体" w:eastAsia="宋体" w:cs="宋体"/>
          <w:b/>
          <w:color w:val="auto"/>
          <w:szCs w:val="24"/>
          <w:highlight w:val="none"/>
        </w:rPr>
        <w:t>.电子交易活动的中止。</w:t>
      </w:r>
      <w:r>
        <w:rPr>
          <w:rFonts w:hint="eastAsia" w:ascii="宋体" w:hAnsi="宋体" w:eastAsia="宋体" w:cs="宋体"/>
          <w:color w:val="auto"/>
          <w:highlight w:val="none"/>
        </w:rPr>
        <w:t>采购过程中出现以下情形，导致电子交易平台无法正常运行，或者无法保证电子交易的公平、公正和安全时，采购代理机构可中止电子交易活动：</w:t>
      </w:r>
    </w:p>
    <w:p>
      <w:pPr>
        <w:pStyle w:val="131"/>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27.1电子交易平台发生故障而无法登录访问的； </w:t>
      </w:r>
    </w:p>
    <w:p>
      <w:pPr>
        <w:pStyle w:val="131"/>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27.2电子交易平台应用或数据库出现错误，不能进行正常操作的；</w:t>
      </w:r>
    </w:p>
    <w:p>
      <w:pPr>
        <w:pStyle w:val="131"/>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27.3电子交易平台发现严重安全漏洞，有潜在泄密危险的；</w:t>
      </w:r>
    </w:p>
    <w:p>
      <w:pPr>
        <w:pStyle w:val="131"/>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27.4病毒发作导致不能进行正常操作的； </w:t>
      </w:r>
    </w:p>
    <w:p>
      <w:pPr>
        <w:pStyle w:val="131"/>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27.5其他无法保证电子交易的公平、公正和安全的情况。</w:t>
      </w:r>
    </w:p>
    <w:p>
      <w:pPr>
        <w:pStyle w:val="131"/>
        <w:snapToGrid w:val="0"/>
        <w:spacing w:before="0"/>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28.出现以上情形，不影响采购公平、公正性的，采购组织机构可以待上述情形消除后继续组织电子交易活动；影响或可能影响采购公平、公正性的，应当重新采购。</w:t>
      </w:r>
    </w:p>
    <w:p>
      <w:pPr>
        <w:snapToGrid w:val="0"/>
        <w:spacing w:line="360" w:lineRule="auto"/>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九、验收</w:t>
      </w:r>
    </w:p>
    <w:p>
      <w:pPr>
        <w:pStyle w:val="24"/>
        <w:spacing w:line="360" w:lineRule="auto"/>
        <w:ind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29.验收</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29.2采购人可以邀请参加本项目的其他</w:t>
      </w:r>
      <w:r>
        <w:rPr>
          <w:rFonts w:hint="eastAsia" w:ascii="宋体" w:hAnsi="宋体" w:cs="宋体"/>
          <w:color w:val="auto"/>
          <w:kern w:val="0"/>
          <w:sz w:val="24"/>
          <w:highlight w:val="none"/>
          <w:lang w:eastAsia="zh-CN"/>
        </w:rPr>
        <w:t>供应商</w:t>
      </w:r>
      <w:r>
        <w:rPr>
          <w:rFonts w:hint="eastAsia" w:ascii="宋体" w:hAnsi="宋体" w:eastAsia="宋体" w:cs="宋体"/>
          <w:color w:val="auto"/>
          <w:kern w:val="0"/>
          <w:sz w:val="24"/>
          <w:highlight w:val="none"/>
        </w:rPr>
        <w:t>或者第三方机构参与验收。参与验收的</w:t>
      </w:r>
      <w:r>
        <w:rPr>
          <w:rFonts w:hint="eastAsia" w:ascii="宋体" w:hAnsi="宋体" w:cs="宋体"/>
          <w:color w:val="auto"/>
          <w:kern w:val="0"/>
          <w:sz w:val="24"/>
          <w:highlight w:val="none"/>
          <w:lang w:eastAsia="zh-CN"/>
        </w:rPr>
        <w:t>供应商</w:t>
      </w:r>
      <w:r>
        <w:rPr>
          <w:rFonts w:hint="eastAsia" w:ascii="宋体" w:hAnsi="宋体" w:eastAsia="宋体" w:cs="宋体"/>
          <w:color w:val="auto"/>
          <w:kern w:val="0"/>
          <w:sz w:val="24"/>
          <w:highlight w:val="none"/>
        </w:rPr>
        <w:t>或者第三方机构的意见作为验收书的参考资料一并存档。</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宋体" w:hAnsi="宋体" w:eastAsia="宋体" w:cs="宋体"/>
          <w:color w:val="auto"/>
          <w:kern w:val="0"/>
          <w:sz w:val="24"/>
          <w:highlight w:val="none"/>
        </w:rPr>
      </w:pPr>
      <w:bookmarkStart w:id="15" w:name="_Hlt68072998"/>
      <w:bookmarkEnd w:id="15"/>
      <w:bookmarkStart w:id="16" w:name="_Hlt68072990"/>
      <w:bookmarkEnd w:id="16"/>
      <w:bookmarkStart w:id="17" w:name="_Hlt74707468"/>
      <w:bookmarkEnd w:id="17"/>
      <w:bookmarkStart w:id="18" w:name="_Hlt75236290"/>
      <w:bookmarkEnd w:id="18"/>
      <w:bookmarkStart w:id="19" w:name="_Hlt74714665"/>
      <w:bookmarkEnd w:id="19"/>
      <w:bookmarkStart w:id="20" w:name="_Hlt75236101"/>
      <w:bookmarkEnd w:id="20"/>
      <w:bookmarkStart w:id="21" w:name="_Hlt74729768"/>
      <w:bookmarkEnd w:id="21"/>
      <w:bookmarkStart w:id="22" w:name="_Hlt68403820"/>
      <w:bookmarkEnd w:id="22"/>
      <w:bookmarkStart w:id="23" w:name="_Hlt74730295"/>
      <w:bookmarkEnd w:id="23"/>
      <w:bookmarkStart w:id="24" w:name="_Hlt75236011"/>
      <w:bookmarkEnd w:id="24"/>
      <w:bookmarkStart w:id="25" w:name="_Hlt68073093"/>
      <w:bookmarkEnd w:id="25"/>
      <w:bookmarkStart w:id="26" w:name="_Hlt68057669"/>
      <w:bookmarkEnd w:id="26"/>
    </w:p>
    <w:p>
      <w:pPr>
        <w:pStyle w:val="3"/>
        <w:rPr>
          <w:rFonts w:hint="eastAsia" w:ascii="宋体" w:hAnsi="宋体" w:eastAsia="宋体" w:cs="宋体"/>
          <w:color w:val="auto"/>
          <w:highlight w:val="none"/>
        </w:rPr>
        <w:sectPr>
          <w:footerReference r:id="rId7" w:type="first"/>
          <w:footerReference r:id="rId6" w:type="default"/>
          <w:pgSz w:w="11906" w:h="16838"/>
          <w:pgMar w:top="680" w:right="1418" w:bottom="468" w:left="1418" w:header="851" w:footer="992" w:gutter="0"/>
          <w:pgNumType w:start="1"/>
          <w:cols w:space="720" w:num="1"/>
          <w:titlePg/>
          <w:docGrid w:linePitch="312" w:charSpace="0"/>
        </w:sectPr>
      </w:pPr>
    </w:p>
    <w:bookmarkEnd w:id="10"/>
    <w:bookmarkEnd w:id="11"/>
    <w:p>
      <w:pPr>
        <w:spacing w:line="360" w:lineRule="auto"/>
        <w:jc w:val="center"/>
        <w:outlineLvl w:val="0"/>
        <w:rPr>
          <w:rFonts w:hint="eastAsia" w:ascii="宋体" w:hAnsi="宋体" w:eastAsia="宋体" w:cs="宋体"/>
          <w:b/>
          <w:color w:val="auto"/>
          <w:sz w:val="36"/>
          <w:szCs w:val="36"/>
          <w:highlight w:val="none"/>
        </w:rPr>
      </w:pPr>
      <w:bookmarkStart w:id="27" w:name="第四部分"/>
      <w:r>
        <w:rPr>
          <w:rFonts w:hint="eastAsia" w:ascii="宋体" w:hAnsi="宋体" w:eastAsia="宋体" w:cs="宋体"/>
          <w:b/>
          <w:color w:val="auto"/>
          <w:sz w:val="36"/>
          <w:szCs w:val="36"/>
          <w:highlight w:val="none"/>
        </w:rPr>
        <w:t>第三部分   采购需求</w:t>
      </w:r>
    </w:p>
    <w:p>
      <w:pPr>
        <w:widowControl/>
        <w:spacing w:beforeLines="0" w:afterLines="0" w:line="360" w:lineRule="auto"/>
        <w:jc w:val="left"/>
        <w:rPr>
          <w:rFonts w:hint="eastAsia" w:ascii="宋体" w:hAnsi="宋体" w:cs="宋体"/>
          <w:b/>
          <w:color w:val="auto"/>
          <w:kern w:val="0"/>
          <w:sz w:val="21"/>
          <w:szCs w:val="21"/>
          <w:highlight w:val="none"/>
        </w:rPr>
      </w:pPr>
      <w:r>
        <w:rPr>
          <w:rFonts w:hint="eastAsia" w:ascii="宋体" w:hAnsi="宋体" w:cs="宋体"/>
          <w:b/>
          <w:color w:val="auto"/>
          <w:kern w:val="0"/>
          <w:sz w:val="24"/>
          <w:szCs w:val="24"/>
          <w:highlight w:val="none"/>
        </w:rPr>
        <w:t>一、重要商务要求一览表</w:t>
      </w:r>
    </w:p>
    <w:tbl>
      <w:tblPr>
        <w:tblStyle w:val="62"/>
        <w:tblW w:w="1055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582"/>
        <w:gridCol w:w="89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58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pacing w:beforeLines="0" w:afterLines="0" w:line="288" w:lineRule="auto"/>
              <w:jc w:val="center"/>
              <w:textAlignment w:val="baseline"/>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rPr>
              <w:t>项目</w:t>
            </w:r>
          </w:p>
        </w:tc>
        <w:tc>
          <w:tcPr>
            <w:tcW w:w="897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pacing w:beforeLines="0" w:afterLines="0" w:line="288" w:lineRule="auto"/>
              <w:jc w:val="center"/>
              <w:textAlignment w:val="baseline"/>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rPr>
              <w:t xml:space="preserve">要 求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158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pacing w:beforeLines="0" w:afterLines="0" w:line="288" w:lineRule="auto"/>
              <w:jc w:val="center"/>
              <w:rPr>
                <w:rFonts w:hint="eastAsia" w:ascii="宋体" w:hAnsi="宋体" w:cs="宋体"/>
                <w:color w:val="auto"/>
                <w:kern w:val="0"/>
                <w:sz w:val="24"/>
                <w:szCs w:val="24"/>
                <w:highlight w:val="none"/>
              </w:rPr>
            </w:pPr>
            <w:r>
              <w:rPr>
                <w:rFonts w:hint="eastAsia" w:ascii="宋体" w:hAnsi="宋体" w:cs="宋体"/>
                <w:b/>
                <w:color w:val="auto"/>
                <w:kern w:val="0"/>
                <w:sz w:val="24"/>
                <w:szCs w:val="24"/>
                <w:highlight w:val="none"/>
              </w:rPr>
              <w:t>▲</w:t>
            </w:r>
            <w:r>
              <w:rPr>
                <w:rFonts w:hint="eastAsia" w:ascii="宋体" w:hAnsi="宋体" w:cs="宋体"/>
                <w:color w:val="auto"/>
                <w:kern w:val="0"/>
                <w:sz w:val="24"/>
                <w:szCs w:val="24"/>
                <w:highlight w:val="none"/>
              </w:rPr>
              <w:t>1.</w:t>
            </w:r>
            <w:r>
              <w:rPr>
                <w:rFonts w:hint="eastAsia" w:ascii="宋体" w:hAnsi="宋体" w:cs="宋体"/>
                <w:color w:val="auto"/>
                <w:sz w:val="24"/>
                <w:szCs w:val="24"/>
                <w:highlight w:val="none"/>
                <w:lang w:bidi="ar"/>
              </w:rPr>
              <w:t>履约保证金</w:t>
            </w:r>
          </w:p>
        </w:tc>
        <w:tc>
          <w:tcPr>
            <w:tcW w:w="897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pacing w:beforeLines="0" w:afterLines="0" w:line="288"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1.履约保证金金额：单年度合同总价的1%。</w:t>
            </w:r>
          </w:p>
          <w:p>
            <w:pPr>
              <w:adjustRightInd w:val="0"/>
              <w:spacing w:beforeLines="0" w:afterLines="0" w:line="288"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2.履约担保的形式：</w:t>
            </w:r>
            <w:r>
              <w:rPr>
                <w:rFonts w:hint="eastAsia" w:ascii="宋体" w:hAnsi="宋体" w:cs="宋体"/>
                <w:color w:val="auto"/>
                <w:kern w:val="0"/>
                <w:sz w:val="24"/>
                <w:szCs w:val="24"/>
                <w:highlight w:val="none"/>
              </w:rPr>
              <w:t>支票、汇票、本票或者金融机构、担保机构出具的保函等非现金形式提交</w:t>
            </w:r>
            <w:r>
              <w:rPr>
                <w:rFonts w:hint="eastAsia" w:ascii="宋体" w:hAnsi="宋体" w:cs="宋体"/>
                <w:color w:val="auto"/>
                <w:sz w:val="24"/>
                <w:szCs w:val="24"/>
                <w:highlight w:val="none"/>
              </w:rPr>
              <w:t>。</w:t>
            </w:r>
          </w:p>
          <w:p>
            <w:pPr>
              <w:adjustRightInd w:val="0"/>
              <w:spacing w:beforeLines="0" w:afterLines="0" w:line="288"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3.提交时间：合同签订并具备实施条件后15个工作日内提交。</w:t>
            </w:r>
          </w:p>
          <w:p>
            <w:pPr>
              <w:adjustRightInd w:val="0"/>
              <w:spacing w:beforeLines="0" w:afterLines="0" w:line="288"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4.履约担保的退取：</w:t>
            </w:r>
            <w:r>
              <w:rPr>
                <w:rFonts w:hint="eastAsia" w:ascii="宋体" w:hAnsi="宋体" w:cs="宋体"/>
                <w:color w:val="auto"/>
                <w:sz w:val="24"/>
                <w:szCs w:val="24"/>
                <w:highlight w:val="none"/>
                <w:lang w:bidi="ar"/>
              </w:rPr>
              <w:t>采购人在中标人履行完单个年度合同规定的所有义务</w:t>
            </w:r>
            <w:r>
              <w:rPr>
                <w:rFonts w:hint="eastAsia" w:ascii="宋体" w:hAnsi="宋体" w:cs="宋体"/>
                <w:color w:val="auto"/>
                <w:sz w:val="24"/>
                <w:szCs w:val="24"/>
                <w:highlight w:val="none"/>
              </w:rPr>
              <w:t>并经采购人验收通过后</w:t>
            </w:r>
            <w:r>
              <w:rPr>
                <w:rFonts w:hint="eastAsia" w:ascii="宋体" w:hAnsi="宋体" w:cs="宋体"/>
                <w:color w:val="auto"/>
                <w:sz w:val="24"/>
                <w:szCs w:val="24"/>
                <w:highlight w:val="none"/>
                <w:lang w:bidi="ar"/>
              </w:rPr>
              <w:t>退还</w:t>
            </w:r>
            <w:r>
              <w:rPr>
                <w:rFonts w:hint="eastAsia" w:ascii="宋体" w:hAnsi="宋体" w:cs="宋体"/>
                <w:color w:val="auto"/>
                <w:sz w:val="24"/>
                <w:szCs w:val="24"/>
                <w:highlight w:val="none"/>
              </w:rPr>
              <w:t>。</w:t>
            </w:r>
          </w:p>
          <w:p>
            <w:pPr>
              <w:widowControl/>
              <w:adjustRightInd w:val="0"/>
              <w:spacing w:beforeLines="0" w:afterLines="0" w:line="288" w:lineRule="auto"/>
              <w:jc w:val="left"/>
              <w:rPr>
                <w:rFonts w:hint="eastAsia" w:ascii="宋体" w:hAnsi="宋体" w:cs="宋体"/>
                <w:color w:val="auto"/>
                <w:kern w:val="0"/>
                <w:sz w:val="24"/>
                <w:szCs w:val="24"/>
                <w:highlight w:val="none"/>
              </w:rPr>
            </w:pPr>
            <w:r>
              <w:rPr>
                <w:rFonts w:hint="eastAsia" w:ascii="宋体" w:hAnsi="宋体" w:cs="宋体"/>
                <w:color w:val="auto"/>
                <w:sz w:val="24"/>
                <w:szCs w:val="24"/>
                <w:highlight w:val="none"/>
              </w:rPr>
              <w:t>备注：①退还履约保证金时中标人应向采购人发起申请，采购人在收到中标人的退还履约保证金申请后7个工作日内一次性无息退还。②若中标人未按合同条款或其投标文件提供服务的或经采购人终验不通过的，采购人有权全额扣罚履约保证金。③</w:t>
            </w:r>
            <w:r>
              <w:rPr>
                <w:rFonts w:hint="eastAsia" w:ascii="宋体" w:hAnsi="宋体" w:cs="宋体"/>
                <w:color w:val="auto"/>
                <w:sz w:val="24"/>
                <w:szCs w:val="24"/>
                <w:highlight w:val="none"/>
                <w:lang w:bidi="ar"/>
              </w:rPr>
              <w:t>履约保证金的有效期：自履约保证金递交之日起至中标人履行完单个年度合同规定的所有义务</w:t>
            </w:r>
            <w:r>
              <w:rPr>
                <w:rFonts w:hint="eastAsia" w:ascii="宋体" w:hAnsi="宋体" w:cs="宋体"/>
                <w:color w:val="auto"/>
                <w:sz w:val="24"/>
                <w:szCs w:val="24"/>
                <w:highlight w:val="none"/>
              </w:rPr>
              <w:t>并经采购人验收通过之日止</w:t>
            </w:r>
            <w:r>
              <w:rPr>
                <w:rFonts w:hint="eastAsia" w:ascii="宋体" w:hAnsi="宋体" w:cs="宋体"/>
                <w:color w:val="auto"/>
                <w:sz w:val="24"/>
                <w:szCs w:val="24"/>
                <w:highlight w:val="none"/>
                <w:lang w:bidi="ar"/>
              </w:rPr>
              <w:t>。</w:t>
            </w:r>
            <w:bookmarkStart w:id="28" w:name="_Hlk143081462"/>
            <w:r>
              <w:rPr>
                <w:rFonts w:hint="eastAsia" w:ascii="宋体" w:hAnsi="宋体" w:cs="宋体"/>
                <w:color w:val="auto"/>
                <w:sz w:val="24"/>
                <w:szCs w:val="24"/>
                <w:highlight w:val="none"/>
                <w:lang w:bidi="ar"/>
              </w:rPr>
              <w:t>④若次年度续签合同的，则按此要求重新递交和退还履约保证金。</w:t>
            </w:r>
            <w:bookmarkEnd w:id="2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158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pacing w:beforeLines="0" w:afterLines="0" w:line="288" w:lineRule="auto"/>
              <w:jc w:val="center"/>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rPr>
              <w:t>▲</w:t>
            </w:r>
            <w:r>
              <w:rPr>
                <w:rFonts w:hint="eastAsia" w:ascii="宋体" w:hAnsi="宋体" w:cs="宋体"/>
                <w:color w:val="auto"/>
                <w:kern w:val="0"/>
                <w:sz w:val="24"/>
                <w:szCs w:val="24"/>
                <w:highlight w:val="none"/>
              </w:rPr>
              <w:t>2.合同履约期限</w:t>
            </w:r>
          </w:p>
        </w:tc>
        <w:tc>
          <w:tcPr>
            <w:tcW w:w="897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adjustRightInd w:val="0"/>
              <w:spacing w:beforeLines="0" w:afterLines="0" w:line="288"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本项目总服务期限为三年，合同一年一签（第一年：预计自2023年12月23日起至2024年12月22日止；第二年：预计自2024年12月23日起至2025年12月22日止，第三年：预计自2025年12月23日起至2026年12月22日止）。第一年度合同期满后，经采购人考核合格，可续签下一年度合同，最多可续签二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158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pacing w:beforeLines="0" w:afterLines="0" w:line="288" w:lineRule="auto"/>
              <w:jc w:val="center"/>
              <w:rPr>
                <w:rFonts w:hint="eastAsia" w:ascii="宋体" w:hAnsi="宋体" w:cs="宋体"/>
                <w:color w:val="auto"/>
                <w:sz w:val="24"/>
                <w:szCs w:val="24"/>
                <w:highlight w:val="none"/>
              </w:rPr>
            </w:pPr>
            <w:r>
              <w:rPr>
                <w:rFonts w:hint="eastAsia" w:ascii="宋体" w:hAnsi="宋体" w:cs="宋体"/>
                <w:b/>
                <w:color w:val="auto"/>
                <w:kern w:val="0"/>
                <w:sz w:val="24"/>
                <w:szCs w:val="24"/>
                <w:highlight w:val="none"/>
              </w:rPr>
              <w:t>▲</w:t>
            </w:r>
            <w:r>
              <w:rPr>
                <w:rFonts w:hint="eastAsia" w:ascii="宋体" w:hAnsi="宋体" w:cs="宋体"/>
                <w:color w:val="auto"/>
                <w:kern w:val="0"/>
                <w:sz w:val="24"/>
                <w:szCs w:val="24"/>
                <w:highlight w:val="none"/>
              </w:rPr>
              <w:t>3.</w:t>
            </w:r>
            <w:r>
              <w:rPr>
                <w:rFonts w:hint="eastAsia" w:ascii="宋体" w:hAnsi="宋体" w:cs="宋体"/>
                <w:color w:val="auto"/>
                <w:sz w:val="24"/>
                <w:szCs w:val="24"/>
                <w:highlight w:val="none"/>
              </w:rPr>
              <w:t>付款</w:t>
            </w:r>
          </w:p>
          <w:p>
            <w:pPr>
              <w:adjustRightInd w:val="0"/>
              <w:spacing w:beforeLines="0" w:afterLines="0" w:line="288" w:lineRule="auto"/>
              <w:jc w:val="center"/>
              <w:rPr>
                <w:rFonts w:hint="eastAsia" w:ascii="宋体" w:hAnsi="宋体" w:cs="宋体"/>
                <w:color w:val="auto"/>
                <w:kern w:val="0"/>
                <w:sz w:val="24"/>
                <w:szCs w:val="24"/>
                <w:highlight w:val="none"/>
              </w:rPr>
            </w:pPr>
            <w:r>
              <w:rPr>
                <w:rFonts w:hint="eastAsia" w:ascii="宋体" w:hAnsi="宋体" w:cs="宋体"/>
                <w:color w:val="auto"/>
                <w:sz w:val="24"/>
                <w:szCs w:val="24"/>
                <w:highlight w:val="none"/>
              </w:rPr>
              <w:t>方式</w:t>
            </w:r>
          </w:p>
        </w:tc>
        <w:tc>
          <w:tcPr>
            <w:tcW w:w="897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pacing w:beforeLines="0" w:afterLines="0" w:line="288"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本项目款项支付共分为综合保险费和动态监测费两部分：</w:t>
            </w:r>
          </w:p>
          <w:p>
            <w:pPr>
              <w:adjustRightInd w:val="0"/>
              <w:spacing w:beforeLines="0" w:afterLines="0" w:line="288"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1.综合保险</w:t>
            </w:r>
            <w:r>
              <w:rPr>
                <w:rFonts w:hint="eastAsia" w:ascii="宋体" w:hAnsi="宋体" w:cs="宋体"/>
                <w:color w:val="auto"/>
                <w:sz w:val="24"/>
                <w:szCs w:val="24"/>
                <w:highlight w:val="none"/>
                <w:lang w:eastAsia="zh-CN"/>
              </w:rPr>
              <w:t>费</w:t>
            </w:r>
            <w:r>
              <w:rPr>
                <w:rFonts w:hint="eastAsia" w:ascii="宋体" w:hAnsi="宋体" w:cs="宋体"/>
                <w:color w:val="auto"/>
                <w:sz w:val="24"/>
                <w:szCs w:val="24"/>
                <w:highlight w:val="none"/>
              </w:rPr>
              <w:t>：</w:t>
            </w:r>
          </w:p>
          <w:p>
            <w:pPr>
              <w:adjustRightInd w:val="0"/>
              <w:spacing w:beforeLines="0" w:afterLines="0" w:line="288"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1.1.采购合同签订生效以及具备实施条件后7个工作日内，采购人向中标人支付中标保费金额的40%作为预付款（中标人于合同签订前书面承诺放弃预付款或降低预付款支付比例的，可不适用本条款，具体支付方式由双方在合同签订中自行约定）；</w:t>
            </w:r>
          </w:p>
          <w:p>
            <w:pPr>
              <w:adjustRightInd w:val="0"/>
              <w:spacing w:beforeLines="0" w:afterLines="0" w:line="288"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1.2.服务满6个月，在当年度服务期第7个月的15日前，采购人一次性支付剩余中标保费（无息）。</w:t>
            </w:r>
          </w:p>
          <w:p>
            <w:pPr>
              <w:adjustRightInd w:val="0"/>
              <w:spacing w:beforeLines="0" w:afterLines="0" w:line="288" w:lineRule="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注：若财政资金到位延迟的，采购人将在资金到位后及时支付对应款项</w:t>
            </w:r>
            <w:r>
              <w:rPr>
                <w:rFonts w:hint="eastAsia" w:ascii="宋体" w:hAnsi="宋体" w:cs="宋体"/>
                <w:color w:val="auto"/>
                <w:sz w:val="24"/>
                <w:szCs w:val="24"/>
                <w:highlight w:val="none"/>
                <w:lang w:eastAsia="zh-CN"/>
              </w:rPr>
              <w:t>。</w:t>
            </w:r>
          </w:p>
          <w:p>
            <w:pPr>
              <w:adjustRightInd w:val="0"/>
              <w:spacing w:beforeLines="0" w:afterLines="0" w:line="288"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2.动态监测费：[分项合同金额根据各乡镇（街道）实际监测房屋数量确定，各乡（街道）支付比例见下表1]</w:t>
            </w:r>
          </w:p>
          <w:p>
            <w:pPr>
              <w:adjustRightInd w:val="0"/>
              <w:spacing w:beforeLines="0" w:afterLines="0" w:line="288" w:lineRule="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2.1.采购合同签订生效以及具备实施条件后7个工作日内，采购人向中标人支付中标动态监测费金额的40%作为预付款（中标人于合同签订前书面承诺放弃预付款或降低预付款支付比例的，可不适用本条款，具体支付方式由双方在合同签订中自行约定）；</w:t>
            </w:r>
          </w:p>
          <w:p>
            <w:pPr>
              <w:adjustRightInd w:val="0"/>
              <w:spacing w:beforeLines="0" w:afterLines="0" w:line="288"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.服务满6个月，在当年度服务期第7个月的15日前，支付</w:t>
            </w:r>
            <w:r>
              <w:rPr>
                <w:rFonts w:hint="eastAsia" w:ascii="宋体" w:hAnsi="宋体" w:cs="宋体"/>
                <w:color w:val="auto"/>
                <w:sz w:val="24"/>
                <w:szCs w:val="24"/>
                <w:highlight w:val="none"/>
                <w:lang w:eastAsia="zh-CN"/>
              </w:rPr>
              <w:t>至</w:t>
            </w:r>
            <w:r>
              <w:rPr>
                <w:rFonts w:hint="eastAsia" w:ascii="宋体" w:hAnsi="宋体" w:cs="宋体"/>
                <w:color w:val="auto"/>
                <w:sz w:val="24"/>
                <w:szCs w:val="24"/>
                <w:highlight w:val="none"/>
              </w:rPr>
              <w:t>动态监测费</w:t>
            </w:r>
            <w:r>
              <w:rPr>
                <w:rFonts w:hint="eastAsia" w:ascii="宋体" w:hAnsi="宋体" w:cs="宋体"/>
                <w:color w:val="auto"/>
                <w:sz w:val="24"/>
                <w:szCs w:val="24"/>
                <w:highlight w:val="none"/>
                <w:lang w:eastAsia="zh-CN"/>
              </w:rPr>
              <w:t>总金额</w:t>
            </w:r>
            <w:r>
              <w:rPr>
                <w:rFonts w:hint="eastAsia" w:ascii="宋体" w:hAnsi="宋体" w:cs="宋体"/>
                <w:color w:val="auto"/>
                <w:sz w:val="24"/>
                <w:szCs w:val="24"/>
                <w:highlight w:val="none"/>
              </w:rPr>
              <w:t>的60%；</w:t>
            </w:r>
          </w:p>
          <w:p>
            <w:pPr>
              <w:adjustRightInd w:val="0"/>
              <w:spacing w:beforeLines="0" w:afterLines="0" w:line="288"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.根据前三季度考核情况，在第四季度初7个工作日内支付</w:t>
            </w:r>
            <w:r>
              <w:rPr>
                <w:rFonts w:hint="eastAsia" w:ascii="宋体" w:hAnsi="宋体" w:cs="宋体"/>
                <w:color w:val="auto"/>
                <w:sz w:val="24"/>
                <w:szCs w:val="24"/>
                <w:highlight w:val="none"/>
                <w:lang w:eastAsia="zh-CN"/>
              </w:rPr>
              <w:t>至</w:t>
            </w:r>
            <w:r>
              <w:rPr>
                <w:rFonts w:hint="eastAsia" w:ascii="宋体" w:hAnsi="宋体" w:cs="宋体"/>
                <w:color w:val="auto"/>
                <w:sz w:val="24"/>
                <w:szCs w:val="24"/>
                <w:highlight w:val="none"/>
              </w:rPr>
              <w:t>动态监测费</w:t>
            </w:r>
            <w:r>
              <w:rPr>
                <w:rFonts w:hint="eastAsia" w:ascii="宋体" w:hAnsi="宋体" w:cs="宋体"/>
                <w:color w:val="auto"/>
                <w:sz w:val="24"/>
                <w:szCs w:val="24"/>
                <w:highlight w:val="none"/>
                <w:lang w:eastAsia="zh-CN"/>
              </w:rPr>
              <w:t>总金额</w:t>
            </w:r>
            <w:r>
              <w:rPr>
                <w:rFonts w:hint="eastAsia" w:ascii="宋体" w:hAnsi="宋体" w:cs="宋体"/>
                <w:color w:val="auto"/>
                <w:sz w:val="24"/>
                <w:szCs w:val="24"/>
                <w:highlight w:val="none"/>
              </w:rPr>
              <w:t>的</w:t>
            </w: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rPr>
              <w:t>0%（考核不合格的情况除外）；</w:t>
            </w:r>
          </w:p>
          <w:p>
            <w:pPr>
              <w:adjustRightInd w:val="0"/>
              <w:spacing w:beforeLines="0" w:afterLines="0" w:line="288"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.剩余动态监测费于合同期满后7个工作日内一次性支付（无息）。</w:t>
            </w:r>
          </w:p>
          <w:p>
            <w:pPr>
              <w:adjustRightInd w:val="0"/>
              <w:spacing w:beforeLines="0" w:afterLines="0" w:line="288" w:lineRule="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注：若财政资金到位延迟的，采购人将在资金到位后及时支付对应款项</w:t>
            </w:r>
            <w:r>
              <w:rPr>
                <w:rFonts w:hint="eastAsia" w:ascii="宋体" w:hAnsi="宋体" w:cs="宋体"/>
                <w:color w:val="auto"/>
                <w:sz w:val="24"/>
                <w:szCs w:val="24"/>
                <w:highlight w:val="none"/>
                <w:lang w:eastAsia="zh-CN"/>
              </w:rPr>
              <w:t>。</w:t>
            </w:r>
          </w:p>
          <w:p>
            <w:pPr>
              <w:adjustRightInd w:val="0"/>
              <w:spacing w:beforeLines="0" w:afterLines="0" w:line="288"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表一：慈溪市房产管理中心和镇／街道应付中标人动态监测服务费比例表</w:t>
            </w:r>
          </w:p>
          <w:tbl>
            <w:tblPr>
              <w:tblStyle w:val="62"/>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55"/>
              <w:gridCol w:w="2850"/>
              <w:gridCol w:w="1972"/>
              <w:gridCol w:w="2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660"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序号</w:t>
                  </w:r>
                </w:p>
              </w:tc>
              <w:tc>
                <w:tcPr>
                  <w:tcW w:w="1629"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镇/街道</w:t>
                  </w:r>
                </w:p>
                <w:p>
                  <w:pPr>
                    <w:adjustRightInd w:val="0"/>
                    <w:spacing w:beforeLines="0" w:afterLines="0" w:line="288"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名称</w:t>
                  </w:r>
                </w:p>
              </w:tc>
              <w:tc>
                <w:tcPr>
                  <w:tcW w:w="1127"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中心付</w:t>
                  </w:r>
                </w:p>
                <w:p>
                  <w:pPr>
                    <w:adjustRightInd w:val="0"/>
                    <w:spacing w:beforeLines="0" w:afterLines="0" w:line="288"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款比例</w:t>
                  </w:r>
                </w:p>
              </w:tc>
              <w:tc>
                <w:tcPr>
                  <w:tcW w:w="1583"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镇/街道</w:t>
                  </w:r>
                </w:p>
                <w:p>
                  <w:pPr>
                    <w:adjustRightInd w:val="0"/>
                    <w:spacing w:beforeLines="0" w:afterLines="0" w:line="288"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付款比例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660"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1</w:t>
                  </w:r>
                </w:p>
              </w:tc>
              <w:tc>
                <w:tcPr>
                  <w:tcW w:w="1629"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观海卫镇</w:t>
                  </w:r>
                </w:p>
              </w:tc>
              <w:tc>
                <w:tcPr>
                  <w:tcW w:w="1127"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30</w:t>
                  </w:r>
                  <w:r>
                    <w:rPr>
                      <w:rFonts w:hint="eastAsia" w:ascii="宋体" w:hAnsi="宋体" w:cs="宋体"/>
                      <w:color w:val="auto"/>
                      <w:sz w:val="21"/>
                      <w:szCs w:val="21"/>
                      <w:highlight w:val="none"/>
                      <w:lang w:eastAsia="zh-CN"/>
                    </w:rPr>
                    <w:t>%</w:t>
                  </w:r>
                </w:p>
              </w:tc>
              <w:tc>
                <w:tcPr>
                  <w:tcW w:w="1583"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7</w:t>
                  </w:r>
                  <w:r>
                    <w:rPr>
                      <w:rFonts w:hint="eastAsia" w:ascii="宋体" w:hAnsi="宋体" w:cs="宋体"/>
                      <w:color w:val="auto"/>
                      <w:sz w:val="21"/>
                      <w:szCs w:val="24"/>
                      <w:highlight w:val="none"/>
                    </w:rPr>
                    <w:t>0</w:t>
                  </w:r>
                  <w:r>
                    <w:rPr>
                      <w:rFonts w:hint="eastAsia" w:ascii="宋体" w:hAnsi="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 w:hRule="atLeast"/>
                <w:jc w:val="center"/>
              </w:trPr>
              <w:tc>
                <w:tcPr>
                  <w:tcW w:w="660"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2</w:t>
                  </w:r>
                </w:p>
              </w:tc>
              <w:tc>
                <w:tcPr>
                  <w:tcW w:w="1629"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横河镇</w:t>
                  </w:r>
                </w:p>
              </w:tc>
              <w:tc>
                <w:tcPr>
                  <w:tcW w:w="1127"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30</w:t>
                  </w:r>
                  <w:r>
                    <w:rPr>
                      <w:rFonts w:hint="eastAsia" w:ascii="宋体" w:hAnsi="宋体" w:cs="宋体"/>
                      <w:color w:val="auto"/>
                      <w:sz w:val="21"/>
                      <w:szCs w:val="21"/>
                      <w:highlight w:val="none"/>
                      <w:lang w:eastAsia="zh-CN"/>
                    </w:rPr>
                    <w:t>%</w:t>
                  </w:r>
                </w:p>
              </w:tc>
              <w:tc>
                <w:tcPr>
                  <w:tcW w:w="1583"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70</w:t>
                  </w:r>
                  <w:r>
                    <w:rPr>
                      <w:rFonts w:hint="eastAsia" w:ascii="宋体" w:hAnsi="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 w:hRule="atLeast"/>
                <w:jc w:val="center"/>
              </w:trPr>
              <w:tc>
                <w:tcPr>
                  <w:tcW w:w="660"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3</w:t>
                  </w:r>
                </w:p>
              </w:tc>
              <w:tc>
                <w:tcPr>
                  <w:tcW w:w="1629"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龙山镇</w:t>
                  </w:r>
                </w:p>
              </w:tc>
              <w:tc>
                <w:tcPr>
                  <w:tcW w:w="1127"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30</w:t>
                  </w:r>
                  <w:r>
                    <w:rPr>
                      <w:rFonts w:hint="eastAsia" w:ascii="宋体" w:hAnsi="宋体" w:cs="宋体"/>
                      <w:color w:val="auto"/>
                      <w:sz w:val="21"/>
                      <w:szCs w:val="21"/>
                      <w:highlight w:val="none"/>
                      <w:lang w:eastAsia="zh-CN"/>
                    </w:rPr>
                    <w:t>%</w:t>
                  </w:r>
                </w:p>
              </w:tc>
              <w:tc>
                <w:tcPr>
                  <w:tcW w:w="1583"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70</w:t>
                  </w:r>
                  <w:r>
                    <w:rPr>
                      <w:rFonts w:hint="eastAsia" w:ascii="宋体" w:hAnsi="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 w:hRule="atLeast"/>
                <w:jc w:val="center"/>
              </w:trPr>
              <w:tc>
                <w:tcPr>
                  <w:tcW w:w="660"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4</w:t>
                  </w:r>
                </w:p>
              </w:tc>
              <w:tc>
                <w:tcPr>
                  <w:tcW w:w="1629"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桥头镇</w:t>
                  </w:r>
                </w:p>
              </w:tc>
              <w:tc>
                <w:tcPr>
                  <w:tcW w:w="1127"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30</w:t>
                  </w:r>
                  <w:r>
                    <w:rPr>
                      <w:rFonts w:hint="eastAsia" w:ascii="宋体" w:hAnsi="宋体" w:cs="宋体"/>
                      <w:color w:val="auto"/>
                      <w:sz w:val="21"/>
                      <w:szCs w:val="21"/>
                      <w:highlight w:val="none"/>
                      <w:lang w:eastAsia="zh-CN"/>
                    </w:rPr>
                    <w:t>%</w:t>
                  </w:r>
                </w:p>
              </w:tc>
              <w:tc>
                <w:tcPr>
                  <w:tcW w:w="1583"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70</w:t>
                  </w:r>
                  <w:r>
                    <w:rPr>
                      <w:rFonts w:hint="eastAsia" w:ascii="宋体" w:hAnsi="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 w:hRule="atLeast"/>
                <w:jc w:val="center"/>
              </w:trPr>
              <w:tc>
                <w:tcPr>
                  <w:tcW w:w="660"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5</w:t>
                  </w:r>
                </w:p>
              </w:tc>
              <w:tc>
                <w:tcPr>
                  <w:tcW w:w="1629"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浒山街道</w:t>
                  </w:r>
                </w:p>
              </w:tc>
              <w:tc>
                <w:tcPr>
                  <w:tcW w:w="1127"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50</w:t>
                  </w:r>
                  <w:r>
                    <w:rPr>
                      <w:rFonts w:hint="eastAsia" w:ascii="宋体" w:hAnsi="宋体" w:cs="宋体"/>
                      <w:color w:val="auto"/>
                      <w:sz w:val="21"/>
                      <w:szCs w:val="21"/>
                      <w:highlight w:val="none"/>
                      <w:lang w:eastAsia="zh-CN"/>
                    </w:rPr>
                    <w:t>%</w:t>
                  </w:r>
                </w:p>
              </w:tc>
              <w:tc>
                <w:tcPr>
                  <w:tcW w:w="1583"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50</w:t>
                  </w:r>
                  <w:r>
                    <w:rPr>
                      <w:rFonts w:hint="eastAsia" w:ascii="宋体" w:hAnsi="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 w:hRule="atLeast"/>
                <w:jc w:val="center"/>
              </w:trPr>
              <w:tc>
                <w:tcPr>
                  <w:tcW w:w="660"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6</w:t>
                  </w:r>
                </w:p>
              </w:tc>
              <w:tc>
                <w:tcPr>
                  <w:tcW w:w="1629"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掌起镇</w:t>
                  </w:r>
                </w:p>
              </w:tc>
              <w:tc>
                <w:tcPr>
                  <w:tcW w:w="1127"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30</w:t>
                  </w:r>
                  <w:r>
                    <w:rPr>
                      <w:rFonts w:hint="eastAsia" w:ascii="宋体" w:hAnsi="宋体" w:cs="宋体"/>
                      <w:color w:val="auto"/>
                      <w:sz w:val="21"/>
                      <w:szCs w:val="21"/>
                      <w:highlight w:val="none"/>
                      <w:lang w:eastAsia="zh-CN"/>
                    </w:rPr>
                    <w:t>%</w:t>
                  </w:r>
                </w:p>
              </w:tc>
              <w:tc>
                <w:tcPr>
                  <w:tcW w:w="1583"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70</w:t>
                  </w:r>
                  <w:r>
                    <w:rPr>
                      <w:rFonts w:hint="eastAsia" w:ascii="宋体" w:hAnsi="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660"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7</w:t>
                  </w:r>
                </w:p>
              </w:tc>
              <w:tc>
                <w:tcPr>
                  <w:tcW w:w="1629"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匡堰镇</w:t>
                  </w:r>
                </w:p>
              </w:tc>
              <w:tc>
                <w:tcPr>
                  <w:tcW w:w="1127"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30</w:t>
                  </w:r>
                  <w:r>
                    <w:rPr>
                      <w:rFonts w:hint="eastAsia" w:ascii="宋体" w:hAnsi="宋体" w:cs="宋体"/>
                      <w:color w:val="auto"/>
                      <w:sz w:val="21"/>
                      <w:szCs w:val="21"/>
                      <w:highlight w:val="none"/>
                      <w:lang w:eastAsia="zh-CN"/>
                    </w:rPr>
                    <w:t>%</w:t>
                  </w:r>
                </w:p>
              </w:tc>
              <w:tc>
                <w:tcPr>
                  <w:tcW w:w="1583"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70</w:t>
                  </w:r>
                  <w:r>
                    <w:rPr>
                      <w:rFonts w:hint="eastAsia" w:ascii="宋体" w:hAnsi="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 w:hRule="atLeast"/>
                <w:jc w:val="center"/>
              </w:trPr>
              <w:tc>
                <w:tcPr>
                  <w:tcW w:w="660"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8</w:t>
                  </w:r>
                </w:p>
              </w:tc>
              <w:tc>
                <w:tcPr>
                  <w:tcW w:w="1629"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逍林镇</w:t>
                  </w:r>
                </w:p>
              </w:tc>
              <w:tc>
                <w:tcPr>
                  <w:tcW w:w="1127"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30</w:t>
                  </w:r>
                  <w:r>
                    <w:rPr>
                      <w:rFonts w:hint="eastAsia" w:ascii="宋体" w:hAnsi="宋体" w:cs="宋体"/>
                      <w:color w:val="auto"/>
                      <w:sz w:val="21"/>
                      <w:szCs w:val="21"/>
                      <w:highlight w:val="none"/>
                      <w:lang w:eastAsia="zh-CN"/>
                    </w:rPr>
                    <w:t>%</w:t>
                  </w:r>
                </w:p>
              </w:tc>
              <w:tc>
                <w:tcPr>
                  <w:tcW w:w="1583"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70</w:t>
                  </w:r>
                  <w:r>
                    <w:rPr>
                      <w:rFonts w:hint="eastAsia" w:ascii="宋体" w:hAnsi="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 w:hRule="atLeast"/>
                <w:jc w:val="center"/>
              </w:trPr>
              <w:tc>
                <w:tcPr>
                  <w:tcW w:w="660"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9</w:t>
                  </w:r>
                </w:p>
              </w:tc>
              <w:tc>
                <w:tcPr>
                  <w:tcW w:w="1629"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白沙路街道</w:t>
                  </w:r>
                </w:p>
              </w:tc>
              <w:tc>
                <w:tcPr>
                  <w:tcW w:w="1127"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50</w:t>
                  </w:r>
                  <w:r>
                    <w:rPr>
                      <w:rFonts w:hint="eastAsia" w:ascii="宋体" w:hAnsi="宋体" w:cs="宋体"/>
                      <w:color w:val="auto"/>
                      <w:sz w:val="21"/>
                      <w:szCs w:val="21"/>
                      <w:highlight w:val="none"/>
                      <w:lang w:eastAsia="zh-CN"/>
                    </w:rPr>
                    <w:t>%</w:t>
                  </w:r>
                </w:p>
              </w:tc>
              <w:tc>
                <w:tcPr>
                  <w:tcW w:w="1583"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50</w:t>
                  </w:r>
                  <w:r>
                    <w:rPr>
                      <w:rFonts w:hint="eastAsia" w:ascii="宋体" w:hAnsi="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 w:hRule="atLeast"/>
                <w:jc w:val="center"/>
              </w:trPr>
              <w:tc>
                <w:tcPr>
                  <w:tcW w:w="660"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10</w:t>
                  </w:r>
                </w:p>
              </w:tc>
              <w:tc>
                <w:tcPr>
                  <w:tcW w:w="1629"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长河镇</w:t>
                  </w:r>
                </w:p>
              </w:tc>
              <w:tc>
                <w:tcPr>
                  <w:tcW w:w="1127"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30</w:t>
                  </w:r>
                  <w:r>
                    <w:rPr>
                      <w:rFonts w:hint="eastAsia" w:ascii="宋体" w:hAnsi="宋体" w:cs="宋体"/>
                      <w:color w:val="auto"/>
                      <w:sz w:val="21"/>
                      <w:szCs w:val="21"/>
                      <w:highlight w:val="none"/>
                      <w:lang w:eastAsia="zh-CN"/>
                    </w:rPr>
                    <w:t>%</w:t>
                  </w:r>
                </w:p>
              </w:tc>
              <w:tc>
                <w:tcPr>
                  <w:tcW w:w="1583"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70</w:t>
                  </w:r>
                  <w:r>
                    <w:rPr>
                      <w:rFonts w:hint="eastAsia" w:ascii="宋体" w:hAnsi="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 w:hRule="atLeast"/>
                <w:jc w:val="center"/>
              </w:trPr>
              <w:tc>
                <w:tcPr>
                  <w:tcW w:w="660"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11</w:t>
                  </w:r>
                </w:p>
              </w:tc>
              <w:tc>
                <w:tcPr>
                  <w:tcW w:w="1629"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附海镇</w:t>
                  </w:r>
                </w:p>
              </w:tc>
              <w:tc>
                <w:tcPr>
                  <w:tcW w:w="1127"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30</w:t>
                  </w:r>
                  <w:r>
                    <w:rPr>
                      <w:rFonts w:hint="eastAsia" w:ascii="宋体" w:hAnsi="宋体" w:cs="宋体"/>
                      <w:color w:val="auto"/>
                      <w:sz w:val="21"/>
                      <w:szCs w:val="21"/>
                      <w:highlight w:val="none"/>
                      <w:lang w:eastAsia="zh-CN"/>
                    </w:rPr>
                    <w:t>%</w:t>
                  </w:r>
                </w:p>
              </w:tc>
              <w:tc>
                <w:tcPr>
                  <w:tcW w:w="1583"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70</w:t>
                  </w:r>
                  <w:r>
                    <w:rPr>
                      <w:rFonts w:hint="eastAsia" w:ascii="宋体" w:hAnsi="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 w:hRule="atLeast"/>
                <w:jc w:val="center"/>
              </w:trPr>
              <w:tc>
                <w:tcPr>
                  <w:tcW w:w="660"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12</w:t>
                  </w:r>
                </w:p>
              </w:tc>
              <w:tc>
                <w:tcPr>
                  <w:tcW w:w="1629"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古塘街道</w:t>
                  </w:r>
                </w:p>
              </w:tc>
              <w:tc>
                <w:tcPr>
                  <w:tcW w:w="1127"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50</w:t>
                  </w:r>
                  <w:r>
                    <w:rPr>
                      <w:rFonts w:hint="eastAsia" w:ascii="宋体" w:hAnsi="宋体" w:cs="宋体"/>
                      <w:color w:val="auto"/>
                      <w:sz w:val="21"/>
                      <w:szCs w:val="21"/>
                      <w:highlight w:val="none"/>
                      <w:lang w:eastAsia="zh-CN"/>
                    </w:rPr>
                    <w:t>%</w:t>
                  </w:r>
                </w:p>
              </w:tc>
              <w:tc>
                <w:tcPr>
                  <w:tcW w:w="1583"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50</w:t>
                  </w:r>
                  <w:r>
                    <w:rPr>
                      <w:rFonts w:hint="eastAsia" w:ascii="宋体" w:hAnsi="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 w:hRule="atLeast"/>
                <w:jc w:val="center"/>
              </w:trPr>
              <w:tc>
                <w:tcPr>
                  <w:tcW w:w="660"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13</w:t>
                  </w:r>
                </w:p>
              </w:tc>
              <w:tc>
                <w:tcPr>
                  <w:tcW w:w="1629"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坎墩街道</w:t>
                  </w:r>
                </w:p>
              </w:tc>
              <w:tc>
                <w:tcPr>
                  <w:tcW w:w="1127"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50</w:t>
                  </w:r>
                  <w:r>
                    <w:rPr>
                      <w:rFonts w:hint="eastAsia" w:ascii="宋体" w:hAnsi="宋体" w:cs="宋体"/>
                      <w:color w:val="auto"/>
                      <w:sz w:val="21"/>
                      <w:szCs w:val="21"/>
                      <w:highlight w:val="none"/>
                      <w:lang w:eastAsia="zh-CN"/>
                    </w:rPr>
                    <w:t>%</w:t>
                  </w:r>
                </w:p>
              </w:tc>
              <w:tc>
                <w:tcPr>
                  <w:tcW w:w="1583"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50</w:t>
                  </w:r>
                  <w:r>
                    <w:rPr>
                      <w:rFonts w:hint="eastAsia" w:ascii="宋体" w:hAnsi="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 w:hRule="atLeast"/>
                <w:jc w:val="center"/>
              </w:trPr>
              <w:tc>
                <w:tcPr>
                  <w:tcW w:w="660"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14</w:t>
                  </w:r>
                </w:p>
              </w:tc>
              <w:tc>
                <w:tcPr>
                  <w:tcW w:w="1629"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胜山镇</w:t>
                  </w:r>
                </w:p>
              </w:tc>
              <w:tc>
                <w:tcPr>
                  <w:tcW w:w="1127"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30</w:t>
                  </w:r>
                  <w:r>
                    <w:rPr>
                      <w:rFonts w:hint="eastAsia" w:ascii="宋体" w:hAnsi="宋体" w:cs="宋体"/>
                      <w:color w:val="auto"/>
                      <w:sz w:val="21"/>
                      <w:szCs w:val="21"/>
                      <w:highlight w:val="none"/>
                      <w:lang w:eastAsia="zh-CN"/>
                    </w:rPr>
                    <w:t>%</w:t>
                  </w:r>
                </w:p>
              </w:tc>
              <w:tc>
                <w:tcPr>
                  <w:tcW w:w="1583"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70</w:t>
                  </w:r>
                  <w:r>
                    <w:rPr>
                      <w:rFonts w:hint="eastAsia" w:ascii="宋体" w:hAnsi="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jc w:val="center"/>
              </w:trPr>
              <w:tc>
                <w:tcPr>
                  <w:tcW w:w="660"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15</w:t>
                  </w:r>
                </w:p>
              </w:tc>
              <w:tc>
                <w:tcPr>
                  <w:tcW w:w="1629"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新浦镇</w:t>
                  </w:r>
                </w:p>
              </w:tc>
              <w:tc>
                <w:tcPr>
                  <w:tcW w:w="1127"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30</w:t>
                  </w:r>
                  <w:r>
                    <w:rPr>
                      <w:rFonts w:hint="eastAsia" w:ascii="宋体" w:hAnsi="宋体" w:cs="宋体"/>
                      <w:color w:val="auto"/>
                      <w:sz w:val="21"/>
                      <w:szCs w:val="21"/>
                      <w:highlight w:val="none"/>
                      <w:lang w:eastAsia="zh-CN"/>
                    </w:rPr>
                    <w:t>%</w:t>
                  </w:r>
                </w:p>
              </w:tc>
              <w:tc>
                <w:tcPr>
                  <w:tcW w:w="1583"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70</w:t>
                  </w:r>
                  <w:r>
                    <w:rPr>
                      <w:rFonts w:hint="eastAsia" w:ascii="宋体" w:hAnsi="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 w:hRule="atLeast"/>
                <w:jc w:val="center"/>
              </w:trPr>
              <w:tc>
                <w:tcPr>
                  <w:tcW w:w="660"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16</w:t>
                  </w:r>
                </w:p>
              </w:tc>
              <w:tc>
                <w:tcPr>
                  <w:tcW w:w="1629"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周巷镇</w:t>
                  </w:r>
                </w:p>
              </w:tc>
              <w:tc>
                <w:tcPr>
                  <w:tcW w:w="1127"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30</w:t>
                  </w:r>
                  <w:r>
                    <w:rPr>
                      <w:rFonts w:hint="eastAsia" w:ascii="宋体" w:hAnsi="宋体" w:cs="宋体"/>
                      <w:color w:val="auto"/>
                      <w:sz w:val="21"/>
                      <w:szCs w:val="21"/>
                      <w:highlight w:val="none"/>
                      <w:lang w:eastAsia="zh-CN"/>
                    </w:rPr>
                    <w:t>%</w:t>
                  </w:r>
                </w:p>
              </w:tc>
              <w:tc>
                <w:tcPr>
                  <w:tcW w:w="1583"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70</w:t>
                  </w:r>
                  <w:r>
                    <w:rPr>
                      <w:rFonts w:hint="eastAsia" w:ascii="宋体" w:hAnsi="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1" w:hRule="atLeast"/>
                <w:jc w:val="center"/>
              </w:trPr>
              <w:tc>
                <w:tcPr>
                  <w:tcW w:w="660"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17</w:t>
                  </w:r>
                </w:p>
              </w:tc>
              <w:tc>
                <w:tcPr>
                  <w:tcW w:w="1629"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宗汉街道</w:t>
                  </w:r>
                </w:p>
              </w:tc>
              <w:tc>
                <w:tcPr>
                  <w:tcW w:w="1127"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30</w:t>
                  </w:r>
                  <w:r>
                    <w:rPr>
                      <w:rFonts w:hint="eastAsia" w:ascii="宋体" w:hAnsi="宋体" w:cs="宋体"/>
                      <w:color w:val="auto"/>
                      <w:sz w:val="21"/>
                      <w:szCs w:val="21"/>
                      <w:highlight w:val="none"/>
                      <w:lang w:eastAsia="zh-CN"/>
                    </w:rPr>
                    <w:t>%</w:t>
                  </w:r>
                </w:p>
              </w:tc>
              <w:tc>
                <w:tcPr>
                  <w:tcW w:w="1583"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70</w:t>
                  </w:r>
                  <w:r>
                    <w:rPr>
                      <w:rFonts w:hint="eastAsia" w:ascii="宋体" w:hAnsi="宋体" w:cs="宋体"/>
                      <w:color w:val="auto"/>
                      <w:sz w:val="21"/>
                      <w:szCs w:val="21"/>
                      <w:highlight w:val="none"/>
                      <w:lang w:eastAsia="zh-CN"/>
                    </w:rPr>
                    <w:t>%</w:t>
                  </w:r>
                </w:p>
              </w:tc>
            </w:tr>
          </w:tbl>
          <w:p>
            <w:pPr>
              <w:adjustRightInd w:val="0"/>
              <w:spacing w:beforeLines="0" w:afterLines="0" w:line="288" w:lineRule="auto"/>
              <w:rPr>
                <w:rFonts w:hint="eastAsia" w:ascii="宋体" w:hAnsi="宋体" w:cs="宋体"/>
                <w:color w:val="auto"/>
                <w:kern w:val="0"/>
                <w:sz w:val="24"/>
                <w:szCs w:val="24"/>
                <w:highlight w:val="none"/>
              </w:rPr>
            </w:pPr>
            <w:r>
              <w:rPr>
                <w:rFonts w:hint="eastAsia" w:ascii="宋体" w:hAnsi="宋体" w:cs="宋体"/>
                <w:color w:val="auto"/>
                <w:sz w:val="24"/>
                <w:szCs w:val="24"/>
                <w:highlight w:val="none"/>
              </w:rPr>
              <w:t xml:space="preserve">   备注：直管公房安全动态监测费用由慈溪市房屋管理中心按动态监测费用支付方式进行支付，与各乡镇（街道）无涉。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4" w:hRule="atLeast"/>
          <w:jc w:val="center"/>
        </w:trPr>
        <w:tc>
          <w:tcPr>
            <w:tcW w:w="158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pacing w:beforeLines="0" w:afterLines="0" w:line="288" w:lineRule="auto"/>
              <w:jc w:val="center"/>
              <w:rPr>
                <w:rFonts w:hint="eastAsia" w:ascii="宋体" w:hAnsi="宋体" w:cs="宋体"/>
                <w:color w:val="auto"/>
                <w:sz w:val="24"/>
                <w:szCs w:val="24"/>
                <w:highlight w:val="none"/>
              </w:rPr>
            </w:pPr>
            <w:r>
              <w:rPr>
                <w:rFonts w:hint="eastAsia" w:ascii="宋体" w:hAnsi="宋体" w:cs="宋体"/>
                <w:b/>
                <w:color w:val="auto"/>
                <w:kern w:val="0"/>
                <w:sz w:val="24"/>
                <w:szCs w:val="24"/>
                <w:highlight w:val="none"/>
              </w:rPr>
              <w:t>▲</w:t>
            </w:r>
            <w:r>
              <w:rPr>
                <w:rFonts w:hint="eastAsia" w:ascii="宋体" w:hAnsi="宋体" w:cs="宋体"/>
                <w:color w:val="auto"/>
                <w:kern w:val="0"/>
                <w:sz w:val="24"/>
                <w:szCs w:val="24"/>
                <w:highlight w:val="none"/>
              </w:rPr>
              <w:t>4.</w:t>
            </w:r>
            <w:r>
              <w:rPr>
                <w:rFonts w:hint="eastAsia" w:ascii="宋体" w:hAnsi="宋体" w:cs="宋体"/>
                <w:color w:val="auto"/>
                <w:sz w:val="24"/>
                <w:szCs w:val="24"/>
                <w:highlight w:val="none"/>
              </w:rPr>
              <w:t>合同</w:t>
            </w:r>
          </w:p>
          <w:p>
            <w:pPr>
              <w:adjustRightInd w:val="0"/>
              <w:spacing w:beforeLines="0" w:afterLines="0" w:line="288" w:lineRule="auto"/>
              <w:jc w:val="center"/>
              <w:rPr>
                <w:rFonts w:hint="eastAsia" w:ascii="宋体" w:hAnsi="宋体" w:cs="宋体"/>
                <w:color w:val="auto"/>
                <w:kern w:val="0"/>
                <w:sz w:val="24"/>
                <w:szCs w:val="24"/>
                <w:highlight w:val="none"/>
              </w:rPr>
            </w:pPr>
            <w:r>
              <w:rPr>
                <w:rFonts w:hint="eastAsia" w:ascii="宋体" w:hAnsi="宋体" w:cs="宋体"/>
                <w:color w:val="auto"/>
                <w:sz w:val="24"/>
                <w:szCs w:val="24"/>
                <w:highlight w:val="none"/>
              </w:rPr>
              <w:t>终止</w:t>
            </w:r>
          </w:p>
        </w:tc>
        <w:tc>
          <w:tcPr>
            <w:tcW w:w="897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pacing w:beforeLines="0" w:afterLines="0" w:line="288" w:lineRule="auto"/>
              <w:rPr>
                <w:rFonts w:hint="eastAsia" w:ascii="宋体" w:hAnsi="宋体" w:cs="宋体"/>
                <w:color w:val="auto"/>
                <w:kern w:val="0"/>
                <w:sz w:val="24"/>
                <w:szCs w:val="24"/>
                <w:highlight w:val="none"/>
              </w:rPr>
            </w:pPr>
            <w:r>
              <w:rPr>
                <w:rFonts w:hint="eastAsia" w:ascii="宋体" w:hAnsi="宋体" w:cs="宋体"/>
                <w:color w:val="auto"/>
                <w:sz w:val="24"/>
                <w:szCs w:val="24"/>
                <w:highlight w:val="none"/>
              </w:rPr>
              <w:t>中标人在合同有效期内，不得以任何理由终止合同，确有特殊情况的，须提前15个工作日向采购人提出书面申请，经采购人同意后，方可终止合同。因中标人不能保证工作质量，或发生重大差错事故的，采购人可有权终止协议（同时全额扣罚履约保证金），中标人承担全部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4" w:hRule="atLeast"/>
          <w:jc w:val="center"/>
        </w:trPr>
        <w:tc>
          <w:tcPr>
            <w:tcW w:w="158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pacing w:beforeLines="0" w:afterLines="0" w:line="288"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5.其他要求</w:t>
            </w:r>
          </w:p>
        </w:tc>
        <w:tc>
          <w:tcPr>
            <w:tcW w:w="897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pacing w:beforeLines="0" w:afterLines="0" w:line="288" w:lineRule="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中标人在合同履约期限内须建立房屋安全管理专家组，为慈溪市房屋使用安全管理提供技术咨询</w:t>
            </w:r>
            <w:r>
              <w:rPr>
                <w:rFonts w:hint="eastAsia" w:ascii="宋体" w:hAnsi="宋体" w:cs="宋体"/>
                <w:color w:val="auto"/>
                <w:sz w:val="24"/>
                <w:szCs w:val="24"/>
                <w:highlight w:val="none"/>
                <w:lang w:eastAsia="zh-CN"/>
              </w:rPr>
              <w:t>。</w:t>
            </w:r>
          </w:p>
        </w:tc>
      </w:tr>
    </w:tbl>
    <w:p>
      <w:pPr>
        <w:spacing w:beforeLines="0" w:afterLines="0" w:line="360" w:lineRule="auto"/>
        <w:rPr>
          <w:rFonts w:hint="eastAsia" w:ascii="宋体" w:hAnsi="宋体" w:cs="宋体"/>
          <w:b/>
          <w:color w:val="auto"/>
          <w:sz w:val="24"/>
          <w:szCs w:val="24"/>
          <w:highlight w:val="none"/>
        </w:rPr>
      </w:pPr>
    </w:p>
    <w:p>
      <w:pPr>
        <w:spacing w:beforeLines="0" w:afterLines="0" w:line="360" w:lineRule="auto"/>
        <w:rPr>
          <w:rFonts w:hint="eastAsia" w:ascii="宋体" w:hAnsi="宋体" w:cs="宋体"/>
          <w:b/>
          <w:color w:val="auto"/>
          <w:sz w:val="24"/>
          <w:szCs w:val="24"/>
          <w:highlight w:val="none"/>
        </w:rPr>
      </w:pPr>
      <w:r>
        <w:rPr>
          <w:rFonts w:hint="eastAsia" w:ascii="宋体" w:hAnsi="宋体" w:cs="宋体"/>
          <w:b/>
          <w:color w:val="auto"/>
          <w:sz w:val="24"/>
          <w:szCs w:val="24"/>
          <w:highlight w:val="none"/>
        </w:rPr>
        <w:t>二、招标需求</w:t>
      </w:r>
    </w:p>
    <w:p>
      <w:pPr>
        <w:widowControl/>
        <w:tabs>
          <w:tab w:val="left" w:pos="709"/>
          <w:tab w:val="left" w:pos="851"/>
        </w:tabs>
        <w:spacing w:beforeLines="0" w:afterLines="0" w:line="360" w:lineRule="auto"/>
        <w:ind w:firstLine="480" w:firstLineChars="200"/>
        <w:jc w:val="left"/>
        <w:outlineLvl w:val="2"/>
        <w:rPr>
          <w:rFonts w:hint="eastAsia" w:ascii="宋体" w:hAnsi="宋体" w:cs="宋体"/>
          <w:color w:val="auto"/>
          <w:sz w:val="24"/>
          <w:szCs w:val="24"/>
          <w:highlight w:val="none"/>
        </w:rPr>
      </w:pPr>
      <w:bookmarkStart w:id="29" w:name="_Toc263083265"/>
      <w:bookmarkStart w:id="30" w:name="_Toc97372533"/>
      <w:bookmarkStart w:id="31" w:name="_Toc29158565"/>
      <w:r>
        <w:rPr>
          <w:rFonts w:hint="eastAsia" w:ascii="宋体" w:hAnsi="宋体" w:cs="宋体"/>
          <w:color w:val="auto"/>
          <w:sz w:val="24"/>
          <w:szCs w:val="24"/>
          <w:highlight w:val="none"/>
        </w:rPr>
        <w:t>（一）项目背景</w:t>
      </w:r>
    </w:p>
    <w:p>
      <w:pPr>
        <w:widowControl/>
        <w:tabs>
          <w:tab w:val="left" w:pos="709"/>
          <w:tab w:val="left" w:pos="851"/>
        </w:tabs>
        <w:spacing w:beforeLines="0" w:afterLines="0" w:line="360" w:lineRule="auto"/>
        <w:ind w:firstLine="480" w:firstLineChars="200"/>
        <w:jc w:val="left"/>
        <w:outlineLvl w:val="2"/>
        <w:rPr>
          <w:rFonts w:hint="eastAsia" w:ascii="宋体" w:hAnsi="宋体" w:cs="宋体"/>
          <w:color w:val="auto"/>
          <w:sz w:val="24"/>
          <w:szCs w:val="24"/>
          <w:highlight w:val="none"/>
        </w:rPr>
      </w:pPr>
      <w:r>
        <w:rPr>
          <w:rFonts w:hint="eastAsia" w:ascii="宋体" w:hAnsi="宋体" w:cs="宋体"/>
          <w:color w:val="auto"/>
          <w:sz w:val="24"/>
          <w:szCs w:val="24"/>
          <w:highlight w:val="none"/>
        </w:rPr>
        <w:t>为进一步提升慈溪城市房屋安全管理水平，根据《宁波市人民政府办公厅关于全面推进城镇居民住房综合保险的通知》（甬政办发〔2015〕238号）文件要求、宁波市住房和城乡建设委员会《关于进一步做好既有房屋外墙面使用安全排查全覆盖的通知》（甬建发【2018】128号）、宁波市住房和城乡建设委员会、宁波市规划局根据《宁波市城市房屋建筑幕墙安全管理办法》(市政府令第236号)等法规文件精神发布的《关于加强城市房屋建筑幕墙安全管理的实施意见》（甬建发(2017)153号）等文件精神，全面建立城镇居民住房综合保险机制及外墙保险机制。采用“保险+服务”模式，由保险机构组建或聘请专业技术队伍开展房屋动态监测等工作，通过运用现代科技手段，加强房屋日常监测、房屋安全预警、加固解危咨询等风险管理服务，确保房屋使用安全。</w:t>
      </w:r>
    </w:p>
    <w:bookmarkEnd w:id="29"/>
    <w:bookmarkEnd w:id="30"/>
    <w:bookmarkEnd w:id="31"/>
    <w:p>
      <w:pPr>
        <w:tabs>
          <w:tab w:val="left" w:pos="2310"/>
        </w:tabs>
        <w:adjustRightInd w:val="0"/>
        <w:spacing w:beforeLines="0" w:afterLines="0" w:line="420" w:lineRule="exact"/>
        <w:ind w:firstLine="482" w:firstLineChars="200"/>
        <w:rPr>
          <w:rFonts w:hint="eastAsia" w:ascii="宋体" w:hAnsi="宋体" w:cs="宋体"/>
          <w:b/>
          <w:color w:val="auto"/>
          <w:sz w:val="24"/>
          <w:szCs w:val="24"/>
          <w:highlight w:val="none"/>
        </w:rPr>
      </w:pPr>
      <w:r>
        <w:rPr>
          <w:rFonts w:hint="eastAsia" w:ascii="宋体" w:hAnsi="宋体" w:cs="宋体"/>
          <w:b/>
          <w:color w:val="auto"/>
          <w:sz w:val="24"/>
          <w:szCs w:val="24"/>
          <w:highlight w:val="none"/>
          <w:lang w:eastAsia="zh-CN"/>
        </w:rPr>
        <w:t>（二）</w:t>
      </w:r>
      <w:r>
        <w:rPr>
          <w:rFonts w:hint="eastAsia" w:ascii="宋体" w:hAnsi="宋体" w:cs="宋体"/>
          <w:b/>
          <w:color w:val="auto"/>
          <w:sz w:val="24"/>
          <w:szCs w:val="24"/>
          <w:highlight w:val="none"/>
        </w:rPr>
        <w:t>商业保险部分：</w:t>
      </w:r>
    </w:p>
    <w:p>
      <w:pPr>
        <w:adjustRightInd w:val="0"/>
        <w:spacing w:beforeLines="0" w:afterLines="0" w:line="420" w:lineRule="exact"/>
        <w:ind w:firstLine="482" w:firstLineChars="200"/>
        <w:rPr>
          <w:rFonts w:hint="eastAsia" w:ascii="宋体" w:hAnsi="宋体" w:cs="宋体"/>
          <w:b/>
          <w:color w:val="auto"/>
          <w:sz w:val="24"/>
          <w:szCs w:val="24"/>
          <w:highlight w:val="none"/>
        </w:rPr>
      </w:pPr>
      <w:r>
        <w:rPr>
          <w:rFonts w:hint="eastAsia" w:ascii="宋体" w:hAnsi="宋体" w:cs="宋体"/>
          <w:b/>
          <w:color w:val="auto"/>
          <w:sz w:val="24"/>
          <w:szCs w:val="24"/>
          <w:highlight w:val="none"/>
          <w:lang w:val="en-US" w:eastAsia="zh-CN"/>
        </w:rPr>
        <w:t>1.</w:t>
      </w:r>
      <w:r>
        <w:rPr>
          <w:rFonts w:hint="eastAsia" w:ascii="宋体" w:hAnsi="宋体" w:cs="宋体"/>
          <w:b/>
          <w:color w:val="auto"/>
          <w:sz w:val="24"/>
          <w:szCs w:val="24"/>
          <w:highlight w:val="none"/>
        </w:rPr>
        <w:t>保险范围</w:t>
      </w:r>
    </w:p>
    <w:p>
      <w:pPr>
        <w:adjustRightInd w:val="0"/>
        <w:spacing w:beforeLines="0" w:afterLines="0" w:line="440" w:lineRule="exact"/>
        <w:ind w:firstLine="477" w:firstLineChars="199"/>
        <w:rPr>
          <w:rFonts w:hint="eastAsia" w:ascii="宋体" w:hAnsi="宋体" w:cs="宋体"/>
          <w:color w:val="auto"/>
          <w:sz w:val="24"/>
          <w:szCs w:val="24"/>
          <w:highlight w:val="none"/>
        </w:rPr>
      </w:pPr>
      <w:r>
        <w:rPr>
          <w:rFonts w:hint="eastAsia" w:ascii="宋体" w:hAnsi="宋体" w:cs="宋体"/>
          <w:color w:val="auto"/>
          <w:sz w:val="24"/>
          <w:szCs w:val="24"/>
          <w:highlight w:val="none"/>
        </w:rPr>
        <w:t>慈溪市辖区内国有土地上所有在2000年及以前已建成且拥有合法产权证明，用于居民生活居住的城镇房屋</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直管公房、</w:t>
      </w:r>
      <w:r>
        <w:rPr>
          <w:rFonts w:hint="eastAsia" w:ascii="宋体" w:hAnsi="宋体" w:cs="宋体"/>
          <w:color w:val="auto"/>
          <w:sz w:val="24"/>
          <w:szCs w:val="24"/>
          <w:highlight w:val="none"/>
        </w:rPr>
        <w:t>历史建筑</w:t>
      </w:r>
      <w:r>
        <w:rPr>
          <w:rFonts w:hint="eastAsia" w:ascii="宋体" w:hAnsi="宋体" w:cs="宋体"/>
          <w:color w:val="auto"/>
          <w:sz w:val="24"/>
          <w:szCs w:val="24"/>
          <w:highlight w:val="none"/>
          <w:lang w:val="en-US" w:eastAsia="zh-CN"/>
        </w:rPr>
        <w:t>及其他建筑（具体以采购方提供清单为准）</w:t>
      </w:r>
      <w:r>
        <w:rPr>
          <w:rFonts w:hint="eastAsia" w:ascii="宋体" w:hAnsi="宋体" w:cs="宋体"/>
          <w:color w:val="auto"/>
          <w:sz w:val="24"/>
          <w:szCs w:val="24"/>
          <w:highlight w:val="none"/>
        </w:rPr>
        <w:t>（以下简称保险房屋），见下表。</w:t>
      </w:r>
    </w:p>
    <w:tbl>
      <w:tblPr>
        <w:tblStyle w:val="62"/>
        <w:tblW w:w="864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4"/>
        <w:gridCol w:w="1965"/>
        <w:gridCol w:w="4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pacing w:beforeLines="0" w:afterLines="0" w:line="420" w:lineRule="exact"/>
              <w:jc w:val="center"/>
              <w:textAlignment w:val="baseline"/>
              <w:rPr>
                <w:rFonts w:hint="eastAsia" w:ascii="宋体" w:hAnsi="宋体" w:cs="宋体"/>
                <w:color w:val="auto"/>
                <w:sz w:val="21"/>
                <w:szCs w:val="21"/>
                <w:highlight w:val="none"/>
              </w:rPr>
            </w:pPr>
            <w:r>
              <w:rPr>
                <w:rFonts w:hint="eastAsia" w:ascii="宋体" w:hAnsi="宋体" w:cs="宋体"/>
                <w:color w:val="auto"/>
                <w:sz w:val="21"/>
                <w:szCs w:val="21"/>
                <w:highlight w:val="none"/>
              </w:rPr>
              <w:t>保险项目</w:t>
            </w:r>
          </w:p>
        </w:tc>
        <w:tc>
          <w:tcPr>
            <w:tcW w:w="1965"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420" w:lineRule="exact"/>
              <w:jc w:val="center"/>
              <w:textAlignment w:val="baseline"/>
              <w:rPr>
                <w:rFonts w:hint="eastAsia" w:ascii="宋体" w:hAnsi="宋体" w:cs="宋体"/>
                <w:color w:val="auto"/>
                <w:sz w:val="21"/>
                <w:szCs w:val="21"/>
                <w:highlight w:val="none"/>
              </w:rPr>
            </w:pPr>
            <w:r>
              <w:rPr>
                <w:rFonts w:hint="eastAsia" w:ascii="宋体" w:hAnsi="宋体" w:cs="宋体"/>
                <w:color w:val="auto"/>
                <w:sz w:val="21"/>
                <w:szCs w:val="21"/>
                <w:highlight w:val="none"/>
              </w:rPr>
              <w:t>投保房屋面积</w:t>
            </w:r>
          </w:p>
        </w:tc>
        <w:tc>
          <w:tcPr>
            <w:tcW w:w="441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pacing w:beforeLines="0" w:afterLines="0" w:line="420" w:lineRule="exact"/>
              <w:jc w:val="center"/>
              <w:textAlignment w:val="baseline"/>
              <w:rPr>
                <w:rFonts w:hint="eastAsia" w:ascii="宋体" w:hAnsi="宋体" w:cs="宋体"/>
                <w:color w:val="auto"/>
                <w:sz w:val="21"/>
                <w:szCs w:val="21"/>
                <w:highlight w:val="none"/>
              </w:rPr>
            </w:pPr>
            <w:r>
              <w:rPr>
                <w:rFonts w:hint="eastAsia" w:ascii="宋体" w:hAnsi="宋体" w:cs="宋体"/>
                <w:color w:val="auto"/>
                <w:sz w:val="21"/>
                <w:szCs w:val="21"/>
                <w:highlight w:val="none"/>
              </w:rPr>
              <w:t>保险期限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pacing w:beforeLines="0" w:afterLines="0" w:line="420" w:lineRule="exact"/>
              <w:jc w:val="center"/>
              <w:textAlignment w:val="baseline"/>
              <w:rPr>
                <w:rFonts w:hint="eastAsia" w:ascii="宋体" w:hAnsi="宋体" w:cs="宋体"/>
                <w:color w:val="auto"/>
                <w:sz w:val="21"/>
                <w:szCs w:val="21"/>
                <w:highlight w:val="none"/>
              </w:rPr>
            </w:pPr>
            <w:r>
              <w:rPr>
                <w:rFonts w:hint="eastAsia" w:ascii="宋体" w:hAnsi="宋体" w:cs="宋体"/>
                <w:color w:val="auto"/>
                <w:sz w:val="21"/>
                <w:szCs w:val="21"/>
                <w:highlight w:val="none"/>
              </w:rPr>
              <w:t>房屋综合保险</w:t>
            </w:r>
          </w:p>
        </w:tc>
        <w:tc>
          <w:tcPr>
            <w:tcW w:w="1965"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420" w:lineRule="exact"/>
              <w:jc w:val="center"/>
              <w:textAlignment w:val="baseline"/>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4077501.95</w:t>
            </w:r>
            <w:r>
              <w:rPr>
                <w:rFonts w:hint="eastAsia" w:ascii="宋体" w:hAnsi="宋体" w:cs="宋体"/>
                <w:color w:val="auto"/>
                <w:sz w:val="21"/>
                <w:szCs w:val="21"/>
                <w:highlight w:val="none"/>
              </w:rPr>
              <w:t>㎡</w:t>
            </w:r>
          </w:p>
        </w:tc>
        <w:tc>
          <w:tcPr>
            <w:tcW w:w="441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pacing w:beforeLines="0" w:afterLines="0" w:line="420" w:lineRule="exact"/>
              <w:jc w:val="center"/>
              <w:textAlignment w:val="baseline"/>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2023年12月23日——2024年12月22日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4"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pacing w:beforeLines="0" w:afterLines="0" w:line="420" w:lineRule="exact"/>
              <w:ind w:firstLine="420" w:firstLineChars="200"/>
              <w:textAlignment w:val="baseline"/>
              <w:rPr>
                <w:rFonts w:hint="eastAsia" w:ascii="宋体" w:hAnsi="宋体" w:cs="宋体"/>
                <w:color w:val="auto"/>
                <w:sz w:val="21"/>
                <w:szCs w:val="21"/>
                <w:highlight w:val="none"/>
              </w:rPr>
            </w:pPr>
            <w:r>
              <w:rPr>
                <w:rFonts w:hint="eastAsia" w:ascii="宋体" w:hAnsi="宋体" w:cs="宋体"/>
                <w:color w:val="auto"/>
                <w:sz w:val="21"/>
                <w:szCs w:val="21"/>
                <w:highlight w:val="none"/>
              </w:rPr>
              <w:t>房屋外墙保险</w:t>
            </w:r>
          </w:p>
        </w:tc>
        <w:tc>
          <w:tcPr>
            <w:tcW w:w="1965"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420" w:lineRule="exact"/>
              <w:jc w:val="center"/>
              <w:textAlignment w:val="baseline"/>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4077501.95</w:t>
            </w:r>
            <w:r>
              <w:rPr>
                <w:rFonts w:hint="eastAsia" w:ascii="宋体" w:hAnsi="宋体" w:cs="宋体"/>
                <w:color w:val="auto"/>
                <w:sz w:val="21"/>
                <w:szCs w:val="21"/>
                <w:highlight w:val="none"/>
              </w:rPr>
              <w:t>㎡</w:t>
            </w:r>
          </w:p>
        </w:tc>
        <w:tc>
          <w:tcPr>
            <w:tcW w:w="441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pacing w:beforeLines="0" w:afterLines="0" w:line="480" w:lineRule="exact"/>
              <w:ind w:firstLine="210" w:firstLineChars="1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2023年12月23日——2024年</w:t>
            </w:r>
            <w:r>
              <w:rPr>
                <w:rFonts w:hint="eastAsia" w:ascii="宋体" w:hAnsi="宋体" w:cs="宋体"/>
                <w:color w:val="auto"/>
                <w:sz w:val="21"/>
                <w:szCs w:val="21"/>
                <w:highlight w:val="none"/>
              </w:rPr>
              <w:t>12月22日</w:t>
            </w:r>
          </w:p>
        </w:tc>
      </w:tr>
    </w:tbl>
    <w:p>
      <w:pPr>
        <w:adjustRightInd w:val="0"/>
        <w:spacing w:beforeLines="0" w:afterLines="0" w:line="420" w:lineRule="exact"/>
        <w:ind w:firstLine="482" w:firstLineChars="200"/>
        <w:rPr>
          <w:rFonts w:hint="eastAsia" w:ascii="宋体" w:hAnsi="宋体" w:cs="宋体"/>
          <w:b/>
          <w:color w:val="auto"/>
          <w:sz w:val="24"/>
          <w:szCs w:val="24"/>
          <w:highlight w:val="none"/>
        </w:rPr>
      </w:pPr>
      <w:r>
        <w:rPr>
          <w:rFonts w:hint="eastAsia" w:ascii="宋体" w:hAnsi="宋体" w:cs="宋体"/>
          <w:b/>
          <w:color w:val="auto"/>
          <w:sz w:val="24"/>
          <w:szCs w:val="24"/>
          <w:highlight w:val="none"/>
          <w:lang w:val="en-US" w:eastAsia="zh-CN"/>
        </w:rPr>
        <w:t>2.</w:t>
      </w:r>
      <w:r>
        <w:rPr>
          <w:rFonts w:hint="eastAsia" w:ascii="宋体" w:hAnsi="宋体" w:cs="宋体"/>
          <w:b/>
          <w:color w:val="auto"/>
          <w:sz w:val="24"/>
          <w:szCs w:val="24"/>
          <w:highlight w:val="none"/>
        </w:rPr>
        <w:t>主要保障内容</w:t>
      </w:r>
    </w:p>
    <w:p>
      <w:pPr>
        <w:adjustRightInd w:val="0"/>
        <w:spacing w:beforeLines="0" w:afterLines="0" w:line="42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主要包括城镇住房整体倒塌保障、临时安置费用保障、人身伤亡保障</w:t>
      </w:r>
      <w:r>
        <w:rPr>
          <w:rFonts w:hint="eastAsia" w:ascii="宋体" w:hAnsi="宋体" w:cs="宋体"/>
          <w:color w:val="auto"/>
          <w:sz w:val="24"/>
          <w:szCs w:val="24"/>
          <w:highlight w:val="none"/>
          <w:lang w:eastAsia="zh-CN"/>
        </w:rPr>
        <w:t>、应急加固维修费用保障</w:t>
      </w:r>
      <w:r>
        <w:rPr>
          <w:rFonts w:hint="eastAsia" w:ascii="宋体" w:hAnsi="宋体" w:cs="宋体"/>
          <w:color w:val="auto"/>
          <w:sz w:val="24"/>
          <w:szCs w:val="24"/>
          <w:highlight w:val="none"/>
        </w:rPr>
        <w:t>以及房屋外墙保险。</w:t>
      </w:r>
    </w:p>
    <w:p>
      <w:pPr>
        <w:adjustRightInd w:val="0"/>
        <w:spacing w:beforeLines="0" w:afterLines="0" w:line="42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2.1</w:t>
      </w:r>
      <w:r>
        <w:rPr>
          <w:rFonts w:hint="eastAsia" w:ascii="宋体" w:hAnsi="宋体" w:cs="宋体"/>
          <w:color w:val="auto"/>
          <w:sz w:val="24"/>
          <w:szCs w:val="24"/>
          <w:highlight w:val="none"/>
        </w:rPr>
        <w:t>城镇住房倒塌保障：城镇住房保险主险单位面积的保额为2500元/平方米，投保总建筑面积约</w:t>
      </w:r>
      <w:r>
        <w:rPr>
          <w:rFonts w:hint="eastAsia" w:ascii="宋体" w:hAnsi="宋体" w:cs="宋体"/>
          <w:color w:val="auto"/>
          <w:sz w:val="24"/>
          <w:szCs w:val="24"/>
          <w:highlight w:val="none"/>
          <w:lang w:val="en-US" w:eastAsia="zh-CN"/>
        </w:rPr>
        <w:t>4077501.95</w:t>
      </w:r>
      <w:r>
        <w:rPr>
          <w:rFonts w:hint="eastAsia" w:ascii="宋体" w:hAnsi="宋体" w:cs="宋体"/>
          <w:color w:val="auto"/>
          <w:sz w:val="24"/>
          <w:szCs w:val="24"/>
          <w:highlight w:val="none"/>
        </w:rPr>
        <w:t>㎡，以后根据项目实际情况增减；由于保险责任范围内的原因造成保险房屋整体倒塌的按投保面积与单位面积保额之积赔付，免赔额无。</w:t>
      </w:r>
    </w:p>
    <w:p>
      <w:pPr>
        <w:adjustRightInd w:val="0"/>
        <w:spacing w:beforeLines="0" w:afterLines="0" w:line="42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2.2</w:t>
      </w:r>
      <w:r>
        <w:rPr>
          <w:rFonts w:hint="eastAsia" w:ascii="宋体" w:hAnsi="宋体" w:cs="宋体"/>
          <w:color w:val="auto"/>
          <w:sz w:val="24"/>
          <w:szCs w:val="24"/>
          <w:highlight w:val="none"/>
        </w:rPr>
        <w:t>临时安置费用保障：（1）</w:t>
      </w:r>
      <w:r>
        <w:rPr>
          <w:rFonts w:hint="eastAsia" w:ascii="宋体" w:hAnsi="宋体" w:cs="宋体"/>
          <w:color w:val="auto"/>
          <w:kern w:val="0"/>
          <w:sz w:val="24"/>
          <w:szCs w:val="24"/>
          <w:highlight w:val="none"/>
        </w:rPr>
        <w:t>由于保险合同主险责任范围内的原因造成保险房屋整体倒塌，致使实际居住在该房屋及前后左右相邻保险房屋内的居民家庭无法继续居住生活而发生的临时安置费用（</w:t>
      </w:r>
      <w:r>
        <w:rPr>
          <w:rFonts w:hint="eastAsia" w:ascii="宋体" w:hAnsi="宋体" w:cs="宋体"/>
          <w:color w:val="auto"/>
          <w:sz w:val="24"/>
          <w:szCs w:val="24"/>
          <w:highlight w:val="none"/>
        </w:rPr>
        <w:t>每次事故最多临时安置保险房屋5幢房屋</w:t>
      </w:r>
      <w:r>
        <w:rPr>
          <w:rFonts w:hint="eastAsia" w:ascii="宋体" w:hAnsi="宋体" w:cs="宋体"/>
          <w:color w:val="auto"/>
          <w:kern w:val="0"/>
          <w:sz w:val="24"/>
          <w:szCs w:val="24"/>
          <w:highlight w:val="none"/>
        </w:rPr>
        <w:t>）</w:t>
      </w:r>
      <w:r>
        <w:rPr>
          <w:rFonts w:hint="eastAsia" w:ascii="宋体" w:hAnsi="宋体" w:cs="宋体"/>
          <w:color w:val="auto"/>
          <w:sz w:val="24"/>
          <w:szCs w:val="24"/>
          <w:highlight w:val="none"/>
        </w:rPr>
        <w:t>；（2）由于主险保险责任范围内的原因导致保险房屋整体成为危房，经政府指定有关专业技术部门鉴定为C、D级危房，或虽未走危房鉴定流程，但政府根据房屋实际危险状况发出强制撤离令而发生的临时安置费用（每次事故最多临时安置保险房屋1幢房屋）</w:t>
      </w:r>
      <w:r>
        <w:rPr>
          <w:rFonts w:hint="eastAsia" w:ascii="宋体" w:hAnsi="宋体" w:cs="宋体"/>
          <w:color w:val="auto"/>
          <w:kern w:val="0"/>
          <w:sz w:val="24"/>
          <w:szCs w:val="24"/>
          <w:highlight w:val="none"/>
        </w:rPr>
        <w:t>。</w:t>
      </w:r>
      <w:r>
        <w:rPr>
          <w:rFonts w:hint="eastAsia" w:ascii="宋体" w:hAnsi="宋体" w:cs="宋体"/>
          <w:color w:val="auto"/>
          <w:sz w:val="24"/>
          <w:szCs w:val="24"/>
          <w:highlight w:val="none"/>
        </w:rPr>
        <w:t>保险金额为1元/平方米/天，每次保险事故最高安置天数180天，免赔额无。</w:t>
      </w:r>
    </w:p>
    <w:p>
      <w:pPr>
        <w:adjustRightInd w:val="0"/>
        <w:spacing w:beforeLines="0" w:afterLines="0" w:line="420" w:lineRule="exact"/>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2.3</w:t>
      </w:r>
      <w:r>
        <w:rPr>
          <w:rFonts w:hint="eastAsia" w:ascii="宋体" w:hAnsi="宋体" w:cs="宋体"/>
          <w:color w:val="auto"/>
          <w:sz w:val="24"/>
          <w:szCs w:val="24"/>
          <w:highlight w:val="none"/>
        </w:rPr>
        <w:t>人员伤亡保障：在保险期间内，由于保险责任范围内的房屋倒塌</w:t>
      </w:r>
      <w:r>
        <w:rPr>
          <w:rFonts w:hint="eastAsia" w:ascii="宋体" w:hAnsi="宋体" w:cs="宋体"/>
          <w:color w:val="auto"/>
          <w:sz w:val="24"/>
          <w:szCs w:val="24"/>
          <w:highlight w:val="none"/>
          <w:lang w:bidi="ar"/>
        </w:rPr>
        <w:t>（含承重结构构件失效）</w:t>
      </w:r>
      <w:r>
        <w:rPr>
          <w:rFonts w:hint="eastAsia" w:ascii="宋体" w:hAnsi="宋体" w:cs="宋体"/>
          <w:color w:val="auto"/>
          <w:sz w:val="24"/>
          <w:szCs w:val="24"/>
          <w:highlight w:val="none"/>
        </w:rPr>
        <w:t>致使救助对象人身伤亡，每人人身伤亡赔偿限额50万元，其中医疗赔偿限额10万元，每次事故赔偿限额2500万元，其中每次事故医疗费赔偿限额200万元；保险期间累计赔偿限额4000万元，每次事故免赔额100元。</w:t>
      </w:r>
    </w:p>
    <w:p>
      <w:pPr>
        <w:widowControl/>
        <w:adjustRightInd w:val="0"/>
        <w:snapToGrid w:val="0"/>
        <w:spacing w:beforeLines="0" w:afterLines="0"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2.4</w:t>
      </w:r>
      <w:r>
        <w:rPr>
          <w:rFonts w:hint="eastAsia" w:ascii="宋体" w:hAnsi="宋体" w:cs="宋体"/>
          <w:color w:val="auto"/>
          <w:sz w:val="24"/>
          <w:szCs w:val="24"/>
          <w:highlight w:val="none"/>
        </w:rPr>
        <w:t>应急加固维修费用保障：在保险期间内，为避免保险房屋倒塌和外墙面脱落伤人所发生的应急加固维修和防护措施费用，供应商按照附加险合同的约定负责赔偿。每次事故应急维修费用赔偿限额10万元，每年应急维修费用累计赔偿限额50万元。</w:t>
      </w:r>
    </w:p>
    <w:p>
      <w:pPr>
        <w:adjustRightInd w:val="0"/>
        <w:spacing w:beforeLines="0" w:afterLines="0"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2.5</w:t>
      </w:r>
      <w:r>
        <w:rPr>
          <w:rFonts w:hint="eastAsia" w:ascii="宋体" w:hAnsi="宋体" w:cs="宋体"/>
          <w:color w:val="auto"/>
          <w:sz w:val="24"/>
          <w:szCs w:val="24"/>
          <w:highlight w:val="none"/>
        </w:rPr>
        <w:t>房屋外墙保险：在保险期间或保险单载明的追溯期内，由于外墙的保温层材料、面砖、玻璃、金属及石材及粉刷层等脱落造成第三者人身伤亡或财产损失，由受害者在保险期间内首次向被保险人提出损害赔偿请求，被保险人依法应当承担的经济赔偿责任或被保险人依据国家或地方有关法律规定启动救助应承担的对伤亡人员给付救助金的责任，保险人依照本保险合同的约定负责赔偿。保险金额：每人人身伤亡赔偿限额50万，医疗费限额10万，每次事故财产损失赔偿限额50万，每次事故赔偿/累计赔偿限额每个小区赔偿限额500万，保单周期内累计赔偿限额2000万。</w:t>
      </w:r>
    </w:p>
    <w:p>
      <w:pPr>
        <w:adjustRightInd w:val="0"/>
        <w:spacing w:beforeLines="0" w:afterLines="0" w:line="420" w:lineRule="exact"/>
        <w:ind w:firstLine="482" w:firstLineChars="200"/>
        <w:rPr>
          <w:rFonts w:hint="eastAsia" w:ascii="宋体" w:hAnsi="宋体" w:cs="宋体"/>
          <w:b/>
          <w:color w:val="auto"/>
          <w:sz w:val="24"/>
          <w:szCs w:val="24"/>
          <w:highlight w:val="none"/>
        </w:rPr>
      </w:pPr>
      <w:r>
        <w:rPr>
          <w:rFonts w:hint="eastAsia" w:ascii="宋体" w:hAnsi="宋体" w:cs="宋体"/>
          <w:b/>
          <w:color w:val="auto"/>
          <w:sz w:val="24"/>
          <w:szCs w:val="24"/>
          <w:highlight w:val="none"/>
          <w:lang w:val="en-US" w:eastAsia="zh-CN"/>
        </w:rPr>
        <w:t>▲3.</w:t>
      </w:r>
      <w:r>
        <w:rPr>
          <w:rFonts w:hint="eastAsia" w:ascii="宋体" w:hAnsi="宋体" w:cs="宋体"/>
          <w:b/>
          <w:color w:val="auto"/>
          <w:sz w:val="24"/>
          <w:szCs w:val="24"/>
          <w:highlight w:val="none"/>
        </w:rPr>
        <w:t>保险产品的要求</w:t>
      </w:r>
    </w:p>
    <w:p>
      <w:pPr>
        <w:adjustRightInd w:val="0"/>
        <w:spacing w:beforeLines="0" w:afterLines="0" w:line="420" w:lineRule="exact"/>
        <w:ind w:firstLine="42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3.1</w:t>
      </w:r>
      <w:r>
        <w:rPr>
          <w:rFonts w:hint="eastAsia" w:ascii="宋体" w:hAnsi="宋体" w:cs="宋体"/>
          <w:color w:val="auto"/>
          <w:sz w:val="24"/>
          <w:szCs w:val="24"/>
          <w:highlight w:val="none"/>
        </w:rPr>
        <w:t>供应商所投的城镇住房保险产品条款必须满足以下要求：</w:t>
      </w:r>
    </w:p>
    <w:p>
      <w:pPr>
        <w:adjustRightInd w:val="0"/>
        <w:spacing w:beforeLines="0" w:afterLines="0" w:line="420" w:lineRule="exact"/>
        <w:ind w:firstLine="420"/>
        <w:rPr>
          <w:rFonts w:hint="eastAsia" w:ascii="宋体" w:hAnsi="宋体" w:cs="宋体"/>
          <w:color w:val="auto"/>
          <w:sz w:val="24"/>
          <w:szCs w:val="24"/>
          <w:highlight w:val="none"/>
        </w:rPr>
      </w:pPr>
      <w:r>
        <w:rPr>
          <w:rFonts w:hint="eastAsia" w:ascii="宋体" w:hAnsi="宋体" w:cs="宋体"/>
          <w:color w:val="auto"/>
          <w:sz w:val="24"/>
          <w:szCs w:val="24"/>
          <w:highlight w:val="none"/>
        </w:rPr>
        <w:t>（1）鉴于本次投保房屋房龄较长，当时的开发商和施工企业注销较多，故所投标的保险产品条款不能为责任险条款。条款不能将被保险人是否有责任设定为履行赔偿义务的前提，不得出现如“……依法应由被保险人承担的……”等类似字样；</w:t>
      </w:r>
    </w:p>
    <w:p>
      <w:pPr>
        <w:adjustRightInd w:val="0"/>
        <w:spacing w:beforeLines="0" w:afterLines="0" w:line="420" w:lineRule="exact"/>
        <w:ind w:firstLine="420"/>
        <w:rPr>
          <w:rFonts w:hint="eastAsia" w:ascii="宋体" w:hAnsi="宋体" w:cs="宋体"/>
          <w:color w:val="auto"/>
          <w:sz w:val="24"/>
          <w:szCs w:val="24"/>
          <w:highlight w:val="none"/>
        </w:rPr>
      </w:pPr>
      <w:r>
        <w:rPr>
          <w:rFonts w:hint="eastAsia" w:ascii="宋体" w:hAnsi="宋体" w:cs="宋体"/>
          <w:color w:val="auto"/>
          <w:sz w:val="24"/>
          <w:szCs w:val="24"/>
          <w:highlight w:val="none"/>
        </w:rPr>
        <w:t>（2）本次招标是为转嫁因房屋整体倒塌造成居民损失的风险，为此要求投标保险产品条款中必须含有房屋整体倒塌责任，且不能设定倒塌的前置原因，不得出现如“……因某某原因造成房屋倒塌……”等类似字样；</w:t>
      </w:r>
    </w:p>
    <w:p>
      <w:pPr>
        <w:adjustRightInd w:val="0"/>
        <w:spacing w:beforeLines="0" w:afterLines="0" w:line="420" w:lineRule="exact"/>
        <w:ind w:firstLine="420"/>
        <w:rPr>
          <w:rFonts w:hint="eastAsia" w:ascii="宋体" w:hAnsi="宋体" w:cs="宋体"/>
          <w:color w:val="auto"/>
          <w:sz w:val="24"/>
          <w:szCs w:val="24"/>
          <w:highlight w:val="none"/>
        </w:rPr>
      </w:pPr>
      <w:r>
        <w:rPr>
          <w:rFonts w:hint="eastAsia" w:ascii="宋体" w:hAnsi="宋体" w:cs="宋体"/>
          <w:color w:val="auto"/>
          <w:sz w:val="24"/>
          <w:szCs w:val="24"/>
          <w:highlight w:val="none"/>
        </w:rPr>
        <w:t>（3）保险条款中不得将台风、暴风、暴雨、洪水、雪灾等慈溪常见的自然灾害和房屋本身缺陷列为房屋倒塌的除外责任。</w:t>
      </w:r>
    </w:p>
    <w:p>
      <w:pPr>
        <w:adjustRightInd w:val="0"/>
        <w:spacing w:beforeLines="0" w:afterLines="0" w:line="480" w:lineRule="exact"/>
        <w:ind w:firstLine="42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3.2</w:t>
      </w:r>
      <w:r>
        <w:rPr>
          <w:rFonts w:hint="eastAsia" w:ascii="宋体" w:hAnsi="宋体" w:cs="宋体"/>
          <w:color w:val="auto"/>
          <w:sz w:val="24"/>
          <w:szCs w:val="24"/>
          <w:highlight w:val="none"/>
        </w:rPr>
        <w:t>供应商所投的外墙保险产品条款必须满足以下要求：</w:t>
      </w:r>
    </w:p>
    <w:p>
      <w:pPr>
        <w:adjustRightInd w:val="0"/>
        <w:spacing w:beforeLines="0" w:afterLines="0" w:line="480" w:lineRule="exact"/>
        <w:ind w:firstLine="420"/>
        <w:rPr>
          <w:rFonts w:hint="eastAsia" w:ascii="宋体" w:hAnsi="宋体" w:cs="宋体"/>
          <w:color w:val="auto"/>
          <w:sz w:val="24"/>
          <w:szCs w:val="24"/>
          <w:highlight w:val="none"/>
        </w:rPr>
      </w:pPr>
      <w:r>
        <w:rPr>
          <w:rFonts w:hint="eastAsia" w:ascii="宋体" w:hAnsi="宋体" w:cs="宋体"/>
          <w:color w:val="auto"/>
          <w:sz w:val="24"/>
          <w:szCs w:val="24"/>
          <w:highlight w:val="none"/>
        </w:rPr>
        <w:t>保险方案中不得将台风、暴风、暴雨、洪水、雪灾等常见的自然灾害和房屋本身缺陷列为外墙脱落的除外责任。</w:t>
      </w:r>
    </w:p>
    <w:p>
      <w:pPr>
        <w:adjustRightInd w:val="0"/>
        <w:spacing w:beforeLines="0" w:afterLines="0" w:line="480" w:lineRule="exact"/>
        <w:ind w:firstLine="420"/>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lang w:val="en-US" w:eastAsia="zh-CN"/>
        </w:rPr>
        <w:t>4.</w:t>
      </w:r>
      <w:r>
        <w:rPr>
          <w:rFonts w:hint="eastAsia" w:ascii="宋体" w:hAnsi="宋体" w:cs="宋体"/>
          <w:b/>
          <w:color w:val="auto"/>
          <w:kern w:val="0"/>
          <w:sz w:val="24"/>
          <w:szCs w:val="24"/>
          <w:highlight w:val="none"/>
        </w:rPr>
        <w:t>其他需求</w:t>
      </w:r>
    </w:p>
    <w:p>
      <w:pPr>
        <w:adjustRightInd w:val="0"/>
        <w:spacing w:beforeLines="0" w:afterLines="0" w:line="480" w:lineRule="exact"/>
        <w:ind w:firstLine="420"/>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lang w:val="en-US" w:eastAsia="zh-CN"/>
        </w:rPr>
        <w:t>4.1</w:t>
      </w:r>
      <w:r>
        <w:rPr>
          <w:rFonts w:hint="eastAsia" w:ascii="宋体" w:hAnsi="宋体" w:cs="宋体"/>
          <w:color w:val="auto"/>
          <w:kern w:val="0"/>
          <w:sz w:val="24"/>
          <w:szCs w:val="24"/>
          <w:highlight w:val="none"/>
        </w:rPr>
        <w:t>当年承保房屋数量增减不超过5%的，不调整保险费用；当年承保房屋数量增减超过5%部分，在原有投保面积基础上调整的，调整部分按中标人分项报价按月按实进行结算</w:t>
      </w:r>
      <w:r>
        <w:rPr>
          <w:rFonts w:hint="eastAsia" w:ascii="宋体" w:hAnsi="宋体" w:cs="宋体"/>
          <w:color w:val="auto"/>
          <w:kern w:val="0"/>
          <w:sz w:val="24"/>
          <w:szCs w:val="24"/>
          <w:highlight w:val="none"/>
          <w:lang w:eastAsia="zh-CN"/>
        </w:rPr>
        <w:t>；</w:t>
      </w:r>
    </w:p>
    <w:p>
      <w:pPr>
        <w:adjustRightInd w:val="0"/>
        <w:spacing w:beforeLines="0" w:afterLines="0" w:line="480" w:lineRule="exact"/>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4.2</w:t>
      </w:r>
      <w:r>
        <w:rPr>
          <w:rFonts w:hint="eastAsia" w:ascii="宋体" w:hAnsi="宋体" w:cs="宋体"/>
          <w:color w:val="auto"/>
          <w:kern w:val="0"/>
          <w:sz w:val="24"/>
          <w:szCs w:val="24"/>
          <w:highlight w:val="none"/>
        </w:rPr>
        <w:t>宁波其他县市区对“整体倒塌”定义有最新的有利于采购人的释义，须参照执行。</w:t>
      </w:r>
    </w:p>
    <w:p>
      <w:pPr>
        <w:adjustRightInd w:val="0"/>
        <w:spacing w:beforeLines="0" w:afterLines="0" w:line="420" w:lineRule="exact"/>
        <w:ind w:firstLine="482" w:firstLineChars="200"/>
        <w:jc w:val="left"/>
        <w:textAlignment w:val="baseline"/>
        <w:rPr>
          <w:rFonts w:hint="eastAsia" w:ascii="宋体" w:hAnsi="宋体" w:cs="宋体"/>
          <w:color w:val="auto"/>
          <w:sz w:val="24"/>
          <w:szCs w:val="24"/>
          <w:highlight w:val="none"/>
        </w:rPr>
      </w:pPr>
      <w:r>
        <w:rPr>
          <w:rFonts w:hint="eastAsia" w:ascii="宋体" w:hAnsi="宋体" w:cs="宋体"/>
          <w:b/>
          <w:color w:val="auto"/>
          <w:sz w:val="24"/>
          <w:szCs w:val="24"/>
          <w:highlight w:val="none"/>
          <w:lang w:val="en-US" w:eastAsia="zh-CN"/>
        </w:rPr>
        <w:t>5.</w:t>
      </w:r>
      <w:r>
        <w:rPr>
          <w:rFonts w:hint="eastAsia" w:ascii="宋体" w:hAnsi="宋体" w:cs="宋体"/>
          <w:b/>
          <w:color w:val="auto"/>
          <w:sz w:val="24"/>
          <w:szCs w:val="24"/>
          <w:highlight w:val="none"/>
        </w:rPr>
        <w:t>索赔和理赔</w:t>
      </w:r>
    </w:p>
    <w:p>
      <w:pPr>
        <w:adjustRightInd w:val="0"/>
        <w:spacing w:beforeLines="0" w:afterLines="0" w:line="420" w:lineRule="exact"/>
        <w:ind w:firstLine="480" w:firstLineChars="200"/>
        <w:jc w:val="left"/>
        <w:textAlignment w:val="baseline"/>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5.1</w:t>
      </w:r>
      <w:r>
        <w:rPr>
          <w:rFonts w:hint="eastAsia" w:ascii="宋体" w:hAnsi="宋体" w:cs="宋体"/>
          <w:color w:val="auto"/>
          <w:sz w:val="24"/>
          <w:szCs w:val="24"/>
          <w:highlight w:val="none"/>
        </w:rPr>
        <w:t>中标后，须设立全国统一365天、24小时服务专线，便于案情发生后，采购人及其工作人员第一时间向中标人报案。</w:t>
      </w:r>
    </w:p>
    <w:p>
      <w:pPr>
        <w:adjustRightInd w:val="0"/>
        <w:spacing w:beforeLines="0" w:afterLines="0" w:line="420" w:lineRule="exact"/>
        <w:ind w:firstLine="480" w:firstLineChars="200"/>
        <w:jc w:val="left"/>
        <w:textAlignment w:val="baseline"/>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5.2</w:t>
      </w:r>
      <w:r>
        <w:rPr>
          <w:rFonts w:hint="eastAsia" w:ascii="宋体" w:hAnsi="宋体" w:cs="宋体"/>
          <w:color w:val="auto"/>
          <w:sz w:val="24"/>
          <w:szCs w:val="24"/>
          <w:highlight w:val="none"/>
        </w:rPr>
        <w:t>现场查勘</w:t>
      </w:r>
    </w:p>
    <w:p>
      <w:pPr>
        <w:adjustRightInd w:val="0"/>
        <w:spacing w:beforeLines="0" w:afterLines="0" w:line="420" w:lineRule="exact"/>
        <w:ind w:firstLine="484" w:firstLineChars="202"/>
        <w:jc w:val="left"/>
        <w:textAlignment w:val="baseline"/>
        <w:rPr>
          <w:rFonts w:hint="eastAsia" w:ascii="宋体" w:hAnsi="宋体" w:cs="宋体"/>
          <w:color w:val="auto"/>
          <w:sz w:val="24"/>
          <w:szCs w:val="24"/>
          <w:highlight w:val="none"/>
        </w:rPr>
      </w:pPr>
      <w:r>
        <w:rPr>
          <w:rFonts w:hint="eastAsia" w:ascii="宋体" w:hAnsi="宋体" w:cs="宋体"/>
          <w:color w:val="auto"/>
          <w:sz w:val="24"/>
          <w:szCs w:val="24"/>
          <w:highlight w:val="none"/>
        </w:rPr>
        <w:t>中标人接到采购人及其工作人员或受灾居民的报案通知后，中标人专责理赔人员须立即赶到现场进行查勘。</w:t>
      </w:r>
    </w:p>
    <w:p>
      <w:pPr>
        <w:adjustRightInd w:val="0"/>
        <w:spacing w:beforeLines="0" w:afterLines="0" w:line="420" w:lineRule="exact"/>
        <w:ind w:firstLine="480" w:firstLineChars="200"/>
        <w:rPr>
          <w:rFonts w:hint="eastAsia" w:ascii="宋体" w:hAnsi="宋体" w:cs="宋体"/>
          <w:b/>
          <w:color w:val="auto"/>
          <w:sz w:val="24"/>
          <w:szCs w:val="24"/>
          <w:highlight w:val="none"/>
        </w:rPr>
      </w:pPr>
      <w:r>
        <w:rPr>
          <w:rFonts w:hint="eastAsia" w:ascii="宋体" w:hAnsi="宋体" w:cs="宋体"/>
          <w:color w:val="auto"/>
          <w:sz w:val="24"/>
          <w:szCs w:val="24"/>
          <w:highlight w:val="none"/>
          <w:lang w:val="en-US" w:eastAsia="zh-CN"/>
        </w:rPr>
        <w:t>5.3</w:t>
      </w:r>
      <w:r>
        <w:rPr>
          <w:rFonts w:hint="eastAsia" w:ascii="宋体" w:hAnsi="宋体" w:cs="宋体"/>
          <w:color w:val="auto"/>
          <w:sz w:val="24"/>
          <w:szCs w:val="24"/>
          <w:highlight w:val="none"/>
        </w:rPr>
        <w:t>中标人在收到采购人提交的有关单证和资料上述材料后应立即进行审查核实，中标人若认为有关证明和材料不完整，应立即以书面方式一次性通知采购人或其他被保险人补充提供有关证明或资料，中标人若在接到索赔资料后5个工作日内未提出有关审核意见，则视为认可索赔资料完整。</w:t>
      </w:r>
    </w:p>
    <w:p>
      <w:pPr>
        <w:adjustRightInd w:val="0"/>
        <w:spacing w:beforeLines="0" w:afterLines="0" w:line="42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5.4</w:t>
      </w:r>
      <w:r>
        <w:rPr>
          <w:rFonts w:hint="eastAsia" w:ascii="宋体" w:hAnsi="宋体" w:cs="宋体"/>
          <w:color w:val="auto"/>
          <w:sz w:val="24"/>
          <w:szCs w:val="24"/>
          <w:highlight w:val="none"/>
        </w:rPr>
        <w:t>理赔处理</w:t>
      </w:r>
    </w:p>
    <w:p>
      <w:pPr>
        <w:adjustRightInd w:val="0"/>
        <w:spacing w:beforeLines="0" w:afterLines="0" w:line="420" w:lineRule="exact"/>
        <w:ind w:firstLine="480" w:firstLineChars="200"/>
        <w:jc w:val="left"/>
        <w:textAlignment w:val="baseline"/>
        <w:rPr>
          <w:rFonts w:hint="eastAsia" w:ascii="宋体" w:hAnsi="宋体" w:cs="宋体"/>
          <w:color w:val="auto"/>
          <w:sz w:val="24"/>
          <w:szCs w:val="24"/>
          <w:highlight w:val="none"/>
        </w:rPr>
      </w:pPr>
      <w:r>
        <w:rPr>
          <w:rFonts w:hint="eastAsia" w:ascii="宋体" w:hAnsi="宋体" w:cs="宋体"/>
          <w:color w:val="auto"/>
          <w:sz w:val="24"/>
          <w:szCs w:val="24"/>
          <w:highlight w:val="none"/>
        </w:rPr>
        <w:t>对于采购人的索赔申请，在收到书面索赔申请和索赔单证齐全后，中标人应立即核定损失项目和金额，并按照以下时限要求将赔付意见向采购人反馈：</w:t>
      </w:r>
    </w:p>
    <w:p>
      <w:pPr>
        <w:adjustRightInd w:val="0"/>
        <w:spacing w:beforeLines="0" w:afterLines="0" w:line="420" w:lineRule="exact"/>
        <w:ind w:firstLine="480" w:firstLineChars="200"/>
        <w:jc w:val="left"/>
        <w:textAlignment w:val="baseline"/>
        <w:rPr>
          <w:rFonts w:hint="eastAsia"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估损金额在人民币100万以下（含）时，不超过5个工作日；</w:t>
      </w:r>
    </w:p>
    <w:p>
      <w:pPr>
        <w:adjustRightInd w:val="0"/>
        <w:spacing w:beforeLines="0" w:afterLines="0" w:line="420" w:lineRule="exact"/>
        <w:ind w:firstLine="480" w:firstLineChars="200"/>
        <w:jc w:val="left"/>
        <w:textAlignment w:val="baseline"/>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（2）估损金额在人民币100万元（不含）至人民币500万元（含）以内时，不超过7个工作日；</w:t>
      </w:r>
    </w:p>
    <w:p>
      <w:pPr>
        <w:adjustRightInd w:val="0"/>
        <w:spacing w:beforeLines="0" w:afterLines="0" w:line="420" w:lineRule="exact"/>
        <w:ind w:firstLine="480" w:firstLineChars="200"/>
        <w:jc w:val="left"/>
        <w:textAlignment w:val="baseline"/>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（3）关于估损金额在人民币500万元（不含）以上时，不超过15个工作日</w:t>
      </w:r>
      <w:r>
        <w:rPr>
          <w:rFonts w:hint="eastAsia" w:ascii="宋体" w:hAnsi="宋体" w:cs="宋体"/>
          <w:color w:val="auto"/>
          <w:sz w:val="24"/>
          <w:szCs w:val="24"/>
          <w:highlight w:val="none"/>
        </w:rPr>
        <w:t>；</w:t>
      </w:r>
    </w:p>
    <w:p>
      <w:pPr>
        <w:adjustRightInd w:val="0"/>
        <w:spacing w:beforeLines="0" w:afterLines="0" w:line="420" w:lineRule="exact"/>
        <w:ind w:firstLine="480" w:firstLineChars="200"/>
        <w:jc w:val="left"/>
        <w:textAlignment w:val="baseline"/>
        <w:rPr>
          <w:rFonts w:hint="eastAsia" w:ascii="宋体" w:hAnsi="宋体" w:cs="宋体"/>
          <w:color w:val="auto"/>
          <w:sz w:val="24"/>
          <w:szCs w:val="24"/>
          <w:highlight w:val="none"/>
        </w:rPr>
      </w:pPr>
      <w:r>
        <w:rPr>
          <w:rFonts w:hint="eastAsia" w:ascii="宋体" w:hAnsi="宋体" w:cs="宋体"/>
          <w:color w:val="auto"/>
          <w:sz w:val="24"/>
          <w:szCs w:val="24"/>
          <w:highlight w:val="none"/>
        </w:rPr>
        <w:t>▲在双方达成赔偿协议后，中标人应按照以下时限将赔款支付给采购人：</w:t>
      </w:r>
    </w:p>
    <w:tbl>
      <w:tblPr>
        <w:tblStyle w:val="6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5106"/>
        <w:gridCol w:w="3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300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估损金额</w:t>
            </w:r>
          </w:p>
        </w:tc>
        <w:tc>
          <w:tcPr>
            <w:tcW w:w="199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赔款支付时限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人民币100万元（含）以内赔案</w:t>
            </w:r>
          </w:p>
        </w:tc>
        <w:tc>
          <w:tcPr>
            <w:tcW w:w="199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5个工作日内支付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00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人民币100万元（不含）至人民币500万元（含）以内赔案</w:t>
            </w:r>
          </w:p>
        </w:tc>
        <w:tc>
          <w:tcPr>
            <w:tcW w:w="199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7个工作日内支付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人民币500万元（不含）以上赔案</w:t>
            </w:r>
          </w:p>
        </w:tc>
        <w:tc>
          <w:tcPr>
            <w:tcW w:w="199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15个工作日内支付</w:t>
            </w:r>
          </w:p>
        </w:tc>
      </w:tr>
    </w:tbl>
    <w:p>
      <w:pPr>
        <w:adjustRightInd w:val="0"/>
        <w:spacing w:beforeLines="0" w:afterLines="0" w:line="420" w:lineRule="exact"/>
        <w:ind w:firstLine="480" w:firstLineChars="200"/>
        <w:jc w:val="left"/>
        <w:textAlignment w:val="baseline"/>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）预付赔款</w:t>
      </w:r>
    </w:p>
    <w:p>
      <w:pPr>
        <w:adjustRightInd w:val="0"/>
        <w:spacing w:beforeLines="0" w:afterLines="0" w:line="420" w:lineRule="exact"/>
        <w:ind w:firstLine="480" w:firstLineChars="200"/>
        <w:jc w:val="left"/>
        <w:textAlignment w:val="baseline"/>
        <w:rPr>
          <w:rFonts w:hint="eastAsia" w:ascii="宋体" w:hAnsi="宋体" w:cs="宋体"/>
          <w:color w:val="auto"/>
          <w:sz w:val="24"/>
          <w:szCs w:val="24"/>
          <w:highlight w:val="none"/>
        </w:rPr>
      </w:pPr>
      <w:r>
        <w:rPr>
          <w:rFonts w:hint="eastAsia" w:ascii="宋体" w:hAnsi="宋体" w:cs="宋体"/>
          <w:color w:val="auto"/>
          <w:sz w:val="24"/>
          <w:szCs w:val="24"/>
          <w:highlight w:val="none"/>
        </w:rPr>
        <w:t>在保险责任明确但损失金额尚不能确定的情况下，根据采购人的要求，中标人应支付预付赔款，支付金额为双方初步商定的损失金额（扣除免赔后）的50%。</w:t>
      </w:r>
    </w:p>
    <w:p>
      <w:pPr>
        <w:adjustRightInd w:val="0"/>
        <w:spacing w:beforeLines="0" w:afterLines="0" w:line="420" w:lineRule="exact"/>
        <w:ind w:firstLine="482" w:firstLineChars="200"/>
        <w:jc w:val="left"/>
        <w:textAlignment w:val="baseline"/>
        <w:rPr>
          <w:rFonts w:hint="default" w:ascii="宋体" w:hAnsi="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6.其他要求</w:t>
      </w:r>
    </w:p>
    <w:p>
      <w:pPr>
        <w:tabs>
          <w:tab w:val="left" w:pos="2310"/>
        </w:tabs>
        <w:adjustRightInd w:val="0"/>
        <w:spacing w:beforeLines="0" w:afterLines="0" w:line="420" w:lineRule="exact"/>
        <w:ind w:firstLine="480" w:firstLineChars="200"/>
        <w:rPr>
          <w:rFonts w:hint="eastAsia" w:ascii="宋体" w:hAnsi="宋体" w:cs="宋体"/>
          <w:b/>
          <w:color w:val="auto"/>
          <w:sz w:val="24"/>
          <w:szCs w:val="24"/>
          <w:highlight w:val="none"/>
          <w:lang w:eastAsia="zh-CN"/>
        </w:rPr>
      </w:pPr>
      <w:r>
        <w:rPr>
          <w:rFonts w:hint="eastAsia" w:ascii="宋体" w:hAnsi="宋体" w:cs="宋体"/>
          <w:b w:val="0"/>
          <w:bCs/>
          <w:color w:val="auto"/>
          <w:sz w:val="24"/>
          <w:szCs w:val="24"/>
          <w:highlight w:val="none"/>
          <w:lang w:val="en-US" w:eastAsia="zh-CN"/>
        </w:rPr>
        <w:t>6.1供应商针对本项目需投入具有结构工程、建筑与土木工程、建筑施工、土木工程、地质工程、安全工程专业全日制专科以上学历的保险服务人员（不包含理赔人员）并外聘不少于2名副高级以上职称的工程师人员、不少于5名二级以上注册结构工程师人员（若同一外聘专家同时具有多本证书的，可重复计）。</w:t>
      </w:r>
    </w:p>
    <w:p>
      <w:pPr>
        <w:tabs>
          <w:tab w:val="left" w:pos="2310"/>
        </w:tabs>
        <w:adjustRightInd w:val="0"/>
        <w:spacing w:beforeLines="0" w:afterLines="0" w:line="420" w:lineRule="exact"/>
        <w:ind w:firstLine="482" w:firstLineChars="200"/>
        <w:rPr>
          <w:rFonts w:hint="eastAsia" w:ascii="宋体" w:hAnsi="宋体" w:cs="宋体"/>
          <w:b/>
          <w:color w:val="auto"/>
          <w:sz w:val="24"/>
          <w:szCs w:val="24"/>
          <w:highlight w:val="none"/>
        </w:rPr>
      </w:pPr>
      <w:r>
        <w:rPr>
          <w:rFonts w:hint="eastAsia" w:ascii="宋体" w:hAnsi="宋体" w:cs="宋体"/>
          <w:b/>
          <w:color w:val="auto"/>
          <w:sz w:val="24"/>
          <w:szCs w:val="24"/>
          <w:highlight w:val="none"/>
          <w:lang w:eastAsia="zh-CN"/>
        </w:rPr>
        <w:t>（三）</w:t>
      </w:r>
      <w:r>
        <w:rPr>
          <w:rFonts w:hint="eastAsia" w:ascii="宋体" w:hAnsi="宋体" w:cs="宋体"/>
          <w:b/>
          <w:color w:val="auto"/>
          <w:sz w:val="24"/>
          <w:szCs w:val="24"/>
          <w:highlight w:val="none"/>
        </w:rPr>
        <w:t>房屋安全动态监测部分</w:t>
      </w:r>
    </w:p>
    <w:p>
      <w:pPr>
        <w:adjustRightInd w:val="0"/>
        <w:spacing w:beforeLines="0" w:afterLines="0" w:line="440" w:lineRule="exact"/>
        <w:ind w:firstLine="472" w:firstLineChars="196"/>
        <w:rPr>
          <w:rFonts w:hint="eastAsia" w:ascii="宋体" w:hAnsi="宋体" w:cs="宋体"/>
          <w:b/>
          <w:color w:val="auto"/>
          <w:sz w:val="24"/>
          <w:szCs w:val="24"/>
          <w:highlight w:val="none"/>
        </w:rPr>
      </w:pPr>
      <w:r>
        <w:rPr>
          <w:rFonts w:hint="eastAsia" w:ascii="宋体" w:hAnsi="宋体" w:cs="宋体"/>
          <w:b/>
          <w:color w:val="auto"/>
          <w:sz w:val="24"/>
          <w:szCs w:val="24"/>
          <w:highlight w:val="none"/>
          <w:lang w:val="en-US" w:eastAsia="zh-CN"/>
        </w:rPr>
        <w:t>1.</w:t>
      </w:r>
      <w:r>
        <w:rPr>
          <w:rFonts w:hint="eastAsia" w:ascii="宋体" w:hAnsi="宋体" w:cs="宋体"/>
          <w:b/>
          <w:color w:val="auto"/>
          <w:sz w:val="24"/>
          <w:szCs w:val="24"/>
          <w:highlight w:val="none"/>
        </w:rPr>
        <w:t>服务范围</w:t>
      </w:r>
    </w:p>
    <w:p>
      <w:pPr>
        <w:adjustRightInd w:val="0"/>
        <w:spacing w:beforeLines="0" w:afterLines="0" w:line="440" w:lineRule="exact"/>
        <w:ind w:firstLine="477" w:firstLineChars="199"/>
        <w:rPr>
          <w:rFonts w:hint="eastAsia" w:ascii="宋体" w:hAnsi="宋体" w:cs="宋体"/>
          <w:color w:val="auto"/>
          <w:sz w:val="24"/>
          <w:szCs w:val="24"/>
          <w:highlight w:val="none"/>
        </w:rPr>
      </w:pPr>
      <w:r>
        <w:rPr>
          <w:rFonts w:hint="eastAsia" w:ascii="宋体" w:hAnsi="宋体" w:cs="宋体"/>
          <w:color w:val="auto"/>
          <w:sz w:val="24"/>
          <w:szCs w:val="24"/>
          <w:highlight w:val="none"/>
        </w:rPr>
        <w:t>慈溪市2000年及以前建成的多层多业主的城镇住宅房屋</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历史建筑、</w:t>
      </w:r>
      <w:r>
        <w:rPr>
          <w:rFonts w:hint="eastAsia" w:ascii="宋体" w:hAnsi="宋体" w:cs="宋体"/>
          <w:color w:val="auto"/>
          <w:sz w:val="24"/>
          <w:szCs w:val="24"/>
          <w:highlight w:val="none"/>
        </w:rPr>
        <w:t>直管公房</w:t>
      </w:r>
      <w:r>
        <w:rPr>
          <w:rFonts w:hint="eastAsia" w:ascii="宋体" w:hAnsi="宋体" w:cs="宋体"/>
          <w:color w:val="auto"/>
          <w:sz w:val="24"/>
          <w:szCs w:val="24"/>
          <w:highlight w:val="none"/>
          <w:lang w:val="en-US" w:eastAsia="zh-CN"/>
        </w:rPr>
        <w:t>及其他建筑</w:t>
      </w:r>
      <w:r>
        <w:rPr>
          <w:rFonts w:hint="eastAsia" w:ascii="宋体" w:hAnsi="宋体" w:cs="宋体"/>
          <w:color w:val="auto"/>
          <w:sz w:val="24"/>
          <w:szCs w:val="24"/>
          <w:highlight w:val="none"/>
          <w:lang w:eastAsia="zh-CN"/>
        </w:rPr>
        <w:t>，其中多层多业主房屋约为1467幢，历史建筑约为57处，直管公房约为19幢</w:t>
      </w:r>
      <w:r>
        <w:rPr>
          <w:rFonts w:hint="eastAsia" w:ascii="宋体" w:hAnsi="宋体" w:cs="宋体"/>
          <w:color w:val="auto"/>
          <w:sz w:val="24"/>
          <w:szCs w:val="24"/>
          <w:highlight w:val="none"/>
        </w:rPr>
        <w:t>（具体</w:t>
      </w:r>
      <w:r>
        <w:rPr>
          <w:rFonts w:hint="eastAsia" w:ascii="宋体" w:hAnsi="宋体" w:cs="宋体"/>
          <w:color w:val="auto"/>
          <w:sz w:val="24"/>
          <w:szCs w:val="24"/>
          <w:highlight w:val="none"/>
          <w:lang w:eastAsia="zh-CN"/>
        </w:rPr>
        <w:t>以中标后采购人提供的数据为准</w:t>
      </w: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w:t>
      </w:r>
    </w:p>
    <w:p>
      <w:pPr>
        <w:adjustRightInd w:val="0"/>
        <w:spacing w:beforeLines="0" w:afterLines="0" w:line="440" w:lineRule="exact"/>
        <w:ind w:firstLine="479" w:firstLineChars="199"/>
        <w:rPr>
          <w:rFonts w:hint="eastAsia" w:ascii="宋体" w:hAnsi="宋体" w:cs="宋体"/>
          <w:b/>
          <w:color w:val="auto"/>
          <w:sz w:val="24"/>
          <w:szCs w:val="24"/>
          <w:highlight w:val="none"/>
        </w:rPr>
      </w:pPr>
      <w:r>
        <w:rPr>
          <w:rFonts w:hint="eastAsia" w:ascii="宋体" w:hAnsi="宋体" w:cs="宋体"/>
          <w:b/>
          <w:color w:val="auto"/>
          <w:sz w:val="24"/>
          <w:szCs w:val="24"/>
          <w:highlight w:val="none"/>
          <w:lang w:val="en-US" w:eastAsia="zh-CN"/>
        </w:rPr>
        <w:t>2.</w:t>
      </w:r>
      <w:r>
        <w:rPr>
          <w:rFonts w:hint="eastAsia" w:ascii="宋体" w:hAnsi="宋体" w:cs="宋体"/>
          <w:b/>
          <w:color w:val="auto"/>
          <w:sz w:val="24"/>
          <w:szCs w:val="24"/>
          <w:highlight w:val="none"/>
        </w:rPr>
        <w:t>房屋安全动态监测要求</w:t>
      </w:r>
    </w:p>
    <w:p>
      <w:pPr>
        <w:adjustRightInd w:val="0"/>
        <w:spacing w:beforeLines="0" w:afterLines="0" w:line="440" w:lineRule="exact"/>
        <w:ind w:firstLine="477" w:firstLineChars="199"/>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2.1</w:t>
      </w:r>
      <w:r>
        <w:rPr>
          <w:rFonts w:hint="eastAsia" w:ascii="宋体" w:hAnsi="宋体" w:cs="宋体"/>
          <w:color w:val="auto"/>
          <w:sz w:val="24"/>
          <w:szCs w:val="24"/>
          <w:highlight w:val="none"/>
        </w:rPr>
        <w:t>房屋安全核查</w:t>
      </w:r>
    </w:p>
    <w:p>
      <w:pPr>
        <w:adjustRightInd w:val="0"/>
        <w:spacing w:beforeLines="0" w:afterLines="0" w:line="440" w:lineRule="exact"/>
        <w:ind w:firstLine="477" w:firstLineChars="199"/>
        <w:rPr>
          <w:rFonts w:hint="eastAsia" w:ascii="宋体" w:hAnsi="宋体" w:cs="宋体"/>
          <w:color w:val="auto"/>
          <w:sz w:val="24"/>
          <w:szCs w:val="24"/>
          <w:highlight w:val="none"/>
        </w:rPr>
      </w:pPr>
      <w:r>
        <w:rPr>
          <w:rFonts w:hint="eastAsia" w:ascii="宋体" w:hAnsi="宋体" w:cs="宋体"/>
          <w:color w:val="auto"/>
          <w:sz w:val="24"/>
          <w:szCs w:val="24"/>
          <w:highlight w:val="none"/>
        </w:rPr>
        <w:t>根据采购人提供的有关房屋安全资料，对监测范围内房屋进行分类，由保险公司聘请专业技术队伍对房屋进行分类，分类要求如下：</w:t>
      </w:r>
    </w:p>
    <w:tbl>
      <w:tblPr>
        <w:tblStyle w:val="62"/>
        <w:tblW w:w="94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1"/>
        <w:gridCol w:w="4305"/>
        <w:gridCol w:w="3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pacing w:beforeLines="0" w:afterLines="0" w:line="440" w:lineRule="exact"/>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类别</w:t>
            </w:r>
          </w:p>
        </w:tc>
        <w:tc>
          <w:tcPr>
            <w:tcW w:w="4305"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440" w:lineRule="exact"/>
              <w:jc w:val="center"/>
              <w:rPr>
                <w:rFonts w:hint="eastAsia" w:ascii="宋体" w:hAnsi="宋体" w:cs="宋体"/>
                <w:b/>
                <w:color w:val="auto"/>
                <w:sz w:val="21"/>
                <w:szCs w:val="21"/>
                <w:highlight w:val="none"/>
              </w:rPr>
            </w:pPr>
            <w:r>
              <w:rPr>
                <w:rFonts w:hint="eastAsia" w:ascii="宋体" w:hAnsi="宋体" w:cs="宋体"/>
                <w:b/>
                <w:color w:val="auto"/>
                <w:kern w:val="0"/>
                <w:sz w:val="21"/>
                <w:szCs w:val="21"/>
                <w:highlight w:val="none"/>
                <w:lang w:eastAsia="zh-CN"/>
              </w:rPr>
              <w:t>工作区域一</w:t>
            </w:r>
            <w:r>
              <w:rPr>
                <w:rFonts w:hint="eastAsia" w:ascii="宋体" w:hAnsi="宋体" w:cs="宋体"/>
                <w:b/>
                <w:color w:val="auto"/>
                <w:kern w:val="0"/>
                <w:sz w:val="21"/>
                <w:szCs w:val="21"/>
                <w:highlight w:val="none"/>
              </w:rPr>
              <w:t>（古塘、白沙路、掌起、观海卫、附海、逍林、匡堰、横河、长河、周巷）</w:t>
            </w:r>
          </w:p>
        </w:tc>
        <w:tc>
          <w:tcPr>
            <w:tcW w:w="3335"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440" w:lineRule="exact"/>
              <w:jc w:val="center"/>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lang w:eastAsia="zh-CN"/>
              </w:rPr>
              <w:t>工作区域二</w:t>
            </w:r>
            <w:r>
              <w:rPr>
                <w:rFonts w:hint="eastAsia" w:ascii="宋体" w:hAnsi="宋体" w:cs="宋体"/>
                <w:b/>
                <w:color w:val="auto"/>
                <w:kern w:val="0"/>
                <w:sz w:val="21"/>
                <w:szCs w:val="21"/>
                <w:highlight w:val="none"/>
              </w:rPr>
              <w:t>（浒山、宗汉、新浦、胜山、桥头、龙山、坎墩）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1"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44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一类房屋</w:t>
            </w:r>
          </w:p>
        </w:tc>
        <w:tc>
          <w:tcPr>
            <w:tcW w:w="4305"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440" w:lineRule="exact"/>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剩余房屋，目前149幢</w:t>
            </w:r>
          </w:p>
        </w:tc>
        <w:tc>
          <w:tcPr>
            <w:tcW w:w="3335"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44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剩余房屋，目前148幢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1"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44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二类房屋及以上</w:t>
            </w:r>
          </w:p>
        </w:tc>
        <w:tc>
          <w:tcPr>
            <w:tcW w:w="4305"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44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不少于</w:t>
            </w:r>
            <w:r>
              <w:rPr>
                <w:rFonts w:hint="eastAsia" w:ascii="宋体" w:hAnsi="宋体" w:cs="宋体"/>
                <w:color w:val="auto"/>
                <w:sz w:val="21"/>
                <w:szCs w:val="21"/>
                <w:highlight w:val="none"/>
                <w:lang w:val="en-US" w:eastAsia="zh-CN"/>
              </w:rPr>
              <w:t>480</w:t>
            </w:r>
            <w:r>
              <w:rPr>
                <w:rFonts w:hint="eastAsia" w:ascii="宋体" w:hAnsi="宋体" w:cs="宋体"/>
                <w:color w:val="auto"/>
                <w:sz w:val="21"/>
                <w:szCs w:val="21"/>
                <w:highlight w:val="none"/>
              </w:rPr>
              <w:t>幢</w:t>
            </w:r>
          </w:p>
        </w:tc>
        <w:tc>
          <w:tcPr>
            <w:tcW w:w="3335"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44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不少于6</w:t>
            </w:r>
            <w:r>
              <w:rPr>
                <w:rFonts w:hint="eastAsia" w:ascii="宋体" w:hAnsi="宋体" w:cs="宋体"/>
                <w:color w:val="auto"/>
                <w:sz w:val="21"/>
                <w:szCs w:val="21"/>
                <w:highlight w:val="none"/>
                <w:lang w:val="en-US" w:eastAsia="zh-CN"/>
              </w:rPr>
              <w:t>9</w:t>
            </w:r>
            <w:r>
              <w:rPr>
                <w:rFonts w:hint="eastAsia" w:ascii="宋体" w:hAnsi="宋体" w:cs="宋体"/>
                <w:color w:val="auto"/>
                <w:sz w:val="21"/>
                <w:szCs w:val="21"/>
                <w:highlight w:val="none"/>
              </w:rPr>
              <w:t>0幢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1"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44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三类房屋及以上</w:t>
            </w:r>
          </w:p>
        </w:tc>
        <w:tc>
          <w:tcPr>
            <w:tcW w:w="4305"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44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不少于</w:t>
            </w:r>
            <w:r>
              <w:rPr>
                <w:rFonts w:hint="eastAsia" w:ascii="宋体" w:hAnsi="宋体" w:cs="宋体"/>
                <w:color w:val="auto"/>
                <w:sz w:val="21"/>
                <w:szCs w:val="21"/>
                <w:highlight w:val="none"/>
                <w:lang w:val="en-US" w:eastAsia="zh-CN"/>
              </w:rPr>
              <w:t>295</w:t>
            </w:r>
            <w:r>
              <w:rPr>
                <w:rFonts w:hint="eastAsia" w:ascii="宋体" w:hAnsi="宋体" w:cs="宋体"/>
                <w:color w:val="auto"/>
                <w:sz w:val="21"/>
                <w:szCs w:val="21"/>
                <w:highlight w:val="none"/>
              </w:rPr>
              <w:t>幢</w:t>
            </w:r>
          </w:p>
        </w:tc>
        <w:tc>
          <w:tcPr>
            <w:tcW w:w="3335"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44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不少于3</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0幢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1"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44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四类房屋及以上</w:t>
            </w:r>
          </w:p>
        </w:tc>
        <w:tc>
          <w:tcPr>
            <w:tcW w:w="4305"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44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不少于</w:t>
            </w:r>
            <w:r>
              <w:rPr>
                <w:rFonts w:hint="eastAsia" w:ascii="宋体" w:hAnsi="宋体" w:cs="宋体"/>
                <w:color w:val="auto"/>
                <w:sz w:val="21"/>
                <w:szCs w:val="21"/>
                <w:highlight w:val="none"/>
                <w:lang w:val="en-US" w:eastAsia="zh-CN"/>
              </w:rPr>
              <w:t>150</w:t>
            </w:r>
            <w:r>
              <w:rPr>
                <w:rFonts w:hint="eastAsia" w:ascii="宋体" w:hAnsi="宋体" w:cs="宋体"/>
                <w:color w:val="auto"/>
                <w:sz w:val="21"/>
                <w:szCs w:val="21"/>
                <w:highlight w:val="none"/>
              </w:rPr>
              <w:t>幢</w:t>
            </w:r>
          </w:p>
        </w:tc>
        <w:tc>
          <w:tcPr>
            <w:tcW w:w="3335"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44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不少于130幢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1"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44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五类房屋及以上</w:t>
            </w:r>
          </w:p>
        </w:tc>
        <w:tc>
          <w:tcPr>
            <w:tcW w:w="4305"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44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不少于10幢</w:t>
            </w:r>
          </w:p>
        </w:tc>
        <w:tc>
          <w:tcPr>
            <w:tcW w:w="3335"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44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不少于10幢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1"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44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六类房屋及以上</w:t>
            </w:r>
          </w:p>
        </w:tc>
        <w:tc>
          <w:tcPr>
            <w:tcW w:w="4305"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44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按实际需求确认</w:t>
            </w:r>
          </w:p>
        </w:tc>
        <w:tc>
          <w:tcPr>
            <w:tcW w:w="3335"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44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按实际需求确认</w:t>
            </w:r>
          </w:p>
        </w:tc>
      </w:tr>
    </w:tbl>
    <w:p>
      <w:pPr>
        <w:adjustRightInd w:val="0"/>
        <w:spacing w:beforeLines="0" w:afterLines="0"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2.2</w:t>
      </w:r>
      <w:r>
        <w:rPr>
          <w:rFonts w:hint="eastAsia" w:ascii="宋体" w:hAnsi="宋体" w:cs="宋体"/>
          <w:color w:val="auto"/>
          <w:sz w:val="24"/>
          <w:szCs w:val="24"/>
          <w:highlight w:val="none"/>
        </w:rPr>
        <w:t>外观检查</w:t>
      </w:r>
    </w:p>
    <w:p>
      <w:pPr>
        <w:adjustRightInd w:val="0"/>
        <w:spacing w:beforeLines="0" w:afterLines="0" w:line="440" w:lineRule="exact"/>
        <w:ind w:firstLine="477" w:firstLineChars="199"/>
        <w:rPr>
          <w:rFonts w:hint="eastAsia" w:ascii="宋体" w:hAnsi="宋体" w:cs="宋体"/>
          <w:color w:val="auto"/>
          <w:sz w:val="24"/>
          <w:szCs w:val="24"/>
          <w:highlight w:val="none"/>
        </w:rPr>
      </w:pPr>
      <w:r>
        <w:rPr>
          <w:rFonts w:hint="eastAsia" w:ascii="宋体" w:hAnsi="宋体" w:cs="宋体"/>
          <w:color w:val="auto"/>
          <w:sz w:val="24"/>
          <w:szCs w:val="24"/>
          <w:highlight w:val="none"/>
        </w:rPr>
        <w:t>（1）一类房屋定期监测频率为1年4次；</w:t>
      </w:r>
    </w:p>
    <w:p>
      <w:pPr>
        <w:adjustRightInd w:val="0"/>
        <w:spacing w:beforeLines="0" w:afterLines="0" w:line="440" w:lineRule="exact"/>
        <w:ind w:firstLine="477" w:firstLineChars="199"/>
        <w:rPr>
          <w:rFonts w:hint="eastAsia" w:ascii="宋体" w:hAnsi="宋体" w:cs="宋体"/>
          <w:color w:val="auto"/>
          <w:sz w:val="24"/>
          <w:szCs w:val="24"/>
          <w:highlight w:val="none"/>
        </w:rPr>
      </w:pPr>
      <w:r>
        <w:rPr>
          <w:rFonts w:hint="eastAsia" w:ascii="宋体" w:hAnsi="宋体" w:cs="宋体"/>
          <w:color w:val="auto"/>
          <w:sz w:val="24"/>
          <w:szCs w:val="24"/>
          <w:highlight w:val="none"/>
        </w:rPr>
        <w:t>（2）二类房屋定期监测频率为1季度2次；</w:t>
      </w:r>
    </w:p>
    <w:p>
      <w:pPr>
        <w:adjustRightInd w:val="0"/>
        <w:spacing w:beforeLines="0" w:afterLines="0" w:line="440" w:lineRule="exact"/>
        <w:ind w:firstLine="477" w:firstLineChars="199"/>
        <w:rPr>
          <w:rFonts w:hint="eastAsia" w:ascii="宋体" w:hAnsi="宋体" w:cs="宋体"/>
          <w:color w:val="auto"/>
          <w:sz w:val="24"/>
          <w:szCs w:val="24"/>
          <w:highlight w:val="none"/>
        </w:rPr>
      </w:pPr>
      <w:r>
        <w:rPr>
          <w:rFonts w:hint="eastAsia" w:ascii="宋体" w:hAnsi="宋体" w:cs="宋体"/>
          <w:color w:val="auto"/>
          <w:sz w:val="24"/>
          <w:szCs w:val="24"/>
          <w:highlight w:val="none"/>
        </w:rPr>
        <w:t>（3）三类房屋定期监测频率为1月1次；</w:t>
      </w:r>
    </w:p>
    <w:p>
      <w:pPr>
        <w:adjustRightInd w:val="0"/>
        <w:spacing w:beforeLines="0" w:afterLines="0" w:line="440" w:lineRule="exact"/>
        <w:ind w:firstLine="477" w:firstLineChars="199"/>
        <w:rPr>
          <w:rFonts w:hint="eastAsia" w:ascii="宋体" w:hAnsi="宋体" w:cs="宋体"/>
          <w:color w:val="auto"/>
          <w:sz w:val="24"/>
          <w:szCs w:val="24"/>
          <w:highlight w:val="none"/>
        </w:rPr>
      </w:pPr>
      <w:r>
        <w:rPr>
          <w:rFonts w:hint="eastAsia" w:ascii="宋体" w:hAnsi="宋体" w:cs="宋体"/>
          <w:color w:val="auto"/>
          <w:sz w:val="24"/>
          <w:szCs w:val="24"/>
          <w:highlight w:val="none"/>
        </w:rPr>
        <w:t>（4）四类房屋定期监测频率为1月2次；</w:t>
      </w:r>
    </w:p>
    <w:p>
      <w:pPr>
        <w:adjustRightInd w:val="0"/>
        <w:spacing w:beforeLines="0" w:afterLines="0" w:line="440" w:lineRule="exact"/>
        <w:ind w:firstLine="477" w:firstLineChars="199"/>
        <w:rPr>
          <w:rFonts w:hint="eastAsia" w:ascii="宋体" w:hAnsi="宋体" w:cs="宋体"/>
          <w:color w:val="auto"/>
          <w:sz w:val="24"/>
          <w:szCs w:val="24"/>
          <w:highlight w:val="none"/>
        </w:rPr>
      </w:pPr>
      <w:r>
        <w:rPr>
          <w:rFonts w:hint="eastAsia" w:ascii="宋体" w:hAnsi="宋体" w:cs="宋体"/>
          <w:color w:val="auto"/>
          <w:sz w:val="24"/>
          <w:szCs w:val="24"/>
          <w:highlight w:val="none"/>
        </w:rPr>
        <w:t>（5）五类房屋定期监测频率为1周1次；</w:t>
      </w:r>
    </w:p>
    <w:p>
      <w:pPr>
        <w:adjustRightInd w:val="0"/>
        <w:spacing w:beforeLines="0" w:afterLines="0" w:line="440" w:lineRule="exact"/>
        <w:ind w:firstLine="477" w:firstLineChars="199"/>
        <w:rPr>
          <w:rFonts w:hint="eastAsia" w:ascii="宋体" w:hAnsi="宋体" w:cs="宋体"/>
          <w:color w:val="auto"/>
          <w:sz w:val="24"/>
          <w:szCs w:val="24"/>
          <w:highlight w:val="none"/>
        </w:rPr>
      </w:pPr>
      <w:r>
        <w:rPr>
          <w:rFonts w:hint="eastAsia" w:ascii="宋体" w:hAnsi="宋体" w:cs="宋体"/>
          <w:color w:val="auto"/>
          <w:sz w:val="24"/>
          <w:szCs w:val="24"/>
          <w:highlight w:val="none"/>
        </w:rPr>
        <w:t>（6）六类房屋按实际需求确定监测频率且不少于每周两次；</w:t>
      </w:r>
    </w:p>
    <w:p>
      <w:pPr>
        <w:adjustRightInd w:val="0"/>
        <w:spacing w:beforeLines="0" w:afterLines="0" w:line="440" w:lineRule="exact"/>
        <w:ind w:firstLine="477" w:firstLineChars="199"/>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2.3</w:t>
      </w:r>
      <w:r>
        <w:rPr>
          <w:rFonts w:hint="eastAsia" w:ascii="宋体" w:hAnsi="宋体" w:cs="宋体"/>
          <w:color w:val="auto"/>
          <w:sz w:val="24"/>
          <w:szCs w:val="24"/>
          <w:highlight w:val="none"/>
        </w:rPr>
        <w:t>入户检查</w:t>
      </w:r>
    </w:p>
    <w:p>
      <w:pPr>
        <w:adjustRightInd w:val="0"/>
        <w:spacing w:beforeLines="0" w:afterLines="0" w:line="440" w:lineRule="exact"/>
        <w:ind w:firstLine="477" w:firstLineChars="199"/>
        <w:rPr>
          <w:rFonts w:hint="eastAsia" w:ascii="宋体" w:hAnsi="宋体" w:cs="宋体"/>
          <w:color w:val="auto"/>
          <w:sz w:val="24"/>
          <w:szCs w:val="24"/>
          <w:highlight w:val="none"/>
        </w:rPr>
      </w:pPr>
      <w:r>
        <w:rPr>
          <w:rFonts w:hint="eastAsia" w:ascii="宋体" w:hAnsi="宋体" w:cs="宋体"/>
          <w:color w:val="auto"/>
          <w:sz w:val="24"/>
          <w:szCs w:val="24"/>
          <w:highlight w:val="none"/>
        </w:rPr>
        <w:t>关于入户检查，入户标准为：按照《浙江省危险房屋结构监测技术导则》《宁波市房屋安全动态监测技术指南》开展动态监测工作，严格按照不同级别不同频次的巡查要求，认真开展动态监测；动态监测人工巡查入户率，除了空关房屋，住宅房屋每户每年至少入户检查一次；因其他原因确实不能入户的房屋，均须有对应的检查记录(包括每一次未入户的原因)。</w:t>
      </w:r>
    </w:p>
    <w:p>
      <w:pPr>
        <w:adjustRightInd w:val="0"/>
        <w:spacing w:beforeLines="0" w:afterLines="0" w:line="440" w:lineRule="exact"/>
        <w:ind w:firstLine="477" w:firstLineChars="199"/>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2.4</w:t>
      </w:r>
      <w:r>
        <w:rPr>
          <w:rFonts w:hint="eastAsia" w:ascii="宋体" w:hAnsi="宋体" w:cs="宋体"/>
          <w:color w:val="auto"/>
          <w:sz w:val="24"/>
          <w:szCs w:val="24"/>
          <w:highlight w:val="none"/>
        </w:rPr>
        <w:t>直管公房动态巡查</w:t>
      </w:r>
    </w:p>
    <w:p>
      <w:pPr>
        <w:adjustRightInd w:val="0"/>
        <w:spacing w:beforeLines="0" w:afterLines="0" w:line="440" w:lineRule="exact"/>
        <w:ind w:firstLine="477" w:firstLineChars="199"/>
        <w:rPr>
          <w:rFonts w:hint="eastAsia" w:ascii="宋体" w:hAnsi="宋体" w:cs="宋体"/>
          <w:color w:val="auto"/>
          <w:sz w:val="24"/>
          <w:szCs w:val="24"/>
          <w:highlight w:val="none"/>
        </w:rPr>
      </w:pPr>
      <w:r>
        <w:rPr>
          <w:rFonts w:hint="eastAsia" w:ascii="宋体" w:hAnsi="宋体" w:cs="宋体"/>
          <w:color w:val="auto"/>
          <w:sz w:val="24"/>
          <w:szCs w:val="24"/>
          <w:highlight w:val="none"/>
        </w:rPr>
        <w:t>对动态监测范围内直管公房房屋每月至少巡查1次。</w:t>
      </w:r>
    </w:p>
    <w:p>
      <w:pPr>
        <w:adjustRightInd w:val="0"/>
        <w:spacing w:beforeLines="0" w:afterLines="0"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2.5</w:t>
      </w:r>
      <w:r>
        <w:rPr>
          <w:rFonts w:hint="eastAsia" w:ascii="宋体" w:hAnsi="宋体" w:cs="宋体"/>
          <w:color w:val="auto"/>
          <w:sz w:val="24"/>
          <w:szCs w:val="24"/>
          <w:highlight w:val="none"/>
        </w:rPr>
        <w:t>历史建筑巡查</w:t>
      </w:r>
    </w:p>
    <w:p>
      <w:pPr>
        <w:adjustRightInd w:val="0"/>
        <w:spacing w:beforeLines="0" w:afterLines="0" w:line="440" w:lineRule="exact"/>
        <w:ind w:firstLine="477" w:firstLineChars="199"/>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历史建筑</w:t>
      </w:r>
      <w:r>
        <w:rPr>
          <w:rFonts w:hint="eastAsia" w:ascii="宋体" w:hAnsi="宋体" w:cs="宋体"/>
          <w:color w:val="auto"/>
          <w:sz w:val="24"/>
          <w:szCs w:val="24"/>
          <w:highlight w:val="none"/>
        </w:rPr>
        <w:t>定期监测</w:t>
      </w:r>
      <w:r>
        <w:rPr>
          <w:rFonts w:hint="eastAsia" w:ascii="宋体" w:hAnsi="宋体" w:cs="宋体"/>
          <w:color w:val="auto"/>
          <w:sz w:val="24"/>
          <w:szCs w:val="24"/>
          <w:highlight w:val="none"/>
          <w:lang w:eastAsia="zh-CN"/>
        </w:rPr>
        <w:t>频率</w:t>
      </w:r>
      <w:r>
        <w:rPr>
          <w:rFonts w:hint="eastAsia" w:ascii="宋体" w:hAnsi="宋体" w:cs="宋体"/>
          <w:color w:val="auto"/>
          <w:sz w:val="24"/>
          <w:szCs w:val="24"/>
          <w:highlight w:val="none"/>
        </w:rPr>
        <w:t>每月</w:t>
      </w:r>
      <w:r>
        <w:rPr>
          <w:rFonts w:hint="eastAsia" w:ascii="宋体" w:hAnsi="宋体" w:cs="宋体"/>
          <w:color w:val="auto"/>
          <w:sz w:val="24"/>
          <w:szCs w:val="24"/>
          <w:highlight w:val="none"/>
          <w:lang w:eastAsia="zh-CN"/>
        </w:rPr>
        <w:t>不少于</w:t>
      </w:r>
      <w:r>
        <w:rPr>
          <w:rFonts w:hint="eastAsia" w:ascii="宋体" w:hAnsi="宋体" w:cs="宋体"/>
          <w:color w:val="auto"/>
          <w:sz w:val="24"/>
          <w:szCs w:val="24"/>
          <w:highlight w:val="none"/>
        </w:rPr>
        <w:t>1次</w:t>
      </w:r>
      <w:r>
        <w:rPr>
          <w:rFonts w:hint="eastAsia" w:ascii="宋体" w:hAnsi="宋体" w:cs="宋体"/>
          <w:color w:val="auto"/>
          <w:sz w:val="24"/>
          <w:szCs w:val="24"/>
          <w:highlight w:val="none"/>
          <w:lang w:eastAsia="zh-CN"/>
        </w:rPr>
        <w:t>。</w:t>
      </w:r>
    </w:p>
    <w:p>
      <w:pPr>
        <w:adjustRightInd w:val="0"/>
        <w:spacing w:beforeLines="0" w:afterLines="0" w:line="440" w:lineRule="exact"/>
        <w:ind w:firstLine="477" w:firstLineChars="199"/>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2.6</w:t>
      </w:r>
      <w:r>
        <w:rPr>
          <w:rFonts w:hint="eastAsia" w:ascii="宋体" w:hAnsi="宋体" w:cs="宋体"/>
          <w:color w:val="auto"/>
          <w:sz w:val="24"/>
          <w:szCs w:val="24"/>
          <w:highlight w:val="none"/>
        </w:rPr>
        <w:t>专项装修巡查</w:t>
      </w:r>
    </w:p>
    <w:p>
      <w:pPr>
        <w:adjustRightInd w:val="0"/>
        <w:spacing w:beforeLines="0" w:afterLines="0" w:line="440" w:lineRule="exact"/>
        <w:ind w:firstLine="477" w:firstLineChars="199"/>
        <w:rPr>
          <w:rFonts w:hint="eastAsia" w:ascii="宋体" w:hAnsi="宋体" w:cs="宋体"/>
          <w:color w:val="auto"/>
          <w:sz w:val="24"/>
          <w:szCs w:val="24"/>
          <w:highlight w:val="none"/>
        </w:rPr>
      </w:pPr>
      <w:r>
        <w:rPr>
          <w:rFonts w:hint="eastAsia" w:ascii="宋体" w:hAnsi="宋体" w:cs="宋体"/>
          <w:color w:val="auto"/>
          <w:sz w:val="24"/>
          <w:szCs w:val="24"/>
          <w:highlight w:val="none"/>
        </w:rPr>
        <w:t>对于所有装修的房屋，发现后进行跟踪巡查（巡查频率至少为三次，即装修前的巡查、装修中的巡查、装修完成时的巡查），若存在违规装修，监督其进行破坏处恢复及加固处理。开展装修备案工作，装修数量按4000套计算，其中</w:t>
      </w:r>
      <w:r>
        <w:rPr>
          <w:rFonts w:hint="eastAsia" w:ascii="宋体" w:hAnsi="宋体" w:cs="宋体"/>
          <w:b/>
          <w:color w:val="auto"/>
          <w:kern w:val="0"/>
          <w:sz w:val="24"/>
          <w:szCs w:val="24"/>
          <w:highlight w:val="none"/>
          <w:lang w:eastAsia="zh-CN"/>
        </w:rPr>
        <w:t>工作区域一</w:t>
      </w:r>
      <w:r>
        <w:rPr>
          <w:rFonts w:hint="eastAsia" w:ascii="宋体" w:hAnsi="宋体" w:cs="宋体"/>
          <w:color w:val="auto"/>
          <w:sz w:val="24"/>
          <w:szCs w:val="24"/>
          <w:highlight w:val="none"/>
        </w:rPr>
        <w:t>2200套，</w:t>
      </w:r>
      <w:r>
        <w:rPr>
          <w:rFonts w:hint="eastAsia" w:ascii="宋体" w:hAnsi="宋体" w:cs="宋体"/>
          <w:b/>
          <w:color w:val="auto"/>
          <w:kern w:val="0"/>
          <w:sz w:val="24"/>
          <w:szCs w:val="24"/>
          <w:highlight w:val="none"/>
          <w:lang w:eastAsia="zh-CN"/>
        </w:rPr>
        <w:t>工作区域二</w:t>
      </w:r>
      <w:r>
        <w:rPr>
          <w:rFonts w:hint="eastAsia" w:ascii="宋体" w:hAnsi="宋体" w:cs="宋体"/>
          <w:color w:val="auto"/>
          <w:sz w:val="24"/>
          <w:szCs w:val="24"/>
          <w:highlight w:val="none"/>
        </w:rPr>
        <w:t>1800套。内容包括装修设计方案审查、装修备案资料收集整理、巡查及系统中登记、为行政执法提供技术支持。如装修前巡查无开展条件，可参考该户相邻或上下楼层情况开展巡查。装修备案对象为全市范围内应备案装修行为，</w:t>
      </w:r>
      <w:r>
        <w:rPr>
          <w:rFonts w:hint="eastAsia" w:ascii="宋体" w:hAnsi="宋体" w:cs="宋体"/>
          <w:color w:val="auto"/>
          <w:sz w:val="24"/>
          <w:szCs w:val="24"/>
          <w:highlight w:val="none"/>
          <w:lang w:eastAsia="zh-CN"/>
        </w:rPr>
        <w:t>区域</w:t>
      </w:r>
      <w:r>
        <w:rPr>
          <w:rFonts w:hint="eastAsia" w:ascii="宋体" w:hAnsi="宋体" w:cs="宋体"/>
          <w:color w:val="auto"/>
          <w:sz w:val="24"/>
          <w:szCs w:val="24"/>
          <w:highlight w:val="none"/>
        </w:rPr>
        <w:t>备案实际数量超过合同数量的，服务费不予追加；</w:t>
      </w:r>
      <w:r>
        <w:rPr>
          <w:rFonts w:hint="eastAsia" w:ascii="宋体" w:hAnsi="宋体" w:cs="宋体"/>
          <w:color w:val="auto"/>
          <w:sz w:val="24"/>
          <w:szCs w:val="24"/>
          <w:highlight w:val="none"/>
          <w:lang w:eastAsia="zh-CN"/>
        </w:rPr>
        <w:t>区域</w:t>
      </w:r>
      <w:r>
        <w:rPr>
          <w:rFonts w:hint="eastAsia" w:ascii="宋体" w:hAnsi="宋体" w:cs="宋体"/>
          <w:color w:val="auto"/>
          <w:sz w:val="24"/>
          <w:szCs w:val="24"/>
          <w:highlight w:val="none"/>
        </w:rPr>
        <w:t>备案实际数量不足合同数量的，按实结算。</w:t>
      </w:r>
    </w:p>
    <w:p>
      <w:pPr>
        <w:adjustRightInd w:val="0"/>
        <w:spacing w:beforeLines="0" w:afterLines="0" w:line="440" w:lineRule="exact"/>
        <w:ind w:firstLine="477" w:firstLineChars="199"/>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2.7</w:t>
      </w:r>
      <w:r>
        <w:rPr>
          <w:rFonts w:hint="eastAsia" w:ascii="宋体" w:hAnsi="宋体" w:cs="宋体"/>
          <w:color w:val="auto"/>
          <w:sz w:val="24"/>
          <w:szCs w:val="24"/>
          <w:highlight w:val="none"/>
        </w:rPr>
        <w:t>仪器设备监测</w:t>
      </w:r>
    </w:p>
    <w:p>
      <w:pPr>
        <w:adjustRightInd w:val="0"/>
        <w:spacing w:beforeLines="0" w:afterLines="0" w:line="440" w:lineRule="exact"/>
        <w:ind w:firstLine="477" w:firstLineChars="199"/>
        <w:rPr>
          <w:rFonts w:hint="eastAsia" w:ascii="宋体" w:hAnsi="宋体" w:cs="宋体"/>
          <w:color w:val="auto"/>
          <w:sz w:val="24"/>
          <w:szCs w:val="24"/>
          <w:highlight w:val="none"/>
        </w:rPr>
      </w:pPr>
      <w:r>
        <w:rPr>
          <w:rFonts w:hint="eastAsia" w:ascii="宋体" w:hAnsi="宋体" w:cs="宋体"/>
          <w:color w:val="auto"/>
          <w:sz w:val="24"/>
          <w:szCs w:val="24"/>
          <w:highlight w:val="none"/>
        </w:rPr>
        <w:t>对动态监测范围内房屋每年至少测量一次，已经出现明显的倾斜变形或不均匀沉降、受相邻施工影响的房屋进行测量，适当增加测量频率。现场采用</w:t>
      </w:r>
      <w:r>
        <w:rPr>
          <w:rFonts w:hint="eastAsia" w:ascii="宋体" w:hAnsi="宋体" w:cs="宋体"/>
          <w:color w:val="auto"/>
          <w:sz w:val="24"/>
          <w:szCs w:val="24"/>
          <w:highlight w:val="none"/>
          <w:lang w:eastAsia="zh-CN"/>
        </w:rPr>
        <w:t>全站仪</w:t>
      </w:r>
      <w:r>
        <w:rPr>
          <w:rFonts w:hint="eastAsia" w:ascii="宋体" w:hAnsi="宋体" w:cs="宋体"/>
          <w:color w:val="auto"/>
          <w:sz w:val="24"/>
          <w:szCs w:val="24"/>
          <w:highlight w:val="none"/>
        </w:rPr>
        <w:t>、塔尺、标杆等对房屋进行倾斜、沉降测量。</w:t>
      </w:r>
    </w:p>
    <w:p>
      <w:pPr>
        <w:adjustRightInd w:val="0"/>
        <w:spacing w:beforeLines="0" w:afterLines="0" w:line="440" w:lineRule="exact"/>
        <w:ind w:firstLine="477" w:firstLineChars="199"/>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2.8</w:t>
      </w:r>
      <w:r>
        <w:rPr>
          <w:rFonts w:hint="eastAsia" w:ascii="宋体" w:hAnsi="宋体" w:cs="宋体"/>
          <w:color w:val="auto"/>
          <w:sz w:val="24"/>
          <w:szCs w:val="24"/>
          <w:highlight w:val="none"/>
        </w:rPr>
        <w:t>自动化动态监测</w:t>
      </w:r>
    </w:p>
    <w:p>
      <w:pPr>
        <w:adjustRightInd w:val="0"/>
        <w:spacing w:beforeLines="0" w:afterLines="0" w:line="440" w:lineRule="exact"/>
        <w:ind w:firstLine="477" w:firstLineChars="199"/>
        <w:rPr>
          <w:rFonts w:hint="eastAsia" w:ascii="宋体" w:hAnsi="宋体" w:cs="宋体"/>
          <w:color w:val="auto"/>
          <w:sz w:val="24"/>
          <w:szCs w:val="24"/>
          <w:highlight w:val="none"/>
        </w:rPr>
      </w:pPr>
      <w:r>
        <w:rPr>
          <w:rFonts w:hint="eastAsia" w:ascii="宋体" w:hAnsi="宋体" w:cs="宋体"/>
          <w:color w:val="auto"/>
          <w:sz w:val="24"/>
          <w:szCs w:val="24"/>
          <w:highlight w:val="none"/>
        </w:rPr>
        <w:t>（1）通过远程监控系统对安全隐患较大且与采购人商定的10幢房屋进行动态监测，每</w:t>
      </w:r>
      <w:r>
        <w:rPr>
          <w:rFonts w:hint="eastAsia" w:ascii="宋体" w:hAnsi="宋体" w:cs="宋体"/>
          <w:color w:val="auto"/>
          <w:sz w:val="24"/>
          <w:szCs w:val="24"/>
          <w:highlight w:val="none"/>
          <w:lang w:eastAsia="zh-CN"/>
        </w:rPr>
        <w:t>工作区域</w:t>
      </w:r>
      <w:r>
        <w:rPr>
          <w:rFonts w:hint="eastAsia" w:ascii="宋体" w:hAnsi="宋体" w:cs="宋体"/>
          <w:color w:val="auto"/>
          <w:sz w:val="24"/>
          <w:szCs w:val="24"/>
          <w:highlight w:val="none"/>
        </w:rPr>
        <w:t>各5幢；</w:t>
      </w:r>
    </w:p>
    <w:p>
      <w:pPr>
        <w:tabs>
          <w:tab w:val="left" w:pos="851"/>
        </w:tabs>
        <w:adjustRightInd w:val="0"/>
        <w:spacing w:beforeLines="0" w:afterLines="0" w:line="440" w:lineRule="exact"/>
        <w:ind w:firstLine="470" w:firstLineChars="196"/>
        <w:rPr>
          <w:rFonts w:hint="eastAsia" w:ascii="宋体" w:hAnsi="宋体" w:cs="宋体"/>
          <w:color w:val="auto"/>
          <w:sz w:val="24"/>
          <w:szCs w:val="24"/>
          <w:highlight w:val="none"/>
        </w:rPr>
      </w:pPr>
      <w:r>
        <w:rPr>
          <w:rFonts w:hint="eastAsia" w:ascii="宋体" w:hAnsi="宋体" w:cs="宋体"/>
          <w:color w:val="auto"/>
          <w:sz w:val="24"/>
          <w:szCs w:val="24"/>
          <w:highlight w:val="none"/>
        </w:rPr>
        <w:t>（2）远程实时动态监测系统包含自动实时监测</w:t>
      </w:r>
      <w:r>
        <w:rPr>
          <w:rFonts w:hint="eastAsia" w:ascii="宋体" w:hAnsi="宋体" w:cs="宋体"/>
          <w:color w:val="auto"/>
          <w:sz w:val="24"/>
          <w:szCs w:val="24"/>
          <w:highlight w:val="none"/>
          <w:lang w:eastAsia="zh-CN"/>
        </w:rPr>
        <w:t>系统</w:t>
      </w:r>
      <w:r>
        <w:rPr>
          <w:rFonts w:hint="eastAsia" w:ascii="宋体" w:hAnsi="宋体" w:cs="宋体"/>
          <w:color w:val="auto"/>
          <w:sz w:val="24"/>
          <w:szCs w:val="24"/>
          <w:highlight w:val="none"/>
        </w:rPr>
        <w:t>、倾斜仪、裂缝计等专用监测设备及实时动态监测管理平台，详见下表。</w:t>
      </w:r>
    </w:p>
    <w:tbl>
      <w:tblPr>
        <w:tblStyle w:val="6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69"/>
        <w:gridCol w:w="1420"/>
        <w:gridCol w:w="49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3289"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adjustRightInd w:val="0"/>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序号</w:t>
            </w:r>
          </w:p>
        </w:tc>
        <w:tc>
          <w:tcPr>
            <w:tcW w:w="49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adjustRightInd w:val="0"/>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jc w:val="center"/>
        </w:trPr>
        <w:tc>
          <w:tcPr>
            <w:tcW w:w="1869"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软硬件设备</w:t>
            </w:r>
          </w:p>
        </w:tc>
        <w:tc>
          <w:tcPr>
            <w:tcW w:w="142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1</w:t>
            </w:r>
          </w:p>
        </w:tc>
        <w:tc>
          <w:tcPr>
            <w:tcW w:w="49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adjustRightInd w:val="0"/>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自动实时监测设备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 w:hRule="atLeast"/>
          <w:jc w:val="center"/>
        </w:trPr>
        <w:tc>
          <w:tcPr>
            <w:tcW w:w="186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adjustRightInd w:val="0"/>
              <w:spacing w:beforeLines="0" w:afterLines="0"/>
              <w:jc w:val="center"/>
              <w:rPr>
                <w:rFonts w:hint="eastAsia" w:ascii="宋体" w:hAnsi="宋体" w:cs="宋体"/>
                <w:color w:val="auto"/>
                <w:sz w:val="21"/>
                <w:szCs w:val="21"/>
                <w:highlight w:val="none"/>
              </w:rPr>
            </w:pPr>
          </w:p>
        </w:tc>
        <w:tc>
          <w:tcPr>
            <w:tcW w:w="142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2</w:t>
            </w:r>
          </w:p>
        </w:tc>
        <w:tc>
          <w:tcPr>
            <w:tcW w:w="49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autoSpaceDN w:val="0"/>
              <w:adjustRightInd w:val="0"/>
              <w:spacing w:beforeLines="0" w:afterLines="0"/>
              <w:jc w:val="center"/>
              <w:textAlignment w:val="center"/>
              <w:rPr>
                <w:rFonts w:hint="eastAsia" w:ascii="宋体" w:hAnsi="宋体" w:cs="宋体"/>
                <w:color w:val="auto"/>
                <w:sz w:val="21"/>
                <w:szCs w:val="21"/>
                <w:highlight w:val="none"/>
              </w:rPr>
            </w:pPr>
            <w:r>
              <w:rPr>
                <w:rFonts w:hint="eastAsia" w:ascii="宋体" w:hAnsi="宋体" w:cs="宋体"/>
                <w:color w:val="auto"/>
                <w:sz w:val="21"/>
                <w:szCs w:val="21"/>
                <w:highlight w:val="none"/>
              </w:rPr>
              <w:t>倾斜仪20个、裂缝计（按需布置）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 w:hRule="atLeast"/>
          <w:jc w:val="center"/>
        </w:trPr>
        <w:tc>
          <w:tcPr>
            <w:tcW w:w="186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adjustRightInd w:val="0"/>
              <w:spacing w:beforeLines="0" w:afterLines="0"/>
              <w:jc w:val="center"/>
              <w:rPr>
                <w:rFonts w:hint="eastAsia" w:ascii="宋体" w:hAnsi="宋体" w:cs="宋体"/>
                <w:color w:val="auto"/>
                <w:sz w:val="21"/>
                <w:szCs w:val="21"/>
                <w:highlight w:val="none"/>
              </w:rPr>
            </w:pPr>
          </w:p>
        </w:tc>
        <w:tc>
          <w:tcPr>
            <w:tcW w:w="142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3</w:t>
            </w:r>
          </w:p>
        </w:tc>
        <w:tc>
          <w:tcPr>
            <w:tcW w:w="497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adjustRightInd w:val="0"/>
              <w:spacing w:beforeLines="0" w:afterLines="0"/>
              <w:jc w:val="center"/>
              <w:textAlignment w:val="center"/>
              <w:rPr>
                <w:rFonts w:hint="eastAsia" w:ascii="宋体" w:hAnsi="宋体" w:cs="宋体"/>
                <w:color w:val="auto"/>
                <w:sz w:val="21"/>
                <w:szCs w:val="21"/>
                <w:highlight w:val="none"/>
              </w:rPr>
            </w:pPr>
            <w:r>
              <w:rPr>
                <w:rFonts w:hint="eastAsia" w:ascii="宋体" w:hAnsi="宋体" w:cs="宋体"/>
                <w:color w:val="auto"/>
                <w:sz w:val="21"/>
                <w:szCs w:val="21"/>
                <w:highlight w:val="none"/>
              </w:rPr>
              <w:t>监测设备10套、静力水准仪（按需布置）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186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adjustRightInd w:val="0"/>
              <w:spacing w:beforeLines="0" w:afterLines="0"/>
              <w:jc w:val="center"/>
              <w:rPr>
                <w:rFonts w:hint="eastAsia" w:ascii="宋体" w:hAnsi="宋体" w:cs="宋体"/>
                <w:color w:val="auto"/>
                <w:sz w:val="21"/>
                <w:szCs w:val="21"/>
                <w:highlight w:val="none"/>
              </w:rPr>
            </w:pPr>
          </w:p>
        </w:tc>
        <w:tc>
          <w:tcPr>
            <w:tcW w:w="142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4</w:t>
            </w:r>
          </w:p>
        </w:tc>
        <w:tc>
          <w:tcPr>
            <w:tcW w:w="497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adjustRightInd w:val="0"/>
              <w:spacing w:beforeLines="0" w:afterLines="0"/>
              <w:jc w:val="center"/>
              <w:textAlignment w:val="center"/>
              <w:rPr>
                <w:rFonts w:hint="eastAsia" w:ascii="宋体" w:hAnsi="宋体" w:cs="宋体"/>
                <w:color w:val="auto"/>
                <w:sz w:val="21"/>
                <w:szCs w:val="21"/>
                <w:highlight w:val="none"/>
              </w:rPr>
            </w:pPr>
            <w:r>
              <w:rPr>
                <w:rFonts w:hint="eastAsia" w:ascii="宋体" w:hAnsi="宋体" w:cs="宋体"/>
                <w:color w:val="auto"/>
                <w:sz w:val="21"/>
                <w:szCs w:val="21"/>
                <w:highlight w:val="none"/>
              </w:rPr>
              <w:t>监测数据处理系统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 w:hRule="atLeast"/>
          <w:jc w:val="center"/>
        </w:trPr>
        <w:tc>
          <w:tcPr>
            <w:tcW w:w="186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adjustRightInd w:val="0"/>
              <w:spacing w:beforeLines="0" w:afterLines="0"/>
              <w:jc w:val="center"/>
              <w:rPr>
                <w:rFonts w:hint="eastAsia" w:ascii="宋体" w:hAnsi="宋体" w:cs="宋体"/>
                <w:color w:val="auto"/>
                <w:sz w:val="21"/>
                <w:szCs w:val="21"/>
                <w:highlight w:val="none"/>
              </w:rPr>
            </w:pPr>
          </w:p>
        </w:tc>
        <w:tc>
          <w:tcPr>
            <w:tcW w:w="142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5</w:t>
            </w:r>
          </w:p>
        </w:tc>
        <w:tc>
          <w:tcPr>
            <w:tcW w:w="497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adjustRightInd w:val="0"/>
              <w:spacing w:beforeLines="0" w:afterLines="0"/>
              <w:jc w:val="center"/>
              <w:textAlignment w:val="center"/>
              <w:rPr>
                <w:rFonts w:hint="eastAsia" w:ascii="宋体" w:hAnsi="宋体" w:cs="宋体"/>
                <w:color w:val="auto"/>
                <w:sz w:val="21"/>
                <w:szCs w:val="21"/>
                <w:highlight w:val="none"/>
              </w:rPr>
            </w:pPr>
            <w:r>
              <w:rPr>
                <w:rFonts w:hint="eastAsia" w:ascii="宋体" w:hAnsi="宋体" w:cs="宋体"/>
                <w:color w:val="auto"/>
                <w:sz w:val="21"/>
                <w:szCs w:val="21"/>
                <w:highlight w:val="none"/>
              </w:rPr>
              <w:t>数据传输系统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186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adjustRightInd w:val="0"/>
              <w:spacing w:beforeLines="0" w:afterLines="0"/>
              <w:rPr>
                <w:rFonts w:hint="eastAsia" w:ascii="宋体" w:hAnsi="宋体" w:cs="宋体"/>
                <w:color w:val="auto"/>
                <w:sz w:val="21"/>
                <w:szCs w:val="21"/>
                <w:highlight w:val="none"/>
              </w:rPr>
            </w:pPr>
          </w:p>
        </w:tc>
        <w:tc>
          <w:tcPr>
            <w:tcW w:w="142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6</w:t>
            </w:r>
          </w:p>
        </w:tc>
        <w:tc>
          <w:tcPr>
            <w:tcW w:w="497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adjustRightInd w:val="0"/>
              <w:spacing w:beforeLines="0" w:afterLines="0"/>
              <w:jc w:val="center"/>
              <w:textAlignment w:val="center"/>
              <w:rPr>
                <w:rFonts w:hint="eastAsia" w:ascii="宋体" w:hAnsi="宋体" w:cs="宋体"/>
                <w:color w:val="auto"/>
                <w:sz w:val="21"/>
                <w:szCs w:val="21"/>
                <w:highlight w:val="none"/>
              </w:rPr>
            </w:pPr>
            <w:r>
              <w:rPr>
                <w:rFonts w:hint="eastAsia" w:ascii="宋体" w:hAnsi="宋体" w:cs="宋体"/>
                <w:color w:val="auto"/>
                <w:sz w:val="21"/>
                <w:szCs w:val="21"/>
                <w:highlight w:val="none"/>
              </w:rPr>
              <w:t>实时动态监测管理平台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186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adjustRightInd w:val="0"/>
              <w:spacing w:beforeLines="0" w:afterLines="0"/>
              <w:rPr>
                <w:rFonts w:hint="eastAsia" w:ascii="宋体" w:hAnsi="宋体" w:cs="宋体"/>
                <w:color w:val="auto"/>
                <w:sz w:val="21"/>
                <w:szCs w:val="21"/>
                <w:highlight w:val="none"/>
              </w:rPr>
            </w:pPr>
          </w:p>
        </w:tc>
        <w:tc>
          <w:tcPr>
            <w:tcW w:w="142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7</w:t>
            </w:r>
          </w:p>
        </w:tc>
        <w:tc>
          <w:tcPr>
            <w:tcW w:w="497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adjustRightInd w:val="0"/>
              <w:spacing w:beforeLines="0" w:afterLines="0"/>
              <w:jc w:val="center"/>
              <w:textAlignment w:val="center"/>
              <w:rPr>
                <w:rFonts w:hint="eastAsia" w:ascii="宋体" w:hAnsi="宋体" w:cs="宋体"/>
                <w:color w:val="auto"/>
                <w:sz w:val="21"/>
                <w:szCs w:val="21"/>
                <w:highlight w:val="none"/>
              </w:rPr>
            </w:pPr>
            <w:r>
              <w:rPr>
                <w:rFonts w:hint="eastAsia" w:ascii="宋体" w:hAnsi="宋体" w:cs="宋体"/>
                <w:color w:val="auto"/>
                <w:sz w:val="21"/>
                <w:szCs w:val="21"/>
                <w:highlight w:val="none"/>
              </w:rPr>
              <w:t>人工巡检管理平台及作业APP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186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adjustRightInd w:val="0"/>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人工巡检</w:t>
            </w:r>
          </w:p>
        </w:tc>
        <w:tc>
          <w:tcPr>
            <w:tcW w:w="142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1</w:t>
            </w:r>
          </w:p>
        </w:tc>
        <w:tc>
          <w:tcPr>
            <w:tcW w:w="497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adjustRightInd w:val="0"/>
              <w:spacing w:beforeLines="0" w:afterLines="0"/>
              <w:jc w:val="center"/>
              <w:textAlignment w:val="center"/>
              <w:rPr>
                <w:rFonts w:hint="eastAsia" w:ascii="宋体" w:hAnsi="宋体" w:cs="宋体"/>
                <w:color w:val="auto"/>
                <w:sz w:val="21"/>
                <w:szCs w:val="21"/>
                <w:highlight w:val="none"/>
              </w:rPr>
            </w:pPr>
            <w:r>
              <w:rPr>
                <w:rFonts w:hint="eastAsia" w:ascii="宋体" w:hAnsi="宋体" w:cs="宋体"/>
                <w:color w:val="auto"/>
                <w:sz w:val="21"/>
                <w:szCs w:val="21"/>
                <w:highlight w:val="none"/>
              </w:rPr>
              <w:t>人工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 w:hRule="atLeast"/>
          <w:jc w:val="center"/>
        </w:trPr>
        <w:tc>
          <w:tcPr>
            <w:tcW w:w="18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技术服务</w:t>
            </w:r>
          </w:p>
        </w:tc>
        <w:tc>
          <w:tcPr>
            <w:tcW w:w="142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pacing w:beforeLines="0" w:afterLine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1</w:t>
            </w:r>
          </w:p>
        </w:tc>
        <w:tc>
          <w:tcPr>
            <w:tcW w:w="49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autoSpaceDN w:val="0"/>
              <w:adjustRightInd w:val="0"/>
              <w:spacing w:beforeLines="0" w:afterLines="0"/>
              <w:jc w:val="center"/>
              <w:textAlignment w:val="center"/>
              <w:rPr>
                <w:rFonts w:hint="eastAsia" w:ascii="宋体" w:hAnsi="宋体" w:cs="宋体"/>
                <w:color w:val="auto"/>
                <w:sz w:val="21"/>
                <w:szCs w:val="21"/>
                <w:highlight w:val="none"/>
              </w:rPr>
            </w:pPr>
            <w:r>
              <w:rPr>
                <w:rFonts w:hint="eastAsia" w:ascii="宋体" w:hAnsi="宋体" w:cs="宋体"/>
                <w:color w:val="auto"/>
                <w:sz w:val="21"/>
                <w:szCs w:val="21"/>
                <w:highlight w:val="none"/>
              </w:rPr>
              <w:t>软硬件设备安装部署及培训</w:t>
            </w:r>
          </w:p>
        </w:tc>
      </w:tr>
    </w:tbl>
    <w:p>
      <w:pPr>
        <w:tabs>
          <w:tab w:val="left" w:pos="851"/>
        </w:tabs>
        <w:adjustRightInd w:val="0"/>
        <w:spacing w:beforeLines="0" w:afterLines="0" w:line="440" w:lineRule="exact"/>
        <w:ind w:firstLine="470" w:firstLineChars="196"/>
        <w:rPr>
          <w:rFonts w:hint="eastAsia" w:ascii="宋体" w:hAnsi="宋体" w:cs="宋体"/>
          <w:color w:val="auto"/>
          <w:sz w:val="24"/>
          <w:szCs w:val="24"/>
          <w:highlight w:val="none"/>
        </w:rPr>
      </w:pPr>
      <w:r>
        <w:rPr>
          <w:rFonts w:hint="eastAsia" w:ascii="宋体" w:hAnsi="宋体" w:cs="宋体"/>
          <w:color w:val="auto"/>
          <w:sz w:val="24"/>
          <w:szCs w:val="24"/>
          <w:highlight w:val="none"/>
        </w:rPr>
        <w:t>注：以上软硬件设施须由房屋安全动态监测服务单位提供</w:t>
      </w:r>
      <w:r>
        <w:rPr>
          <w:rFonts w:hint="eastAsia" w:ascii="宋体" w:hAnsi="宋体" w:cs="宋体"/>
          <w:color w:val="auto"/>
          <w:sz w:val="24"/>
          <w:szCs w:val="24"/>
          <w:highlight w:val="none"/>
          <w:lang w:eastAsia="zh-CN"/>
        </w:rPr>
        <w:t>（费用已包含在本项目预算金额之中）</w:t>
      </w:r>
      <w:r>
        <w:rPr>
          <w:rFonts w:hint="eastAsia" w:ascii="宋体" w:hAnsi="宋体" w:cs="宋体"/>
          <w:color w:val="auto"/>
          <w:sz w:val="24"/>
          <w:szCs w:val="24"/>
          <w:highlight w:val="none"/>
        </w:rPr>
        <w:t>。</w:t>
      </w:r>
    </w:p>
    <w:p>
      <w:pPr>
        <w:adjustRightInd w:val="0"/>
        <w:spacing w:beforeLines="0" w:afterLines="0" w:line="440" w:lineRule="exact"/>
        <w:ind w:firstLine="477" w:firstLineChars="199"/>
        <w:rPr>
          <w:rFonts w:hint="eastAsia" w:ascii="宋体" w:hAnsi="宋体" w:cs="宋体"/>
          <w:color w:val="auto"/>
          <w:sz w:val="24"/>
          <w:szCs w:val="24"/>
          <w:highlight w:val="none"/>
        </w:rPr>
      </w:pPr>
      <w:r>
        <w:rPr>
          <w:rFonts w:hint="eastAsia" w:ascii="宋体" w:hAnsi="宋体" w:cs="宋体"/>
          <w:color w:val="auto"/>
          <w:sz w:val="24"/>
          <w:szCs w:val="24"/>
          <w:highlight w:val="none"/>
        </w:rPr>
        <w:t>（3）远程监控监测系统实时采集技术要求：</w:t>
      </w:r>
    </w:p>
    <w:p>
      <w:pPr>
        <w:adjustRightInd w:val="0"/>
        <w:spacing w:beforeLines="0" w:afterLines="0" w:line="440" w:lineRule="exact"/>
        <w:ind w:firstLine="477" w:firstLineChars="199"/>
        <w:rPr>
          <w:rFonts w:hint="eastAsia" w:ascii="宋体" w:hAnsi="宋体" w:cs="宋体"/>
          <w:color w:val="auto"/>
          <w:sz w:val="24"/>
          <w:szCs w:val="24"/>
          <w:highlight w:val="none"/>
        </w:rPr>
      </w:pPr>
      <w:r>
        <w:rPr>
          <w:rFonts w:hint="eastAsia" w:ascii="宋体" w:hAnsi="宋体" w:cs="宋体"/>
          <w:color w:val="auto"/>
          <w:sz w:val="24"/>
          <w:szCs w:val="24"/>
          <w:highlight w:val="none"/>
        </w:rPr>
        <w:t>1)系统通过自动监测设备能够实现对被监测房屋24小时不间断远程动态监测，通过平台或短信等方式提供异常状态实时告警功能。</w:t>
      </w:r>
    </w:p>
    <w:p>
      <w:pPr>
        <w:adjustRightInd w:val="0"/>
        <w:spacing w:beforeLines="0" w:afterLines="0" w:line="440" w:lineRule="exact"/>
        <w:ind w:firstLine="477" w:firstLineChars="199"/>
        <w:rPr>
          <w:rFonts w:hint="eastAsia" w:ascii="宋体" w:hAnsi="宋体" w:cs="宋体"/>
          <w:color w:val="auto"/>
          <w:sz w:val="24"/>
          <w:szCs w:val="24"/>
          <w:highlight w:val="none"/>
        </w:rPr>
      </w:pPr>
      <w:r>
        <w:rPr>
          <w:rFonts w:hint="eastAsia" w:ascii="宋体" w:hAnsi="宋体" w:cs="宋体"/>
          <w:color w:val="auto"/>
          <w:sz w:val="24"/>
          <w:szCs w:val="24"/>
          <w:highlight w:val="none"/>
        </w:rPr>
        <w:t>2)系统需同时提供专用管理软件实时显示危房动态变化曲线；房屋地理位置和资料信息能够通过动态实时监测管理平台定位和查询。</w:t>
      </w:r>
    </w:p>
    <w:p>
      <w:pPr>
        <w:adjustRightInd w:val="0"/>
        <w:spacing w:beforeLines="0" w:afterLines="0" w:line="440" w:lineRule="exact"/>
        <w:ind w:firstLine="477" w:firstLineChars="199"/>
        <w:rPr>
          <w:rFonts w:hint="eastAsia" w:ascii="宋体" w:hAnsi="宋体" w:cs="宋体"/>
          <w:color w:val="auto"/>
          <w:sz w:val="24"/>
          <w:szCs w:val="24"/>
          <w:highlight w:val="none"/>
        </w:rPr>
      </w:pPr>
      <w:r>
        <w:rPr>
          <w:rFonts w:hint="eastAsia" w:ascii="宋体" w:hAnsi="宋体" w:cs="宋体"/>
          <w:color w:val="auto"/>
          <w:sz w:val="24"/>
          <w:szCs w:val="24"/>
          <w:highlight w:val="none"/>
        </w:rPr>
        <w:t>3)平台能提供历史数据分析以及报表输出功能，同时提供趋势变化分析功能。</w:t>
      </w:r>
    </w:p>
    <w:p>
      <w:pPr>
        <w:adjustRightInd w:val="0"/>
        <w:spacing w:beforeLines="0" w:afterLines="0" w:line="440" w:lineRule="exact"/>
        <w:ind w:firstLine="477" w:firstLineChars="199"/>
        <w:rPr>
          <w:rFonts w:hint="eastAsia" w:ascii="宋体" w:hAnsi="宋体" w:cs="宋体"/>
          <w:color w:val="auto"/>
          <w:sz w:val="24"/>
          <w:szCs w:val="24"/>
          <w:highlight w:val="none"/>
        </w:rPr>
      </w:pPr>
      <w:r>
        <w:rPr>
          <w:rFonts w:hint="eastAsia" w:ascii="宋体" w:hAnsi="宋体" w:cs="宋体"/>
          <w:color w:val="auto"/>
          <w:sz w:val="24"/>
          <w:szCs w:val="24"/>
          <w:highlight w:val="none"/>
        </w:rPr>
        <w:t>4)10栋楼需由监测系统实时监测，实现数据远程采集。</w:t>
      </w:r>
    </w:p>
    <w:p>
      <w:pPr>
        <w:adjustRightInd w:val="0"/>
        <w:spacing w:beforeLines="0" w:afterLines="0" w:line="440" w:lineRule="exact"/>
        <w:ind w:firstLine="477" w:firstLineChars="199"/>
        <w:rPr>
          <w:rFonts w:hint="eastAsia" w:ascii="宋体" w:hAnsi="宋体" w:cs="宋体"/>
          <w:color w:val="auto"/>
          <w:sz w:val="24"/>
          <w:szCs w:val="24"/>
          <w:highlight w:val="none"/>
        </w:rPr>
      </w:pPr>
      <w:r>
        <w:rPr>
          <w:rFonts w:hint="eastAsia" w:ascii="宋体" w:hAnsi="宋体" w:cs="宋体"/>
          <w:color w:val="auto"/>
          <w:sz w:val="24"/>
          <w:szCs w:val="24"/>
          <w:highlight w:val="none"/>
        </w:rPr>
        <w:t>5)通过人工监测管理平台以及作业APP，形成一整套人工巡查管理流程，如任务派发、巡查管理、险情上报及处理等。</w:t>
      </w:r>
    </w:p>
    <w:p>
      <w:pPr>
        <w:adjustRightInd w:val="0"/>
        <w:spacing w:beforeLines="0" w:afterLines="0" w:line="440" w:lineRule="exact"/>
        <w:ind w:firstLine="477" w:firstLineChars="199"/>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2.9监控摄像头</w:t>
      </w:r>
      <w:bookmarkStart w:id="32" w:name="_Toc58411067"/>
      <w:r>
        <w:rPr>
          <w:rFonts w:hint="eastAsia" w:ascii="宋体" w:hAnsi="宋体" w:cs="宋体"/>
          <w:color w:val="auto"/>
          <w:sz w:val="24"/>
          <w:szCs w:val="24"/>
          <w:highlight w:val="none"/>
          <w:lang w:val="en-US" w:eastAsia="zh-CN"/>
        </w:rPr>
        <w:t>按需布置，</w:t>
      </w:r>
      <w:bookmarkEnd w:id="32"/>
      <w:r>
        <w:rPr>
          <w:rFonts w:hint="eastAsia" w:ascii="宋体" w:hAnsi="宋体" w:cs="宋体"/>
          <w:color w:val="auto"/>
          <w:sz w:val="24"/>
          <w:szCs w:val="24"/>
          <w:highlight w:val="none"/>
          <w:lang w:val="en-US" w:eastAsia="zh-CN"/>
        </w:rPr>
        <w:t>预估6套（包含太阳能板，摄像头）；通过监控摄像头监测在监测范围内的老旧房屋，选取能定向监控单元门的合适角度。通过监控建筑垃圾的清运或其他行为判断是否有结构拆改发生。</w:t>
      </w:r>
    </w:p>
    <w:p>
      <w:pPr>
        <w:adjustRightInd w:val="0"/>
        <w:spacing w:beforeLines="0" w:afterLines="0" w:line="440" w:lineRule="exact"/>
        <w:ind w:firstLine="477" w:firstLineChars="199"/>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2.10</w:t>
      </w:r>
      <w:r>
        <w:rPr>
          <w:rFonts w:hint="eastAsia" w:ascii="宋体" w:hAnsi="宋体" w:cs="宋体"/>
          <w:color w:val="auto"/>
          <w:sz w:val="24"/>
          <w:szCs w:val="24"/>
          <w:highlight w:val="none"/>
        </w:rPr>
        <w:t>台汛季节、重要活动节假日安全排查检查</w:t>
      </w:r>
    </w:p>
    <w:p>
      <w:pPr>
        <w:tabs>
          <w:tab w:val="left" w:pos="851"/>
        </w:tabs>
        <w:adjustRightInd w:val="0"/>
        <w:spacing w:beforeLines="0" w:afterLines="0" w:line="440" w:lineRule="exact"/>
        <w:ind w:firstLine="470" w:firstLineChars="196"/>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按上级要求或采购人指示开展三类及以上房屋或其他类别房屋应急安全排查检查，</w:t>
      </w:r>
      <w:r>
        <w:rPr>
          <w:rFonts w:hint="eastAsia" w:ascii="宋体" w:hAnsi="宋体" w:cs="宋体"/>
          <w:b/>
          <w:color w:val="auto"/>
          <w:kern w:val="0"/>
          <w:sz w:val="24"/>
          <w:szCs w:val="24"/>
          <w:highlight w:val="none"/>
          <w:lang w:eastAsia="zh-CN"/>
        </w:rPr>
        <w:t>工作区域一</w:t>
      </w:r>
      <w:r>
        <w:rPr>
          <w:rFonts w:hint="eastAsia" w:ascii="宋体" w:hAnsi="宋体" w:cs="宋体"/>
          <w:color w:val="auto"/>
          <w:sz w:val="24"/>
          <w:szCs w:val="24"/>
          <w:highlight w:val="none"/>
        </w:rPr>
        <w:t>不少于1080幢/次，</w:t>
      </w:r>
      <w:r>
        <w:rPr>
          <w:rFonts w:hint="eastAsia" w:ascii="宋体" w:hAnsi="宋体" w:cs="宋体"/>
          <w:b/>
          <w:color w:val="auto"/>
          <w:kern w:val="0"/>
          <w:sz w:val="24"/>
          <w:szCs w:val="24"/>
          <w:highlight w:val="none"/>
          <w:lang w:eastAsia="zh-CN"/>
        </w:rPr>
        <w:t>工作区域二</w:t>
      </w:r>
      <w:r>
        <w:rPr>
          <w:rFonts w:hint="eastAsia" w:ascii="宋体" w:hAnsi="宋体" w:cs="宋体"/>
          <w:color w:val="auto"/>
          <w:sz w:val="24"/>
          <w:szCs w:val="24"/>
          <w:highlight w:val="none"/>
        </w:rPr>
        <w:t>不少于1160幢/次。达到合同规定的幢次后，仍须服从采购人的应急排查检查指令，合同金额不追加。</w:t>
      </w:r>
    </w:p>
    <w:p>
      <w:pPr>
        <w:tabs>
          <w:tab w:val="left" w:pos="851"/>
        </w:tabs>
        <w:adjustRightInd w:val="0"/>
        <w:spacing w:beforeLines="0" w:afterLines="0"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2.11</w:t>
      </w:r>
      <w:r>
        <w:rPr>
          <w:rFonts w:hint="eastAsia" w:ascii="宋体" w:hAnsi="宋体" w:cs="宋体"/>
          <w:color w:val="auto"/>
          <w:sz w:val="24"/>
          <w:szCs w:val="24"/>
          <w:highlight w:val="none"/>
        </w:rPr>
        <w:t>房安技术服务</w:t>
      </w:r>
    </w:p>
    <w:p>
      <w:pPr>
        <w:tabs>
          <w:tab w:val="left" w:pos="851"/>
        </w:tabs>
        <w:adjustRightInd w:val="0"/>
        <w:spacing w:beforeLines="0" w:afterLines="0"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满足属地房安技术服务需求，含公益性安全鉴定。</w:t>
      </w:r>
    </w:p>
    <w:p>
      <w:pPr>
        <w:numPr>
          <w:ilvl w:val="0"/>
          <w:numId w:val="0"/>
        </w:numPr>
        <w:tabs>
          <w:tab w:val="left" w:pos="851"/>
        </w:tabs>
        <w:adjustRightInd w:val="0"/>
        <w:spacing w:beforeLines="0" w:afterLines="0"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2.12</w:t>
      </w:r>
      <w:r>
        <w:rPr>
          <w:rFonts w:hint="eastAsia" w:ascii="宋体" w:hAnsi="宋体" w:cs="宋体"/>
          <w:color w:val="auto"/>
          <w:sz w:val="24"/>
          <w:szCs w:val="24"/>
          <w:highlight w:val="none"/>
        </w:rPr>
        <w:t>应急准备、演练，房安宣传、专家咨询</w:t>
      </w:r>
    </w:p>
    <w:p>
      <w:pPr>
        <w:tabs>
          <w:tab w:val="left" w:pos="851"/>
        </w:tabs>
        <w:adjustRightInd w:val="0"/>
        <w:spacing w:beforeLines="0" w:afterLines="0"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（1）每</w:t>
      </w:r>
      <w:r>
        <w:rPr>
          <w:rFonts w:hint="eastAsia" w:ascii="宋体" w:hAnsi="宋体" w:cs="宋体"/>
          <w:b/>
          <w:color w:val="auto"/>
          <w:kern w:val="0"/>
          <w:sz w:val="24"/>
          <w:szCs w:val="24"/>
          <w:highlight w:val="none"/>
          <w:lang w:eastAsia="zh-CN"/>
        </w:rPr>
        <w:t>工作区域</w:t>
      </w:r>
      <w:r>
        <w:rPr>
          <w:rFonts w:hint="eastAsia" w:ascii="宋体" w:hAnsi="宋体" w:cs="宋体"/>
          <w:color w:val="auto"/>
          <w:sz w:val="24"/>
          <w:szCs w:val="24"/>
          <w:highlight w:val="none"/>
        </w:rPr>
        <w:t>组建一支不少于10人的房安专业抢险队伍，并配备必要的抢险物资、装备。</w:t>
      </w:r>
    </w:p>
    <w:p>
      <w:pPr>
        <w:tabs>
          <w:tab w:val="left" w:pos="851"/>
        </w:tabs>
        <w:adjustRightInd w:val="0"/>
        <w:spacing w:beforeLines="0" w:afterLines="0" w:line="440" w:lineRule="exact"/>
        <w:ind w:firstLine="470" w:firstLineChars="196"/>
        <w:rPr>
          <w:rFonts w:hint="eastAsia" w:ascii="宋体" w:hAnsi="宋体" w:cs="宋体"/>
          <w:color w:val="auto"/>
          <w:sz w:val="24"/>
          <w:szCs w:val="24"/>
          <w:highlight w:val="none"/>
        </w:rPr>
      </w:pPr>
      <w:r>
        <w:rPr>
          <w:rFonts w:hint="eastAsia" w:ascii="宋体" w:hAnsi="宋体" w:cs="宋体"/>
          <w:color w:val="auto"/>
          <w:sz w:val="24"/>
          <w:szCs w:val="24"/>
          <w:highlight w:val="none"/>
        </w:rPr>
        <w:t>（2）三年合同周期内开展一次大型房安宣传活动或应急演练。</w:t>
      </w:r>
    </w:p>
    <w:p>
      <w:pPr>
        <w:tabs>
          <w:tab w:val="left" w:pos="851"/>
        </w:tabs>
        <w:adjustRightInd w:val="0"/>
        <w:spacing w:beforeLines="0" w:afterLines="0"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（3）每年举办</w:t>
      </w:r>
      <w:r>
        <w:rPr>
          <w:rFonts w:hint="eastAsia" w:ascii="宋体" w:hAnsi="宋体" w:cs="宋体"/>
          <w:color w:val="auto"/>
          <w:sz w:val="24"/>
          <w:szCs w:val="24"/>
          <w:highlight w:val="none"/>
          <w:lang w:eastAsia="zh-CN"/>
        </w:rPr>
        <w:t>至少</w:t>
      </w:r>
      <w:r>
        <w:rPr>
          <w:rFonts w:hint="eastAsia" w:ascii="宋体" w:hAnsi="宋体" w:cs="宋体"/>
          <w:color w:val="auto"/>
          <w:sz w:val="24"/>
          <w:szCs w:val="24"/>
          <w:highlight w:val="none"/>
        </w:rPr>
        <w:t>1次房安宣传活动，按采购人需求提供房安专家咨询服务。</w:t>
      </w:r>
    </w:p>
    <w:p>
      <w:pPr>
        <w:adjustRightInd w:val="0"/>
        <w:spacing w:beforeLines="0" w:afterLines="0" w:line="440" w:lineRule="exact"/>
        <w:ind w:firstLine="479" w:firstLineChars="199"/>
        <w:rPr>
          <w:rFonts w:hint="eastAsia" w:ascii="宋体" w:hAnsi="宋体" w:cs="宋体"/>
          <w:b/>
          <w:color w:val="auto"/>
          <w:sz w:val="24"/>
          <w:szCs w:val="24"/>
          <w:highlight w:val="none"/>
        </w:rPr>
      </w:pPr>
      <w:r>
        <w:rPr>
          <w:rFonts w:hint="eastAsia" w:ascii="宋体" w:hAnsi="宋体" w:cs="宋体"/>
          <w:b/>
          <w:color w:val="auto"/>
          <w:sz w:val="24"/>
          <w:szCs w:val="24"/>
          <w:highlight w:val="none"/>
          <w:lang w:val="en-US" w:eastAsia="zh-CN"/>
        </w:rPr>
        <w:t>3.</w:t>
      </w:r>
      <w:r>
        <w:rPr>
          <w:rFonts w:hint="eastAsia" w:ascii="宋体" w:hAnsi="宋体" w:cs="宋体"/>
          <w:b/>
          <w:color w:val="auto"/>
          <w:sz w:val="24"/>
          <w:szCs w:val="24"/>
          <w:highlight w:val="none"/>
        </w:rPr>
        <w:t>房屋安全动态监测单位</w:t>
      </w:r>
    </w:p>
    <w:p>
      <w:pPr>
        <w:tabs>
          <w:tab w:val="left" w:pos="426"/>
        </w:tabs>
        <w:adjustRightInd w:val="0"/>
        <w:spacing w:beforeLines="0" w:afterLines="0"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本次慈溪</w:t>
      </w:r>
      <w:r>
        <w:rPr>
          <w:rFonts w:hint="eastAsia" w:ascii="宋体" w:hAnsi="宋体" w:cs="宋体"/>
          <w:color w:val="auto"/>
          <w:sz w:val="24"/>
          <w:szCs w:val="24"/>
          <w:highlight w:val="none"/>
          <w:lang w:eastAsia="zh-CN"/>
        </w:rPr>
        <w:t>市</w:t>
      </w:r>
      <w:r>
        <w:rPr>
          <w:rFonts w:hint="eastAsia" w:ascii="宋体" w:hAnsi="宋体" w:cs="宋体"/>
          <w:color w:val="auto"/>
          <w:sz w:val="24"/>
          <w:szCs w:val="24"/>
          <w:highlight w:val="none"/>
        </w:rPr>
        <w:t>房屋安全动态监测</w:t>
      </w:r>
      <w:r>
        <w:rPr>
          <w:rFonts w:hint="eastAsia" w:ascii="宋体" w:hAnsi="宋体" w:cs="宋体"/>
          <w:color w:val="auto"/>
          <w:sz w:val="24"/>
          <w:szCs w:val="24"/>
          <w:highlight w:val="none"/>
          <w:lang w:eastAsia="zh-CN"/>
        </w:rPr>
        <w:t>工作区域共分为两个片区</w:t>
      </w:r>
      <w:r>
        <w:rPr>
          <w:rFonts w:hint="eastAsia" w:ascii="宋体" w:hAnsi="宋体" w:cs="宋体"/>
          <w:color w:val="auto"/>
          <w:sz w:val="24"/>
          <w:szCs w:val="24"/>
          <w:highlight w:val="none"/>
          <w:lang w:val="en-US" w:eastAsia="zh-CN"/>
        </w:rPr>
        <w:t>[工作区域一为：古塘、白沙路、掌起、观海卫、附海、逍林、匡堰、横河、长河、周巷；工作区域二为：浒山、宗汉、新浦、胜山、桥头、龙山、坎墩]</w:t>
      </w:r>
      <w:r>
        <w:rPr>
          <w:rFonts w:hint="eastAsia" w:ascii="宋体" w:hAnsi="宋体" w:cs="宋体"/>
          <w:color w:val="auto"/>
          <w:sz w:val="24"/>
          <w:szCs w:val="24"/>
          <w:highlight w:val="none"/>
          <w:lang w:eastAsia="zh-CN"/>
        </w:rPr>
        <w:t>，需要</w:t>
      </w:r>
      <w:r>
        <w:rPr>
          <w:rFonts w:hint="eastAsia" w:ascii="宋体" w:hAnsi="宋体" w:cs="宋体"/>
          <w:color w:val="auto"/>
          <w:sz w:val="24"/>
          <w:szCs w:val="24"/>
          <w:highlight w:val="none"/>
          <w:lang w:val="en-US" w:eastAsia="zh-CN"/>
        </w:rPr>
        <w:t>2家单位提供服务，</w:t>
      </w:r>
      <w:r>
        <w:rPr>
          <w:rFonts w:hint="eastAsia" w:ascii="宋体" w:hAnsi="宋体" w:cs="宋体"/>
          <w:color w:val="auto"/>
          <w:sz w:val="24"/>
          <w:szCs w:val="24"/>
          <w:highlight w:val="none"/>
        </w:rPr>
        <w:t>每个</w:t>
      </w:r>
      <w:r>
        <w:rPr>
          <w:rFonts w:hint="eastAsia" w:ascii="宋体" w:hAnsi="宋体" w:cs="宋体"/>
          <w:color w:val="auto"/>
          <w:sz w:val="24"/>
          <w:szCs w:val="24"/>
          <w:highlight w:val="none"/>
          <w:lang w:eastAsia="zh-CN"/>
        </w:rPr>
        <w:t>工作区域各</w:t>
      </w:r>
      <w:r>
        <w:rPr>
          <w:rFonts w:hint="eastAsia" w:ascii="宋体" w:hAnsi="宋体" w:cs="宋体"/>
          <w:color w:val="auto"/>
          <w:sz w:val="24"/>
          <w:szCs w:val="24"/>
          <w:highlight w:val="none"/>
          <w:lang w:val="en-US" w:eastAsia="zh-CN"/>
        </w:rPr>
        <w:t>1家（允许监测单位以联合体形式参与，若以联合体形式参与的，组成联合体的监测单位不得超过2家。）</w:t>
      </w:r>
      <w:r>
        <w:rPr>
          <w:rFonts w:hint="eastAsia" w:ascii="宋体" w:hAnsi="宋体" w:cs="宋体"/>
          <w:color w:val="auto"/>
          <w:sz w:val="24"/>
          <w:szCs w:val="24"/>
          <w:highlight w:val="none"/>
        </w:rPr>
        <w:t>，房屋动态安全监测单位应具备房屋安全鉴定</w:t>
      </w:r>
      <w:r>
        <w:rPr>
          <w:rFonts w:hint="eastAsia" w:ascii="宋体" w:hAnsi="宋体" w:cs="宋体"/>
          <w:color w:val="auto"/>
          <w:sz w:val="24"/>
          <w:szCs w:val="24"/>
          <w:highlight w:val="none"/>
          <w:lang w:eastAsia="zh-CN"/>
        </w:rPr>
        <w:t>能力</w:t>
      </w:r>
      <w:r>
        <w:rPr>
          <w:rFonts w:hint="eastAsia" w:ascii="宋体" w:hAnsi="宋体" w:cs="宋体"/>
          <w:color w:val="auto"/>
          <w:sz w:val="24"/>
          <w:szCs w:val="24"/>
          <w:highlight w:val="none"/>
        </w:rPr>
        <w:t>，有完整的检查、观测、监测、评估、安全预警机制，巡检人员能够对房屋安全情况进行识别查勘。且须符合以下要求：</w:t>
      </w:r>
    </w:p>
    <w:p>
      <w:pPr>
        <w:tabs>
          <w:tab w:val="left" w:pos="426"/>
        </w:tabs>
        <w:adjustRightInd w:val="0"/>
        <w:spacing w:beforeLines="0" w:afterLines="0"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w:t>
      </w:r>
      <w:r>
        <w:rPr>
          <w:rFonts w:hint="eastAsia" w:ascii="宋体" w:hAnsi="宋体" w:cs="宋体"/>
          <w:color w:val="auto"/>
          <w:sz w:val="24"/>
          <w:szCs w:val="24"/>
          <w:highlight w:val="none"/>
        </w:rPr>
        <w:t>（1）根据《宁波市城市房屋使用安全管理条例》、《城市危险房屋管理规定》（建设部令第129号）、省政府《关于全面推进城镇危旧住宅房屋治理改造工作的通知》（浙政办发〔2015〕61号）、省建设厅《关于开展房屋使用安全鉴定机构备案工作的通知》（建房发〔2015〕328号）等规定，房屋动态安全监测单位须是在宁波市住建局备案的房屋安全鉴定机构；</w:t>
      </w:r>
    </w:p>
    <w:p>
      <w:pPr>
        <w:tabs>
          <w:tab w:val="left" w:pos="426"/>
        </w:tabs>
        <w:adjustRightInd w:val="0"/>
        <w:spacing w:beforeLines="0" w:afterLines="0"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bidi="ar"/>
        </w:rPr>
        <w:t>▲</w:t>
      </w:r>
      <w:r>
        <w:rPr>
          <w:rFonts w:hint="eastAsia" w:ascii="宋体" w:hAnsi="宋体" w:cs="宋体"/>
          <w:color w:val="auto"/>
          <w:sz w:val="24"/>
          <w:szCs w:val="24"/>
          <w:highlight w:val="none"/>
        </w:rPr>
        <w:t>（2）</w:t>
      </w:r>
      <w:r>
        <w:rPr>
          <w:rFonts w:hint="eastAsia" w:ascii="宋体" w:hAnsi="宋体" w:cs="宋体"/>
          <w:color w:val="auto"/>
          <w:sz w:val="24"/>
          <w:szCs w:val="24"/>
          <w:highlight w:val="none"/>
          <w:lang w:eastAsia="zh-CN"/>
        </w:rPr>
        <w:t>每个工作区域须符合：</w:t>
      </w:r>
      <w:r>
        <w:rPr>
          <w:rFonts w:hint="eastAsia" w:ascii="宋体" w:hAnsi="宋体" w:cs="宋体"/>
          <w:color w:val="auto"/>
          <w:sz w:val="24"/>
          <w:szCs w:val="24"/>
          <w:highlight w:val="none"/>
        </w:rPr>
        <w:t>在慈溪设立常驻10人（含）及以上专业技术人员的服务实施团队</w:t>
      </w:r>
      <w:r>
        <w:rPr>
          <w:rFonts w:hint="eastAsia" w:ascii="宋体" w:hAnsi="宋体" w:cs="宋体"/>
          <w:color w:val="auto"/>
          <w:sz w:val="24"/>
          <w:szCs w:val="24"/>
          <w:highlight w:val="none"/>
          <w:lang w:eastAsia="zh-CN"/>
        </w:rPr>
        <w:t>的要求，具体要求如下：</w:t>
      </w:r>
    </w:p>
    <w:p>
      <w:pPr>
        <w:widowControl/>
        <w:spacing w:beforeLines="0" w:afterLines="0" w:line="440" w:lineRule="exact"/>
        <w:ind w:right="45" w:firstLine="484" w:firstLineChars="202"/>
        <w:rPr>
          <w:rFonts w:hint="eastAsia" w:ascii="宋体" w:hAnsi="宋体" w:cs="宋体"/>
          <w:color w:val="auto"/>
          <w:sz w:val="24"/>
          <w:szCs w:val="24"/>
          <w:highlight w:val="none"/>
        </w:rPr>
      </w:pPr>
      <w:r>
        <w:rPr>
          <w:rFonts w:hint="eastAsia" w:ascii="宋体" w:hAnsi="宋体" w:cs="宋体"/>
          <w:color w:val="auto"/>
          <w:sz w:val="24"/>
          <w:szCs w:val="24"/>
          <w:highlight w:val="none"/>
        </w:rPr>
        <w:t>▲房屋动态监测单位对本项目的实施应具备合理的组织架构，出于待监测及巡查房屋数量的考虑，每个</w:t>
      </w:r>
      <w:r>
        <w:rPr>
          <w:rFonts w:hint="eastAsia" w:ascii="宋体" w:hAnsi="宋体" w:cs="宋体"/>
          <w:color w:val="auto"/>
          <w:sz w:val="24"/>
          <w:szCs w:val="24"/>
          <w:highlight w:val="none"/>
          <w:lang w:eastAsia="zh-CN"/>
        </w:rPr>
        <w:t>工作区域</w:t>
      </w:r>
      <w:r>
        <w:rPr>
          <w:rFonts w:hint="eastAsia" w:ascii="宋体" w:hAnsi="宋体" w:cs="宋体"/>
          <w:color w:val="auto"/>
          <w:sz w:val="24"/>
          <w:szCs w:val="24"/>
          <w:highlight w:val="none"/>
        </w:rPr>
        <w:t>应划分为至少二个片区并分别配备动态监测人员及片区管理员。</w:t>
      </w:r>
      <w:r>
        <w:rPr>
          <w:rFonts w:hint="eastAsia" w:ascii="宋体" w:hAnsi="宋体" w:cs="宋体"/>
          <w:b/>
          <w:color w:val="auto"/>
          <w:sz w:val="24"/>
          <w:szCs w:val="24"/>
          <w:highlight w:val="none"/>
        </w:rPr>
        <w:t>每一片区配备注册结构工程师或相关专业中级以上职称人员不少于</w:t>
      </w:r>
      <w:r>
        <w:rPr>
          <w:rFonts w:hint="eastAsia" w:ascii="宋体" w:hAnsi="宋体" w:cs="宋体"/>
          <w:b/>
          <w:color w:val="auto"/>
          <w:sz w:val="24"/>
          <w:szCs w:val="24"/>
          <w:highlight w:val="none"/>
          <w:lang w:val="en-US" w:eastAsia="zh-CN"/>
        </w:rPr>
        <w:t>1</w:t>
      </w:r>
      <w:r>
        <w:rPr>
          <w:rFonts w:hint="eastAsia" w:ascii="宋体" w:hAnsi="宋体" w:cs="宋体"/>
          <w:b/>
          <w:color w:val="auto"/>
          <w:sz w:val="24"/>
          <w:szCs w:val="24"/>
          <w:highlight w:val="none"/>
        </w:rPr>
        <w:t>人，其他相关专业人员不少于</w:t>
      </w:r>
      <w:r>
        <w:rPr>
          <w:rFonts w:hint="eastAsia" w:ascii="宋体" w:hAnsi="宋体" w:cs="宋体"/>
          <w:b/>
          <w:color w:val="auto"/>
          <w:sz w:val="24"/>
          <w:szCs w:val="24"/>
          <w:highlight w:val="none"/>
          <w:lang w:val="en-US" w:eastAsia="zh-CN"/>
        </w:rPr>
        <w:t>4</w:t>
      </w:r>
      <w:r>
        <w:rPr>
          <w:rFonts w:hint="eastAsia" w:ascii="宋体" w:hAnsi="宋体" w:cs="宋体"/>
          <w:b/>
          <w:color w:val="auto"/>
          <w:sz w:val="24"/>
          <w:szCs w:val="24"/>
          <w:highlight w:val="none"/>
        </w:rPr>
        <w:t>人。（注：相关专业仅指结构工程、建筑工程、工民建、土木工程专业）</w:t>
      </w:r>
      <w:r>
        <w:rPr>
          <w:rFonts w:hint="eastAsia" w:ascii="宋体" w:hAnsi="宋体" w:cs="宋体"/>
          <w:color w:val="auto"/>
          <w:sz w:val="24"/>
          <w:szCs w:val="24"/>
          <w:highlight w:val="none"/>
        </w:rPr>
        <w:t>房屋动态安全监测单位应具备现场判断装修行为对结构影响性质的人员，为本项目配备的一级注册结构工程师不少于</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 xml:space="preserve">人。 </w:t>
      </w:r>
    </w:p>
    <w:p>
      <w:pPr>
        <w:widowControl/>
        <w:spacing w:beforeLines="0" w:afterLines="0" w:line="440" w:lineRule="exact"/>
        <w:ind w:right="45" w:firstLine="484" w:firstLineChars="202"/>
        <w:rPr>
          <w:rFonts w:hint="eastAsia" w:ascii="宋体" w:hAnsi="宋体" w:cs="宋体"/>
          <w:color w:val="auto"/>
          <w:sz w:val="24"/>
          <w:szCs w:val="24"/>
          <w:highlight w:val="none"/>
        </w:rPr>
      </w:pPr>
      <w:r>
        <w:rPr>
          <w:rFonts w:hint="eastAsia" w:ascii="宋体" w:hAnsi="宋体" w:cs="宋体"/>
          <w:color w:val="auto"/>
          <w:sz w:val="24"/>
          <w:szCs w:val="24"/>
          <w:highlight w:val="none"/>
        </w:rPr>
        <w:t>▲房屋动态安全监测单位应在合同签订前将人员配备齐全并报采购人审核同意，如人员配备达不到要求，采购人不予同意签订合同，由此造成的一切损失由房屋动态安全监测单位承担。</w:t>
      </w:r>
    </w:p>
    <w:p>
      <w:pPr>
        <w:adjustRightInd w:val="0"/>
        <w:spacing w:beforeLines="0" w:afterLines="0" w:line="440" w:lineRule="exact"/>
        <w:ind w:firstLine="420"/>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lang w:val="en-US" w:eastAsia="zh-CN"/>
        </w:rPr>
        <w:t>4.</w:t>
      </w:r>
      <w:r>
        <w:rPr>
          <w:rFonts w:hint="eastAsia" w:ascii="宋体" w:hAnsi="宋体" w:cs="宋体"/>
          <w:b/>
          <w:color w:val="auto"/>
          <w:kern w:val="0"/>
          <w:sz w:val="24"/>
          <w:szCs w:val="24"/>
          <w:highlight w:val="none"/>
        </w:rPr>
        <w:t>城镇住房安全监测系统</w:t>
      </w:r>
    </w:p>
    <w:p>
      <w:pPr>
        <w:adjustRightInd w:val="0"/>
        <w:spacing w:beforeLines="0" w:afterLines="0" w:line="440" w:lineRule="exact"/>
        <w:ind w:firstLine="42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本项目要求</w:t>
      </w:r>
      <w:r>
        <w:rPr>
          <w:rFonts w:hint="eastAsia" w:ascii="宋体" w:hAnsi="宋体" w:cs="宋体"/>
          <w:color w:val="auto"/>
          <w:sz w:val="24"/>
          <w:szCs w:val="24"/>
          <w:highlight w:val="none"/>
          <w:lang w:eastAsia="zh-CN"/>
        </w:rPr>
        <w:t>保险公司</w:t>
      </w:r>
      <w:r>
        <w:rPr>
          <w:rFonts w:hint="eastAsia" w:ascii="宋体" w:hAnsi="宋体" w:cs="宋体"/>
          <w:color w:val="auto"/>
          <w:kern w:val="0"/>
          <w:sz w:val="24"/>
          <w:szCs w:val="24"/>
          <w:highlight w:val="none"/>
        </w:rPr>
        <w:t>具有可满足房屋安全动态监测需要的城镇住房综合保险数据信息平台。利用互联网技术，为辖区内的被监测房屋建立完整的档案，以便分析房屋的危险发展趋势。</w:t>
      </w:r>
    </w:p>
    <w:p>
      <w:pPr>
        <w:widowControl/>
        <w:spacing w:beforeLines="0" w:afterLines="0" w:line="440" w:lineRule="exact"/>
        <w:ind w:right="45" w:firstLine="420"/>
        <w:rPr>
          <w:rFonts w:hint="eastAsia"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en-US" w:eastAsia="zh-CN"/>
        </w:rPr>
        <w:t>4.1</w:t>
      </w:r>
      <w:r>
        <w:rPr>
          <w:rFonts w:hint="eastAsia" w:ascii="宋体" w:hAnsi="宋体" w:cs="宋体"/>
          <w:color w:val="auto"/>
          <w:kern w:val="0"/>
          <w:sz w:val="24"/>
          <w:szCs w:val="24"/>
          <w:highlight w:val="none"/>
          <w:lang w:val="zh-CN"/>
        </w:rPr>
        <w:t>系统平台建设</w:t>
      </w:r>
    </w:p>
    <w:p>
      <w:pPr>
        <w:widowControl/>
        <w:spacing w:beforeLines="0" w:afterLines="0" w:line="440" w:lineRule="exact"/>
        <w:ind w:right="45" w:firstLine="420"/>
        <w:rPr>
          <w:rFonts w:hint="eastAsia"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系统应用及后台管理程序应实现的核心功能：1）系统支持对房屋地图的图斑数据进行在线编辑；2）</w:t>
      </w:r>
      <w:r>
        <w:rPr>
          <w:rFonts w:hint="eastAsia" w:ascii="宋体" w:hAnsi="宋体" w:cs="宋体"/>
          <w:color w:val="auto"/>
          <w:kern w:val="0"/>
          <w:sz w:val="24"/>
          <w:szCs w:val="24"/>
          <w:highlight w:val="none"/>
          <w:lang w:val="zh-CN" w:eastAsia="zh-CN"/>
        </w:rPr>
        <w:t>系统</w:t>
      </w:r>
      <w:r>
        <w:rPr>
          <w:rFonts w:hint="eastAsia" w:ascii="宋体" w:hAnsi="宋体" w:cs="宋体"/>
          <w:color w:val="auto"/>
          <w:kern w:val="0"/>
          <w:sz w:val="24"/>
          <w:szCs w:val="24"/>
          <w:highlight w:val="none"/>
          <w:lang w:val="zh-CN"/>
        </w:rPr>
        <w:t>支持对房屋图斑进行集中展示；3）</w:t>
      </w:r>
      <w:r>
        <w:rPr>
          <w:rFonts w:hint="eastAsia" w:ascii="宋体" w:hAnsi="宋体" w:cs="宋体"/>
          <w:color w:val="auto"/>
          <w:kern w:val="0"/>
          <w:sz w:val="24"/>
          <w:szCs w:val="24"/>
          <w:highlight w:val="none"/>
          <w:lang w:val="zh-CN" w:eastAsia="zh-CN"/>
        </w:rPr>
        <w:t>系统</w:t>
      </w:r>
      <w:r>
        <w:rPr>
          <w:rFonts w:hint="eastAsia" w:ascii="宋体" w:hAnsi="宋体" w:cs="宋体"/>
          <w:color w:val="auto"/>
          <w:kern w:val="0"/>
          <w:sz w:val="24"/>
          <w:szCs w:val="24"/>
          <w:highlight w:val="none"/>
          <w:lang w:val="zh-CN"/>
        </w:rPr>
        <w:t>能对监测数据实时上传；4）</w:t>
      </w:r>
      <w:r>
        <w:rPr>
          <w:rFonts w:hint="eastAsia" w:ascii="宋体" w:hAnsi="宋体" w:cs="宋体"/>
          <w:color w:val="auto"/>
          <w:kern w:val="0"/>
          <w:sz w:val="24"/>
          <w:szCs w:val="24"/>
          <w:highlight w:val="none"/>
          <w:lang w:val="zh-CN" w:eastAsia="zh-CN"/>
        </w:rPr>
        <w:t>系统</w:t>
      </w:r>
      <w:r>
        <w:rPr>
          <w:rFonts w:hint="eastAsia" w:ascii="宋体" w:hAnsi="宋体" w:cs="宋体"/>
          <w:color w:val="auto"/>
          <w:kern w:val="0"/>
          <w:sz w:val="24"/>
          <w:szCs w:val="24"/>
          <w:highlight w:val="none"/>
          <w:lang w:val="zh-CN"/>
        </w:rPr>
        <w:t>能对监测数据实现量化要求；</w:t>
      </w:r>
      <w:r>
        <w:rPr>
          <w:rFonts w:hint="eastAsia" w:ascii="宋体" w:hAnsi="宋体" w:cs="宋体"/>
          <w:color w:val="auto"/>
          <w:kern w:val="0"/>
          <w:sz w:val="24"/>
          <w:szCs w:val="24"/>
          <w:highlight w:val="none"/>
          <w:lang w:val="en-US" w:eastAsia="zh-CN"/>
        </w:rPr>
        <w:t>5）系统能对监测数据实现分级审批；6）系统可以提供巡检人员定位功能；7）可以提供巡检人员电子签到功能</w:t>
      </w:r>
      <w:r>
        <w:rPr>
          <w:rFonts w:hint="eastAsia" w:ascii="宋体" w:hAnsi="宋体" w:cs="宋体"/>
          <w:color w:val="auto"/>
          <w:kern w:val="0"/>
          <w:sz w:val="24"/>
          <w:szCs w:val="24"/>
          <w:highlight w:val="none"/>
          <w:lang w:val="zh-CN"/>
        </w:rPr>
        <w:t>。</w:t>
      </w:r>
    </w:p>
    <w:p>
      <w:pPr>
        <w:widowControl/>
        <w:spacing w:beforeLines="0" w:afterLines="0" w:line="440" w:lineRule="exact"/>
        <w:ind w:right="45" w:firstLine="477" w:firstLineChars="199"/>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注：投标文件中提供相关证明材料，以证明可符合上述功能要求。</w:t>
      </w:r>
    </w:p>
    <w:p>
      <w:pPr>
        <w:widowControl/>
        <w:spacing w:beforeLines="0" w:afterLines="0" w:line="440" w:lineRule="exact"/>
        <w:ind w:right="45" w:firstLine="477" w:firstLineChars="199"/>
        <w:rPr>
          <w:rFonts w:hint="eastAsia"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en-US" w:eastAsia="zh-CN"/>
        </w:rPr>
        <w:t>4.2</w:t>
      </w:r>
      <w:r>
        <w:rPr>
          <w:rFonts w:hint="eastAsia" w:ascii="宋体" w:hAnsi="宋体" w:cs="宋体"/>
          <w:color w:val="auto"/>
          <w:kern w:val="0"/>
          <w:sz w:val="24"/>
          <w:szCs w:val="24"/>
          <w:highlight w:val="none"/>
          <w:lang w:val="zh-CN"/>
        </w:rPr>
        <w:t>房屋识别装置制作安装：由</w:t>
      </w:r>
      <w:r>
        <w:rPr>
          <w:rFonts w:hint="eastAsia" w:ascii="宋体" w:hAnsi="宋体" w:cs="宋体"/>
          <w:color w:val="auto"/>
          <w:sz w:val="24"/>
          <w:szCs w:val="24"/>
          <w:highlight w:val="none"/>
          <w:lang w:val="zh-CN"/>
        </w:rPr>
        <w:t>房屋动态安全监测单位</w:t>
      </w:r>
      <w:r>
        <w:rPr>
          <w:rFonts w:hint="eastAsia" w:ascii="宋体" w:hAnsi="宋体" w:cs="宋体"/>
          <w:color w:val="auto"/>
          <w:kern w:val="0"/>
          <w:sz w:val="24"/>
          <w:szCs w:val="24"/>
          <w:highlight w:val="none"/>
          <w:lang w:val="zh-CN"/>
        </w:rPr>
        <w:t>负责根据监测房屋数量制作。</w:t>
      </w:r>
    </w:p>
    <w:p>
      <w:pPr>
        <w:widowControl/>
        <w:spacing w:beforeLines="0" w:afterLines="0" w:line="440" w:lineRule="exact"/>
        <w:ind w:right="45" w:firstLine="477" w:firstLineChars="199"/>
        <w:rPr>
          <w:rFonts w:hint="eastAsia"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en-US" w:eastAsia="zh-CN"/>
        </w:rPr>
        <w:t>4.3</w:t>
      </w:r>
      <w:r>
        <w:rPr>
          <w:rFonts w:hint="eastAsia" w:ascii="宋体" w:hAnsi="宋体" w:cs="宋体"/>
          <w:color w:val="auto"/>
          <w:kern w:val="0"/>
          <w:sz w:val="24"/>
          <w:szCs w:val="24"/>
          <w:highlight w:val="none"/>
          <w:lang w:val="zh-CN"/>
        </w:rPr>
        <w:t>网络与服务器：满足系统使用要求，并可按采购人实际使用需求进行扩展。</w:t>
      </w:r>
    </w:p>
    <w:p>
      <w:pPr>
        <w:widowControl/>
        <w:spacing w:beforeLines="0" w:afterLines="0" w:line="440" w:lineRule="exact"/>
        <w:ind w:right="45" w:firstLine="477" w:firstLineChars="199"/>
        <w:rPr>
          <w:rFonts w:hint="eastAsia"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en-US" w:eastAsia="zh-CN"/>
        </w:rPr>
        <w:t>4.4</w:t>
      </w:r>
      <w:r>
        <w:rPr>
          <w:rFonts w:hint="eastAsia" w:ascii="宋体" w:hAnsi="宋体" w:cs="宋体"/>
          <w:color w:val="auto"/>
          <w:kern w:val="0"/>
          <w:sz w:val="24"/>
          <w:szCs w:val="24"/>
          <w:highlight w:val="none"/>
          <w:lang w:val="zh-CN"/>
        </w:rPr>
        <w:t>其他要求：</w:t>
      </w:r>
    </w:p>
    <w:p>
      <w:pPr>
        <w:widowControl/>
        <w:spacing w:beforeLines="0" w:afterLines="0" w:line="440" w:lineRule="exact"/>
        <w:ind w:right="45" w:firstLine="480" w:firstLineChars="200"/>
        <w:rPr>
          <w:rFonts w:hint="eastAsia"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w:t>
      </w:r>
      <w:r>
        <w:rPr>
          <w:rFonts w:hint="eastAsia" w:ascii="宋体" w:hAnsi="宋体" w:cs="宋体"/>
          <w:color w:val="auto"/>
          <w:kern w:val="0"/>
          <w:sz w:val="24"/>
          <w:szCs w:val="24"/>
          <w:highlight w:val="none"/>
          <w:lang w:val="en-US" w:eastAsia="zh-CN"/>
        </w:rPr>
        <w:t>1</w:t>
      </w:r>
      <w:r>
        <w:rPr>
          <w:rFonts w:hint="eastAsia" w:ascii="宋体" w:hAnsi="宋体" w:cs="宋体"/>
          <w:color w:val="auto"/>
          <w:kern w:val="0"/>
          <w:sz w:val="24"/>
          <w:szCs w:val="24"/>
          <w:highlight w:val="none"/>
          <w:lang w:val="zh-CN"/>
        </w:rPr>
        <w:t>）提供一站式服务，配备专业服务队伍，负责业务使用培训、网络技术、维修等支撑服务。</w:t>
      </w:r>
    </w:p>
    <w:p>
      <w:pPr>
        <w:widowControl/>
        <w:spacing w:beforeLines="0" w:afterLines="0" w:line="440" w:lineRule="exact"/>
        <w:ind w:right="45" w:firstLine="480" w:firstLineChars="200"/>
        <w:rPr>
          <w:rFonts w:hint="eastAsia"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w:t>
      </w: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lang w:val="zh-CN"/>
        </w:rPr>
        <w:t>）为采购人房屋安全管理人员开设系统账户，使房屋安全管理人员通过系统远程管理和监督第三方专业监测机构的监测服务工作。</w:t>
      </w:r>
    </w:p>
    <w:p>
      <w:pPr>
        <w:widowControl/>
        <w:spacing w:beforeLines="0" w:afterLines="0" w:line="440" w:lineRule="exact"/>
        <w:ind w:right="45" w:firstLine="480" w:firstLineChars="200"/>
        <w:rPr>
          <w:rFonts w:hint="eastAsia"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lang w:val="zh-CN"/>
        </w:rPr>
        <w:t>）对于虽不属于中标人监测范围内的房屋，依据相关规定，采购人的房屋安全管理人员仍须进行动态监测的，可免费使用此系统。</w:t>
      </w:r>
    </w:p>
    <w:p>
      <w:pPr>
        <w:widowControl/>
        <w:spacing w:beforeLines="0" w:afterLines="0" w:line="440" w:lineRule="exact"/>
        <w:ind w:right="45" w:firstLine="480" w:firstLineChars="200"/>
        <w:rPr>
          <w:rFonts w:hint="eastAsia"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w:t>
      </w:r>
      <w:r>
        <w:rPr>
          <w:rFonts w:hint="eastAsia" w:ascii="宋体" w:hAnsi="宋体" w:cs="宋体"/>
          <w:color w:val="auto"/>
          <w:kern w:val="0"/>
          <w:sz w:val="24"/>
          <w:szCs w:val="24"/>
          <w:highlight w:val="none"/>
          <w:lang w:val="en-US" w:eastAsia="zh-CN"/>
        </w:rPr>
        <w:t>4</w:t>
      </w:r>
      <w:r>
        <w:rPr>
          <w:rFonts w:hint="eastAsia" w:ascii="宋体" w:hAnsi="宋体" w:cs="宋体"/>
          <w:color w:val="auto"/>
          <w:kern w:val="0"/>
          <w:sz w:val="24"/>
          <w:szCs w:val="24"/>
          <w:highlight w:val="none"/>
          <w:lang w:val="zh-CN"/>
        </w:rPr>
        <w:t>）建立危情预警和报告制度。当监测过程中发现房屋出现危险状况时，监控平台通过APP向采购人相关工作人员发出提醒通知。</w:t>
      </w:r>
    </w:p>
    <w:p>
      <w:pPr>
        <w:widowControl/>
        <w:spacing w:beforeLines="0" w:afterLines="0" w:line="440" w:lineRule="exact"/>
        <w:ind w:right="45" w:firstLine="480" w:firstLineChars="200"/>
        <w:rPr>
          <w:rFonts w:hint="eastAsia"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w:t>
      </w:r>
      <w:r>
        <w:rPr>
          <w:rFonts w:hint="eastAsia" w:ascii="宋体" w:hAnsi="宋体" w:cs="宋体"/>
          <w:color w:val="auto"/>
          <w:kern w:val="0"/>
          <w:sz w:val="24"/>
          <w:szCs w:val="24"/>
          <w:highlight w:val="none"/>
          <w:lang w:val="en-US" w:eastAsia="zh-CN"/>
        </w:rPr>
        <w:t>5</w:t>
      </w:r>
      <w:r>
        <w:rPr>
          <w:rFonts w:hint="eastAsia" w:ascii="宋体" w:hAnsi="宋体" w:cs="宋体"/>
          <w:color w:val="auto"/>
          <w:kern w:val="0"/>
          <w:sz w:val="24"/>
          <w:szCs w:val="24"/>
          <w:highlight w:val="none"/>
          <w:lang w:val="zh-CN"/>
        </w:rPr>
        <w:t>）</w:t>
      </w:r>
      <w:r>
        <w:rPr>
          <w:rFonts w:hint="eastAsia" w:ascii="宋体" w:hAnsi="宋体" w:cs="宋体"/>
          <w:color w:val="auto"/>
          <w:sz w:val="24"/>
          <w:szCs w:val="24"/>
          <w:highlight w:val="none"/>
          <w:lang w:val="zh-CN"/>
        </w:rPr>
        <w:t>房屋动态安全监测单位</w:t>
      </w:r>
      <w:r>
        <w:rPr>
          <w:rFonts w:hint="eastAsia" w:ascii="宋体" w:hAnsi="宋体" w:cs="宋体"/>
          <w:color w:val="auto"/>
          <w:kern w:val="0"/>
          <w:sz w:val="24"/>
          <w:szCs w:val="24"/>
          <w:highlight w:val="none"/>
          <w:lang w:val="zh-CN"/>
        </w:rPr>
        <w:t>根据采购人需要，每年邀请有关专家对各街道内负责房屋使用安全网格化的管理人员进行房屋监测专业指导培训，提高管理人员的专业技能。</w:t>
      </w:r>
    </w:p>
    <w:p>
      <w:pPr>
        <w:widowControl/>
        <w:spacing w:beforeLines="0" w:afterLines="0" w:line="440" w:lineRule="exact"/>
        <w:ind w:right="45" w:firstLine="482" w:firstLineChars="200"/>
        <w:rPr>
          <w:rFonts w:hint="eastAsia" w:ascii="宋体" w:hAnsi="宋体" w:cs="宋体"/>
          <w:b/>
          <w:bCs/>
          <w:color w:val="auto"/>
          <w:kern w:val="0"/>
          <w:sz w:val="24"/>
          <w:szCs w:val="24"/>
          <w:highlight w:val="none"/>
          <w:lang w:val="zh-CN"/>
        </w:rPr>
      </w:pPr>
      <w:r>
        <w:rPr>
          <w:rFonts w:hint="eastAsia" w:ascii="宋体" w:hAnsi="宋体" w:cs="宋体"/>
          <w:b/>
          <w:bCs/>
          <w:color w:val="auto"/>
          <w:kern w:val="0"/>
          <w:sz w:val="24"/>
          <w:szCs w:val="24"/>
          <w:highlight w:val="none"/>
          <w:lang w:val="en-US" w:eastAsia="zh-CN"/>
        </w:rPr>
        <w:t>5.</w:t>
      </w:r>
      <w:r>
        <w:rPr>
          <w:rFonts w:hint="eastAsia" w:ascii="宋体" w:hAnsi="宋体" w:cs="宋体"/>
          <w:b/>
          <w:bCs/>
          <w:color w:val="auto"/>
          <w:kern w:val="0"/>
          <w:sz w:val="24"/>
          <w:szCs w:val="24"/>
          <w:highlight w:val="none"/>
          <w:lang w:val="zh-CN"/>
        </w:rPr>
        <w:t>应急抢修人员及物资配备</w:t>
      </w:r>
    </w:p>
    <w:p>
      <w:pPr>
        <w:widowControl/>
        <w:spacing w:beforeLines="0" w:afterLines="0" w:line="440" w:lineRule="exact"/>
        <w:ind w:right="45" w:firstLine="480" w:firstLineChars="200"/>
        <w:rPr>
          <w:rFonts w:hint="eastAsia"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本项目要求每个工作区域</w:t>
      </w:r>
      <w:r>
        <w:rPr>
          <w:rFonts w:hint="eastAsia" w:ascii="宋体" w:hAnsi="宋体" w:cs="宋体"/>
          <w:color w:val="auto"/>
          <w:sz w:val="24"/>
          <w:szCs w:val="24"/>
          <w:highlight w:val="none"/>
          <w:lang w:val="zh-CN"/>
        </w:rPr>
        <w:t>房屋动态安全监测单位</w:t>
      </w:r>
      <w:r>
        <w:rPr>
          <w:rFonts w:hint="eastAsia" w:ascii="宋体" w:hAnsi="宋体" w:cs="宋体"/>
          <w:color w:val="auto"/>
          <w:kern w:val="0"/>
          <w:sz w:val="24"/>
          <w:szCs w:val="24"/>
          <w:highlight w:val="none"/>
          <w:lang w:val="zh-CN"/>
        </w:rPr>
        <w:t>都具有10人（含）以上的应急抢修队伍及必要的物资准备，如遇房屋应急抢修，以上人员需要配合采购人开展相应工作；应急抢险人员应常驻在慈溪，能够在半小时内对采购人的通知做出响应并抵达抢修现场，并应明确姓名、联系电话、常住地址。合同期内，</w:t>
      </w:r>
      <w:r>
        <w:rPr>
          <w:rFonts w:hint="eastAsia" w:ascii="宋体" w:hAnsi="宋体" w:cs="宋体"/>
          <w:color w:val="auto"/>
          <w:sz w:val="24"/>
          <w:szCs w:val="24"/>
          <w:highlight w:val="none"/>
          <w:lang w:val="zh-CN"/>
        </w:rPr>
        <w:t>房屋动态安全监测单位</w:t>
      </w:r>
      <w:r>
        <w:rPr>
          <w:rFonts w:hint="eastAsia" w:ascii="宋体" w:hAnsi="宋体" w:cs="宋体"/>
          <w:color w:val="auto"/>
          <w:kern w:val="0"/>
          <w:sz w:val="24"/>
          <w:szCs w:val="24"/>
          <w:highlight w:val="none"/>
          <w:lang w:val="zh-CN"/>
        </w:rPr>
        <w:t>须保证人员随叫随到。</w:t>
      </w:r>
    </w:p>
    <w:p>
      <w:pPr>
        <w:widowControl/>
        <w:spacing w:beforeLines="0" w:afterLines="0" w:line="440" w:lineRule="exact"/>
        <w:ind w:right="45" w:firstLine="482" w:firstLineChars="200"/>
        <w:rPr>
          <w:rFonts w:hint="eastAsia" w:ascii="宋体" w:hAnsi="宋体" w:cs="宋体"/>
          <w:b/>
          <w:bCs/>
          <w:color w:val="auto"/>
          <w:kern w:val="0"/>
          <w:sz w:val="24"/>
          <w:szCs w:val="24"/>
          <w:highlight w:val="none"/>
          <w:lang w:val="zh-CN"/>
        </w:rPr>
      </w:pPr>
      <w:r>
        <w:rPr>
          <w:rFonts w:hint="eastAsia" w:ascii="宋体" w:hAnsi="宋体" w:cs="宋体"/>
          <w:b/>
          <w:bCs/>
          <w:color w:val="auto"/>
          <w:kern w:val="0"/>
          <w:sz w:val="24"/>
          <w:szCs w:val="24"/>
          <w:highlight w:val="none"/>
          <w:lang w:val="en-US" w:eastAsia="zh-CN"/>
        </w:rPr>
        <w:t>6.</w:t>
      </w:r>
      <w:r>
        <w:rPr>
          <w:rFonts w:hint="eastAsia" w:ascii="宋体" w:hAnsi="宋体" w:cs="宋体"/>
          <w:b/>
          <w:bCs/>
          <w:color w:val="auto"/>
          <w:kern w:val="0"/>
          <w:sz w:val="24"/>
          <w:szCs w:val="24"/>
          <w:highlight w:val="none"/>
          <w:lang w:val="zh-CN"/>
        </w:rPr>
        <w:t>监测及巡查考核</w:t>
      </w:r>
    </w:p>
    <w:p>
      <w:pPr>
        <w:widowControl/>
        <w:spacing w:beforeLines="0" w:afterLines="0" w:line="440" w:lineRule="exact"/>
        <w:ind w:right="45" w:firstLine="480" w:firstLineChars="200"/>
        <w:rPr>
          <w:rFonts w:hint="eastAsia"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en-US" w:eastAsia="zh-CN"/>
        </w:rPr>
        <w:t>6.1</w:t>
      </w:r>
      <w:r>
        <w:rPr>
          <w:rFonts w:hint="eastAsia" w:ascii="宋体" w:hAnsi="宋体" w:cs="宋体"/>
          <w:color w:val="auto"/>
          <w:sz w:val="24"/>
          <w:szCs w:val="24"/>
          <w:highlight w:val="none"/>
          <w:lang w:val="zh-CN"/>
        </w:rPr>
        <w:t>房屋动态安全监测单位</w:t>
      </w:r>
      <w:r>
        <w:rPr>
          <w:rFonts w:hint="eastAsia" w:ascii="宋体" w:hAnsi="宋体" w:cs="宋体"/>
          <w:color w:val="auto"/>
          <w:kern w:val="0"/>
          <w:sz w:val="24"/>
          <w:szCs w:val="24"/>
          <w:highlight w:val="none"/>
          <w:lang w:val="zh-CN"/>
        </w:rPr>
        <w:t>应依合同的技术要求和实施方案实施监测服务，</w:t>
      </w:r>
      <w:r>
        <w:rPr>
          <w:rFonts w:hint="eastAsia" w:ascii="宋体" w:hAnsi="宋体" w:cs="宋体"/>
          <w:color w:val="auto"/>
          <w:kern w:val="0"/>
          <w:sz w:val="24"/>
          <w:szCs w:val="24"/>
          <w:highlight w:val="none"/>
          <w:lang w:eastAsia="zh-CN"/>
        </w:rPr>
        <w:t>保险公司</w:t>
      </w:r>
      <w:r>
        <w:rPr>
          <w:rFonts w:hint="eastAsia" w:ascii="宋体" w:hAnsi="宋体" w:cs="宋体"/>
          <w:color w:val="auto"/>
          <w:kern w:val="0"/>
          <w:sz w:val="24"/>
          <w:szCs w:val="24"/>
          <w:highlight w:val="none"/>
          <w:lang w:val="zh-CN"/>
        </w:rPr>
        <w:t>应根据采购文件及合同要求，定期对</w:t>
      </w:r>
      <w:r>
        <w:rPr>
          <w:rFonts w:hint="eastAsia" w:ascii="宋体" w:hAnsi="宋体" w:cs="宋体"/>
          <w:color w:val="auto"/>
          <w:sz w:val="24"/>
          <w:szCs w:val="24"/>
          <w:highlight w:val="none"/>
          <w:lang w:val="zh-CN"/>
        </w:rPr>
        <w:t>房屋动态安全监测单位</w:t>
      </w:r>
      <w:r>
        <w:rPr>
          <w:rFonts w:hint="eastAsia" w:ascii="宋体" w:hAnsi="宋体" w:cs="宋体"/>
          <w:color w:val="auto"/>
          <w:kern w:val="0"/>
          <w:sz w:val="24"/>
          <w:szCs w:val="24"/>
          <w:highlight w:val="none"/>
          <w:lang w:val="zh-CN"/>
        </w:rPr>
        <w:t>进行督查考核，同时接受采购人和采购人各属地街道社区的监督管理，根据督查情况按季度对其实施考核，考核主要考察</w:t>
      </w:r>
      <w:r>
        <w:rPr>
          <w:rFonts w:hint="eastAsia" w:ascii="宋体" w:hAnsi="宋体" w:cs="宋体"/>
          <w:color w:val="auto"/>
          <w:sz w:val="24"/>
          <w:szCs w:val="24"/>
          <w:highlight w:val="none"/>
          <w:lang w:val="zh-CN"/>
        </w:rPr>
        <w:t>房屋动态安全监测单位</w:t>
      </w:r>
      <w:r>
        <w:rPr>
          <w:rFonts w:hint="eastAsia" w:ascii="宋体" w:hAnsi="宋体" w:cs="宋体"/>
          <w:color w:val="auto"/>
          <w:kern w:val="0"/>
          <w:sz w:val="24"/>
          <w:szCs w:val="24"/>
          <w:highlight w:val="none"/>
          <w:lang w:val="zh-CN"/>
        </w:rPr>
        <w:t>对项目技术要求的落实情况，一次考核不符合要求的，将罚处项目服务费（房屋安全动态监测服务费）的2%，两次考核不符合要求的，将罚处项目服务费（房屋安全动态监测服务费）的5%，三次考核不符合要求的，</w:t>
      </w:r>
      <w:r>
        <w:rPr>
          <w:rFonts w:hint="eastAsia" w:ascii="宋体" w:hAnsi="宋体" w:cs="宋体"/>
          <w:color w:val="auto"/>
          <w:kern w:val="0"/>
          <w:sz w:val="24"/>
          <w:szCs w:val="24"/>
          <w:highlight w:val="none"/>
          <w:lang w:eastAsia="zh-CN"/>
        </w:rPr>
        <w:t>保险公司</w:t>
      </w:r>
      <w:r>
        <w:rPr>
          <w:rFonts w:hint="eastAsia" w:ascii="宋体" w:hAnsi="宋体" w:cs="宋体"/>
          <w:color w:val="auto"/>
          <w:kern w:val="0"/>
          <w:sz w:val="24"/>
          <w:szCs w:val="24"/>
          <w:highlight w:val="none"/>
          <w:lang w:val="zh-CN"/>
        </w:rPr>
        <w:t>必须取消其房屋使用安全动态监测项目服务资格，重新更换合格服务商。</w:t>
      </w:r>
    </w:p>
    <w:p>
      <w:pPr>
        <w:adjustRightInd w:val="0"/>
        <w:spacing w:beforeLines="0" w:afterLines="0" w:line="440" w:lineRule="exact"/>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6.2</w:t>
      </w:r>
      <w:r>
        <w:rPr>
          <w:rFonts w:hint="eastAsia" w:ascii="宋体" w:hAnsi="宋体" w:cs="宋体"/>
          <w:color w:val="auto"/>
          <w:kern w:val="0"/>
          <w:sz w:val="24"/>
          <w:szCs w:val="24"/>
          <w:highlight w:val="none"/>
        </w:rPr>
        <w:t>采购人将不定期对</w:t>
      </w:r>
      <w:r>
        <w:rPr>
          <w:rFonts w:hint="eastAsia" w:ascii="宋体" w:hAnsi="宋体" w:cs="宋体"/>
          <w:color w:val="auto"/>
          <w:sz w:val="24"/>
          <w:szCs w:val="24"/>
          <w:highlight w:val="none"/>
        </w:rPr>
        <w:t>房屋动态安全监测单位</w:t>
      </w:r>
      <w:r>
        <w:rPr>
          <w:rFonts w:hint="eastAsia" w:ascii="宋体" w:hAnsi="宋体" w:cs="宋体"/>
          <w:color w:val="auto"/>
          <w:kern w:val="0"/>
          <w:sz w:val="24"/>
          <w:szCs w:val="24"/>
          <w:highlight w:val="none"/>
        </w:rPr>
        <w:t>进行常驻专业技术人员的抽查，抽查人数少于10人的，第一次扣罚合同金额（房屋安全动态监测服务费）的10%，第二次</w:t>
      </w:r>
      <w:r>
        <w:rPr>
          <w:rFonts w:hint="eastAsia" w:ascii="宋体" w:hAnsi="宋体" w:cs="宋体"/>
          <w:color w:val="auto"/>
          <w:kern w:val="0"/>
          <w:sz w:val="24"/>
          <w:szCs w:val="24"/>
          <w:highlight w:val="none"/>
          <w:lang w:eastAsia="zh-CN"/>
        </w:rPr>
        <w:t>保险公司</w:t>
      </w:r>
      <w:r>
        <w:rPr>
          <w:rFonts w:hint="eastAsia" w:ascii="宋体" w:hAnsi="宋体" w:cs="宋体"/>
          <w:color w:val="auto"/>
          <w:kern w:val="0"/>
          <w:sz w:val="24"/>
          <w:szCs w:val="24"/>
          <w:highlight w:val="none"/>
        </w:rPr>
        <w:t>必须取消其房屋使用安全动态监测项目服务资格，重新更换合格服务商。</w:t>
      </w:r>
    </w:p>
    <w:p>
      <w:pPr>
        <w:adjustRightInd w:val="0"/>
        <w:spacing w:beforeLines="0" w:afterLines="0" w:line="440" w:lineRule="exact"/>
        <w:ind w:firstLine="480" w:firstLineChars="200"/>
        <w:rPr>
          <w:rFonts w:hint="eastAsia" w:ascii="宋体" w:hAnsi="宋体" w:cs="宋体"/>
          <w:color w:val="auto"/>
          <w:kern w:val="0"/>
          <w:sz w:val="24"/>
          <w:szCs w:val="24"/>
          <w:highlight w:val="none"/>
        </w:rPr>
      </w:pPr>
      <w:r>
        <w:rPr>
          <w:rFonts w:hint="eastAsia" w:ascii="宋体" w:hAnsi="宋体" w:cs="宋体"/>
          <w:color w:val="auto"/>
          <w:sz w:val="24"/>
          <w:szCs w:val="24"/>
          <w:highlight w:val="none"/>
        </w:rPr>
        <w:t>房屋动态安全监测单位</w:t>
      </w:r>
      <w:r>
        <w:rPr>
          <w:rFonts w:hint="eastAsia" w:ascii="宋体" w:hAnsi="宋体" w:cs="宋体"/>
          <w:color w:val="auto"/>
          <w:kern w:val="0"/>
          <w:sz w:val="24"/>
          <w:szCs w:val="24"/>
          <w:highlight w:val="none"/>
        </w:rPr>
        <w:t>考核合格但有工作失误的，酌情进行扣罚，扣罚标准如下：</w:t>
      </w:r>
    </w:p>
    <w:tbl>
      <w:tblPr>
        <w:tblStyle w:val="62"/>
        <w:tblW w:w="924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1"/>
        <w:gridCol w:w="2569"/>
        <w:gridCol w:w="5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881" w:type="dxa"/>
            <w:tcBorders>
              <w:top w:val="single" w:color="000000" w:sz="4" w:space="0"/>
              <w:left w:val="single" w:color="000000" w:sz="4" w:space="0"/>
              <w:bottom w:val="single" w:color="000000" w:sz="4" w:space="0"/>
              <w:right w:val="single" w:color="auto" w:sz="4" w:space="0"/>
              <w:tl2br w:val="nil"/>
              <w:tr2bl w:val="nil"/>
            </w:tcBorders>
            <w:noWrap w:val="0"/>
            <w:tcMar>
              <w:top w:w="15" w:type="dxa"/>
              <w:left w:w="15" w:type="dxa"/>
              <w:bottom w:w="15" w:type="dxa"/>
              <w:right w:w="15" w:type="dxa"/>
            </w:tcMar>
            <w:vAlign w:val="center"/>
          </w:tcPr>
          <w:p>
            <w:pPr>
              <w:widowControl/>
              <w:adjustRightInd w:val="0"/>
              <w:spacing w:beforeLines="0" w:afterLines="0" w:line="320" w:lineRule="exact"/>
              <w:jc w:val="center"/>
              <w:textAlignment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序号</w:t>
            </w:r>
          </w:p>
        </w:tc>
        <w:tc>
          <w:tcPr>
            <w:tcW w:w="2569"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adjustRightInd w:val="0"/>
              <w:spacing w:beforeLines="0" w:afterLines="0" w:line="320" w:lineRule="exact"/>
              <w:jc w:val="center"/>
              <w:textAlignment w:val="center"/>
              <w:rPr>
                <w:rFonts w:hint="eastAsia" w:ascii="宋体" w:hAnsi="宋体" w:cs="宋体"/>
                <w:b/>
                <w:color w:val="auto"/>
                <w:sz w:val="21"/>
                <w:szCs w:val="21"/>
                <w:highlight w:val="none"/>
              </w:rPr>
            </w:pPr>
            <w:r>
              <w:rPr>
                <w:rFonts w:hint="eastAsia" w:ascii="宋体" w:hAnsi="宋体" w:cs="宋体"/>
                <w:b/>
                <w:color w:val="auto"/>
                <w:kern w:val="0"/>
                <w:sz w:val="21"/>
                <w:szCs w:val="21"/>
                <w:highlight w:val="none"/>
              </w:rPr>
              <w:t>子项</w:t>
            </w:r>
          </w:p>
        </w:tc>
        <w:tc>
          <w:tcPr>
            <w:tcW w:w="5792"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adjustRightInd w:val="0"/>
              <w:spacing w:beforeLines="0" w:afterLines="0" w:line="320" w:lineRule="exact"/>
              <w:jc w:val="center"/>
              <w:textAlignment w:val="center"/>
              <w:rPr>
                <w:rFonts w:hint="eastAsia" w:ascii="宋体" w:hAnsi="宋体" w:cs="宋体"/>
                <w:b/>
                <w:color w:val="auto"/>
                <w:sz w:val="21"/>
                <w:szCs w:val="21"/>
                <w:highlight w:val="none"/>
              </w:rPr>
            </w:pPr>
            <w:r>
              <w:rPr>
                <w:rFonts w:hint="eastAsia" w:ascii="宋体" w:hAnsi="宋体" w:cs="宋体"/>
                <w:b/>
                <w:color w:val="auto"/>
                <w:kern w:val="0"/>
                <w:sz w:val="21"/>
                <w:szCs w:val="21"/>
                <w:highlight w:val="none"/>
              </w:rPr>
              <w:t>扣罚标准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81" w:type="dxa"/>
            <w:tcBorders>
              <w:top w:val="single" w:color="000000" w:sz="4" w:space="0"/>
              <w:left w:val="single" w:color="auto" w:sz="4" w:space="0"/>
              <w:bottom w:val="single" w:color="auto" w:sz="4" w:space="0"/>
              <w:right w:val="single" w:color="auto" w:sz="4" w:space="0"/>
              <w:tl2br w:val="nil"/>
              <w:tr2bl w:val="nil"/>
            </w:tcBorders>
            <w:noWrap w:val="0"/>
            <w:tcMar>
              <w:top w:w="15" w:type="dxa"/>
              <w:left w:w="15" w:type="dxa"/>
              <w:bottom w:w="15" w:type="dxa"/>
              <w:right w:w="15" w:type="dxa"/>
            </w:tcMar>
            <w:vAlign w:val="center"/>
          </w:tcPr>
          <w:p>
            <w:pPr>
              <w:adjustRightInd w:val="0"/>
              <w:spacing w:beforeLines="0" w:afterLines="0" w:line="240" w:lineRule="atLeast"/>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2569"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adjustRightInd w:val="0"/>
              <w:spacing w:beforeLines="0" w:afterLines="0" w:line="240" w:lineRule="atLeast"/>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多业主巡查（包括外观、入户）</w:t>
            </w:r>
          </w:p>
        </w:tc>
        <w:tc>
          <w:tcPr>
            <w:tcW w:w="5792"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40" w:lineRule="atLeast"/>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外观巡查及入户不到位按每幢/次120元进行扣罚；入户率未达到合同要求按每少一户30元进行扣罚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jc w:val="center"/>
        </w:trPr>
        <w:tc>
          <w:tcPr>
            <w:tcW w:w="881"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15" w:type="dxa"/>
              <w:right w:w="15" w:type="dxa"/>
            </w:tcMar>
            <w:vAlign w:val="center"/>
          </w:tcPr>
          <w:p>
            <w:pPr>
              <w:adjustRightInd w:val="0"/>
              <w:spacing w:beforeLines="0" w:afterLines="0" w:line="240" w:lineRule="atLeast"/>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w:t>
            </w:r>
          </w:p>
        </w:tc>
        <w:tc>
          <w:tcPr>
            <w:tcW w:w="2569"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adjustRightInd w:val="0"/>
              <w:spacing w:beforeLines="0" w:afterLines="0" w:line="240" w:lineRule="atLeast"/>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应急巡查</w:t>
            </w:r>
          </w:p>
        </w:tc>
        <w:tc>
          <w:tcPr>
            <w:tcW w:w="5792"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40" w:lineRule="atLeast"/>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应急巡查不到位或次数未达要求，按每幢/次110元进行扣罚；未按甲方要求开展应急排查，每次按10000-30000元酌情扣罚。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jc w:val="center"/>
        </w:trPr>
        <w:tc>
          <w:tcPr>
            <w:tcW w:w="881"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15" w:type="dxa"/>
              <w:right w:w="15" w:type="dxa"/>
            </w:tcMar>
            <w:vAlign w:val="center"/>
          </w:tcPr>
          <w:p>
            <w:pPr>
              <w:adjustRightInd w:val="0"/>
              <w:spacing w:beforeLines="0" w:afterLines="0" w:line="240" w:lineRule="atLeast"/>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w:t>
            </w:r>
          </w:p>
        </w:tc>
        <w:tc>
          <w:tcPr>
            <w:tcW w:w="2569"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adjustRightInd w:val="0"/>
              <w:spacing w:beforeLines="0" w:afterLines="0" w:line="240" w:lineRule="atLeast"/>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直管公房屋动态监测</w:t>
            </w:r>
          </w:p>
        </w:tc>
        <w:tc>
          <w:tcPr>
            <w:tcW w:w="5792"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40" w:lineRule="atLeast"/>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巡查不到位按每幢/次110元进行扣罚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jc w:val="center"/>
        </w:trPr>
        <w:tc>
          <w:tcPr>
            <w:tcW w:w="881" w:type="dxa"/>
            <w:tcBorders>
              <w:top w:val="single" w:color="auto" w:sz="4" w:space="0"/>
              <w:left w:val="single" w:color="auto" w:sz="4" w:space="0"/>
              <w:bottom w:val="single" w:color="000000" w:sz="4" w:space="0"/>
              <w:right w:val="single" w:color="auto" w:sz="4" w:space="0"/>
              <w:tl2br w:val="nil"/>
              <w:tr2bl w:val="nil"/>
            </w:tcBorders>
            <w:noWrap w:val="0"/>
            <w:tcMar>
              <w:top w:w="15" w:type="dxa"/>
              <w:left w:w="15" w:type="dxa"/>
              <w:bottom w:w="15" w:type="dxa"/>
              <w:right w:w="15" w:type="dxa"/>
            </w:tcMar>
            <w:vAlign w:val="center"/>
          </w:tcPr>
          <w:p>
            <w:pPr>
              <w:adjustRightInd w:val="0"/>
              <w:spacing w:beforeLines="0" w:afterLines="0" w:line="240" w:lineRule="atLeast"/>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4</w:t>
            </w:r>
          </w:p>
        </w:tc>
        <w:tc>
          <w:tcPr>
            <w:tcW w:w="2569"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adjustRightInd w:val="0"/>
              <w:spacing w:beforeLines="0" w:afterLines="0" w:line="240" w:lineRule="atLeast"/>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房安技术服务费（含公益性鉴定）</w:t>
            </w:r>
          </w:p>
        </w:tc>
        <w:tc>
          <w:tcPr>
            <w:tcW w:w="5792"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40" w:lineRule="atLeast"/>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不服从甲方技术服务指令或技术服务不到位按每次500元进行扣罚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jc w:val="center"/>
        </w:trPr>
        <w:tc>
          <w:tcPr>
            <w:tcW w:w="881"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15" w:type="dxa"/>
              <w:right w:w="15" w:type="dxa"/>
            </w:tcMar>
            <w:vAlign w:val="center"/>
          </w:tcPr>
          <w:p>
            <w:pPr>
              <w:adjustRightInd w:val="0"/>
              <w:spacing w:beforeLines="0" w:afterLines="0" w:line="240" w:lineRule="atLeast"/>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5</w:t>
            </w:r>
          </w:p>
        </w:tc>
        <w:tc>
          <w:tcPr>
            <w:tcW w:w="2569"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adjustRightInd w:val="0"/>
              <w:spacing w:beforeLines="0" w:afterLines="0" w:line="240" w:lineRule="atLeast"/>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装修巡查、备案</w:t>
            </w:r>
          </w:p>
        </w:tc>
        <w:tc>
          <w:tcPr>
            <w:tcW w:w="5792"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40" w:lineRule="atLeast"/>
              <w:jc w:val="left"/>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装修巡查不到位按每户100-200元酌情扣罚；标段装修备案数量少于预计数量的按每户200元扣款；应备案而未备案，每发现1户扣款100元；违规装修督促整改不到位造成不良后果，每发现一户扣罚500-2000元</w:t>
            </w:r>
            <w:r>
              <w:rPr>
                <w:rFonts w:hint="eastAsia" w:ascii="宋体" w:hAnsi="宋体" w:cs="宋体"/>
                <w:color w:val="auto"/>
                <w:sz w:val="21"/>
                <w:szCs w:val="21"/>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 w:hRule="atLeast"/>
          <w:jc w:val="center"/>
        </w:trPr>
        <w:tc>
          <w:tcPr>
            <w:tcW w:w="881"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15" w:type="dxa"/>
              <w:right w:w="15" w:type="dxa"/>
            </w:tcMar>
            <w:vAlign w:val="center"/>
          </w:tcPr>
          <w:p>
            <w:pPr>
              <w:adjustRightInd w:val="0"/>
              <w:spacing w:beforeLines="0" w:afterLines="0" w:line="240" w:lineRule="atLeast"/>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6</w:t>
            </w:r>
          </w:p>
        </w:tc>
        <w:tc>
          <w:tcPr>
            <w:tcW w:w="2569"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adjustRightInd w:val="0"/>
              <w:spacing w:beforeLines="0" w:afterLines="0" w:line="240" w:lineRule="atLeast"/>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仪器设备测量</w:t>
            </w:r>
          </w:p>
        </w:tc>
        <w:tc>
          <w:tcPr>
            <w:tcW w:w="5792"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40" w:lineRule="atLeast"/>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仪器设备测量不到位按每幢200元进行扣罚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 w:hRule="atLeast"/>
          <w:jc w:val="center"/>
        </w:trPr>
        <w:tc>
          <w:tcPr>
            <w:tcW w:w="881"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15" w:type="dxa"/>
              <w:right w:w="15" w:type="dxa"/>
            </w:tcMar>
            <w:vAlign w:val="center"/>
          </w:tcPr>
          <w:p>
            <w:pPr>
              <w:adjustRightInd w:val="0"/>
              <w:spacing w:beforeLines="0" w:afterLines="0" w:line="240" w:lineRule="atLeast"/>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7</w:t>
            </w:r>
          </w:p>
        </w:tc>
        <w:tc>
          <w:tcPr>
            <w:tcW w:w="2569"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adjustRightInd w:val="0"/>
              <w:spacing w:beforeLines="0" w:afterLines="0" w:line="240" w:lineRule="atLeast"/>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自动化实时监测</w:t>
            </w:r>
          </w:p>
        </w:tc>
        <w:tc>
          <w:tcPr>
            <w:tcW w:w="5792"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40" w:lineRule="atLeast"/>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自动化实时监测相关工作不到位，每幢500-20000元酌情扣罚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 w:hRule="atLeast"/>
          <w:jc w:val="center"/>
        </w:trPr>
        <w:tc>
          <w:tcPr>
            <w:tcW w:w="881"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15" w:type="dxa"/>
              <w:right w:w="15" w:type="dxa"/>
            </w:tcMar>
            <w:vAlign w:val="center"/>
          </w:tcPr>
          <w:p>
            <w:pPr>
              <w:adjustRightInd w:val="0"/>
              <w:spacing w:beforeLines="0" w:afterLines="0" w:line="240" w:lineRule="atLeast"/>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8</w:t>
            </w:r>
          </w:p>
        </w:tc>
        <w:tc>
          <w:tcPr>
            <w:tcW w:w="2569"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adjustRightInd w:val="0"/>
              <w:spacing w:beforeLines="0" w:afterLines="0" w:line="240" w:lineRule="atLeast"/>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应急准备、演练，</w:t>
            </w:r>
          </w:p>
          <w:p>
            <w:pPr>
              <w:adjustRightInd w:val="0"/>
              <w:spacing w:beforeLines="0" w:afterLines="0" w:line="240" w:lineRule="atLeast"/>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房安宣传、专家咨询</w:t>
            </w:r>
          </w:p>
        </w:tc>
        <w:tc>
          <w:tcPr>
            <w:tcW w:w="5792"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40" w:lineRule="atLeast"/>
              <w:jc w:val="left"/>
              <w:rPr>
                <w:rFonts w:hint="eastAsia" w:ascii="宋体" w:hAnsi="宋体" w:cs="宋体"/>
                <w:color w:val="auto"/>
                <w:sz w:val="21"/>
                <w:szCs w:val="21"/>
                <w:highlight w:val="none"/>
              </w:rPr>
            </w:pPr>
            <w:r>
              <w:rPr>
                <w:rFonts w:hint="eastAsia" w:ascii="宋体" w:hAnsi="宋体" w:cs="宋体"/>
                <w:color w:val="auto"/>
                <w:kern w:val="0"/>
                <w:sz w:val="21"/>
                <w:szCs w:val="21"/>
                <w:highlight w:val="none"/>
              </w:rPr>
              <w:t>应急准备、演练，房安宣传等相关工作不到位每次按500-5000元酌情扣罚；未满足甲方专家咨询服务需求每次扣罚2000元</w:t>
            </w:r>
          </w:p>
        </w:tc>
      </w:tr>
    </w:tbl>
    <w:p>
      <w:pPr>
        <w:adjustRightInd w:val="0"/>
        <w:spacing w:beforeLines="0" w:afterLines="0" w:line="480" w:lineRule="exact"/>
        <w:ind w:firstLine="480" w:firstLineChars="200"/>
        <w:rPr>
          <w:rFonts w:hint="eastAsia" w:ascii="宋体" w:hAnsi="宋体" w:eastAsia="宋体" w:cs="宋体"/>
          <w:b w:val="0"/>
          <w:bCs w:val="0"/>
          <w:color w:val="auto"/>
          <w:sz w:val="24"/>
          <w:szCs w:val="24"/>
          <w:highlight w:val="none"/>
          <w:lang w:eastAsia="zh-CN"/>
        </w:rPr>
      </w:pPr>
      <w:r>
        <w:rPr>
          <w:rFonts w:hint="eastAsia" w:ascii="宋体" w:hAnsi="宋体" w:cs="宋体"/>
          <w:color w:val="auto"/>
          <w:kern w:val="0"/>
          <w:sz w:val="24"/>
          <w:szCs w:val="24"/>
          <w:highlight w:val="none"/>
          <w:lang w:val="en-US" w:eastAsia="zh-CN"/>
        </w:rPr>
        <w:t>6.3</w:t>
      </w:r>
      <w:r>
        <w:rPr>
          <w:rFonts w:hint="eastAsia" w:ascii="宋体" w:hAnsi="宋体" w:cs="宋体"/>
          <w:color w:val="auto"/>
          <w:kern w:val="0"/>
          <w:sz w:val="24"/>
          <w:szCs w:val="24"/>
          <w:highlight w:val="none"/>
          <w:lang w:eastAsia="zh-CN"/>
        </w:rPr>
        <w:t>保险公司</w:t>
      </w:r>
      <w:r>
        <w:rPr>
          <w:rFonts w:hint="eastAsia" w:ascii="宋体" w:hAnsi="宋体" w:cs="宋体"/>
          <w:color w:val="auto"/>
          <w:kern w:val="0"/>
          <w:sz w:val="24"/>
          <w:szCs w:val="24"/>
          <w:highlight w:val="none"/>
        </w:rPr>
        <w:t>委托的</w:t>
      </w:r>
      <w:r>
        <w:rPr>
          <w:rFonts w:hint="eastAsia" w:ascii="宋体" w:hAnsi="宋体" w:cs="宋体"/>
          <w:color w:val="auto"/>
          <w:sz w:val="24"/>
          <w:szCs w:val="24"/>
          <w:highlight w:val="none"/>
        </w:rPr>
        <w:t>房屋动态安全监测单位</w:t>
      </w:r>
      <w:r>
        <w:rPr>
          <w:rFonts w:hint="eastAsia" w:ascii="宋体" w:hAnsi="宋体" w:cs="宋体"/>
          <w:color w:val="auto"/>
          <w:kern w:val="0"/>
          <w:sz w:val="24"/>
          <w:szCs w:val="24"/>
          <w:highlight w:val="none"/>
        </w:rPr>
        <w:t>在服务过程中给业主、居民等造成的损失，由</w:t>
      </w:r>
      <w:r>
        <w:rPr>
          <w:rFonts w:hint="eastAsia" w:ascii="宋体" w:hAnsi="宋体" w:cs="宋体"/>
          <w:color w:val="auto"/>
          <w:sz w:val="24"/>
          <w:szCs w:val="24"/>
          <w:highlight w:val="none"/>
        </w:rPr>
        <w:t>房屋动态安全监测单位</w:t>
      </w:r>
      <w:r>
        <w:rPr>
          <w:rFonts w:hint="eastAsia" w:ascii="宋体" w:hAnsi="宋体" w:cs="宋体"/>
          <w:color w:val="auto"/>
          <w:kern w:val="0"/>
          <w:sz w:val="24"/>
          <w:szCs w:val="24"/>
          <w:highlight w:val="none"/>
        </w:rPr>
        <w:t>承担。如因</w:t>
      </w:r>
      <w:r>
        <w:rPr>
          <w:rFonts w:hint="eastAsia" w:ascii="宋体" w:hAnsi="宋体" w:cs="宋体"/>
          <w:color w:val="auto"/>
          <w:sz w:val="24"/>
          <w:szCs w:val="24"/>
          <w:highlight w:val="none"/>
        </w:rPr>
        <w:t>房屋动态安全监测单位</w:t>
      </w:r>
      <w:r>
        <w:rPr>
          <w:rFonts w:hint="eastAsia" w:ascii="宋体" w:hAnsi="宋体" w:cs="宋体"/>
          <w:color w:val="auto"/>
          <w:kern w:val="0"/>
          <w:sz w:val="24"/>
          <w:szCs w:val="24"/>
          <w:highlight w:val="none"/>
        </w:rPr>
        <w:t>的行为致不特定主体向采购人求偿并给采购人造成损失的，采购人有权直接向</w:t>
      </w:r>
      <w:r>
        <w:rPr>
          <w:rFonts w:hint="eastAsia" w:ascii="宋体" w:hAnsi="宋体" w:cs="宋体"/>
          <w:color w:val="auto"/>
          <w:sz w:val="24"/>
          <w:szCs w:val="24"/>
          <w:highlight w:val="none"/>
        </w:rPr>
        <w:t>房屋动态安全监测单位</w:t>
      </w:r>
      <w:r>
        <w:rPr>
          <w:rFonts w:hint="eastAsia" w:ascii="宋体" w:hAnsi="宋体" w:cs="宋体"/>
          <w:color w:val="auto"/>
          <w:kern w:val="0"/>
          <w:sz w:val="24"/>
          <w:szCs w:val="24"/>
          <w:highlight w:val="none"/>
        </w:rPr>
        <w:t>追偿，如</w:t>
      </w:r>
      <w:r>
        <w:rPr>
          <w:rFonts w:hint="eastAsia" w:ascii="宋体" w:hAnsi="宋体" w:cs="宋体"/>
          <w:color w:val="auto"/>
          <w:sz w:val="24"/>
          <w:szCs w:val="24"/>
          <w:highlight w:val="none"/>
        </w:rPr>
        <w:t>房屋动态安全监测单位</w:t>
      </w:r>
      <w:r>
        <w:rPr>
          <w:rFonts w:hint="eastAsia" w:ascii="宋体" w:hAnsi="宋体" w:cs="宋体"/>
          <w:color w:val="auto"/>
          <w:kern w:val="0"/>
          <w:sz w:val="24"/>
          <w:szCs w:val="24"/>
          <w:highlight w:val="none"/>
        </w:rPr>
        <w:t>拒绝赔偿损失的，承保单位承担连</w:t>
      </w:r>
      <w:r>
        <w:rPr>
          <w:rFonts w:hint="eastAsia" w:ascii="宋体" w:hAnsi="宋体" w:cs="宋体"/>
          <w:b w:val="0"/>
          <w:bCs w:val="0"/>
          <w:color w:val="auto"/>
          <w:kern w:val="0"/>
          <w:sz w:val="24"/>
          <w:szCs w:val="24"/>
          <w:highlight w:val="none"/>
        </w:rPr>
        <w:t>带</w:t>
      </w:r>
      <w:r>
        <w:rPr>
          <w:rFonts w:hint="eastAsia" w:ascii="宋体" w:hAnsi="宋体" w:cs="宋体"/>
          <w:b w:val="0"/>
          <w:bCs w:val="0"/>
          <w:color w:val="auto"/>
          <w:sz w:val="24"/>
          <w:szCs w:val="24"/>
          <w:highlight w:val="none"/>
        </w:rPr>
        <w:t>责任。房屋动态安全监测单位</w:t>
      </w:r>
      <w:r>
        <w:rPr>
          <w:rFonts w:hint="eastAsia" w:ascii="宋体" w:hAnsi="宋体" w:cs="宋体"/>
          <w:b w:val="0"/>
          <w:bCs w:val="0"/>
          <w:color w:val="auto"/>
          <w:sz w:val="24"/>
          <w:szCs w:val="24"/>
          <w:highlight w:val="none"/>
          <w:lang w:eastAsia="zh-CN"/>
        </w:rPr>
        <w:t>在服务过程中因巡查不到位，安全隐患未发现，险情未及时预警，导致发生安全事故或事故扩大的，采购人有权追究法律责任，同时保险公司须承担连带责任，由此造成的一切损失由房屋动态安全监测单位和保险公司共同承担。</w:t>
      </w:r>
    </w:p>
    <w:p>
      <w:pPr>
        <w:adjustRightInd w:val="0"/>
        <w:spacing w:beforeLines="0" w:afterLines="0" w:line="480" w:lineRule="exact"/>
        <w:ind w:firstLine="482" w:firstLineChars="200"/>
        <w:rPr>
          <w:rFonts w:hint="eastAsia" w:ascii="宋体" w:hAnsi="宋体" w:cs="宋体"/>
          <w:b/>
          <w:color w:val="auto"/>
          <w:sz w:val="24"/>
          <w:szCs w:val="24"/>
          <w:highlight w:val="none"/>
        </w:rPr>
      </w:pPr>
      <w:r>
        <w:rPr>
          <w:rFonts w:hint="eastAsia" w:ascii="宋体" w:hAnsi="宋体" w:cs="宋体"/>
          <w:b/>
          <w:color w:val="auto"/>
          <w:sz w:val="24"/>
          <w:szCs w:val="24"/>
          <w:highlight w:val="none"/>
          <w:lang w:val="en-US" w:eastAsia="zh-CN"/>
        </w:rPr>
        <w:t>7.</w:t>
      </w:r>
      <w:r>
        <w:rPr>
          <w:rFonts w:hint="eastAsia" w:ascii="宋体" w:hAnsi="宋体" w:cs="宋体"/>
          <w:b/>
          <w:color w:val="auto"/>
          <w:sz w:val="24"/>
          <w:szCs w:val="24"/>
          <w:highlight w:val="none"/>
        </w:rPr>
        <w:t>其他需求</w:t>
      </w:r>
    </w:p>
    <w:p>
      <w:pPr>
        <w:adjustRightInd w:val="0"/>
        <w:spacing w:beforeLines="0" w:afterLines="0" w:line="440" w:lineRule="exact"/>
        <w:ind w:firstLine="477" w:firstLineChars="199"/>
        <w:rPr>
          <w:rFonts w:hint="eastAsia" w:ascii="宋体" w:hAnsi="宋体" w:cs="宋体"/>
          <w:color w:val="auto"/>
          <w:sz w:val="24"/>
          <w:szCs w:val="24"/>
          <w:highlight w:val="none"/>
        </w:rPr>
      </w:pPr>
      <w:r>
        <w:rPr>
          <w:rFonts w:hint="eastAsia" w:ascii="宋体" w:hAnsi="宋体" w:cs="宋体"/>
          <w:color w:val="auto"/>
          <w:sz w:val="24"/>
          <w:szCs w:val="24"/>
          <w:highlight w:val="none"/>
        </w:rPr>
        <w:t>动态监测部分：后续每个</w:t>
      </w:r>
      <w:r>
        <w:rPr>
          <w:rFonts w:hint="eastAsia" w:ascii="宋体" w:hAnsi="宋体" w:cs="宋体"/>
          <w:color w:val="auto"/>
          <w:sz w:val="24"/>
          <w:szCs w:val="24"/>
          <w:highlight w:val="none"/>
          <w:lang w:eastAsia="zh-CN"/>
        </w:rPr>
        <w:t>工作区域</w:t>
      </w:r>
      <w:r>
        <w:rPr>
          <w:rFonts w:hint="eastAsia" w:ascii="宋体" w:hAnsi="宋体" w:cs="宋体"/>
          <w:color w:val="auto"/>
          <w:sz w:val="24"/>
          <w:szCs w:val="24"/>
          <w:highlight w:val="none"/>
        </w:rPr>
        <w:t>监测服务房屋数量（月/幢）增加不超过5%的，不调整服务费用；</w:t>
      </w:r>
      <w:r>
        <w:rPr>
          <w:rFonts w:hint="eastAsia" w:ascii="宋体" w:hAnsi="宋体" w:cs="宋体"/>
          <w:color w:val="auto"/>
          <w:sz w:val="24"/>
          <w:szCs w:val="24"/>
          <w:highlight w:val="none"/>
          <w:lang w:eastAsia="zh-CN"/>
        </w:rPr>
        <w:t>每个工作区域</w:t>
      </w:r>
      <w:r>
        <w:rPr>
          <w:rFonts w:hint="eastAsia" w:ascii="宋体" w:hAnsi="宋体" w:cs="宋体"/>
          <w:color w:val="auto"/>
          <w:sz w:val="24"/>
          <w:szCs w:val="24"/>
          <w:highlight w:val="none"/>
        </w:rPr>
        <w:t>监测服务房屋数量（月/幢）增加超过5%部分，因监测服务工作量调整导致实际监测服务费用与合同约定金额存在差异时，该保险年度期满时则按照如下规则进行结算：按实际发生量进行结算；每个</w:t>
      </w:r>
      <w:r>
        <w:rPr>
          <w:rFonts w:hint="eastAsia" w:ascii="宋体" w:hAnsi="宋体" w:cs="宋体"/>
          <w:color w:val="auto"/>
          <w:sz w:val="24"/>
          <w:szCs w:val="24"/>
          <w:highlight w:val="none"/>
          <w:lang w:eastAsia="zh-CN"/>
        </w:rPr>
        <w:t>工作区域</w:t>
      </w:r>
      <w:r>
        <w:rPr>
          <w:rFonts w:hint="eastAsia" w:ascii="宋体" w:hAnsi="宋体" w:cs="宋体"/>
          <w:color w:val="auto"/>
          <w:sz w:val="24"/>
          <w:szCs w:val="24"/>
          <w:highlight w:val="none"/>
        </w:rPr>
        <w:t>监测服务房屋数量（月/幢）减少的，按实际发生量进行结算。</w:t>
      </w:r>
      <w:r>
        <w:rPr>
          <w:rFonts w:hint="eastAsia" w:ascii="宋体" w:hAnsi="宋体" w:cs="宋体"/>
          <w:color w:val="auto"/>
          <w:sz w:val="24"/>
          <w:szCs w:val="24"/>
          <w:highlight w:val="none"/>
          <w:lang w:val="en-US" w:eastAsia="zh-CN"/>
        </w:rPr>
        <w:t>监控摄像头按需布置少于预估6套的按实结算。</w:t>
      </w:r>
    </w:p>
    <w:p>
      <w:pPr>
        <w:adjustRightInd w:val="0"/>
        <w:spacing w:beforeLines="0" w:afterLines="0" w:line="480" w:lineRule="exact"/>
        <w:ind w:firstLine="482" w:firstLineChars="200"/>
        <w:rPr>
          <w:rFonts w:hint="eastAsia" w:ascii="宋体" w:hAnsi="宋体" w:cs="宋体"/>
          <w:b/>
          <w:color w:val="auto"/>
          <w:kern w:val="0"/>
          <w:sz w:val="24"/>
          <w:szCs w:val="24"/>
          <w:highlight w:val="none"/>
        </w:rPr>
      </w:pPr>
      <w:r>
        <w:rPr>
          <w:rFonts w:hint="eastAsia" w:ascii="宋体" w:hAnsi="宋体" w:cs="宋体"/>
          <w:b/>
          <w:color w:val="auto"/>
          <w:sz w:val="24"/>
          <w:szCs w:val="24"/>
          <w:highlight w:val="none"/>
          <w:lang w:val="en-US" w:eastAsia="zh-CN"/>
        </w:rPr>
        <w:t>8.</w:t>
      </w:r>
      <w:r>
        <w:rPr>
          <w:rFonts w:hint="eastAsia" w:ascii="宋体" w:hAnsi="宋体" w:cs="宋体"/>
          <w:b/>
          <w:color w:val="auto"/>
          <w:sz w:val="24"/>
          <w:szCs w:val="24"/>
          <w:highlight w:val="none"/>
        </w:rPr>
        <w:t>成果文件要求</w:t>
      </w:r>
    </w:p>
    <w:p>
      <w:pPr>
        <w:adjustRightInd w:val="0"/>
        <w:spacing w:beforeLines="0" w:afterLines="0" w:line="480" w:lineRule="exact"/>
        <w:ind w:firstLine="42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eastAsia="zh-CN"/>
        </w:rPr>
        <w:t>保险公司</w:t>
      </w:r>
      <w:r>
        <w:rPr>
          <w:rFonts w:hint="eastAsia" w:ascii="宋体" w:hAnsi="宋体" w:cs="宋体"/>
          <w:color w:val="auto"/>
          <w:kern w:val="0"/>
          <w:sz w:val="24"/>
          <w:szCs w:val="24"/>
          <w:highlight w:val="none"/>
        </w:rPr>
        <w:t>应按国家规定和合同约定的技术规范、标准委托</w:t>
      </w:r>
      <w:r>
        <w:rPr>
          <w:rFonts w:hint="eastAsia" w:ascii="宋体" w:hAnsi="宋体" w:cs="宋体"/>
          <w:color w:val="auto"/>
          <w:sz w:val="24"/>
          <w:szCs w:val="24"/>
          <w:highlight w:val="none"/>
        </w:rPr>
        <w:t>房屋动态安全监测单位</w:t>
      </w:r>
      <w:r>
        <w:rPr>
          <w:rFonts w:hint="eastAsia" w:ascii="宋体" w:hAnsi="宋体" w:cs="宋体"/>
          <w:color w:val="auto"/>
          <w:kern w:val="0"/>
          <w:sz w:val="24"/>
          <w:szCs w:val="24"/>
          <w:highlight w:val="none"/>
        </w:rPr>
        <w:t>进行监测服务。并按要求向采购人交付监测服务文件，并对提交的监测服务文件的质量负责。具体要求如下：</w:t>
      </w:r>
    </w:p>
    <w:tbl>
      <w:tblPr>
        <w:tblStyle w:val="62"/>
        <w:tblW w:w="9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3165"/>
        <w:gridCol w:w="3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28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pacing w:beforeLines="0" w:afterLines="0" w:line="480" w:lineRule="exact"/>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资料及文件名称</w:t>
            </w:r>
          </w:p>
        </w:tc>
        <w:tc>
          <w:tcPr>
            <w:tcW w:w="316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pacing w:beforeLines="0" w:afterLines="0" w:line="480" w:lineRule="exact"/>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套数</w:t>
            </w:r>
          </w:p>
        </w:tc>
        <w:tc>
          <w:tcPr>
            <w:tcW w:w="301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pacing w:beforeLines="0" w:afterLines="0" w:line="480" w:lineRule="exact"/>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提交日期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2880"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851"/>
              </w:tabs>
              <w:adjustRightInd w:val="0"/>
              <w:spacing w:beforeLines="0" w:afterLines="0" w:line="48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房屋安全动态月度监测报告</w:t>
            </w:r>
          </w:p>
        </w:tc>
        <w:tc>
          <w:tcPr>
            <w:tcW w:w="3165"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851"/>
              </w:tabs>
              <w:adjustRightInd w:val="0"/>
              <w:spacing w:beforeLines="0" w:afterLines="0" w:line="48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书面文本3套、电子文本1套</w:t>
            </w:r>
          </w:p>
        </w:tc>
        <w:tc>
          <w:tcPr>
            <w:tcW w:w="3013"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851"/>
              </w:tabs>
              <w:adjustRightInd w:val="0"/>
              <w:spacing w:beforeLines="0" w:afterLines="0" w:line="48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每月度结束后1周内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2880"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851"/>
              </w:tabs>
              <w:adjustRightInd w:val="0"/>
              <w:spacing w:beforeLines="0" w:afterLines="0" w:line="48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房屋安全动态季度监测报告</w:t>
            </w:r>
          </w:p>
        </w:tc>
        <w:tc>
          <w:tcPr>
            <w:tcW w:w="3165"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851"/>
              </w:tabs>
              <w:adjustRightInd w:val="0"/>
              <w:spacing w:beforeLines="0" w:afterLines="0" w:line="48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书面文本3套、电子文本1套</w:t>
            </w:r>
          </w:p>
        </w:tc>
        <w:tc>
          <w:tcPr>
            <w:tcW w:w="3013"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851"/>
              </w:tabs>
              <w:adjustRightInd w:val="0"/>
              <w:spacing w:beforeLines="0" w:afterLines="0" w:line="48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每季度结束后2周内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2880"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851"/>
              </w:tabs>
              <w:adjustRightInd w:val="0"/>
              <w:spacing w:beforeLines="0" w:afterLines="0" w:line="48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房屋安全动态年度监测报告</w:t>
            </w:r>
          </w:p>
        </w:tc>
        <w:tc>
          <w:tcPr>
            <w:tcW w:w="3165"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851"/>
              </w:tabs>
              <w:adjustRightInd w:val="0"/>
              <w:spacing w:beforeLines="0" w:afterLines="0" w:line="48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书面文本3套、电子文本1套</w:t>
            </w:r>
          </w:p>
        </w:tc>
        <w:tc>
          <w:tcPr>
            <w:tcW w:w="3013"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851"/>
              </w:tabs>
              <w:adjustRightInd w:val="0"/>
              <w:spacing w:beforeLines="0" w:afterLines="0" w:line="48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合同期结束后30日内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9058"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tabs>
                <w:tab w:val="left" w:pos="1212"/>
                <w:tab w:val="left" w:pos="3888"/>
              </w:tabs>
              <w:adjustRightInd w:val="0"/>
              <w:snapToGrid w:val="0"/>
              <w:spacing w:beforeLines="0" w:afterLines="0" w:line="480" w:lineRule="exact"/>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注：1、</w:t>
            </w:r>
            <w:r>
              <w:rPr>
                <w:rFonts w:hint="eastAsia" w:ascii="宋体" w:hAnsi="宋体" w:cs="宋体"/>
                <w:color w:val="auto"/>
                <w:kern w:val="0"/>
                <w:sz w:val="21"/>
                <w:szCs w:val="21"/>
                <w:highlight w:val="none"/>
              </w:rPr>
              <w:t>房屋动态安全监测单位</w:t>
            </w:r>
            <w:r>
              <w:rPr>
                <w:rFonts w:hint="eastAsia" w:ascii="宋体" w:hAnsi="宋体" w:cs="宋体"/>
                <w:color w:val="auto"/>
                <w:sz w:val="21"/>
                <w:szCs w:val="21"/>
                <w:highlight w:val="none"/>
              </w:rPr>
              <w:t>在合同期限内须建立房屋安全管理专家组，为房屋使用安全管理提供技术咨询。</w:t>
            </w:r>
          </w:p>
          <w:p>
            <w:pPr>
              <w:widowControl/>
              <w:adjustRightInd w:val="0"/>
              <w:snapToGrid w:val="0"/>
              <w:spacing w:beforeLines="0" w:afterLines="0" w:line="440" w:lineRule="exact"/>
              <w:rPr>
                <w:rFonts w:hint="eastAsia" w:ascii="宋体" w:hAnsi="宋体" w:cs="宋体"/>
                <w:snapToGrid w:val="0"/>
                <w:color w:val="auto"/>
                <w:kern w:val="28"/>
                <w:sz w:val="21"/>
                <w:szCs w:val="21"/>
                <w:highlight w:val="none"/>
              </w:rPr>
            </w:pPr>
            <w:r>
              <w:rPr>
                <w:rFonts w:hint="eastAsia" w:ascii="宋体" w:hAnsi="宋体" w:cs="宋体"/>
                <w:color w:val="auto"/>
                <w:sz w:val="21"/>
                <w:szCs w:val="21"/>
                <w:highlight w:val="none"/>
              </w:rPr>
              <w:t>2、</w:t>
            </w:r>
            <w:r>
              <w:rPr>
                <w:rFonts w:hint="eastAsia" w:ascii="宋体" w:hAnsi="宋体" w:cs="宋体"/>
                <w:snapToGrid w:val="0"/>
                <w:color w:val="auto"/>
                <w:kern w:val="28"/>
                <w:sz w:val="21"/>
                <w:szCs w:val="21"/>
                <w:highlight w:val="none"/>
              </w:rPr>
              <w:t>房屋动态安全监测单位</w:t>
            </w:r>
            <w:r>
              <w:rPr>
                <w:rFonts w:hint="eastAsia" w:ascii="宋体" w:hAnsi="宋体" w:cs="宋体"/>
                <w:color w:val="auto"/>
                <w:sz w:val="21"/>
                <w:szCs w:val="21"/>
                <w:highlight w:val="none"/>
              </w:rPr>
              <w:t>对监测服务文件出现的遗漏或错误负责修改或补充。月度监测报告主要包括被监测房屋当月的监测数据情况；季度监测报告及年度监测报告主要包括对分配的需监测房屋总体工作进度、累计监测次数、装修巡查户数、入户检测情况、报警情况等信息统计汇总，具体房屋的监测数据参见月度监测报告。</w:t>
            </w:r>
          </w:p>
        </w:tc>
      </w:tr>
    </w:tbl>
    <w:p>
      <w:pP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br w:type="page"/>
      </w:r>
    </w:p>
    <w:p>
      <w:pPr>
        <w:widowControl/>
        <w:spacing w:beforeLines="0" w:afterLines="0" w:line="440" w:lineRule="exact"/>
        <w:ind w:right="45" w:firstLine="482" w:firstLineChars="200"/>
        <w:rPr>
          <w:rFonts w:hint="eastAsia" w:ascii="宋体" w:hAnsi="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（四）其他</w:t>
      </w:r>
    </w:p>
    <w:p>
      <w:pPr>
        <w:widowControl/>
        <w:spacing w:beforeLines="0" w:afterLines="0" w:line="440" w:lineRule="exact"/>
        <w:ind w:right="45" w:firstLine="480" w:firstLineChars="200"/>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投标文件中提供详细城镇住房综合保险方案，包括：城镇住房综合保险的承保方案、理赔方案，合同期内可能发生的应急情况编制的保险应急方案以及制定的房屋安全应急演练方案；房屋安全动态监测实施方案，包括：对慈溪房屋安全动态监测工作情况的理解和分析，房屋安全核查方案、外观检查方案、入户检查方案，直管公房动态巡查方案（包括：详细巡查方案、巡查范围、巡查频次），历史建筑巡查方案（包括：详细巡查方案、巡查范围、巡查频次），专项装修巡查方案（包括：详细巡查方案、巡查范围、巡查频次），仪器设备监测、自动化动态监测、房安技术服务方案，台汛季节、重要活动节假日安全排查检查方案、房屋安全宣传方案；管理方案（包括：现场实施的相关管理制度及服务流程方案、工作人员劳动保护及安全管理制度、各项监督措施及考核办法）；质量保障方案（包括：服务质量标准、文明工作制度、工作人员后勤保障措施、工作进度计划实施保障、工作质量保障）；内部培训方案（包括：人员培训方案、培训周期、培训课程）；业绩证明材料；偿付能力证明材料；风险综合评级证明材料；信访投诉举报考核情况证明材料；服务便捷情况（包括：出险后的响应时间、到场时间、理赔到账时间、服务网点分布状况、理赔人员情况）。</w:t>
      </w:r>
    </w:p>
    <w:p>
      <w:pP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br w:type="page"/>
      </w:r>
    </w:p>
    <w:p>
      <w:pPr>
        <w:ind w:firstLine="2168" w:firstLineChars="600"/>
        <w:jc w:val="left"/>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 xml:space="preserve">第四部分   </w:t>
      </w:r>
      <w:bookmarkStart w:id="33" w:name="_Toc184310301"/>
      <w:bookmarkEnd w:id="33"/>
      <w:bookmarkStart w:id="34" w:name="_Toc184312137"/>
      <w:bookmarkEnd w:id="34"/>
      <w:bookmarkStart w:id="35" w:name="_Toc184310310"/>
      <w:bookmarkEnd w:id="35"/>
      <w:bookmarkStart w:id="36" w:name="_Toc184312115"/>
      <w:bookmarkEnd w:id="36"/>
      <w:bookmarkStart w:id="37" w:name="_Toc184308075"/>
      <w:bookmarkEnd w:id="37"/>
      <w:bookmarkStart w:id="38" w:name="_Toc184313257"/>
      <w:bookmarkEnd w:id="38"/>
      <w:bookmarkStart w:id="39" w:name="_Toc184313309"/>
      <w:bookmarkEnd w:id="39"/>
      <w:bookmarkStart w:id="40" w:name="_Toc184313271"/>
      <w:bookmarkEnd w:id="40"/>
      <w:bookmarkStart w:id="41" w:name="_Toc184314454"/>
      <w:bookmarkEnd w:id="41"/>
      <w:bookmarkStart w:id="42" w:name="_Toc184312110"/>
      <w:bookmarkEnd w:id="42"/>
      <w:bookmarkStart w:id="43" w:name="_Toc184308090"/>
      <w:bookmarkEnd w:id="43"/>
      <w:bookmarkStart w:id="44" w:name="_Toc184314418"/>
      <w:bookmarkEnd w:id="44"/>
      <w:bookmarkStart w:id="45" w:name="_Toc184314415"/>
      <w:bookmarkEnd w:id="45"/>
      <w:bookmarkStart w:id="46" w:name="_Toc184312128"/>
      <w:bookmarkEnd w:id="46"/>
      <w:bookmarkStart w:id="47" w:name="_Toc184308093"/>
      <w:bookmarkEnd w:id="47"/>
      <w:bookmarkStart w:id="48" w:name="_Toc184310313"/>
      <w:bookmarkEnd w:id="48"/>
      <w:bookmarkStart w:id="49" w:name="_Toc184314458"/>
      <w:bookmarkEnd w:id="49"/>
      <w:bookmarkStart w:id="50" w:name="_Toc184308050"/>
      <w:bookmarkEnd w:id="50"/>
      <w:bookmarkStart w:id="51" w:name="_Toc184313298"/>
      <w:bookmarkEnd w:id="51"/>
      <w:bookmarkStart w:id="52" w:name="_Toc184310287"/>
      <w:bookmarkEnd w:id="52"/>
      <w:bookmarkStart w:id="53" w:name="_Toc184312125"/>
      <w:bookmarkEnd w:id="53"/>
      <w:bookmarkStart w:id="54" w:name="_Toc184313251"/>
      <w:bookmarkEnd w:id="54"/>
      <w:bookmarkStart w:id="55" w:name="_Toc184313296"/>
      <w:bookmarkEnd w:id="55"/>
      <w:bookmarkStart w:id="56" w:name="_Toc184310317"/>
      <w:bookmarkEnd w:id="56"/>
      <w:bookmarkStart w:id="57" w:name="_Toc184310319"/>
      <w:bookmarkEnd w:id="57"/>
      <w:bookmarkStart w:id="58" w:name="_Toc184314420"/>
      <w:bookmarkEnd w:id="58"/>
      <w:bookmarkStart w:id="59" w:name="_Toc184310338"/>
      <w:bookmarkEnd w:id="59"/>
      <w:bookmarkStart w:id="60" w:name="_Toc184313287"/>
      <w:bookmarkEnd w:id="60"/>
      <w:bookmarkStart w:id="61" w:name="_Toc184312080"/>
      <w:bookmarkEnd w:id="61"/>
      <w:bookmarkStart w:id="62" w:name="_Toc184313241"/>
      <w:bookmarkEnd w:id="62"/>
      <w:bookmarkStart w:id="63" w:name="_Toc184312133"/>
      <w:bookmarkEnd w:id="63"/>
      <w:bookmarkStart w:id="64" w:name="_Toc184308100"/>
      <w:bookmarkEnd w:id="64"/>
      <w:bookmarkStart w:id="65" w:name="_Toc184312095"/>
      <w:bookmarkEnd w:id="65"/>
      <w:bookmarkStart w:id="66" w:name="_Toc184312078"/>
      <w:bookmarkEnd w:id="66"/>
      <w:bookmarkStart w:id="67" w:name="_Toc184308097"/>
      <w:bookmarkEnd w:id="67"/>
      <w:bookmarkStart w:id="68" w:name="_Toc184312075"/>
      <w:bookmarkEnd w:id="68"/>
      <w:bookmarkStart w:id="69" w:name="_Toc184310297"/>
      <w:bookmarkEnd w:id="69"/>
      <w:bookmarkStart w:id="70" w:name="_Toc184310306"/>
      <w:bookmarkEnd w:id="70"/>
      <w:bookmarkStart w:id="71" w:name="_Toc184308086"/>
      <w:bookmarkEnd w:id="71"/>
      <w:bookmarkStart w:id="72" w:name="_Toc184314451"/>
      <w:bookmarkEnd w:id="72"/>
      <w:bookmarkStart w:id="73" w:name="_Toc184310279"/>
      <w:bookmarkEnd w:id="73"/>
      <w:bookmarkStart w:id="74" w:name="_Toc184313256"/>
      <w:bookmarkEnd w:id="74"/>
      <w:bookmarkStart w:id="75" w:name="_Toc184313262"/>
      <w:bookmarkEnd w:id="75"/>
      <w:bookmarkStart w:id="76" w:name="_Toc184312070"/>
      <w:bookmarkEnd w:id="76"/>
      <w:bookmarkStart w:id="77" w:name="_Toc184313258"/>
      <w:bookmarkEnd w:id="77"/>
      <w:bookmarkStart w:id="78" w:name="_Toc184312086"/>
      <w:bookmarkEnd w:id="78"/>
      <w:bookmarkStart w:id="79" w:name="_Toc184308103"/>
      <w:bookmarkEnd w:id="79"/>
      <w:bookmarkStart w:id="80" w:name="_Toc184314457"/>
      <w:bookmarkEnd w:id="80"/>
      <w:bookmarkStart w:id="81" w:name="_Toc184312100"/>
      <w:bookmarkEnd w:id="81"/>
      <w:bookmarkStart w:id="82" w:name="_Toc184313254"/>
      <w:bookmarkEnd w:id="82"/>
      <w:bookmarkStart w:id="83" w:name="_Toc184313265"/>
      <w:bookmarkEnd w:id="83"/>
      <w:bookmarkStart w:id="84" w:name="_Toc184314440"/>
      <w:bookmarkEnd w:id="84"/>
      <w:bookmarkStart w:id="85" w:name="_Toc184308101"/>
      <w:bookmarkEnd w:id="85"/>
      <w:bookmarkStart w:id="86" w:name="_Toc184310322"/>
      <w:bookmarkEnd w:id="86"/>
      <w:bookmarkStart w:id="87" w:name="_Toc184314413"/>
      <w:bookmarkEnd w:id="87"/>
      <w:bookmarkStart w:id="88" w:name="_Toc184310296"/>
      <w:bookmarkEnd w:id="88"/>
      <w:bookmarkStart w:id="89" w:name="_Toc184313306"/>
      <w:bookmarkEnd w:id="89"/>
      <w:bookmarkStart w:id="90" w:name="_Toc184313293"/>
      <w:bookmarkEnd w:id="90"/>
      <w:bookmarkStart w:id="91" w:name="_Toc184312114"/>
      <w:bookmarkEnd w:id="91"/>
      <w:bookmarkStart w:id="92" w:name="_Toc184310276"/>
      <w:bookmarkEnd w:id="92"/>
      <w:bookmarkStart w:id="93" w:name="_Toc184310283"/>
      <w:bookmarkEnd w:id="93"/>
      <w:bookmarkStart w:id="94" w:name="_Toc184310304"/>
      <w:bookmarkEnd w:id="94"/>
      <w:bookmarkStart w:id="95" w:name="_Toc184313272"/>
      <w:bookmarkEnd w:id="95"/>
      <w:bookmarkStart w:id="96" w:name="_Toc184308108"/>
      <w:bookmarkEnd w:id="96"/>
      <w:bookmarkStart w:id="97" w:name="_Toc184314416"/>
      <w:bookmarkEnd w:id="97"/>
      <w:bookmarkStart w:id="98" w:name="_Toc184310288"/>
      <w:bookmarkEnd w:id="98"/>
      <w:bookmarkStart w:id="99" w:name="_Toc184314464"/>
      <w:bookmarkEnd w:id="99"/>
      <w:bookmarkStart w:id="100" w:name="_Toc184313253"/>
      <w:bookmarkEnd w:id="100"/>
      <w:bookmarkStart w:id="101" w:name="_Toc184308052"/>
      <w:bookmarkEnd w:id="101"/>
      <w:bookmarkStart w:id="102" w:name="_Toc184308062"/>
      <w:bookmarkEnd w:id="102"/>
      <w:bookmarkStart w:id="103" w:name="_Toc184308061"/>
      <w:bookmarkEnd w:id="103"/>
      <w:bookmarkStart w:id="104" w:name="_Toc184310342"/>
      <w:bookmarkEnd w:id="104"/>
      <w:bookmarkStart w:id="105" w:name="_Toc184312104"/>
      <w:bookmarkEnd w:id="105"/>
      <w:bookmarkStart w:id="106" w:name="_Toc184310336"/>
      <w:bookmarkEnd w:id="106"/>
      <w:bookmarkStart w:id="107" w:name="_Toc184312139"/>
      <w:bookmarkEnd w:id="107"/>
      <w:bookmarkStart w:id="108" w:name="_Toc184310291"/>
      <w:bookmarkEnd w:id="108"/>
      <w:bookmarkStart w:id="109" w:name="_Toc184308102"/>
      <w:bookmarkEnd w:id="109"/>
      <w:bookmarkStart w:id="110" w:name="_Toc184312072"/>
      <w:bookmarkEnd w:id="110"/>
      <w:bookmarkStart w:id="111" w:name="_Toc184308105"/>
      <w:bookmarkEnd w:id="111"/>
      <w:bookmarkStart w:id="112" w:name="_Toc184310300"/>
      <w:bookmarkEnd w:id="112"/>
      <w:bookmarkStart w:id="113" w:name="_Toc184313307"/>
      <w:bookmarkEnd w:id="113"/>
      <w:bookmarkStart w:id="114" w:name="_Toc184310308"/>
      <w:bookmarkEnd w:id="114"/>
      <w:bookmarkStart w:id="115" w:name="_Toc184314445"/>
      <w:bookmarkEnd w:id="115"/>
      <w:bookmarkStart w:id="116" w:name="_Toc184308077"/>
      <w:bookmarkEnd w:id="116"/>
      <w:bookmarkStart w:id="117" w:name="_Toc184314431"/>
      <w:bookmarkEnd w:id="117"/>
      <w:bookmarkStart w:id="118" w:name="_Toc184312106"/>
      <w:bookmarkEnd w:id="118"/>
      <w:bookmarkStart w:id="119" w:name="_Toc184313261"/>
      <w:bookmarkEnd w:id="119"/>
      <w:bookmarkStart w:id="120" w:name="_Toc184310314"/>
      <w:bookmarkEnd w:id="120"/>
      <w:bookmarkStart w:id="121" w:name="_Toc184314462"/>
      <w:bookmarkEnd w:id="121"/>
      <w:bookmarkStart w:id="122" w:name="_Toc184314429"/>
      <w:bookmarkEnd w:id="122"/>
      <w:bookmarkStart w:id="123" w:name="_Toc184313297"/>
      <w:bookmarkEnd w:id="123"/>
      <w:bookmarkStart w:id="124" w:name="_Toc184308099"/>
      <w:bookmarkEnd w:id="124"/>
      <w:bookmarkStart w:id="125" w:name="_Toc184313243"/>
      <w:bookmarkEnd w:id="125"/>
      <w:bookmarkStart w:id="126" w:name="_Toc184313260"/>
      <w:bookmarkEnd w:id="126"/>
      <w:bookmarkStart w:id="127" w:name="_Toc184312076"/>
      <w:bookmarkEnd w:id="127"/>
      <w:bookmarkStart w:id="128" w:name="_Toc184312098"/>
      <w:bookmarkEnd w:id="128"/>
      <w:bookmarkStart w:id="129" w:name="_Toc184312069"/>
      <w:bookmarkEnd w:id="129"/>
      <w:bookmarkStart w:id="130" w:name="_Toc184308096"/>
      <w:bookmarkEnd w:id="130"/>
      <w:bookmarkStart w:id="131" w:name="_Toc184310277"/>
      <w:bookmarkEnd w:id="131"/>
      <w:bookmarkStart w:id="132" w:name="_Toc184313277"/>
      <w:bookmarkEnd w:id="132"/>
      <w:bookmarkStart w:id="133" w:name="_Toc184310293"/>
      <w:bookmarkEnd w:id="133"/>
      <w:bookmarkStart w:id="134" w:name="_Toc184312112"/>
      <w:bookmarkEnd w:id="134"/>
      <w:bookmarkStart w:id="135" w:name="_Toc184308082"/>
      <w:bookmarkEnd w:id="135"/>
      <w:bookmarkStart w:id="136" w:name="_Toc184310273"/>
      <w:bookmarkEnd w:id="136"/>
      <w:bookmarkStart w:id="137" w:name="_Toc184308063"/>
      <w:bookmarkEnd w:id="137"/>
      <w:bookmarkStart w:id="138" w:name="_Toc184308054"/>
      <w:bookmarkEnd w:id="138"/>
      <w:bookmarkStart w:id="139" w:name="_Toc184312122"/>
      <w:bookmarkEnd w:id="139"/>
      <w:bookmarkStart w:id="140" w:name="_Toc184314424"/>
      <w:bookmarkEnd w:id="140"/>
      <w:bookmarkStart w:id="141" w:name="_Toc184314411"/>
      <w:bookmarkEnd w:id="141"/>
      <w:bookmarkStart w:id="142" w:name="_Toc184312118"/>
      <w:bookmarkEnd w:id="142"/>
      <w:bookmarkStart w:id="143" w:name="_Toc184313303"/>
      <w:bookmarkEnd w:id="143"/>
      <w:bookmarkStart w:id="144" w:name="_Toc184313250"/>
      <w:bookmarkEnd w:id="144"/>
      <w:bookmarkStart w:id="145" w:name="_Toc184313283"/>
      <w:bookmarkEnd w:id="145"/>
      <w:bookmarkStart w:id="146" w:name="_Toc184310311"/>
      <w:bookmarkEnd w:id="146"/>
      <w:bookmarkStart w:id="147" w:name="_Toc184308073"/>
      <w:bookmarkEnd w:id="147"/>
      <w:bookmarkStart w:id="148" w:name="_Toc184312097"/>
      <w:bookmarkEnd w:id="148"/>
      <w:bookmarkStart w:id="149" w:name="_Toc184312099"/>
      <w:bookmarkEnd w:id="149"/>
      <w:bookmarkStart w:id="150" w:name="_Toc184310307"/>
      <w:bookmarkEnd w:id="150"/>
      <w:bookmarkStart w:id="151" w:name="_Toc184308069"/>
      <w:bookmarkEnd w:id="151"/>
      <w:bookmarkStart w:id="152" w:name="_Toc184312085"/>
      <w:bookmarkEnd w:id="152"/>
      <w:bookmarkStart w:id="153" w:name="_Toc184312068"/>
      <w:bookmarkEnd w:id="153"/>
      <w:bookmarkStart w:id="154" w:name="_Toc184308107"/>
      <w:bookmarkEnd w:id="154"/>
      <w:bookmarkStart w:id="155" w:name="_Toc184314472"/>
      <w:bookmarkEnd w:id="155"/>
      <w:bookmarkStart w:id="156" w:name="_Toc184312113"/>
      <w:bookmarkEnd w:id="156"/>
      <w:bookmarkStart w:id="157" w:name="_Toc184308088"/>
      <w:bookmarkEnd w:id="157"/>
      <w:bookmarkStart w:id="158" w:name="_Toc184314452"/>
      <w:bookmarkEnd w:id="158"/>
      <w:bookmarkStart w:id="159" w:name="_Toc184314414"/>
      <w:bookmarkEnd w:id="159"/>
      <w:bookmarkStart w:id="160" w:name="_Toc184314436"/>
      <w:bookmarkEnd w:id="160"/>
      <w:bookmarkStart w:id="161" w:name="_Toc184314430"/>
      <w:bookmarkEnd w:id="161"/>
      <w:bookmarkStart w:id="162" w:name="_Toc184314461"/>
      <w:bookmarkEnd w:id="162"/>
      <w:bookmarkStart w:id="163" w:name="_Toc184314469"/>
      <w:bookmarkEnd w:id="163"/>
      <w:bookmarkStart w:id="164" w:name="_Toc184310281"/>
      <w:bookmarkEnd w:id="164"/>
      <w:bookmarkStart w:id="165" w:name="_Toc184313267"/>
      <w:bookmarkEnd w:id="165"/>
      <w:bookmarkStart w:id="166" w:name="_Toc184314433"/>
      <w:bookmarkEnd w:id="166"/>
      <w:bookmarkStart w:id="167" w:name="_Toc184308040"/>
      <w:bookmarkEnd w:id="167"/>
      <w:bookmarkStart w:id="168" w:name="_Toc184314443"/>
      <w:bookmarkEnd w:id="168"/>
      <w:bookmarkStart w:id="169" w:name="_Toc184310327"/>
      <w:bookmarkEnd w:id="169"/>
      <w:bookmarkStart w:id="170" w:name="_Toc184310318"/>
      <w:bookmarkEnd w:id="170"/>
      <w:bookmarkStart w:id="171" w:name="_Toc184313279"/>
      <w:bookmarkEnd w:id="171"/>
      <w:bookmarkStart w:id="172" w:name="_Toc184310289"/>
      <w:bookmarkEnd w:id="172"/>
      <w:bookmarkStart w:id="173" w:name="_Toc184314482"/>
      <w:bookmarkEnd w:id="173"/>
      <w:bookmarkStart w:id="174" w:name="_Toc184308084"/>
      <w:bookmarkEnd w:id="174"/>
      <w:bookmarkStart w:id="175" w:name="_Toc184313295"/>
      <w:bookmarkEnd w:id="175"/>
      <w:bookmarkStart w:id="176" w:name="_Toc184313288"/>
      <w:bookmarkEnd w:id="176"/>
      <w:bookmarkStart w:id="177" w:name="_Toc184310280"/>
      <w:bookmarkEnd w:id="177"/>
      <w:bookmarkStart w:id="178" w:name="_Toc184308037"/>
      <w:bookmarkEnd w:id="178"/>
      <w:bookmarkStart w:id="179" w:name="_Toc184310284"/>
      <w:bookmarkEnd w:id="179"/>
      <w:bookmarkStart w:id="180" w:name="_Toc184310325"/>
      <w:bookmarkEnd w:id="180"/>
      <w:bookmarkStart w:id="181" w:name="_Toc184312091"/>
      <w:bookmarkEnd w:id="181"/>
      <w:bookmarkStart w:id="182" w:name="_Toc184310302"/>
      <w:bookmarkEnd w:id="182"/>
      <w:bookmarkStart w:id="183" w:name="_Toc184310343"/>
      <w:bookmarkEnd w:id="183"/>
      <w:bookmarkStart w:id="184" w:name="_Toc184308049"/>
      <w:bookmarkEnd w:id="184"/>
      <w:bookmarkStart w:id="185" w:name="_Toc184310335"/>
      <w:bookmarkEnd w:id="185"/>
      <w:bookmarkStart w:id="186" w:name="_Toc184312090"/>
      <w:bookmarkEnd w:id="186"/>
      <w:bookmarkStart w:id="187" w:name="_Toc184314448"/>
      <w:bookmarkEnd w:id="187"/>
      <w:bookmarkStart w:id="188" w:name="_Toc184314471"/>
      <w:bookmarkEnd w:id="188"/>
      <w:bookmarkStart w:id="189" w:name="_Toc184312116"/>
      <w:bookmarkEnd w:id="189"/>
      <w:bookmarkStart w:id="190" w:name="_Toc184308044"/>
      <w:bookmarkEnd w:id="190"/>
      <w:bookmarkStart w:id="191" w:name="_Toc184310305"/>
      <w:bookmarkEnd w:id="191"/>
      <w:bookmarkStart w:id="192" w:name="_Toc184313310"/>
      <w:bookmarkEnd w:id="192"/>
      <w:bookmarkStart w:id="193" w:name="_Toc184313245"/>
      <w:bookmarkEnd w:id="193"/>
      <w:bookmarkStart w:id="194" w:name="_Toc184312084"/>
      <w:bookmarkEnd w:id="194"/>
      <w:bookmarkStart w:id="195" w:name="_Toc184308095"/>
      <w:bookmarkEnd w:id="195"/>
      <w:bookmarkStart w:id="196" w:name="_Toc184308092"/>
      <w:bookmarkEnd w:id="196"/>
      <w:bookmarkStart w:id="197" w:name="_Toc184313246"/>
      <w:bookmarkEnd w:id="197"/>
      <w:bookmarkStart w:id="198" w:name="_Toc184313244"/>
      <w:bookmarkEnd w:id="198"/>
      <w:bookmarkStart w:id="199" w:name="_Toc184308055"/>
      <w:bookmarkEnd w:id="199"/>
      <w:bookmarkStart w:id="200" w:name="_Toc184308043"/>
      <w:bookmarkEnd w:id="200"/>
      <w:bookmarkStart w:id="201" w:name="_Toc184313270"/>
      <w:bookmarkEnd w:id="201"/>
      <w:bookmarkStart w:id="202" w:name="_Toc184313242"/>
      <w:bookmarkEnd w:id="202"/>
      <w:bookmarkStart w:id="203" w:name="_Toc184310340"/>
      <w:bookmarkEnd w:id="203"/>
      <w:bookmarkStart w:id="204" w:name="_Toc184310326"/>
      <w:bookmarkEnd w:id="204"/>
      <w:bookmarkStart w:id="205" w:name="_Toc184314439"/>
      <w:bookmarkEnd w:id="205"/>
      <w:bookmarkStart w:id="206" w:name="_Toc184314432"/>
      <w:bookmarkEnd w:id="206"/>
      <w:bookmarkStart w:id="207" w:name="_Toc184314423"/>
      <w:bookmarkEnd w:id="207"/>
      <w:bookmarkStart w:id="208" w:name="_Toc184312101"/>
      <w:bookmarkEnd w:id="208"/>
      <w:bookmarkStart w:id="209" w:name="_Toc184312081"/>
      <w:bookmarkEnd w:id="209"/>
      <w:bookmarkStart w:id="210" w:name="_Toc184310328"/>
      <w:bookmarkEnd w:id="210"/>
      <w:bookmarkStart w:id="211" w:name="_Toc184314438"/>
      <w:bookmarkEnd w:id="211"/>
      <w:bookmarkStart w:id="212" w:name="_Toc184310298"/>
      <w:bookmarkEnd w:id="212"/>
      <w:bookmarkStart w:id="213" w:name="_Toc184314435"/>
      <w:bookmarkEnd w:id="213"/>
      <w:bookmarkStart w:id="214" w:name="_Toc184308106"/>
      <w:bookmarkEnd w:id="214"/>
      <w:bookmarkStart w:id="215" w:name="_Toc184312077"/>
      <w:bookmarkEnd w:id="215"/>
      <w:bookmarkStart w:id="216" w:name="_Toc184308089"/>
      <w:bookmarkEnd w:id="216"/>
      <w:bookmarkStart w:id="217" w:name="_Toc184314419"/>
      <w:bookmarkEnd w:id="217"/>
      <w:bookmarkStart w:id="218" w:name="_Toc184308087"/>
      <w:bookmarkEnd w:id="218"/>
      <w:bookmarkStart w:id="219" w:name="_Toc184313300"/>
      <w:bookmarkEnd w:id="219"/>
      <w:bookmarkStart w:id="220" w:name="_Toc184313285"/>
      <w:bookmarkEnd w:id="220"/>
      <w:bookmarkStart w:id="221" w:name="_Toc184313292"/>
      <w:bookmarkEnd w:id="221"/>
      <w:bookmarkStart w:id="222" w:name="_Toc184314449"/>
      <w:bookmarkEnd w:id="222"/>
      <w:bookmarkStart w:id="223" w:name="_Toc184312138"/>
      <w:bookmarkEnd w:id="223"/>
      <w:bookmarkStart w:id="224" w:name="_Toc184308041"/>
      <w:bookmarkEnd w:id="224"/>
      <w:bookmarkStart w:id="225" w:name="_Toc184312135"/>
      <w:bookmarkEnd w:id="225"/>
      <w:bookmarkStart w:id="226" w:name="_Toc184310290"/>
      <w:bookmarkEnd w:id="226"/>
      <w:bookmarkStart w:id="227" w:name="_Toc184312092"/>
      <w:bookmarkEnd w:id="227"/>
      <w:bookmarkStart w:id="228" w:name="_Toc184308046"/>
      <w:bookmarkEnd w:id="228"/>
      <w:bookmarkStart w:id="229" w:name="_Toc184313274"/>
      <w:bookmarkEnd w:id="229"/>
      <w:bookmarkStart w:id="230" w:name="_Toc184312071"/>
      <w:bookmarkEnd w:id="230"/>
      <w:bookmarkStart w:id="231" w:name="_Toc184312117"/>
      <w:bookmarkEnd w:id="231"/>
      <w:bookmarkStart w:id="232" w:name="_Toc184314428"/>
      <w:bookmarkEnd w:id="232"/>
      <w:bookmarkStart w:id="233" w:name="_Toc184312127"/>
      <w:bookmarkEnd w:id="233"/>
      <w:bookmarkStart w:id="234" w:name="_Toc184314477"/>
      <w:bookmarkEnd w:id="234"/>
      <w:bookmarkStart w:id="235" w:name="_Toc184312129"/>
      <w:bookmarkEnd w:id="235"/>
      <w:bookmarkStart w:id="236" w:name="_Toc184314480"/>
      <w:bookmarkEnd w:id="236"/>
      <w:bookmarkStart w:id="237" w:name="_Toc184308072"/>
      <w:bookmarkEnd w:id="237"/>
      <w:bookmarkStart w:id="238" w:name="_Toc184314460"/>
      <w:bookmarkEnd w:id="238"/>
      <w:bookmarkStart w:id="239" w:name="_Toc184314450"/>
      <w:bookmarkEnd w:id="239"/>
      <w:bookmarkStart w:id="240" w:name="_Toc184313302"/>
      <w:bookmarkEnd w:id="240"/>
      <w:bookmarkStart w:id="241" w:name="_Toc184310292"/>
      <w:bookmarkEnd w:id="241"/>
      <w:bookmarkStart w:id="242" w:name="_Toc184313299"/>
      <w:bookmarkEnd w:id="242"/>
      <w:bookmarkStart w:id="243" w:name="_Toc184314446"/>
      <w:bookmarkEnd w:id="243"/>
      <w:bookmarkStart w:id="244" w:name="_Toc184313284"/>
      <w:bookmarkEnd w:id="244"/>
      <w:bookmarkStart w:id="245" w:name="_Toc184312120"/>
      <w:bookmarkEnd w:id="245"/>
      <w:bookmarkStart w:id="246" w:name="_Toc184314437"/>
      <w:bookmarkEnd w:id="246"/>
      <w:bookmarkStart w:id="247" w:name="_Toc184308059"/>
      <w:bookmarkEnd w:id="247"/>
      <w:bookmarkStart w:id="248" w:name="_Toc184313291"/>
      <w:bookmarkEnd w:id="248"/>
      <w:bookmarkStart w:id="249" w:name="_Toc184310294"/>
      <w:bookmarkEnd w:id="249"/>
      <w:bookmarkStart w:id="250" w:name="_Toc184310274"/>
      <w:bookmarkEnd w:id="250"/>
      <w:bookmarkStart w:id="251" w:name="_Toc184313264"/>
      <w:bookmarkEnd w:id="251"/>
      <w:bookmarkStart w:id="252" w:name="_Toc184308057"/>
      <w:bookmarkEnd w:id="252"/>
      <w:bookmarkStart w:id="253" w:name="_Toc184314466"/>
      <w:bookmarkEnd w:id="253"/>
      <w:bookmarkStart w:id="254" w:name="_Toc184314468"/>
      <w:bookmarkEnd w:id="254"/>
      <w:bookmarkStart w:id="255" w:name="_Toc184313248"/>
      <w:bookmarkEnd w:id="255"/>
      <w:bookmarkStart w:id="256" w:name="_Toc184312124"/>
      <w:bookmarkEnd w:id="256"/>
      <w:bookmarkStart w:id="257" w:name="_Toc184313301"/>
      <w:bookmarkEnd w:id="257"/>
      <w:bookmarkStart w:id="258" w:name="_Toc184310303"/>
      <w:bookmarkEnd w:id="258"/>
      <w:bookmarkStart w:id="259" w:name="_Toc184314434"/>
      <w:bookmarkEnd w:id="259"/>
      <w:bookmarkStart w:id="260" w:name="_Toc184308078"/>
      <w:bookmarkEnd w:id="260"/>
      <w:bookmarkStart w:id="261" w:name="_Toc184314410"/>
      <w:bookmarkEnd w:id="261"/>
      <w:bookmarkStart w:id="262" w:name="_Toc184312136"/>
      <w:bookmarkEnd w:id="262"/>
      <w:bookmarkStart w:id="263" w:name="_Toc184314447"/>
      <w:bookmarkEnd w:id="263"/>
      <w:bookmarkStart w:id="264" w:name="_Toc184314474"/>
      <w:bookmarkEnd w:id="264"/>
      <w:bookmarkStart w:id="265" w:name="_Toc184310333"/>
      <w:bookmarkEnd w:id="265"/>
      <w:bookmarkStart w:id="266" w:name="_Toc184313252"/>
      <w:bookmarkEnd w:id="266"/>
      <w:bookmarkStart w:id="267" w:name="_Toc184314442"/>
      <w:bookmarkEnd w:id="267"/>
      <w:bookmarkStart w:id="268" w:name="_Toc184308051"/>
      <w:bookmarkEnd w:id="268"/>
      <w:bookmarkStart w:id="269" w:name="_Toc184314475"/>
      <w:bookmarkEnd w:id="269"/>
      <w:bookmarkStart w:id="270" w:name="_Toc184308048"/>
      <w:bookmarkEnd w:id="270"/>
      <w:bookmarkStart w:id="271" w:name="_Toc184312083"/>
      <w:bookmarkEnd w:id="271"/>
      <w:bookmarkStart w:id="272" w:name="_Toc184312121"/>
      <w:bookmarkEnd w:id="272"/>
      <w:bookmarkStart w:id="273" w:name="_Toc184310337"/>
      <w:bookmarkEnd w:id="273"/>
      <w:bookmarkStart w:id="274" w:name="_Toc184313305"/>
      <w:bookmarkEnd w:id="274"/>
      <w:bookmarkStart w:id="275" w:name="_Toc184313268"/>
      <w:bookmarkEnd w:id="275"/>
      <w:bookmarkStart w:id="276" w:name="_Toc184308083"/>
      <w:bookmarkEnd w:id="276"/>
      <w:bookmarkStart w:id="277" w:name="_Toc184308080"/>
      <w:bookmarkEnd w:id="277"/>
      <w:bookmarkStart w:id="278" w:name="_Toc184308091"/>
      <w:bookmarkEnd w:id="278"/>
      <w:bookmarkStart w:id="279" w:name="_Toc184313269"/>
      <w:bookmarkEnd w:id="279"/>
      <w:bookmarkStart w:id="280" w:name="_Toc184312132"/>
      <w:bookmarkEnd w:id="280"/>
      <w:bookmarkStart w:id="281" w:name="_Toc184314473"/>
      <w:bookmarkEnd w:id="281"/>
      <w:bookmarkStart w:id="282" w:name="_Toc184314453"/>
      <w:bookmarkEnd w:id="282"/>
      <w:bookmarkStart w:id="283" w:name="_Toc184312126"/>
      <w:bookmarkEnd w:id="283"/>
      <w:bookmarkStart w:id="284" w:name="_Toc184308064"/>
      <w:bookmarkEnd w:id="284"/>
      <w:bookmarkStart w:id="285" w:name="_Toc184314455"/>
      <w:bookmarkEnd w:id="285"/>
      <w:bookmarkStart w:id="286" w:name="_Toc184312079"/>
      <w:bookmarkEnd w:id="286"/>
      <w:bookmarkStart w:id="287" w:name="_Toc184312109"/>
      <w:bookmarkEnd w:id="287"/>
      <w:bookmarkStart w:id="288" w:name="_Toc184312096"/>
      <w:bookmarkEnd w:id="288"/>
      <w:bookmarkStart w:id="289" w:name="_Toc184312089"/>
      <w:bookmarkEnd w:id="289"/>
      <w:bookmarkStart w:id="290" w:name="_Toc184308074"/>
      <w:bookmarkEnd w:id="290"/>
      <w:bookmarkStart w:id="291" w:name="_Toc184312093"/>
      <w:bookmarkEnd w:id="291"/>
      <w:bookmarkStart w:id="292" w:name="_Toc184314470"/>
      <w:bookmarkEnd w:id="292"/>
      <w:bookmarkStart w:id="293" w:name="_Toc184314425"/>
      <w:bookmarkEnd w:id="293"/>
      <w:bookmarkStart w:id="294" w:name="_Toc184314479"/>
      <w:bookmarkEnd w:id="294"/>
      <w:bookmarkStart w:id="295" w:name="_Toc184313273"/>
      <w:bookmarkEnd w:id="295"/>
      <w:bookmarkStart w:id="296" w:name="_Toc184310315"/>
      <w:bookmarkEnd w:id="296"/>
      <w:bookmarkStart w:id="297" w:name="_Toc184310339"/>
      <w:bookmarkEnd w:id="297"/>
      <w:bookmarkStart w:id="298" w:name="_Toc184308053"/>
      <w:bookmarkEnd w:id="298"/>
      <w:bookmarkStart w:id="299" w:name="_Toc184308079"/>
      <w:bookmarkEnd w:id="299"/>
      <w:bookmarkStart w:id="300" w:name="_Toc184313259"/>
      <w:bookmarkEnd w:id="300"/>
      <w:bookmarkStart w:id="301" w:name="_Toc184310320"/>
      <w:bookmarkEnd w:id="301"/>
      <w:bookmarkStart w:id="302" w:name="_Toc184308036"/>
      <w:bookmarkEnd w:id="302"/>
      <w:bookmarkStart w:id="303" w:name="_Toc184308039"/>
      <w:bookmarkEnd w:id="303"/>
      <w:bookmarkStart w:id="304" w:name="_Toc184308094"/>
      <w:bookmarkEnd w:id="304"/>
      <w:bookmarkStart w:id="305" w:name="_Toc184312131"/>
      <w:bookmarkEnd w:id="305"/>
      <w:bookmarkStart w:id="306" w:name="_Toc184312074"/>
      <w:bookmarkEnd w:id="306"/>
      <w:bookmarkStart w:id="307" w:name="_Toc184310282"/>
      <w:bookmarkEnd w:id="307"/>
      <w:bookmarkStart w:id="308" w:name="_Toc184312088"/>
      <w:bookmarkEnd w:id="308"/>
      <w:bookmarkStart w:id="309" w:name="_Toc184313249"/>
      <w:bookmarkEnd w:id="309"/>
      <w:bookmarkStart w:id="310" w:name="_Toc184313280"/>
      <w:bookmarkEnd w:id="310"/>
      <w:bookmarkStart w:id="311" w:name="_Toc184313255"/>
      <w:bookmarkEnd w:id="311"/>
      <w:bookmarkStart w:id="312" w:name="_Toc184308066"/>
      <w:bookmarkEnd w:id="312"/>
      <w:bookmarkStart w:id="313" w:name="_Toc184308067"/>
      <w:bookmarkEnd w:id="313"/>
      <w:bookmarkStart w:id="314" w:name="_Toc184313308"/>
      <w:bookmarkEnd w:id="314"/>
      <w:bookmarkStart w:id="315" w:name="_Toc184313247"/>
      <w:bookmarkEnd w:id="315"/>
      <w:bookmarkStart w:id="316" w:name="_Toc184312130"/>
      <w:bookmarkEnd w:id="316"/>
      <w:bookmarkStart w:id="317" w:name="_Toc184314417"/>
      <w:bookmarkEnd w:id="317"/>
      <w:bookmarkStart w:id="318" w:name="_Toc184310334"/>
      <w:bookmarkEnd w:id="318"/>
      <w:bookmarkStart w:id="319" w:name="_Toc184314444"/>
      <w:bookmarkEnd w:id="319"/>
      <w:bookmarkStart w:id="320" w:name="_Toc184312103"/>
      <w:bookmarkEnd w:id="320"/>
      <w:bookmarkStart w:id="321" w:name="_Toc184312082"/>
      <w:bookmarkEnd w:id="321"/>
      <w:bookmarkStart w:id="322" w:name="_Toc184310329"/>
      <w:bookmarkEnd w:id="322"/>
      <w:bookmarkStart w:id="323" w:name="_Toc184312067"/>
      <w:bookmarkEnd w:id="323"/>
      <w:bookmarkStart w:id="324" w:name="_Toc184310285"/>
      <w:bookmarkEnd w:id="324"/>
      <w:bookmarkStart w:id="325" w:name="_Toc184314456"/>
      <w:bookmarkEnd w:id="325"/>
      <w:bookmarkStart w:id="326" w:name="_Toc184313276"/>
      <w:bookmarkEnd w:id="326"/>
      <w:bookmarkStart w:id="327" w:name="_Toc184310299"/>
      <w:bookmarkEnd w:id="327"/>
      <w:bookmarkStart w:id="328" w:name="_Toc184312102"/>
      <w:bookmarkEnd w:id="328"/>
      <w:bookmarkStart w:id="329" w:name="_Toc184314421"/>
      <w:bookmarkEnd w:id="329"/>
      <w:bookmarkStart w:id="330" w:name="_Toc184308045"/>
      <w:bookmarkEnd w:id="330"/>
      <w:bookmarkStart w:id="331" w:name="_Toc184310278"/>
      <w:bookmarkEnd w:id="331"/>
      <w:bookmarkStart w:id="332" w:name="_Toc184308047"/>
      <w:bookmarkEnd w:id="332"/>
      <w:bookmarkStart w:id="333" w:name="_Toc184314426"/>
      <w:bookmarkEnd w:id="333"/>
      <w:bookmarkStart w:id="334" w:name="_Toc184310316"/>
      <w:bookmarkEnd w:id="334"/>
      <w:bookmarkStart w:id="335" w:name="_Toc184310331"/>
      <w:bookmarkEnd w:id="335"/>
      <w:bookmarkStart w:id="336" w:name="_Toc184308042"/>
      <w:bookmarkEnd w:id="336"/>
      <w:bookmarkStart w:id="337" w:name="_Toc184310344"/>
      <w:bookmarkEnd w:id="337"/>
      <w:bookmarkStart w:id="338" w:name="_Toc184312073"/>
      <w:bookmarkEnd w:id="338"/>
      <w:bookmarkStart w:id="339" w:name="_Toc184310332"/>
      <w:bookmarkEnd w:id="339"/>
      <w:bookmarkStart w:id="340" w:name="_Toc184314476"/>
      <w:bookmarkEnd w:id="340"/>
      <w:bookmarkStart w:id="341" w:name="_Toc184313281"/>
      <w:bookmarkEnd w:id="341"/>
      <w:bookmarkStart w:id="342" w:name="_Toc184308081"/>
      <w:bookmarkEnd w:id="342"/>
      <w:bookmarkStart w:id="343" w:name="_Toc184312119"/>
      <w:bookmarkEnd w:id="343"/>
      <w:bookmarkStart w:id="344" w:name="_Toc184313240"/>
      <w:bookmarkEnd w:id="344"/>
      <w:bookmarkStart w:id="345" w:name="_Toc184314427"/>
      <w:bookmarkEnd w:id="345"/>
      <w:bookmarkStart w:id="346" w:name="_Toc184314441"/>
      <w:bookmarkEnd w:id="346"/>
      <w:bookmarkStart w:id="347" w:name="_Toc184310275"/>
      <w:bookmarkEnd w:id="347"/>
      <w:bookmarkStart w:id="348" w:name="_Toc184312107"/>
      <w:bookmarkEnd w:id="348"/>
      <w:bookmarkStart w:id="349" w:name="_Toc184308068"/>
      <w:bookmarkEnd w:id="349"/>
      <w:bookmarkStart w:id="350" w:name="_Toc184310286"/>
      <w:bookmarkEnd w:id="350"/>
      <w:bookmarkStart w:id="351" w:name="_Toc184308056"/>
      <w:bookmarkEnd w:id="351"/>
      <w:bookmarkStart w:id="352" w:name="_Toc184312087"/>
      <w:bookmarkEnd w:id="352"/>
      <w:bookmarkStart w:id="353" w:name="_Toc184313304"/>
      <w:bookmarkEnd w:id="353"/>
      <w:bookmarkStart w:id="354" w:name="_Toc184313238"/>
      <w:bookmarkEnd w:id="354"/>
      <w:bookmarkStart w:id="355" w:name="_Toc184310312"/>
      <w:bookmarkEnd w:id="355"/>
      <w:bookmarkStart w:id="356" w:name="_Toc184310321"/>
      <w:bookmarkEnd w:id="356"/>
      <w:bookmarkStart w:id="357" w:name="_Toc184312105"/>
      <w:bookmarkEnd w:id="357"/>
      <w:bookmarkStart w:id="358" w:name="_Toc184310324"/>
      <w:bookmarkEnd w:id="358"/>
      <w:bookmarkStart w:id="359" w:name="_Toc184313239"/>
      <w:bookmarkEnd w:id="359"/>
      <w:bookmarkStart w:id="360" w:name="_Toc184310295"/>
      <w:bookmarkEnd w:id="360"/>
      <w:bookmarkStart w:id="361" w:name="_Toc184314463"/>
      <w:bookmarkEnd w:id="361"/>
      <w:bookmarkStart w:id="362" w:name="_Toc184312134"/>
      <w:bookmarkEnd w:id="362"/>
      <w:bookmarkStart w:id="363" w:name="_Toc184313289"/>
      <w:bookmarkEnd w:id="363"/>
      <w:bookmarkStart w:id="364" w:name="_Toc184314422"/>
      <w:bookmarkEnd w:id="364"/>
      <w:bookmarkStart w:id="365" w:name="_Toc184313282"/>
      <w:bookmarkEnd w:id="365"/>
      <w:bookmarkStart w:id="366" w:name="_Toc184313275"/>
      <w:bookmarkEnd w:id="366"/>
      <w:bookmarkStart w:id="367" w:name="_Toc184312094"/>
      <w:bookmarkEnd w:id="367"/>
      <w:bookmarkStart w:id="368" w:name="_Toc184313266"/>
      <w:bookmarkEnd w:id="368"/>
      <w:bookmarkStart w:id="369" w:name="_Toc184312111"/>
      <w:bookmarkEnd w:id="369"/>
      <w:bookmarkStart w:id="370" w:name="_Toc184312108"/>
      <w:bookmarkEnd w:id="370"/>
      <w:bookmarkStart w:id="371" w:name="_Toc184308076"/>
      <w:bookmarkEnd w:id="371"/>
      <w:bookmarkStart w:id="372" w:name="_Toc184313294"/>
      <w:bookmarkEnd w:id="372"/>
      <w:bookmarkStart w:id="373" w:name="_Toc184308104"/>
      <w:bookmarkEnd w:id="373"/>
      <w:bookmarkStart w:id="374" w:name="_Toc184314412"/>
      <w:bookmarkEnd w:id="374"/>
      <w:bookmarkStart w:id="375" w:name="_Toc184310341"/>
      <w:bookmarkEnd w:id="375"/>
      <w:bookmarkStart w:id="376" w:name="_Toc184314481"/>
      <w:bookmarkEnd w:id="376"/>
      <w:bookmarkStart w:id="377" w:name="_Toc184308038"/>
      <w:bookmarkEnd w:id="377"/>
      <w:bookmarkStart w:id="378" w:name="_Toc184314459"/>
      <w:bookmarkEnd w:id="378"/>
      <w:bookmarkStart w:id="379" w:name="_Toc184310323"/>
      <w:bookmarkEnd w:id="379"/>
      <w:bookmarkStart w:id="380" w:name="_Toc184314465"/>
      <w:bookmarkEnd w:id="380"/>
      <w:bookmarkStart w:id="381" w:name="_Toc184313290"/>
      <w:bookmarkEnd w:id="381"/>
      <w:bookmarkStart w:id="382" w:name="_Toc184314478"/>
      <w:bookmarkEnd w:id="382"/>
      <w:bookmarkStart w:id="383" w:name="_Toc184308085"/>
      <w:bookmarkEnd w:id="383"/>
      <w:bookmarkStart w:id="384" w:name="_Toc184308058"/>
      <w:bookmarkEnd w:id="384"/>
      <w:bookmarkStart w:id="385" w:name="_Toc184308060"/>
      <w:bookmarkEnd w:id="385"/>
      <w:bookmarkStart w:id="386" w:name="_Toc184308065"/>
      <w:bookmarkEnd w:id="386"/>
      <w:bookmarkStart w:id="387" w:name="_Toc184312123"/>
      <w:bookmarkEnd w:id="387"/>
      <w:bookmarkStart w:id="388" w:name="_Toc184308098"/>
      <w:bookmarkEnd w:id="388"/>
      <w:bookmarkStart w:id="389" w:name="_Toc184308070"/>
      <w:bookmarkEnd w:id="389"/>
      <w:bookmarkStart w:id="390" w:name="_Toc184310272"/>
      <w:bookmarkEnd w:id="390"/>
      <w:bookmarkStart w:id="391" w:name="_Toc184313278"/>
      <w:bookmarkEnd w:id="391"/>
      <w:bookmarkStart w:id="392" w:name="_Toc184313286"/>
      <w:bookmarkEnd w:id="392"/>
      <w:bookmarkStart w:id="393" w:name="_Toc184308071"/>
      <w:bookmarkEnd w:id="393"/>
      <w:bookmarkStart w:id="394" w:name="_Toc184314467"/>
      <w:bookmarkEnd w:id="394"/>
      <w:bookmarkStart w:id="395" w:name="_Toc184313263"/>
      <w:bookmarkEnd w:id="395"/>
      <w:bookmarkStart w:id="396" w:name="_Toc184310330"/>
      <w:bookmarkEnd w:id="396"/>
      <w:bookmarkStart w:id="397" w:name="_Toc184310309"/>
      <w:bookmarkEnd w:id="397"/>
      <w:r>
        <w:rPr>
          <w:rFonts w:hint="eastAsia" w:ascii="宋体" w:hAnsi="宋体" w:eastAsia="宋体" w:cs="宋体"/>
          <w:b/>
          <w:color w:val="auto"/>
          <w:sz w:val="36"/>
          <w:szCs w:val="36"/>
          <w:highlight w:val="none"/>
        </w:rPr>
        <w:t>评标办法</w:t>
      </w:r>
    </w:p>
    <w:p>
      <w:pPr>
        <w:snapToGrid w:val="0"/>
        <w:spacing w:line="360" w:lineRule="auto"/>
        <w:jc w:val="cente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评标办法前附表</w:t>
      </w:r>
    </w:p>
    <w:tbl>
      <w:tblPr>
        <w:tblStyle w:val="62"/>
        <w:tblW w:w="6414" w:type="pct"/>
        <w:tblInd w:w="-1067"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044"/>
        <w:gridCol w:w="798"/>
        <w:gridCol w:w="1160"/>
        <w:gridCol w:w="7151"/>
        <w:gridCol w:w="744"/>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24" w:hRule="atLeast"/>
        </w:trPr>
        <w:tc>
          <w:tcPr>
            <w:tcW w:w="478"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项目</w:t>
            </w:r>
          </w:p>
        </w:tc>
        <w:tc>
          <w:tcPr>
            <w:tcW w:w="4179" w:type="pct"/>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评分内容和标准</w:t>
            </w:r>
          </w:p>
        </w:tc>
        <w:tc>
          <w:tcPr>
            <w:tcW w:w="341" w:type="pct"/>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备注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13" w:hRule="atLeast"/>
        </w:trPr>
        <w:tc>
          <w:tcPr>
            <w:tcW w:w="478" w:type="pct"/>
            <w:vMerge w:val="restart"/>
            <w:tcBorders>
              <w:top w:val="single" w:color="auto" w:sz="4" w:space="0"/>
              <w:left w:val="single" w:color="auto" w:sz="4" w:space="0"/>
              <w:right w:val="single" w:color="auto" w:sz="4" w:space="0"/>
            </w:tcBorders>
            <w:noWrap w:val="0"/>
            <w:vAlign w:val="center"/>
          </w:tcPr>
          <w:p>
            <w:pPr>
              <w:adjustRightInd w:val="0"/>
              <w:jc w:val="center"/>
              <w:rPr>
                <w:rFonts w:hint="eastAsia" w:ascii="宋体" w:hAnsi="宋体" w:eastAsia="宋体" w:cs="宋体"/>
                <w:color w:val="auto"/>
                <w:szCs w:val="21"/>
                <w:highlight w:val="none"/>
              </w:rPr>
            </w:pPr>
          </w:p>
          <w:p>
            <w:pPr>
              <w:adjustRightInd w:val="0"/>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商务技术分</w:t>
            </w:r>
          </w:p>
          <w:p>
            <w:pPr>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（85分）</w:t>
            </w:r>
          </w:p>
        </w:tc>
        <w:tc>
          <w:tcPr>
            <w:tcW w:w="366"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序号</w:t>
            </w:r>
          </w:p>
        </w:tc>
        <w:tc>
          <w:tcPr>
            <w:tcW w:w="3813" w:type="pct"/>
            <w:gridSpan w:val="2"/>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eastAsia" w:ascii="宋体" w:hAnsi="宋体" w:eastAsia="宋体" w:cs="宋体"/>
                <w:color w:val="auto"/>
                <w:szCs w:val="21"/>
                <w:highlight w:val="none"/>
              </w:rPr>
            </w:pPr>
            <w:r>
              <w:rPr>
                <w:rFonts w:hint="eastAsia" w:ascii="宋体" w:hAnsi="宋体" w:eastAsia="宋体" w:cs="宋体"/>
                <w:bCs/>
                <w:color w:val="auto"/>
                <w:szCs w:val="21"/>
                <w:highlight w:val="none"/>
                <w:lang w:bidi="ar"/>
              </w:rPr>
              <w:t>内容</w:t>
            </w:r>
          </w:p>
        </w:tc>
        <w:tc>
          <w:tcPr>
            <w:tcW w:w="341" w:type="pct"/>
            <w:vMerge w:val="continue"/>
            <w:tcBorders>
              <w:left w:val="single" w:color="auto" w:sz="4" w:space="0"/>
              <w:bottom w:val="single" w:color="auto" w:sz="4" w:space="0"/>
              <w:right w:val="single" w:color="auto" w:sz="4" w:space="0"/>
            </w:tcBorders>
            <w:noWrap w:val="0"/>
            <w:vAlign w:val="center"/>
          </w:tcPr>
          <w:p>
            <w:pPr>
              <w:adjustRightInd w:val="0"/>
              <w:jc w:val="center"/>
              <w:rPr>
                <w:rFonts w:hint="eastAsia" w:ascii="宋体" w:hAnsi="宋体" w:eastAsia="宋体" w:cs="宋体"/>
                <w:bCs/>
                <w:color w:val="auto"/>
                <w:szCs w:val="21"/>
                <w:highlight w:val="none"/>
                <w:lang w:bidi="ar"/>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597" w:hRule="atLeast"/>
        </w:trPr>
        <w:tc>
          <w:tcPr>
            <w:tcW w:w="478" w:type="pct"/>
            <w:vMerge w:val="continue"/>
            <w:tcBorders>
              <w:left w:val="single" w:color="auto" w:sz="4" w:space="0"/>
              <w:right w:val="single" w:color="auto" w:sz="4" w:space="0"/>
            </w:tcBorders>
            <w:noWrap w:val="0"/>
            <w:vAlign w:val="center"/>
          </w:tcPr>
          <w:p>
            <w:pPr>
              <w:adjustRightInd w:val="0"/>
              <w:rPr>
                <w:rFonts w:hint="eastAsia" w:ascii="宋体" w:hAnsi="宋体" w:eastAsia="宋体" w:cs="宋体"/>
                <w:color w:val="auto"/>
                <w:szCs w:val="21"/>
                <w:highlight w:val="none"/>
              </w:rPr>
            </w:pPr>
          </w:p>
        </w:tc>
        <w:tc>
          <w:tcPr>
            <w:tcW w:w="366" w:type="pct"/>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1</w:t>
            </w:r>
          </w:p>
        </w:tc>
        <w:tc>
          <w:tcPr>
            <w:tcW w:w="532" w:type="pct"/>
            <w:vMerge w:val="restart"/>
            <w:tcBorders>
              <w:top w:val="single" w:color="auto" w:sz="4" w:space="0"/>
              <w:left w:val="single" w:color="auto" w:sz="4" w:space="0"/>
              <w:right w:val="single" w:color="auto" w:sz="4" w:space="0"/>
            </w:tcBorders>
            <w:noWrap w:val="0"/>
            <w:vAlign w:val="center"/>
          </w:tcPr>
          <w:p>
            <w:pPr>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城镇住房综合保险方案</w:t>
            </w:r>
          </w:p>
          <w:p>
            <w:pPr>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（10分）</w:t>
            </w:r>
          </w:p>
        </w:tc>
        <w:tc>
          <w:tcPr>
            <w:tcW w:w="3281" w:type="pct"/>
            <w:tcBorders>
              <w:top w:val="single" w:color="auto" w:sz="4" w:space="0"/>
              <w:left w:val="single" w:color="auto" w:sz="4" w:space="0"/>
              <w:bottom w:val="single" w:color="auto" w:sz="4" w:space="0"/>
              <w:right w:val="single" w:color="auto" w:sz="4" w:space="0"/>
            </w:tcBorders>
            <w:noWrap w:val="0"/>
            <w:vAlign w:val="center"/>
          </w:tcPr>
          <w:p>
            <w:pPr>
              <w:adjustRightInd w:val="0"/>
              <w:jc w:val="left"/>
              <w:rPr>
                <w:rFonts w:hint="eastAsia" w:ascii="宋体" w:hAnsi="宋体" w:eastAsia="宋体" w:cs="宋体"/>
                <w:color w:val="auto"/>
                <w:highlight w:val="none"/>
              </w:rPr>
            </w:pPr>
            <w:r>
              <w:rPr>
                <w:rFonts w:hint="eastAsia" w:ascii="宋体" w:hAnsi="宋体" w:eastAsia="宋体" w:cs="宋体"/>
                <w:color w:val="auto"/>
                <w:highlight w:val="none"/>
              </w:rPr>
              <w:t>根据供应商针对本项目提供的城镇住房综合保险的承保方案、理赔方案是否具有可行性，承保方案和理赔方案流程是否清晰、理赔资料是否简单明了、理赔制度是否规范进行评审：</w:t>
            </w:r>
          </w:p>
          <w:p>
            <w:pPr>
              <w:adjustRightInd w:val="0"/>
              <w:jc w:val="left"/>
              <w:rPr>
                <w:rFonts w:hint="eastAsia" w:ascii="宋体" w:hAnsi="宋体" w:eastAsia="宋体" w:cs="宋体"/>
                <w:color w:val="auto"/>
                <w:highlight w:val="none"/>
              </w:rPr>
            </w:pPr>
            <w:r>
              <w:rPr>
                <w:rFonts w:hint="eastAsia" w:ascii="宋体" w:hAnsi="宋体" w:eastAsia="宋体" w:cs="宋体"/>
                <w:color w:val="auto"/>
                <w:highlight w:val="none"/>
              </w:rPr>
              <w:t>方案内容可行性强、流程清晰、资料简单明了、制度规范的得5分；</w:t>
            </w:r>
          </w:p>
          <w:p>
            <w:pPr>
              <w:adjustRightInd w:val="0"/>
              <w:jc w:val="left"/>
              <w:rPr>
                <w:rFonts w:hint="eastAsia" w:ascii="宋体" w:hAnsi="宋体" w:eastAsia="宋体" w:cs="宋体"/>
                <w:color w:val="auto"/>
                <w:highlight w:val="none"/>
              </w:rPr>
            </w:pPr>
            <w:r>
              <w:rPr>
                <w:rFonts w:hint="eastAsia" w:ascii="宋体" w:hAnsi="宋体" w:eastAsia="宋体" w:cs="宋体"/>
                <w:color w:val="auto"/>
                <w:highlight w:val="none"/>
              </w:rPr>
              <w:t>可行性一般、流程较清晰、资料较简单、制度较规范的得3.5分；</w:t>
            </w:r>
          </w:p>
          <w:p>
            <w:pPr>
              <w:adjustRightInd w:val="0"/>
              <w:jc w:val="left"/>
              <w:rPr>
                <w:rFonts w:hint="eastAsia" w:ascii="宋体" w:hAnsi="宋体" w:eastAsia="宋体" w:cs="宋体"/>
                <w:color w:val="auto"/>
                <w:highlight w:val="none"/>
              </w:rPr>
            </w:pPr>
            <w:r>
              <w:rPr>
                <w:rFonts w:hint="eastAsia" w:ascii="宋体" w:hAnsi="宋体" w:eastAsia="宋体" w:cs="宋体"/>
                <w:color w:val="auto"/>
                <w:highlight w:val="none"/>
              </w:rPr>
              <w:t>可行性差，流程不够清晰、资料不够简单明了、制度不够规范的得2分；</w:t>
            </w:r>
          </w:p>
          <w:p>
            <w:pPr>
              <w:adjustRightInd w:val="0"/>
              <w:jc w:val="left"/>
              <w:rPr>
                <w:rFonts w:hint="eastAsia" w:ascii="宋体" w:hAnsi="宋体" w:eastAsia="宋体" w:cs="宋体"/>
                <w:color w:val="auto"/>
                <w:szCs w:val="21"/>
                <w:highlight w:val="none"/>
                <w:lang w:bidi="ar"/>
              </w:rPr>
            </w:pPr>
            <w:r>
              <w:rPr>
                <w:rFonts w:hint="eastAsia" w:ascii="宋体" w:hAnsi="宋体" w:eastAsia="宋体" w:cs="宋体"/>
                <w:color w:val="auto"/>
                <w:highlight w:val="none"/>
              </w:rPr>
              <w:t>未提供任何方案的不得分。</w:t>
            </w:r>
          </w:p>
        </w:tc>
        <w:tc>
          <w:tcPr>
            <w:tcW w:w="341"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主观评审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823" w:hRule="atLeast"/>
        </w:trPr>
        <w:tc>
          <w:tcPr>
            <w:tcW w:w="478" w:type="pct"/>
            <w:vMerge w:val="continue"/>
            <w:tcBorders>
              <w:left w:val="single" w:color="auto" w:sz="4" w:space="0"/>
              <w:right w:val="single" w:color="auto" w:sz="4" w:space="0"/>
            </w:tcBorders>
            <w:noWrap w:val="0"/>
            <w:vAlign w:val="center"/>
          </w:tcPr>
          <w:p>
            <w:pPr>
              <w:adjustRightInd w:val="0"/>
              <w:rPr>
                <w:rFonts w:hint="eastAsia" w:ascii="宋体" w:hAnsi="宋体" w:eastAsia="宋体" w:cs="宋体"/>
                <w:color w:val="auto"/>
                <w:szCs w:val="21"/>
                <w:highlight w:val="none"/>
              </w:rPr>
            </w:pPr>
          </w:p>
        </w:tc>
        <w:tc>
          <w:tcPr>
            <w:tcW w:w="366" w:type="pct"/>
            <w:vMerge w:val="continue"/>
            <w:tcBorders>
              <w:left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auto"/>
                <w:szCs w:val="21"/>
                <w:highlight w:val="none"/>
                <w:lang w:bidi="ar"/>
              </w:rPr>
            </w:pPr>
          </w:p>
        </w:tc>
        <w:tc>
          <w:tcPr>
            <w:tcW w:w="532" w:type="pct"/>
            <w:vMerge w:val="continue"/>
            <w:tcBorders>
              <w:left w:val="single" w:color="auto" w:sz="4" w:space="0"/>
              <w:right w:val="single" w:color="auto" w:sz="4" w:space="0"/>
            </w:tcBorders>
            <w:noWrap w:val="0"/>
            <w:vAlign w:val="center"/>
          </w:tcPr>
          <w:p>
            <w:pPr>
              <w:adjustRightInd w:val="0"/>
              <w:jc w:val="center"/>
              <w:rPr>
                <w:rFonts w:hint="eastAsia" w:ascii="宋体" w:hAnsi="宋体" w:eastAsia="宋体" w:cs="宋体"/>
                <w:color w:val="auto"/>
                <w:szCs w:val="21"/>
                <w:highlight w:val="none"/>
              </w:rPr>
            </w:pPr>
          </w:p>
        </w:tc>
        <w:tc>
          <w:tcPr>
            <w:tcW w:w="3281" w:type="pct"/>
            <w:tcBorders>
              <w:top w:val="single" w:color="auto" w:sz="4" w:space="0"/>
              <w:left w:val="single" w:color="auto" w:sz="4" w:space="0"/>
              <w:right w:val="single" w:color="auto" w:sz="4" w:space="0"/>
            </w:tcBorders>
            <w:noWrap w:val="0"/>
            <w:vAlign w:val="center"/>
          </w:tcPr>
          <w:p>
            <w:pPr>
              <w:adjustRightInd w:val="0"/>
              <w:jc w:val="left"/>
              <w:rPr>
                <w:rFonts w:hint="eastAsia" w:ascii="宋体" w:hAnsi="宋体" w:eastAsia="宋体" w:cs="宋体"/>
                <w:color w:val="auto"/>
                <w:highlight w:val="none"/>
              </w:rPr>
            </w:pPr>
            <w:r>
              <w:rPr>
                <w:rFonts w:hint="eastAsia" w:ascii="宋体" w:hAnsi="宋体" w:eastAsia="宋体" w:cs="宋体"/>
                <w:color w:val="auto"/>
                <w:highlight w:val="none"/>
              </w:rPr>
              <w:t>根据供应商针对本项目提供的合同期内可能发生的应急情况编制的保险应急方案以及制定的房屋安全应急演练方案是否具有可行性，保险应急方案是否科学、流程是否清晰，房屋安全应急演练方案是否符合项目开展需求、是否具有实操性（要求提供相关照片及材料以证明其操作性）进行评审：</w:t>
            </w:r>
          </w:p>
          <w:p>
            <w:pPr>
              <w:adjustRightInd w:val="0"/>
              <w:jc w:val="left"/>
              <w:rPr>
                <w:rFonts w:hint="eastAsia" w:ascii="宋体" w:hAnsi="宋体" w:eastAsia="宋体" w:cs="宋体"/>
                <w:color w:val="auto"/>
                <w:highlight w:val="none"/>
              </w:rPr>
            </w:pPr>
            <w:r>
              <w:rPr>
                <w:rFonts w:hint="eastAsia" w:ascii="宋体" w:hAnsi="宋体" w:eastAsia="宋体" w:cs="宋体"/>
                <w:color w:val="auto"/>
                <w:highlight w:val="none"/>
              </w:rPr>
              <w:t>方案内容可行性强、流程清晰、能很好的符合项目开展需求的得5分；</w:t>
            </w:r>
          </w:p>
          <w:p>
            <w:pPr>
              <w:adjustRightInd w:val="0"/>
              <w:jc w:val="left"/>
              <w:rPr>
                <w:rFonts w:hint="eastAsia" w:ascii="宋体" w:hAnsi="宋体" w:eastAsia="宋体" w:cs="宋体"/>
                <w:color w:val="auto"/>
                <w:highlight w:val="none"/>
              </w:rPr>
            </w:pPr>
            <w:r>
              <w:rPr>
                <w:rFonts w:hint="eastAsia" w:ascii="宋体" w:hAnsi="宋体" w:eastAsia="宋体" w:cs="宋体"/>
                <w:color w:val="auto"/>
                <w:highlight w:val="none"/>
              </w:rPr>
              <w:t>可行性一般、流程较清晰、基本符合项目开展需求的得3.5分；</w:t>
            </w:r>
          </w:p>
          <w:p>
            <w:pPr>
              <w:adjustRightInd w:val="0"/>
              <w:jc w:val="left"/>
              <w:rPr>
                <w:rFonts w:hint="eastAsia" w:ascii="宋体" w:hAnsi="宋体" w:eastAsia="宋体" w:cs="宋体"/>
                <w:color w:val="auto"/>
                <w:highlight w:val="none"/>
              </w:rPr>
            </w:pPr>
            <w:r>
              <w:rPr>
                <w:rFonts w:hint="eastAsia" w:ascii="宋体" w:hAnsi="宋体" w:eastAsia="宋体" w:cs="宋体"/>
                <w:color w:val="auto"/>
                <w:highlight w:val="none"/>
              </w:rPr>
              <w:t>可行性差，流程不够清晰、</w:t>
            </w:r>
            <w:r>
              <w:rPr>
                <w:rFonts w:hint="eastAsia" w:ascii="宋体" w:hAnsi="宋体" w:eastAsia="宋体" w:cs="宋体"/>
                <w:color w:val="auto"/>
                <w:highlight w:val="none"/>
                <w:lang w:eastAsia="zh-CN"/>
              </w:rPr>
              <w:t>可能给</w:t>
            </w:r>
            <w:r>
              <w:rPr>
                <w:rFonts w:hint="eastAsia" w:ascii="宋体" w:hAnsi="宋体" w:eastAsia="宋体" w:cs="宋体"/>
                <w:color w:val="auto"/>
                <w:highlight w:val="none"/>
              </w:rPr>
              <w:t>项目开展造成影响的得2分；</w:t>
            </w:r>
          </w:p>
          <w:p>
            <w:pPr>
              <w:adjustRightInd w:val="0"/>
              <w:jc w:val="left"/>
              <w:rPr>
                <w:rFonts w:hint="eastAsia" w:ascii="宋体" w:hAnsi="宋体" w:eastAsia="宋体" w:cs="宋体"/>
                <w:color w:val="auto"/>
                <w:szCs w:val="21"/>
                <w:highlight w:val="none"/>
                <w:lang w:bidi="ar"/>
              </w:rPr>
            </w:pPr>
            <w:r>
              <w:rPr>
                <w:rFonts w:hint="eastAsia" w:ascii="宋体" w:hAnsi="宋体" w:eastAsia="宋体" w:cs="宋体"/>
                <w:color w:val="auto"/>
                <w:highlight w:val="none"/>
              </w:rPr>
              <w:t>未提供任何方案的不得分</w:t>
            </w:r>
            <w:r>
              <w:rPr>
                <w:rFonts w:hint="eastAsia" w:ascii="宋体" w:hAnsi="宋体" w:eastAsia="宋体" w:cs="宋体"/>
                <w:snapToGrid w:val="0"/>
                <w:color w:val="auto"/>
                <w:kern w:val="0"/>
                <w:szCs w:val="21"/>
                <w:highlight w:val="none"/>
              </w:rPr>
              <w:t>。</w:t>
            </w:r>
          </w:p>
        </w:tc>
        <w:tc>
          <w:tcPr>
            <w:tcW w:w="341"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主观评审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325" w:hRule="atLeast"/>
        </w:trPr>
        <w:tc>
          <w:tcPr>
            <w:tcW w:w="478" w:type="pct"/>
            <w:vMerge w:val="continue"/>
            <w:tcBorders>
              <w:left w:val="single" w:color="auto" w:sz="4" w:space="0"/>
              <w:right w:val="single" w:color="auto" w:sz="4" w:space="0"/>
            </w:tcBorders>
            <w:noWrap w:val="0"/>
            <w:vAlign w:val="center"/>
          </w:tcPr>
          <w:p>
            <w:pPr>
              <w:adjustRightInd w:val="0"/>
              <w:rPr>
                <w:rFonts w:hint="eastAsia" w:ascii="宋体" w:hAnsi="宋体" w:eastAsia="宋体" w:cs="宋体"/>
                <w:color w:val="auto"/>
                <w:szCs w:val="21"/>
                <w:highlight w:val="none"/>
              </w:rPr>
            </w:pPr>
          </w:p>
        </w:tc>
        <w:tc>
          <w:tcPr>
            <w:tcW w:w="366" w:type="pct"/>
            <w:tcBorders>
              <w:left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2</w:t>
            </w:r>
          </w:p>
        </w:tc>
        <w:tc>
          <w:tcPr>
            <w:tcW w:w="532" w:type="pct"/>
            <w:tcBorders>
              <w:left w:val="single" w:color="auto" w:sz="4" w:space="0"/>
              <w:right w:val="single" w:color="auto" w:sz="4" w:space="0"/>
            </w:tcBorders>
            <w:noWrap w:val="0"/>
            <w:vAlign w:val="center"/>
          </w:tcPr>
          <w:p>
            <w:pPr>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城镇住房综合保险数据信息平台服务（</w:t>
            </w:r>
            <w:r>
              <w:rPr>
                <w:rFonts w:hint="eastAsia" w:ascii="宋体" w:hAnsi="宋体" w:eastAsia="宋体" w:cs="宋体"/>
                <w:color w:val="auto"/>
                <w:szCs w:val="21"/>
                <w:highlight w:val="none"/>
                <w:lang w:val="en-US" w:eastAsia="zh-CN"/>
              </w:rPr>
              <w:t>9</w:t>
            </w:r>
            <w:r>
              <w:rPr>
                <w:rFonts w:hint="eastAsia" w:ascii="宋体" w:hAnsi="宋体" w:eastAsia="宋体" w:cs="宋体"/>
                <w:color w:val="auto"/>
                <w:szCs w:val="21"/>
                <w:highlight w:val="none"/>
              </w:rPr>
              <w:t>分）</w:t>
            </w:r>
          </w:p>
        </w:tc>
        <w:tc>
          <w:tcPr>
            <w:tcW w:w="3281" w:type="pct"/>
            <w:tcBorders>
              <w:top w:val="single" w:color="auto" w:sz="4" w:space="0"/>
              <w:left w:val="single" w:color="auto" w:sz="4" w:space="0"/>
              <w:right w:val="single" w:color="auto" w:sz="4" w:space="0"/>
            </w:tcBorders>
            <w:noWrap w:val="0"/>
            <w:vAlign w:val="center"/>
          </w:tcPr>
          <w:p>
            <w:pPr>
              <w:adjustRightInd w:val="0"/>
              <w:jc w:val="left"/>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根据供应商对本项目</w:t>
            </w:r>
            <w:r>
              <w:rPr>
                <w:rFonts w:hint="eastAsia" w:ascii="宋体" w:hAnsi="宋体" w:cs="宋体"/>
                <w:color w:val="auto"/>
                <w:szCs w:val="21"/>
                <w:highlight w:val="none"/>
                <w:lang w:val="en-US" w:eastAsia="zh-CN" w:bidi="ar"/>
              </w:rPr>
              <w:t>要求的</w:t>
            </w:r>
            <w:r>
              <w:rPr>
                <w:rFonts w:hint="eastAsia" w:ascii="宋体" w:hAnsi="宋体" w:eastAsia="宋体" w:cs="宋体"/>
                <w:color w:val="auto"/>
                <w:szCs w:val="21"/>
                <w:highlight w:val="none"/>
                <w:lang w:bidi="ar"/>
              </w:rPr>
              <w:t>城镇住房综合保险数据信息平台</w:t>
            </w:r>
            <w:r>
              <w:rPr>
                <w:rFonts w:hint="eastAsia" w:ascii="宋体" w:hAnsi="宋体" w:cs="宋体"/>
                <w:color w:val="auto"/>
                <w:szCs w:val="21"/>
                <w:highlight w:val="none"/>
                <w:lang w:eastAsia="zh-CN" w:bidi="ar"/>
              </w:rPr>
              <w:t>响应情况</w:t>
            </w:r>
            <w:r>
              <w:rPr>
                <w:rFonts w:hint="eastAsia" w:ascii="宋体" w:hAnsi="宋体" w:eastAsia="宋体" w:cs="宋体"/>
                <w:color w:val="auto"/>
                <w:szCs w:val="21"/>
                <w:highlight w:val="none"/>
                <w:lang w:bidi="ar"/>
              </w:rPr>
              <w:t>进行评审：</w:t>
            </w:r>
          </w:p>
          <w:p>
            <w:pPr>
              <w:numPr>
                <w:ilvl w:val="0"/>
                <w:numId w:val="0"/>
              </w:numPr>
              <w:adjustRightInd w:val="0"/>
              <w:jc w:val="left"/>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val="en-US" w:eastAsia="zh-CN" w:bidi="ar"/>
              </w:rPr>
              <w:t>1.</w:t>
            </w:r>
            <w:r>
              <w:rPr>
                <w:rFonts w:hint="eastAsia" w:ascii="宋体" w:hAnsi="宋体" w:eastAsia="宋体" w:cs="宋体"/>
                <w:color w:val="auto"/>
                <w:szCs w:val="21"/>
                <w:highlight w:val="none"/>
                <w:lang w:bidi="ar"/>
              </w:rPr>
              <w:t>系统支持对房屋地图的图斑数据进行在线编辑</w:t>
            </w:r>
            <w:r>
              <w:rPr>
                <w:rFonts w:hint="eastAsia" w:ascii="宋体" w:hAnsi="宋体" w:cs="宋体"/>
                <w:color w:val="auto"/>
                <w:szCs w:val="21"/>
                <w:highlight w:val="none"/>
                <w:lang w:eastAsia="zh-CN" w:bidi="ar"/>
              </w:rPr>
              <w:t>（</w:t>
            </w:r>
            <w:r>
              <w:rPr>
                <w:rFonts w:hint="eastAsia" w:ascii="宋体" w:hAnsi="宋体" w:cs="宋体"/>
                <w:color w:val="auto"/>
                <w:szCs w:val="21"/>
                <w:highlight w:val="none"/>
                <w:lang w:val="en-US" w:eastAsia="zh-CN" w:bidi="ar"/>
              </w:rPr>
              <w:t>1.5分</w:t>
            </w:r>
            <w:r>
              <w:rPr>
                <w:rFonts w:hint="eastAsia" w:ascii="宋体" w:hAnsi="宋体" w:cs="宋体"/>
                <w:color w:val="auto"/>
                <w:szCs w:val="21"/>
                <w:highlight w:val="none"/>
                <w:lang w:eastAsia="zh-CN" w:bidi="ar"/>
              </w:rPr>
              <w:t>）：</w:t>
            </w:r>
            <w:r>
              <w:rPr>
                <w:rFonts w:hint="eastAsia" w:ascii="宋体" w:hAnsi="宋体" w:eastAsia="宋体" w:cs="宋体"/>
                <w:color w:val="auto"/>
                <w:szCs w:val="21"/>
                <w:highlight w:val="none"/>
                <w:lang w:eastAsia="zh-CN" w:bidi="ar"/>
              </w:rPr>
              <w:t>投标文件中提供相关证明材料，以证明可符合上述功能要求，符合得</w:t>
            </w:r>
            <w:r>
              <w:rPr>
                <w:rFonts w:hint="eastAsia" w:ascii="宋体" w:hAnsi="宋体" w:cs="宋体"/>
                <w:color w:val="auto"/>
                <w:szCs w:val="21"/>
                <w:highlight w:val="none"/>
                <w:lang w:val="en-US" w:eastAsia="zh-CN" w:bidi="ar"/>
              </w:rPr>
              <w:t>1.5</w:t>
            </w:r>
            <w:r>
              <w:rPr>
                <w:rFonts w:hint="eastAsia" w:ascii="宋体" w:hAnsi="宋体" w:eastAsia="宋体" w:cs="宋体"/>
                <w:color w:val="auto"/>
                <w:szCs w:val="21"/>
                <w:highlight w:val="none"/>
                <w:lang w:val="en-US" w:eastAsia="zh-CN" w:bidi="ar"/>
              </w:rPr>
              <w:t>分</w:t>
            </w:r>
            <w:r>
              <w:rPr>
                <w:rFonts w:hint="eastAsia" w:ascii="宋体" w:hAnsi="宋体" w:eastAsia="宋体" w:cs="宋体"/>
                <w:color w:val="auto"/>
                <w:szCs w:val="21"/>
                <w:highlight w:val="none"/>
                <w:lang w:eastAsia="zh-CN" w:bidi="ar"/>
              </w:rPr>
              <w:t>；未提供证明材料或经评审小组评定后证明材料无法佐证功能完全符合的本小条不予计分</w:t>
            </w:r>
            <w:r>
              <w:rPr>
                <w:rFonts w:hint="eastAsia" w:ascii="宋体" w:hAnsi="宋体" w:eastAsia="宋体" w:cs="宋体"/>
                <w:color w:val="auto"/>
                <w:szCs w:val="21"/>
                <w:highlight w:val="none"/>
                <w:lang w:bidi="ar"/>
              </w:rPr>
              <w:t>；</w:t>
            </w:r>
          </w:p>
          <w:p>
            <w:pPr>
              <w:numPr>
                <w:ilvl w:val="0"/>
                <w:numId w:val="0"/>
              </w:numPr>
              <w:adjustRightInd w:val="0"/>
              <w:jc w:val="left"/>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val="en-US" w:eastAsia="zh-CN" w:bidi="ar"/>
              </w:rPr>
              <w:t>2.系统</w:t>
            </w:r>
            <w:r>
              <w:rPr>
                <w:rFonts w:hint="eastAsia" w:ascii="宋体" w:hAnsi="宋体" w:eastAsia="宋体" w:cs="宋体"/>
                <w:color w:val="auto"/>
                <w:szCs w:val="21"/>
                <w:highlight w:val="none"/>
                <w:lang w:bidi="ar"/>
              </w:rPr>
              <w:t>支持对房屋图斑进行集中展示</w:t>
            </w:r>
            <w:r>
              <w:rPr>
                <w:rFonts w:hint="eastAsia" w:ascii="宋体" w:hAnsi="宋体" w:eastAsia="宋体" w:cs="宋体"/>
                <w:color w:val="auto"/>
                <w:szCs w:val="21"/>
                <w:highlight w:val="none"/>
                <w:lang w:eastAsia="zh-CN" w:bidi="ar"/>
              </w:rPr>
              <w:t>（</w:t>
            </w:r>
            <w:r>
              <w:rPr>
                <w:rFonts w:hint="eastAsia" w:ascii="宋体" w:hAnsi="宋体" w:eastAsia="宋体" w:cs="宋体"/>
                <w:color w:val="auto"/>
                <w:szCs w:val="21"/>
                <w:highlight w:val="none"/>
                <w:lang w:val="en-US" w:eastAsia="zh-CN" w:bidi="ar"/>
              </w:rPr>
              <w:t>1.5分</w:t>
            </w:r>
            <w:r>
              <w:rPr>
                <w:rFonts w:hint="eastAsia" w:ascii="宋体" w:hAnsi="宋体" w:eastAsia="宋体" w:cs="宋体"/>
                <w:color w:val="auto"/>
                <w:szCs w:val="21"/>
                <w:highlight w:val="none"/>
                <w:lang w:eastAsia="zh-CN" w:bidi="ar"/>
              </w:rPr>
              <w:t>）：投标文件中提供相关证明材料，以证明可符合上述功能要求，符合得</w:t>
            </w:r>
            <w:r>
              <w:rPr>
                <w:rFonts w:hint="eastAsia" w:ascii="宋体" w:hAnsi="宋体" w:eastAsia="宋体" w:cs="宋体"/>
                <w:color w:val="auto"/>
                <w:szCs w:val="21"/>
                <w:highlight w:val="none"/>
                <w:lang w:val="en-US" w:eastAsia="zh-CN" w:bidi="ar"/>
              </w:rPr>
              <w:t>1.5分</w:t>
            </w:r>
            <w:r>
              <w:rPr>
                <w:rFonts w:hint="eastAsia" w:ascii="宋体" w:hAnsi="宋体" w:eastAsia="宋体" w:cs="宋体"/>
                <w:color w:val="auto"/>
                <w:szCs w:val="21"/>
                <w:highlight w:val="none"/>
                <w:lang w:eastAsia="zh-CN" w:bidi="ar"/>
              </w:rPr>
              <w:t>；未提供证明材料或经评审小组评定后证明材料无法佐证功能完全符合的本小条不予计分</w:t>
            </w:r>
            <w:r>
              <w:rPr>
                <w:rFonts w:hint="eastAsia" w:ascii="宋体" w:hAnsi="宋体" w:eastAsia="宋体" w:cs="宋体"/>
                <w:color w:val="auto"/>
                <w:szCs w:val="21"/>
                <w:highlight w:val="none"/>
                <w:lang w:bidi="ar"/>
              </w:rPr>
              <w:t>；</w:t>
            </w:r>
          </w:p>
          <w:p>
            <w:pPr>
              <w:adjustRightInd w:val="0"/>
              <w:jc w:val="left"/>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val="en-US" w:eastAsia="zh-CN" w:bidi="ar"/>
              </w:rPr>
              <w:t>3</w:t>
            </w:r>
            <w:r>
              <w:rPr>
                <w:rFonts w:hint="eastAsia" w:ascii="宋体" w:hAnsi="宋体" w:eastAsia="宋体" w:cs="宋体"/>
                <w:color w:val="auto"/>
                <w:szCs w:val="21"/>
                <w:highlight w:val="none"/>
                <w:lang w:bidi="ar"/>
              </w:rPr>
              <w:t>.</w:t>
            </w:r>
            <w:r>
              <w:rPr>
                <w:rFonts w:hint="eastAsia" w:ascii="宋体" w:hAnsi="宋体" w:eastAsia="宋体" w:cs="宋体"/>
                <w:color w:val="auto"/>
                <w:szCs w:val="21"/>
                <w:highlight w:val="none"/>
                <w:lang w:eastAsia="zh-CN" w:bidi="ar"/>
              </w:rPr>
              <w:t>系统</w:t>
            </w:r>
            <w:r>
              <w:rPr>
                <w:rFonts w:hint="eastAsia" w:ascii="宋体" w:hAnsi="宋体" w:eastAsia="宋体" w:cs="宋体"/>
                <w:color w:val="auto"/>
                <w:szCs w:val="21"/>
                <w:highlight w:val="none"/>
                <w:lang w:bidi="ar"/>
              </w:rPr>
              <w:t>能对监测数据实时上传</w:t>
            </w:r>
            <w:r>
              <w:rPr>
                <w:rFonts w:hint="eastAsia" w:ascii="宋体" w:hAnsi="宋体" w:eastAsia="宋体" w:cs="宋体"/>
                <w:color w:val="auto"/>
                <w:szCs w:val="21"/>
                <w:highlight w:val="none"/>
                <w:lang w:eastAsia="zh-CN" w:bidi="ar"/>
              </w:rPr>
              <w:t>（</w:t>
            </w:r>
            <w:r>
              <w:rPr>
                <w:rFonts w:hint="eastAsia" w:ascii="宋体" w:hAnsi="宋体" w:eastAsia="宋体" w:cs="宋体"/>
                <w:color w:val="auto"/>
                <w:szCs w:val="21"/>
                <w:highlight w:val="none"/>
                <w:lang w:val="en-US" w:eastAsia="zh-CN" w:bidi="ar"/>
              </w:rPr>
              <w:t>1.5分</w:t>
            </w:r>
            <w:r>
              <w:rPr>
                <w:rFonts w:hint="eastAsia" w:ascii="宋体" w:hAnsi="宋体" w:eastAsia="宋体" w:cs="宋体"/>
                <w:color w:val="auto"/>
                <w:szCs w:val="21"/>
                <w:highlight w:val="none"/>
                <w:lang w:eastAsia="zh-CN" w:bidi="ar"/>
              </w:rPr>
              <w:t>）：投标文件中提供相关证明材料，以证明可符合上述功能要求，符合得</w:t>
            </w:r>
            <w:r>
              <w:rPr>
                <w:rFonts w:hint="eastAsia" w:ascii="宋体" w:hAnsi="宋体" w:eastAsia="宋体" w:cs="宋体"/>
                <w:color w:val="auto"/>
                <w:szCs w:val="21"/>
                <w:highlight w:val="none"/>
                <w:lang w:val="en-US" w:eastAsia="zh-CN" w:bidi="ar"/>
              </w:rPr>
              <w:t>1.5分</w:t>
            </w:r>
            <w:r>
              <w:rPr>
                <w:rFonts w:hint="eastAsia" w:ascii="宋体" w:hAnsi="宋体" w:eastAsia="宋体" w:cs="宋体"/>
                <w:color w:val="auto"/>
                <w:szCs w:val="21"/>
                <w:highlight w:val="none"/>
                <w:lang w:eastAsia="zh-CN" w:bidi="ar"/>
              </w:rPr>
              <w:t>；未提供证明材料或经评审小组评定后证明材料无法佐证功能完全符合的本小条不予计分</w:t>
            </w:r>
            <w:r>
              <w:rPr>
                <w:rFonts w:hint="eastAsia" w:ascii="宋体" w:hAnsi="宋体" w:eastAsia="宋体" w:cs="宋体"/>
                <w:color w:val="auto"/>
                <w:szCs w:val="21"/>
                <w:highlight w:val="none"/>
                <w:lang w:bidi="ar"/>
              </w:rPr>
              <w:t>；</w:t>
            </w:r>
          </w:p>
          <w:p>
            <w:pPr>
              <w:adjustRightInd w:val="0"/>
              <w:jc w:val="left"/>
              <w:rPr>
                <w:rFonts w:hint="eastAsia" w:ascii="宋体" w:hAnsi="宋体" w:eastAsia="宋体" w:cs="宋体"/>
                <w:color w:val="auto"/>
                <w:szCs w:val="21"/>
                <w:highlight w:val="none"/>
                <w:lang w:eastAsia="zh-CN" w:bidi="ar"/>
              </w:rPr>
            </w:pPr>
            <w:r>
              <w:rPr>
                <w:rFonts w:hint="eastAsia" w:ascii="宋体" w:hAnsi="宋体" w:eastAsia="宋体" w:cs="宋体"/>
                <w:color w:val="auto"/>
                <w:szCs w:val="21"/>
                <w:highlight w:val="none"/>
                <w:lang w:val="en-US" w:eastAsia="zh-CN" w:bidi="ar"/>
              </w:rPr>
              <w:t>4</w:t>
            </w:r>
            <w:r>
              <w:rPr>
                <w:rFonts w:hint="eastAsia" w:ascii="宋体" w:hAnsi="宋体" w:eastAsia="宋体" w:cs="宋体"/>
                <w:color w:val="auto"/>
                <w:szCs w:val="21"/>
                <w:highlight w:val="none"/>
                <w:lang w:bidi="ar"/>
              </w:rPr>
              <w:t>.</w:t>
            </w:r>
            <w:r>
              <w:rPr>
                <w:rFonts w:hint="eastAsia" w:ascii="宋体" w:hAnsi="宋体" w:eastAsia="宋体" w:cs="宋体"/>
                <w:color w:val="auto"/>
                <w:szCs w:val="21"/>
                <w:highlight w:val="none"/>
                <w:lang w:eastAsia="zh-CN" w:bidi="ar"/>
              </w:rPr>
              <w:t>系统</w:t>
            </w:r>
            <w:r>
              <w:rPr>
                <w:rFonts w:hint="eastAsia" w:ascii="宋体" w:hAnsi="宋体" w:eastAsia="宋体" w:cs="宋体"/>
                <w:color w:val="auto"/>
                <w:szCs w:val="21"/>
                <w:highlight w:val="none"/>
                <w:lang w:bidi="ar"/>
              </w:rPr>
              <w:t>能对监测数据实现量化要求</w:t>
            </w:r>
            <w:r>
              <w:rPr>
                <w:rFonts w:hint="eastAsia" w:ascii="宋体" w:hAnsi="宋体" w:eastAsia="宋体" w:cs="宋体"/>
                <w:color w:val="auto"/>
                <w:szCs w:val="21"/>
                <w:highlight w:val="none"/>
                <w:lang w:eastAsia="zh-CN" w:bidi="ar"/>
              </w:rPr>
              <w:t>（</w:t>
            </w:r>
            <w:r>
              <w:rPr>
                <w:rFonts w:hint="eastAsia" w:ascii="宋体" w:hAnsi="宋体" w:eastAsia="宋体" w:cs="宋体"/>
                <w:color w:val="auto"/>
                <w:szCs w:val="21"/>
                <w:highlight w:val="none"/>
                <w:lang w:val="en-US" w:eastAsia="zh-CN" w:bidi="ar"/>
              </w:rPr>
              <w:t>1分</w:t>
            </w:r>
            <w:r>
              <w:rPr>
                <w:rFonts w:hint="eastAsia" w:ascii="宋体" w:hAnsi="宋体" w:eastAsia="宋体" w:cs="宋体"/>
                <w:color w:val="auto"/>
                <w:szCs w:val="21"/>
                <w:highlight w:val="none"/>
                <w:lang w:eastAsia="zh-CN" w:bidi="ar"/>
              </w:rPr>
              <w:t>）：投标文件中提供相关证明材料，以证明可符合上述功能要求，符合得</w:t>
            </w:r>
            <w:r>
              <w:rPr>
                <w:rFonts w:hint="eastAsia" w:ascii="宋体" w:hAnsi="宋体" w:eastAsia="宋体" w:cs="宋体"/>
                <w:color w:val="auto"/>
                <w:szCs w:val="21"/>
                <w:highlight w:val="none"/>
                <w:lang w:val="en-US" w:eastAsia="zh-CN" w:bidi="ar"/>
              </w:rPr>
              <w:t>1分</w:t>
            </w:r>
            <w:r>
              <w:rPr>
                <w:rFonts w:hint="eastAsia" w:ascii="宋体" w:hAnsi="宋体" w:eastAsia="宋体" w:cs="宋体"/>
                <w:color w:val="auto"/>
                <w:szCs w:val="21"/>
                <w:highlight w:val="none"/>
                <w:lang w:eastAsia="zh-CN" w:bidi="ar"/>
              </w:rPr>
              <w:t>；未提供证明材料或经评审小组评定后证明材料无法佐证功能完全符合的本小条不予计分；</w:t>
            </w:r>
          </w:p>
          <w:p>
            <w:pPr>
              <w:adjustRightInd w:val="0"/>
              <w:jc w:val="left"/>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val="en-US" w:eastAsia="zh-CN" w:bidi="ar"/>
              </w:rPr>
              <w:t>5.系统</w:t>
            </w:r>
            <w:r>
              <w:rPr>
                <w:rFonts w:hint="eastAsia" w:ascii="宋体" w:hAnsi="宋体" w:eastAsia="宋体" w:cs="宋体"/>
                <w:color w:val="auto"/>
                <w:szCs w:val="21"/>
                <w:highlight w:val="none"/>
                <w:lang w:bidi="ar"/>
              </w:rPr>
              <w:t>能对监测数据实现分级审批</w:t>
            </w:r>
            <w:r>
              <w:rPr>
                <w:rFonts w:hint="eastAsia" w:ascii="宋体" w:hAnsi="宋体" w:eastAsia="宋体" w:cs="宋体"/>
                <w:color w:val="auto"/>
                <w:szCs w:val="21"/>
                <w:highlight w:val="none"/>
                <w:lang w:eastAsia="zh-CN" w:bidi="ar"/>
              </w:rPr>
              <w:t>（</w:t>
            </w:r>
            <w:r>
              <w:rPr>
                <w:rFonts w:hint="eastAsia" w:ascii="宋体" w:hAnsi="宋体" w:eastAsia="宋体" w:cs="宋体"/>
                <w:color w:val="auto"/>
                <w:szCs w:val="21"/>
                <w:highlight w:val="none"/>
                <w:lang w:val="en-US" w:eastAsia="zh-CN" w:bidi="ar"/>
              </w:rPr>
              <w:t>1.5分</w:t>
            </w:r>
            <w:r>
              <w:rPr>
                <w:rFonts w:hint="eastAsia" w:ascii="宋体" w:hAnsi="宋体" w:eastAsia="宋体" w:cs="宋体"/>
                <w:color w:val="auto"/>
                <w:szCs w:val="21"/>
                <w:highlight w:val="none"/>
                <w:lang w:eastAsia="zh-CN" w:bidi="ar"/>
              </w:rPr>
              <w:t>）：投标文件中提供相关证明材料，以证明可符合上述功能要求，符合得</w:t>
            </w:r>
            <w:r>
              <w:rPr>
                <w:rFonts w:hint="eastAsia" w:ascii="宋体" w:hAnsi="宋体" w:eastAsia="宋体" w:cs="宋体"/>
                <w:color w:val="auto"/>
                <w:szCs w:val="21"/>
                <w:highlight w:val="none"/>
                <w:lang w:val="en-US" w:eastAsia="zh-CN" w:bidi="ar"/>
              </w:rPr>
              <w:t>1.5分</w:t>
            </w:r>
            <w:r>
              <w:rPr>
                <w:rFonts w:hint="eastAsia" w:ascii="宋体" w:hAnsi="宋体" w:eastAsia="宋体" w:cs="宋体"/>
                <w:color w:val="auto"/>
                <w:szCs w:val="21"/>
                <w:highlight w:val="none"/>
                <w:lang w:eastAsia="zh-CN" w:bidi="ar"/>
              </w:rPr>
              <w:t>；未提供证明材料或经评审小组评定后证明材料无法佐证功能完全符合的本小条不予计分</w:t>
            </w:r>
            <w:r>
              <w:rPr>
                <w:rFonts w:hint="eastAsia" w:ascii="宋体" w:hAnsi="宋体" w:eastAsia="宋体" w:cs="宋体"/>
                <w:color w:val="auto"/>
                <w:szCs w:val="21"/>
                <w:highlight w:val="none"/>
                <w:lang w:bidi="ar"/>
              </w:rPr>
              <w:t>；</w:t>
            </w:r>
          </w:p>
          <w:p>
            <w:pPr>
              <w:adjustRightInd w:val="0"/>
              <w:jc w:val="left"/>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val="en-US" w:eastAsia="zh-CN" w:bidi="ar"/>
              </w:rPr>
              <w:t>6.系统</w:t>
            </w:r>
            <w:r>
              <w:rPr>
                <w:rFonts w:hint="eastAsia" w:ascii="宋体" w:hAnsi="宋体" w:eastAsia="宋体" w:cs="宋体"/>
                <w:color w:val="auto"/>
                <w:szCs w:val="21"/>
                <w:highlight w:val="none"/>
                <w:lang w:bidi="ar"/>
              </w:rPr>
              <w:t>可以提供巡检人员定位功能</w:t>
            </w:r>
            <w:r>
              <w:rPr>
                <w:rFonts w:hint="eastAsia" w:ascii="宋体" w:hAnsi="宋体" w:eastAsia="宋体" w:cs="宋体"/>
                <w:color w:val="auto"/>
                <w:szCs w:val="21"/>
                <w:highlight w:val="none"/>
                <w:lang w:eastAsia="zh-CN" w:bidi="ar"/>
              </w:rPr>
              <w:t>（</w:t>
            </w:r>
            <w:r>
              <w:rPr>
                <w:rFonts w:hint="eastAsia" w:ascii="宋体" w:hAnsi="宋体" w:eastAsia="宋体" w:cs="宋体"/>
                <w:color w:val="auto"/>
                <w:szCs w:val="21"/>
                <w:highlight w:val="none"/>
                <w:lang w:val="en-US" w:eastAsia="zh-CN" w:bidi="ar"/>
              </w:rPr>
              <w:t>1分</w:t>
            </w:r>
            <w:r>
              <w:rPr>
                <w:rFonts w:hint="eastAsia" w:ascii="宋体" w:hAnsi="宋体" w:eastAsia="宋体" w:cs="宋体"/>
                <w:color w:val="auto"/>
                <w:szCs w:val="21"/>
                <w:highlight w:val="none"/>
                <w:lang w:eastAsia="zh-CN" w:bidi="ar"/>
              </w:rPr>
              <w:t>）：投标文件中提供相关证明材料，以证明可符合上述功能要求，符合得</w:t>
            </w:r>
            <w:r>
              <w:rPr>
                <w:rFonts w:hint="eastAsia" w:ascii="宋体" w:hAnsi="宋体" w:eastAsia="宋体" w:cs="宋体"/>
                <w:color w:val="auto"/>
                <w:szCs w:val="21"/>
                <w:highlight w:val="none"/>
                <w:lang w:val="en-US" w:eastAsia="zh-CN" w:bidi="ar"/>
              </w:rPr>
              <w:t>1分</w:t>
            </w:r>
            <w:r>
              <w:rPr>
                <w:rFonts w:hint="eastAsia" w:ascii="宋体" w:hAnsi="宋体" w:eastAsia="宋体" w:cs="宋体"/>
                <w:color w:val="auto"/>
                <w:szCs w:val="21"/>
                <w:highlight w:val="none"/>
                <w:lang w:eastAsia="zh-CN" w:bidi="ar"/>
              </w:rPr>
              <w:t>；未提供证明材料或经评审小组评定后证明材料无法佐证功能完全符合的本小条不予计分；</w:t>
            </w:r>
          </w:p>
          <w:p>
            <w:pPr>
              <w:adjustRightInd w:val="0"/>
              <w:jc w:val="left"/>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val="en-US" w:eastAsia="zh-CN" w:bidi="ar"/>
              </w:rPr>
              <w:t>7.</w:t>
            </w:r>
            <w:r>
              <w:rPr>
                <w:rFonts w:hint="eastAsia" w:ascii="宋体" w:hAnsi="宋体" w:eastAsia="宋体" w:cs="宋体"/>
                <w:color w:val="auto"/>
                <w:szCs w:val="21"/>
                <w:highlight w:val="none"/>
                <w:lang w:bidi="ar"/>
              </w:rPr>
              <w:t>可以提供巡检人员电子签到功能</w:t>
            </w:r>
            <w:r>
              <w:rPr>
                <w:rFonts w:hint="eastAsia" w:ascii="宋体" w:hAnsi="宋体" w:eastAsia="宋体" w:cs="宋体"/>
                <w:color w:val="auto"/>
                <w:szCs w:val="21"/>
                <w:highlight w:val="none"/>
                <w:lang w:eastAsia="zh-CN" w:bidi="ar"/>
              </w:rPr>
              <w:t>（</w:t>
            </w:r>
            <w:r>
              <w:rPr>
                <w:rFonts w:hint="eastAsia" w:ascii="宋体" w:hAnsi="宋体" w:eastAsia="宋体" w:cs="宋体"/>
                <w:color w:val="auto"/>
                <w:szCs w:val="21"/>
                <w:highlight w:val="none"/>
                <w:lang w:val="en-US" w:eastAsia="zh-CN" w:bidi="ar"/>
              </w:rPr>
              <w:t>1分</w:t>
            </w:r>
            <w:r>
              <w:rPr>
                <w:rFonts w:hint="eastAsia" w:ascii="宋体" w:hAnsi="宋体" w:eastAsia="宋体" w:cs="宋体"/>
                <w:color w:val="auto"/>
                <w:szCs w:val="21"/>
                <w:highlight w:val="none"/>
                <w:lang w:eastAsia="zh-CN" w:bidi="ar"/>
              </w:rPr>
              <w:t>）：投标文件中提供相关证明材料，以证明可符合上述功能要求，符合得</w:t>
            </w:r>
            <w:r>
              <w:rPr>
                <w:rFonts w:hint="eastAsia" w:ascii="宋体" w:hAnsi="宋体" w:eastAsia="宋体" w:cs="宋体"/>
                <w:color w:val="auto"/>
                <w:szCs w:val="21"/>
                <w:highlight w:val="none"/>
                <w:lang w:val="en-US" w:eastAsia="zh-CN" w:bidi="ar"/>
              </w:rPr>
              <w:t>1分</w:t>
            </w:r>
            <w:r>
              <w:rPr>
                <w:rFonts w:hint="eastAsia" w:ascii="宋体" w:hAnsi="宋体" w:eastAsia="宋体" w:cs="宋体"/>
                <w:color w:val="auto"/>
                <w:szCs w:val="21"/>
                <w:highlight w:val="none"/>
                <w:lang w:eastAsia="zh-CN" w:bidi="ar"/>
              </w:rPr>
              <w:t>；未提供证明材料或经评审小组评定后证明材料无法佐证功能完全符合的本小条不予计分</w:t>
            </w:r>
            <w:r>
              <w:rPr>
                <w:rFonts w:hint="eastAsia" w:ascii="宋体" w:hAnsi="宋体" w:eastAsia="宋体" w:cs="宋体"/>
                <w:color w:val="auto"/>
                <w:szCs w:val="21"/>
                <w:highlight w:val="none"/>
                <w:lang w:bidi="ar"/>
              </w:rPr>
              <w:t>。</w:t>
            </w:r>
          </w:p>
          <w:p>
            <w:pPr>
              <w:adjustRightInd w:val="0"/>
              <w:jc w:val="left"/>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本项打分满分</w:t>
            </w:r>
            <w:r>
              <w:rPr>
                <w:rFonts w:hint="eastAsia" w:ascii="宋体" w:hAnsi="宋体" w:eastAsia="宋体" w:cs="宋体"/>
                <w:color w:val="auto"/>
                <w:szCs w:val="21"/>
                <w:highlight w:val="none"/>
                <w:lang w:val="en-US" w:eastAsia="zh-CN" w:bidi="ar"/>
              </w:rPr>
              <w:t>9</w:t>
            </w:r>
            <w:r>
              <w:rPr>
                <w:rFonts w:hint="eastAsia" w:ascii="宋体" w:hAnsi="宋体" w:eastAsia="宋体" w:cs="宋体"/>
                <w:color w:val="auto"/>
                <w:szCs w:val="21"/>
                <w:highlight w:val="none"/>
                <w:lang w:bidi="ar"/>
              </w:rPr>
              <w:t>分。</w:t>
            </w:r>
          </w:p>
        </w:tc>
        <w:tc>
          <w:tcPr>
            <w:tcW w:w="341"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客观评审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18" w:hRule="atLeast"/>
        </w:trPr>
        <w:tc>
          <w:tcPr>
            <w:tcW w:w="478" w:type="pct"/>
            <w:vMerge w:val="continue"/>
            <w:tcBorders>
              <w:left w:val="single" w:color="auto" w:sz="4" w:space="0"/>
              <w:right w:val="single" w:color="auto" w:sz="4" w:space="0"/>
            </w:tcBorders>
            <w:noWrap w:val="0"/>
            <w:vAlign w:val="center"/>
          </w:tcPr>
          <w:p>
            <w:pPr>
              <w:adjustRightInd w:val="0"/>
              <w:rPr>
                <w:rFonts w:hint="eastAsia" w:ascii="宋体" w:hAnsi="宋体" w:eastAsia="宋体" w:cs="宋体"/>
                <w:color w:val="auto"/>
                <w:szCs w:val="21"/>
                <w:highlight w:val="none"/>
              </w:rPr>
            </w:pPr>
          </w:p>
        </w:tc>
        <w:tc>
          <w:tcPr>
            <w:tcW w:w="366" w:type="pct"/>
            <w:vMerge w:val="restart"/>
            <w:tcBorders>
              <w:left w:val="single" w:color="auto" w:sz="4" w:space="0"/>
              <w:right w:val="single" w:color="auto" w:sz="4" w:space="0"/>
            </w:tcBorders>
            <w:noWrap w:val="0"/>
            <w:vAlign w:val="center"/>
          </w:tcPr>
          <w:p>
            <w:pPr>
              <w:adjustRightInd w:val="0"/>
              <w:snapToGrid w:val="0"/>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3</w:t>
            </w:r>
          </w:p>
        </w:tc>
        <w:tc>
          <w:tcPr>
            <w:tcW w:w="532" w:type="pct"/>
            <w:vMerge w:val="restart"/>
            <w:tcBorders>
              <w:left w:val="single" w:color="auto" w:sz="4" w:space="0"/>
              <w:right w:val="single" w:color="auto" w:sz="4" w:space="0"/>
            </w:tcBorders>
            <w:noWrap w:val="0"/>
            <w:vAlign w:val="center"/>
          </w:tcPr>
          <w:p>
            <w:pPr>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房屋安全动态监测</w:t>
            </w:r>
            <w:r>
              <w:rPr>
                <w:rFonts w:hint="eastAsia" w:ascii="宋体" w:hAnsi="宋体" w:eastAsia="宋体" w:cs="宋体"/>
                <w:color w:val="auto"/>
                <w:szCs w:val="21"/>
                <w:highlight w:val="none"/>
                <w:lang w:eastAsia="zh-CN"/>
              </w:rPr>
              <w:t>实施</w:t>
            </w:r>
            <w:r>
              <w:rPr>
                <w:rFonts w:hint="eastAsia" w:ascii="宋体" w:hAnsi="宋体" w:eastAsia="宋体" w:cs="宋体"/>
                <w:color w:val="auto"/>
                <w:szCs w:val="21"/>
                <w:highlight w:val="none"/>
              </w:rPr>
              <w:t>方案</w:t>
            </w:r>
          </w:p>
          <w:p>
            <w:pPr>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28</w:t>
            </w:r>
            <w:r>
              <w:rPr>
                <w:rFonts w:hint="eastAsia" w:ascii="宋体" w:hAnsi="宋体" w:eastAsia="宋体" w:cs="宋体"/>
                <w:color w:val="auto"/>
                <w:szCs w:val="21"/>
                <w:highlight w:val="none"/>
              </w:rPr>
              <w:t>分）</w:t>
            </w:r>
          </w:p>
        </w:tc>
        <w:tc>
          <w:tcPr>
            <w:tcW w:w="3281" w:type="pct"/>
            <w:tcBorders>
              <w:top w:val="single" w:color="auto" w:sz="4" w:space="0"/>
              <w:left w:val="single" w:color="auto" w:sz="4" w:space="0"/>
              <w:right w:val="single" w:color="auto" w:sz="4" w:space="0"/>
            </w:tcBorders>
            <w:noWrap w:val="0"/>
            <w:vAlign w:val="center"/>
          </w:tcPr>
          <w:p>
            <w:pPr>
              <w:adjustRightInd w:val="0"/>
              <w:snapToGrid w:val="0"/>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供应商根据自身对项目的调研情况，提出对慈溪房屋安全动态监测</w:t>
            </w:r>
            <w:r>
              <w:rPr>
                <w:rFonts w:hint="eastAsia" w:ascii="宋体" w:hAnsi="宋体" w:eastAsia="宋体" w:cs="宋体"/>
                <w:bCs/>
                <w:color w:val="auto"/>
                <w:szCs w:val="21"/>
                <w:highlight w:val="none"/>
                <w:lang w:eastAsia="zh-CN" w:bidi="ar"/>
              </w:rPr>
              <w:t>工作</w:t>
            </w:r>
            <w:r>
              <w:rPr>
                <w:rFonts w:hint="eastAsia" w:ascii="宋体" w:hAnsi="宋体" w:eastAsia="宋体" w:cs="宋体"/>
                <w:bCs/>
                <w:color w:val="auto"/>
                <w:szCs w:val="21"/>
                <w:highlight w:val="none"/>
                <w:lang w:bidi="ar"/>
              </w:rPr>
              <w:t>情况的理解和分析，评标委员会根据供应商针对本项目现状了解是否清晰，调研后的情况描述是否合理、是否符合项目情况进行评审：</w:t>
            </w:r>
          </w:p>
          <w:p>
            <w:pPr>
              <w:adjustRightInd w:val="0"/>
              <w:snapToGrid w:val="0"/>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项目调研及了解情况充分、详实、符合项目实际情况、分析合理、有利于项目后期实施的得</w:t>
            </w:r>
            <w:r>
              <w:rPr>
                <w:rFonts w:hint="eastAsia" w:ascii="宋体" w:hAnsi="宋体" w:eastAsia="宋体" w:cs="宋体"/>
                <w:bCs/>
                <w:color w:val="auto"/>
                <w:szCs w:val="21"/>
                <w:highlight w:val="none"/>
                <w:lang w:val="en-US" w:eastAsia="zh-CN" w:bidi="ar"/>
              </w:rPr>
              <w:t>4</w:t>
            </w:r>
            <w:r>
              <w:rPr>
                <w:rFonts w:hint="eastAsia" w:ascii="宋体" w:hAnsi="宋体" w:eastAsia="宋体" w:cs="宋体"/>
                <w:bCs/>
                <w:color w:val="auto"/>
                <w:szCs w:val="21"/>
                <w:highlight w:val="none"/>
                <w:lang w:bidi="ar"/>
              </w:rPr>
              <w:t>分；</w:t>
            </w:r>
          </w:p>
          <w:p>
            <w:pPr>
              <w:adjustRightInd w:val="0"/>
              <w:snapToGrid w:val="0"/>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项目调研及了解情况基本符合项目现状、基本能满足项目后期实施的得</w:t>
            </w:r>
            <w:r>
              <w:rPr>
                <w:rFonts w:hint="eastAsia" w:ascii="宋体" w:hAnsi="宋体" w:eastAsia="宋体" w:cs="宋体"/>
                <w:bCs/>
                <w:color w:val="auto"/>
                <w:szCs w:val="21"/>
                <w:highlight w:val="none"/>
                <w:lang w:val="en-US" w:eastAsia="zh-CN" w:bidi="ar"/>
              </w:rPr>
              <w:t>3</w:t>
            </w:r>
            <w:r>
              <w:rPr>
                <w:rFonts w:hint="eastAsia" w:ascii="宋体" w:hAnsi="宋体" w:eastAsia="宋体" w:cs="宋体"/>
                <w:bCs/>
                <w:color w:val="auto"/>
                <w:szCs w:val="21"/>
                <w:highlight w:val="none"/>
                <w:lang w:bidi="ar"/>
              </w:rPr>
              <w:t>分；</w:t>
            </w:r>
          </w:p>
          <w:p>
            <w:pPr>
              <w:adjustRightInd w:val="0"/>
              <w:snapToGrid w:val="0"/>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项目调研及了解情况不充分、不符合项目现状、分析不合理、不能保证项目后期开展的得2分；</w:t>
            </w:r>
          </w:p>
          <w:p>
            <w:pPr>
              <w:adjustRightInd w:val="0"/>
              <w:snapToGrid w:val="0"/>
              <w:rPr>
                <w:rFonts w:hint="eastAsia" w:ascii="宋体" w:hAnsi="宋体" w:eastAsia="宋体" w:cs="宋体"/>
                <w:color w:val="auto"/>
                <w:szCs w:val="21"/>
                <w:highlight w:val="none"/>
                <w:lang w:bidi="ar"/>
              </w:rPr>
            </w:pPr>
            <w:r>
              <w:rPr>
                <w:rFonts w:hint="eastAsia" w:ascii="宋体" w:hAnsi="宋体" w:eastAsia="宋体" w:cs="宋体"/>
                <w:bCs/>
                <w:color w:val="auto"/>
                <w:szCs w:val="21"/>
                <w:highlight w:val="none"/>
                <w:lang w:bidi="ar"/>
              </w:rPr>
              <w:t>未提供任何方案的不得分。</w:t>
            </w:r>
          </w:p>
        </w:tc>
        <w:tc>
          <w:tcPr>
            <w:tcW w:w="341"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主观评审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933" w:hRule="atLeast"/>
        </w:trPr>
        <w:tc>
          <w:tcPr>
            <w:tcW w:w="478" w:type="pct"/>
            <w:vMerge w:val="continue"/>
            <w:tcBorders>
              <w:left w:val="single" w:color="auto" w:sz="4" w:space="0"/>
              <w:right w:val="single" w:color="auto" w:sz="4" w:space="0"/>
            </w:tcBorders>
            <w:noWrap w:val="0"/>
            <w:vAlign w:val="center"/>
          </w:tcPr>
          <w:p>
            <w:pPr>
              <w:adjustRightInd w:val="0"/>
              <w:rPr>
                <w:rFonts w:hint="eastAsia" w:ascii="宋体" w:hAnsi="宋体" w:eastAsia="宋体" w:cs="宋体"/>
                <w:color w:val="auto"/>
                <w:szCs w:val="21"/>
                <w:highlight w:val="none"/>
              </w:rPr>
            </w:pPr>
          </w:p>
        </w:tc>
        <w:tc>
          <w:tcPr>
            <w:tcW w:w="366" w:type="pct"/>
            <w:vMerge w:val="continue"/>
            <w:tcBorders>
              <w:left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auto"/>
                <w:szCs w:val="21"/>
                <w:highlight w:val="none"/>
                <w:lang w:bidi="ar"/>
              </w:rPr>
            </w:pPr>
          </w:p>
        </w:tc>
        <w:tc>
          <w:tcPr>
            <w:tcW w:w="532" w:type="pct"/>
            <w:vMerge w:val="continue"/>
            <w:tcBorders>
              <w:left w:val="single" w:color="auto" w:sz="4" w:space="0"/>
              <w:right w:val="single" w:color="auto" w:sz="4" w:space="0"/>
            </w:tcBorders>
            <w:noWrap w:val="0"/>
            <w:vAlign w:val="center"/>
          </w:tcPr>
          <w:p>
            <w:pPr>
              <w:adjustRightInd w:val="0"/>
              <w:jc w:val="center"/>
              <w:rPr>
                <w:rFonts w:hint="eastAsia" w:ascii="宋体" w:hAnsi="宋体" w:eastAsia="宋体" w:cs="宋体"/>
                <w:color w:val="auto"/>
                <w:szCs w:val="21"/>
                <w:highlight w:val="none"/>
              </w:rPr>
            </w:pPr>
          </w:p>
        </w:tc>
        <w:tc>
          <w:tcPr>
            <w:tcW w:w="3281" w:type="pct"/>
            <w:tcBorders>
              <w:top w:val="single" w:color="auto" w:sz="4" w:space="0"/>
              <w:left w:val="single" w:color="auto" w:sz="4" w:space="0"/>
              <w:right w:val="single" w:color="auto" w:sz="4" w:space="0"/>
            </w:tcBorders>
            <w:noWrap w:val="0"/>
            <w:vAlign w:val="center"/>
          </w:tcPr>
          <w:p>
            <w:pPr>
              <w:adjustRightInd w:val="0"/>
              <w:snapToGrid w:val="0"/>
              <w:rPr>
                <w:rFonts w:hint="eastAsia" w:ascii="宋体" w:hAnsi="宋体" w:eastAsia="宋体" w:cs="宋体"/>
                <w:color w:val="auto"/>
                <w:szCs w:val="21"/>
                <w:highlight w:val="none"/>
              </w:rPr>
            </w:pPr>
            <w:r>
              <w:rPr>
                <w:rFonts w:hint="eastAsia" w:ascii="宋体" w:hAnsi="宋体" w:eastAsia="宋体" w:cs="宋体"/>
                <w:bCs/>
                <w:color w:val="auto"/>
                <w:szCs w:val="21"/>
                <w:highlight w:val="none"/>
                <w:lang w:bidi="ar"/>
              </w:rPr>
              <w:t>根据供应商针对本项目提供的</w:t>
            </w:r>
            <w:r>
              <w:rPr>
                <w:rFonts w:hint="eastAsia" w:ascii="宋体" w:hAnsi="宋体" w:eastAsia="宋体" w:cs="宋体"/>
                <w:color w:val="auto"/>
                <w:szCs w:val="21"/>
                <w:highlight w:val="none"/>
              </w:rPr>
              <w:t>房屋安全核查</w:t>
            </w:r>
            <w:r>
              <w:rPr>
                <w:rFonts w:hint="eastAsia" w:ascii="宋体" w:hAnsi="宋体" w:eastAsia="宋体" w:cs="宋体"/>
                <w:color w:val="auto"/>
                <w:szCs w:val="21"/>
                <w:highlight w:val="none"/>
                <w:lang w:eastAsia="zh-CN"/>
              </w:rPr>
              <w:t>方案、外观检查方案、入户检查方案</w:t>
            </w:r>
            <w:r>
              <w:rPr>
                <w:rFonts w:hint="eastAsia" w:ascii="宋体" w:hAnsi="宋体" w:eastAsia="宋体" w:cs="宋体"/>
                <w:color w:val="auto"/>
                <w:szCs w:val="21"/>
                <w:highlight w:val="none"/>
              </w:rPr>
              <w:t>是否合理、完善、科学进行评审：</w:t>
            </w:r>
          </w:p>
          <w:p>
            <w:pPr>
              <w:adjustRightInd w:val="0"/>
              <w:snapToGrid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方案内容</w:t>
            </w:r>
            <w:r>
              <w:rPr>
                <w:rFonts w:hint="eastAsia" w:ascii="宋体" w:hAnsi="宋体" w:eastAsia="宋体" w:cs="宋体"/>
                <w:color w:val="auto"/>
                <w:szCs w:val="21"/>
                <w:highlight w:val="none"/>
                <w:lang w:eastAsia="zh-CN"/>
              </w:rPr>
              <w:t>完善、</w:t>
            </w:r>
            <w:r>
              <w:rPr>
                <w:rFonts w:hint="eastAsia" w:ascii="宋体" w:hAnsi="宋体" w:eastAsia="宋体" w:cs="宋体"/>
                <w:color w:val="auto"/>
                <w:szCs w:val="21"/>
                <w:highlight w:val="none"/>
              </w:rPr>
              <w:t>可行性强、流程清晰、能很好的符合项目开展需求的得</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分；</w:t>
            </w:r>
          </w:p>
          <w:p>
            <w:pPr>
              <w:adjustRightInd w:val="0"/>
              <w:snapToGrid w:val="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方案内容基本完整、</w:t>
            </w:r>
            <w:r>
              <w:rPr>
                <w:rFonts w:hint="eastAsia" w:ascii="宋体" w:hAnsi="宋体" w:eastAsia="宋体" w:cs="宋体"/>
                <w:color w:val="auto"/>
                <w:szCs w:val="21"/>
                <w:highlight w:val="none"/>
              </w:rPr>
              <w:t>可行性一般、流程较清晰、基本符合项目开展需求的得</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分；</w:t>
            </w:r>
          </w:p>
          <w:p>
            <w:pPr>
              <w:adjustRightInd w:val="0"/>
              <w:snapToGrid w:val="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方案内容基本完整、</w:t>
            </w:r>
            <w:r>
              <w:rPr>
                <w:rFonts w:hint="eastAsia" w:ascii="宋体" w:hAnsi="宋体" w:eastAsia="宋体" w:cs="宋体"/>
                <w:color w:val="auto"/>
                <w:szCs w:val="21"/>
                <w:highlight w:val="none"/>
              </w:rPr>
              <w:t>可行性差，流程不够清晰、</w:t>
            </w:r>
            <w:r>
              <w:rPr>
                <w:rFonts w:hint="eastAsia" w:ascii="宋体" w:hAnsi="宋体" w:eastAsia="宋体" w:cs="宋体"/>
                <w:color w:val="auto"/>
                <w:szCs w:val="21"/>
                <w:highlight w:val="none"/>
                <w:lang w:eastAsia="zh-CN"/>
              </w:rPr>
              <w:t>可能给</w:t>
            </w:r>
            <w:r>
              <w:rPr>
                <w:rFonts w:hint="eastAsia" w:ascii="宋体" w:hAnsi="宋体" w:eastAsia="宋体" w:cs="宋体"/>
                <w:color w:val="auto"/>
                <w:szCs w:val="21"/>
                <w:highlight w:val="none"/>
              </w:rPr>
              <w:t>项目开展造成影响的得2分；</w:t>
            </w:r>
          </w:p>
          <w:p>
            <w:pPr>
              <w:adjustRightInd w:val="0"/>
              <w:snapToGrid w:val="0"/>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rPr>
              <w:t>未提供任何方案的不得分。</w:t>
            </w:r>
          </w:p>
        </w:tc>
        <w:tc>
          <w:tcPr>
            <w:tcW w:w="341"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主观评审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933" w:hRule="atLeast"/>
        </w:trPr>
        <w:tc>
          <w:tcPr>
            <w:tcW w:w="478" w:type="pct"/>
            <w:vMerge w:val="continue"/>
            <w:tcBorders>
              <w:left w:val="single" w:color="auto" w:sz="4" w:space="0"/>
              <w:right w:val="single" w:color="auto" w:sz="4" w:space="0"/>
            </w:tcBorders>
            <w:noWrap w:val="0"/>
            <w:vAlign w:val="center"/>
          </w:tcPr>
          <w:p>
            <w:pPr>
              <w:adjustRightInd w:val="0"/>
              <w:rPr>
                <w:rFonts w:hint="eastAsia" w:ascii="宋体" w:hAnsi="宋体" w:eastAsia="宋体" w:cs="宋体"/>
                <w:color w:val="auto"/>
                <w:szCs w:val="21"/>
                <w:highlight w:val="none"/>
              </w:rPr>
            </w:pPr>
          </w:p>
        </w:tc>
        <w:tc>
          <w:tcPr>
            <w:tcW w:w="366" w:type="pct"/>
            <w:vMerge w:val="continue"/>
            <w:tcBorders>
              <w:left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auto"/>
                <w:szCs w:val="21"/>
                <w:highlight w:val="none"/>
                <w:lang w:bidi="ar"/>
              </w:rPr>
            </w:pPr>
          </w:p>
        </w:tc>
        <w:tc>
          <w:tcPr>
            <w:tcW w:w="532" w:type="pct"/>
            <w:vMerge w:val="continue"/>
            <w:tcBorders>
              <w:left w:val="single" w:color="auto" w:sz="4" w:space="0"/>
              <w:right w:val="single" w:color="auto" w:sz="4" w:space="0"/>
            </w:tcBorders>
            <w:noWrap w:val="0"/>
            <w:vAlign w:val="center"/>
          </w:tcPr>
          <w:p>
            <w:pPr>
              <w:adjustRightInd w:val="0"/>
              <w:jc w:val="center"/>
              <w:rPr>
                <w:rFonts w:hint="eastAsia" w:ascii="宋体" w:hAnsi="宋体" w:eastAsia="宋体" w:cs="宋体"/>
                <w:color w:val="auto"/>
                <w:szCs w:val="21"/>
                <w:highlight w:val="none"/>
              </w:rPr>
            </w:pPr>
          </w:p>
        </w:tc>
        <w:tc>
          <w:tcPr>
            <w:tcW w:w="3281" w:type="pct"/>
            <w:tcBorders>
              <w:top w:val="single" w:color="auto" w:sz="4" w:space="0"/>
              <w:left w:val="single" w:color="auto" w:sz="4" w:space="0"/>
              <w:right w:val="single" w:color="auto" w:sz="4" w:space="0"/>
            </w:tcBorders>
            <w:noWrap w:val="0"/>
            <w:vAlign w:val="center"/>
          </w:tcPr>
          <w:p>
            <w:pPr>
              <w:adjustRightInd w:val="0"/>
              <w:snapToGrid w:val="0"/>
              <w:rPr>
                <w:rFonts w:hint="eastAsia" w:ascii="宋体" w:hAnsi="宋体" w:eastAsia="宋体" w:cs="宋体"/>
                <w:color w:val="auto"/>
                <w:szCs w:val="21"/>
                <w:highlight w:val="none"/>
              </w:rPr>
            </w:pPr>
            <w:r>
              <w:rPr>
                <w:rFonts w:hint="eastAsia" w:ascii="宋体" w:hAnsi="宋体" w:eastAsia="宋体" w:cs="宋体"/>
                <w:bCs/>
                <w:color w:val="auto"/>
                <w:szCs w:val="21"/>
                <w:highlight w:val="none"/>
                <w:lang w:bidi="ar"/>
              </w:rPr>
              <w:t>根据供应商针对本项目提供的</w:t>
            </w:r>
            <w:r>
              <w:rPr>
                <w:rFonts w:hint="eastAsia" w:ascii="宋体" w:hAnsi="宋体" w:eastAsia="宋体" w:cs="宋体"/>
                <w:color w:val="auto"/>
                <w:szCs w:val="21"/>
                <w:highlight w:val="none"/>
              </w:rPr>
              <w:t>直管公房动态巡查</w:t>
            </w:r>
            <w:r>
              <w:rPr>
                <w:rFonts w:hint="eastAsia" w:ascii="宋体" w:hAnsi="宋体" w:eastAsia="宋体" w:cs="宋体"/>
                <w:color w:val="auto"/>
                <w:szCs w:val="21"/>
                <w:highlight w:val="none"/>
                <w:lang w:eastAsia="zh-CN"/>
              </w:rPr>
              <w:t>方案（包括：详细巡查方案、巡查范围、巡查频次）</w:t>
            </w:r>
            <w:r>
              <w:rPr>
                <w:rFonts w:hint="eastAsia" w:ascii="宋体" w:hAnsi="宋体" w:eastAsia="宋体" w:cs="宋体"/>
                <w:color w:val="auto"/>
                <w:szCs w:val="21"/>
                <w:highlight w:val="none"/>
              </w:rPr>
              <w:t>是否合理、完善、科学进行评审：</w:t>
            </w:r>
          </w:p>
          <w:p>
            <w:pPr>
              <w:adjustRightInd w:val="0"/>
              <w:snapToGrid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方案内容</w:t>
            </w:r>
            <w:r>
              <w:rPr>
                <w:rFonts w:hint="eastAsia" w:ascii="宋体" w:hAnsi="宋体" w:eastAsia="宋体" w:cs="宋体"/>
                <w:color w:val="auto"/>
                <w:szCs w:val="21"/>
                <w:highlight w:val="none"/>
                <w:lang w:eastAsia="zh-CN"/>
              </w:rPr>
              <w:t>完善、</w:t>
            </w:r>
            <w:r>
              <w:rPr>
                <w:rFonts w:hint="eastAsia" w:ascii="宋体" w:hAnsi="宋体" w:eastAsia="宋体" w:cs="宋体"/>
                <w:color w:val="auto"/>
                <w:szCs w:val="21"/>
                <w:highlight w:val="none"/>
              </w:rPr>
              <w:t>可行性强、流程清晰、能很好的符合项目开展需求的得</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分；</w:t>
            </w:r>
          </w:p>
          <w:p>
            <w:pPr>
              <w:adjustRightInd w:val="0"/>
              <w:snapToGrid w:val="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方案内容基本完整、</w:t>
            </w:r>
            <w:r>
              <w:rPr>
                <w:rFonts w:hint="eastAsia" w:ascii="宋体" w:hAnsi="宋体" w:eastAsia="宋体" w:cs="宋体"/>
                <w:color w:val="auto"/>
                <w:szCs w:val="21"/>
                <w:highlight w:val="none"/>
              </w:rPr>
              <w:t>可行性一般、流程较清晰、基本符合项目开展需求的得</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分；</w:t>
            </w:r>
          </w:p>
          <w:p>
            <w:pPr>
              <w:adjustRightInd w:val="0"/>
              <w:snapToGrid w:val="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方案内容基本完整、</w:t>
            </w:r>
            <w:r>
              <w:rPr>
                <w:rFonts w:hint="eastAsia" w:ascii="宋体" w:hAnsi="宋体" w:eastAsia="宋体" w:cs="宋体"/>
                <w:color w:val="auto"/>
                <w:szCs w:val="21"/>
                <w:highlight w:val="none"/>
              </w:rPr>
              <w:t>可行性差，流程不够清晰、</w:t>
            </w:r>
            <w:r>
              <w:rPr>
                <w:rFonts w:hint="eastAsia" w:ascii="宋体" w:hAnsi="宋体" w:eastAsia="宋体" w:cs="宋体"/>
                <w:color w:val="auto"/>
                <w:szCs w:val="21"/>
                <w:highlight w:val="none"/>
                <w:lang w:eastAsia="zh-CN"/>
              </w:rPr>
              <w:t>可能给</w:t>
            </w:r>
            <w:r>
              <w:rPr>
                <w:rFonts w:hint="eastAsia" w:ascii="宋体" w:hAnsi="宋体" w:eastAsia="宋体" w:cs="宋体"/>
                <w:color w:val="auto"/>
                <w:szCs w:val="21"/>
                <w:highlight w:val="none"/>
              </w:rPr>
              <w:t>项目开展造成影响的得2分；</w:t>
            </w:r>
          </w:p>
          <w:p>
            <w:pPr>
              <w:adjustRightInd w:val="0"/>
              <w:snapToGrid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未提供任何方案的不得分。</w:t>
            </w:r>
          </w:p>
        </w:tc>
        <w:tc>
          <w:tcPr>
            <w:tcW w:w="341"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主观评审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145" w:hRule="atLeast"/>
        </w:trPr>
        <w:tc>
          <w:tcPr>
            <w:tcW w:w="478" w:type="pct"/>
            <w:vMerge w:val="continue"/>
            <w:tcBorders>
              <w:left w:val="single" w:color="auto" w:sz="4" w:space="0"/>
              <w:right w:val="single" w:color="auto" w:sz="4" w:space="0"/>
            </w:tcBorders>
            <w:noWrap w:val="0"/>
            <w:vAlign w:val="center"/>
          </w:tcPr>
          <w:p>
            <w:pPr>
              <w:adjustRightInd w:val="0"/>
              <w:rPr>
                <w:rFonts w:hint="eastAsia" w:ascii="宋体" w:hAnsi="宋体" w:eastAsia="宋体" w:cs="宋体"/>
                <w:color w:val="auto"/>
                <w:szCs w:val="21"/>
                <w:highlight w:val="none"/>
              </w:rPr>
            </w:pPr>
          </w:p>
        </w:tc>
        <w:tc>
          <w:tcPr>
            <w:tcW w:w="366" w:type="pct"/>
            <w:vMerge w:val="continue"/>
            <w:tcBorders>
              <w:left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auto"/>
                <w:szCs w:val="21"/>
                <w:highlight w:val="none"/>
                <w:lang w:bidi="ar"/>
              </w:rPr>
            </w:pPr>
          </w:p>
        </w:tc>
        <w:tc>
          <w:tcPr>
            <w:tcW w:w="532" w:type="pct"/>
            <w:vMerge w:val="continue"/>
            <w:tcBorders>
              <w:left w:val="single" w:color="auto" w:sz="4" w:space="0"/>
              <w:right w:val="single" w:color="auto" w:sz="4" w:space="0"/>
            </w:tcBorders>
            <w:noWrap w:val="0"/>
            <w:vAlign w:val="center"/>
          </w:tcPr>
          <w:p>
            <w:pPr>
              <w:adjustRightInd w:val="0"/>
              <w:jc w:val="center"/>
              <w:rPr>
                <w:rFonts w:hint="eastAsia" w:ascii="宋体" w:hAnsi="宋体" w:eastAsia="宋体" w:cs="宋体"/>
                <w:color w:val="auto"/>
                <w:szCs w:val="21"/>
                <w:highlight w:val="none"/>
              </w:rPr>
            </w:pPr>
          </w:p>
        </w:tc>
        <w:tc>
          <w:tcPr>
            <w:tcW w:w="3281" w:type="pct"/>
            <w:tcBorders>
              <w:top w:val="single" w:color="auto" w:sz="4" w:space="0"/>
              <w:left w:val="single" w:color="auto" w:sz="4" w:space="0"/>
              <w:right w:val="single" w:color="auto" w:sz="4" w:space="0"/>
            </w:tcBorders>
            <w:noWrap w:val="0"/>
            <w:vAlign w:val="center"/>
          </w:tcPr>
          <w:p>
            <w:pPr>
              <w:adjustRightInd w:val="0"/>
              <w:snapToGrid w:val="0"/>
              <w:rPr>
                <w:rFonts w:hint="eastAsia" w:ascii="宋体" w:hAnsi="宋体" w:eastAsia="宋体" w:cs="宋体"/>
                <w:color w:val="auto"/>
                <w:szCs w:val="21"/>
                <w:highlight w:val="none"/>
              </w:rPr>
            </w:pPr>
            <w:r>
              <w:rPr>
                <w:rFonts w:hint="eastAsia" w:ascii="宋体" w:hAnsi="宋体" w:eastAsia="宋体" w:cs="宋体"/>
                <w:bCs/>
                <w:color w:val="auto"/>
                <w:szCs w:val="21"/>
                <w:highlight w:val="none"/>
                <w:lang w:bidi="ar"/>
              </w:rPr>
              <w:t>根据供应商针对本项目提供的</w:t>
            </w:r>
            <w:r>
              <w:rPr>
                <w:rFonts w:hint="eastAsia" w:ascii="宋体" w:hAnsi="宋体" w:eastAsia="宋体" w:cs="宋体"/>
                <w:color w:val="auto"/>
                <w:szCs w:val="21"/>
                <w:highlight w:val="none"/>
              </w:rPr>
              <w:t>历史建筑巡查</w:t>
            </w:r>
            <w:r>
              <w:rPr>
                <w:rFonts w:hint="eastAsia" w:ascii="宋体" w:hAnsi="宋体" w:eastAsia="宋体" w:cs="宋体"/>
                <w:color w:val="auto"/>
                <w:szCs w:val="21"/>
                <w:highlight w:val="none"/>
                <w:lang w:eastAsia="zh-CN"/>
              </w:rPr>
              <w:t>方案（包括：详细巡查方案、巡查范围、巡查频次）</w:t>
            </w:r>
            <w:r>
              <w:rPr>
                <w:rFonts w:hint="eastAsia" w:ascii="宋体" w:hAnsi="宋体" w:eastAsia="宋体" w:cs="宋体"/>
                <w:color w:val="auto"/>
                <w:szCs w:val="21"/>
                <w:highlight w:val="none"/>
              </w:rPr>
              <w:t>是否合理、完善、科学进行评审：</w:t>
            </w:r>
          </w:p>
          <w:p>
            <w:pPr>
              <w:adjustRightInd w:val="0"/>
              <w:snapToGrid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方案内容</w:t>
            </w:r>
            <w:r>
              <w:rPr>
                <w:rFonts w:hint="eastAsia" w:ascii="宋体" w:hAnsi="宋体" w:eastAsia="宋体" w:cs="宋体"/>
                <w:color w:val="auto"/>
                <w:szCs w:val="21"/>
                <w:highlight w:val="none"/>
                <w:lang w:eastAsia="zh-CN"/>
              </w:rPr>
              <w:t>完善、</w:t>
            </w:r>
            <w:r>
              <w:rPr>
                <w:rFonts w:hint="eastAsia" w:ascii="宋体" w:hAnsi="宋体" w:eastAsia="宋体" w:cs="宋体"/>
                <w:color w:val="auto"/>
                <w:szCs w:val="21"/>
                <w:highlight w:val="none"/>
              </w:rPr>
              <w:t>可行性强、流程清晰、能很好的符合项目开展需求的得</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分；</w:t>
            </w:r>
          </w:p>
          <w:p>
            <w:pPr>
              <w:adjustRightInd w:val="0"/>
              <w:snapToGrid w:val="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方案内容基本完整、</w:t>
            </w:r>
            <w:r>
              <w:rPr>
                <w:rFonts w:hint="eastAsia" w:ascii="宋体" w:hAnsi="宋体" w:eastAsia="宋体" w:cs="宋体"/>
                <w:color w:val="auto"/>
                <w:szCs w:val="21"/>
                <w:highlight w:val="none"/>
              </w:rPr>
              <w:t>可行性一般、流程较清晰、基本符合项目开展需求的得</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分；</w:t>
            </w:r>
          </w:p>
          <w:p>
            <w:pPr>
              <w:adjustRightInd w:val="0"/>
              <w:snapToGrid w:val="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方案内容基本完整、</w:t>
            </w:r>
            <w:r>
              <w:rPr>
                <w:rFonts w:hint="eastAsia" w:ascii="宋体" w:hAnsi="宋体" w:eastAsia="宋体" w:cs="宋体"/>
                <w:color w:val="auto"/>
                <w:szCs w:val="21"/>
                <w:highlight w:val="none"/>
              </w:rPr>
              <w:t>可行性差，流程不够清晰、</w:t>
            </w:r>
            <w:r>
              <w:rPr>
                <w:rFonts w:hint="eastAsia" w:ascii="宋体" w:hAnsi="宋体" w:eastAsia="宋体" w:cs="宋体"/>
                <w:color w:val="auto"/>
                <w:szCs w:val="21"/>
                <w:highlight w:val="none"/>
                <w:lang w:eastAsia="zh-CN"/>
              </w:rPr>
              <w:t>可能给</w:t>
            </w:r>
            <w:r>
              <w:rPr>
                <w:rFonts w:hint="eastAsia" w:ascii="宋体" w:hAnsi="宋体" w:eastAsia="宋体" w:cs="宋体"/>
                <w:color w:val="auto"/>
                <w:szCs w:val="21"/>
                <w:highlight w:val="none"/>
              </w:rPr>
              <w:t>项目开展造成影响的得2分；</w:t>
            </w:r>
          </w:p>
          <w:p>
            <w:pPr>
              <w:adjustRightInd w:val="0"/>
              <w:snapToGrid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未提供任何方案的不得分。</w:t>
            </w:r>
          </w:p>
        </w:tc>
        <w:tc>
          <w:tcPr>
            <w:tcW w:w="341"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主观评审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933" w:hRule="atLeast"/>
        </w:trPr>
        <w:tc>
          <w:tcPr>
            <w:tcW w:w="478" w:type="pct"/>
            <w:vMerge w:val="continue"/>
            <w:tcBorders>
              <w:left w:val="single" w:color="auto" w:sz="4" w:space="0"/>
              <w:right w:val="single" w:color="auto" w:sz="4" w:space="0"/>
            </w:tcBorders>
            <w:noWrap w:val="0"/>
            <w:vAlign w:val="center"/>
          </w:tcPr>
          <w:p>
            <w:pPr>
              <w:adjustRightInd w:val="0"/>
              <w:rPr>
                <w:rFonts w:hint="eastAsia" w:ascii="宋体" w:hAnsi="宋体" w:eastAsia="宋体" w:cs="宋体"/>
                <w:color w:val="auto"/>
                <w:szCs w:val="21"/>
                <w:highlight w:val="none"/>
              </w:rPr>
            </w:pPr>
          </w:p>
        </w:tc>
        <w:tc>
          <w:tcPr>
            <w:tcW w:w="366" w:type="pct"/>
            <w:vMerge w:val="continue"/>
            <w:tcBorders>
              <w:left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auto"/>
                <w:szCs w:val="21"/>
                <w:highlight w:val="none"/>
                <w:lang w:bidi="ar"/>
              </w:rPr>
            </w:pPr>
          </w:p>
        </w:tc>
        <w:tc>
          <w:tcPr>
            <w:tcW w:w="532" w:type="pct"/>
            <w:vMerge w:val="continue"/>
            <w:tcBorders>
              <w:left w:val="single" w:color="auto" w:sz="4" w:space="0"/>
              <w:right w:val="single" w:color="auto" w:sz="4" w:space="0"/>
            </w:tcBorders>
            <w:noWrap w:val="0"/>
            <w:vAlign w:val="center"/>
          </w:tcPr>
          <w:p>
            <w:pPr>
              <w:adjustRightInd w:val="0"/>
              <w:jc w:val="center"/>
              <w:rPr>
                <w:rFonts w:hint="eastAsia" w:ascii="宋体" w:hAnsi="宋体" w:eastAsia="宋体" w:cs="宋体"/>
                <w:color w:val="auto"/>
                <w:szCs w:val="21"/>
                <w:highlight w:val="none"/>
              </w:rPr>
            </w:pPr>
          </w:p>
        </w:tc>
        <w:tc>
          <w:tcPr>
            <w:tcW w:w="3281" w:type="pct"/>
            <w:tcBorders>
              <w:top w:val="single" w:color="auto" w:sz="4" w:space="0"/>
              <w:left w:val="single" w:color="auto" w:sz="4" w:space="0"/>
              <w:right w:val="single" w:color="auto" w:sz="4" w:space="0"/>
            </w:tcBorders>
            <w:noWrap w:val="0"/>
            <w:vAlign w:val="center"/>
          </w:tcPr>
          <w:p>
            <w:pPr>
              <w:adjustRightInd w:val="0"/>
              <w:snapToGrid w:val="0"/>
              <w:rPr>
                <w:rFonts w:hint="eastAsia" w:ascii="宋体" w:hAnsi="宋体" w:eastAsia="宋体" w:cs="宋体"/>
                <w:color w:val="auto"/>
                <w:szCs w:val="21"/>
                <w:highlight w:val="none"/>
              </w:rPr>
            </w:pPr>
            <w:r>
              <w:rPr>
                <w:rFonts w:hint="eastAsia" w:ascii="宋体" w:hAnsi="宋体" w:eastAsia="宋体" w:cs="宋体"/>
                <w:bCs/>
                <w:color w:val="auto"/>
                <w:szCs w:val="21"/>
                <w:highlight w:val="none"/>
                <w:lang w:bidi="ar"/>
              </w:rPr>
              <w:t>根据供应商针对本项目提供的</w:t>
            </w:r>
            <w:r>
              <w:rPr>
                <w:rFonts w:hint="eastAsia" w:ascii="宋体" w:hAnsi="宋体" w:eastAsia="宋体" w:cs="宋体"/>
                <w:color w:val="auto"/>
                <w:szCs w:val="21"/>
                <w:highlight w:val="none"/>
              </w:rPr>
              <w:t>专项装修巡查</w:t>
            </w:r>
            <w:r>
              <w:rPr>
                <w:rFonts w:hint="eastAsia" w:ascii="宋体" w:hAnsi="宋体" w:eastAsia="宋体" w:cs="宋体"/>
                <w:color w:val="auto"/>
                <w:szCs w:val="21"/>
                <w:highlight w:val="none"/>
                <w:lang w:eastAsia="zh-CN"/>
              </w:rPr>
              <w:t>方案（包括：详细巡查方案、巡查范围、巡查频次）</w:t>
            </w:r>
            <w:r>
              <w:rPr>
                <w:rFonts w:hint="eastAsia" w:ascii="宋体" w:hAnsi="宋体" w:eastAsia="宋体" w:cs="宋体"/>
                <w:color w:val="auto"/>
                <w:szCs w:val="21"/>
                <w:highlight w:val="none"/>
              </w:rPr>
              <w:t>是否合理、完善、科学进行评审：</w:t>
            </w:r>
          </w:p>
          <w:p>
            <w:pPr>
              <w:adjustRightInd w:val="0"/>
              <w:snapToGrid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方案内容</w:t>
            </w:r>
            <w:r>
              <w:rPr>
                <w:rFonts w:hint="eastAsia" w:ascii="宋体" w:hAnsi="宋体" w:eastAsia="宋体" w:cs="宋体"/>
                <w:color w:val="auto"/>
                <w:szCs w:val="21"/>
                <w:highlight w:val="none"/>
                <w:lang w:eastAsia="zh-CN"/>
              </w:rPr>
              <w:t>完善、</w:t>
            </w:r>
            <w:r>
              <w:rPr>
                <w:rFonts w:hint="eastAsia" w:ascii="宋体" w:hAnsi="宋体" w:eastAsia="宋体" w:cs="宋体"/>
                <w:color w:val="auto"/>
                <w:szCs w:val="21"/>
                <w:highlight w:val="none"/>
              </w:rPr>
              <w:t>可行性强、流程清晰、能很好的符合项目开展需求的得</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分；</w:t>
            </w:r>
          </w:p>
          <w:p>
            <w:pPr>
              <w:adjustRightInd w:val="0"/>
              <w:snapToGrid w:val="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方案内容基本完整、</w:t>
            </w:r>
            <w:r>
              <w:rPr>
                <w:rFonts w:hint="eastAsia" w:ascii="宋体" w:hAnsi="宋体" w:eastAsia="宋体" w:cs="宋体"/>
                <w:color w:val="auto"/>
                <w:szCs w:val="21"/>
                <w:highlight w:val="none"/>
              </w:rPr>
              <w:t>可行性一般、流程较清晰、基本符合项目开展需求的得</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分；</w:t>
            </w:r>
          </w:p>
          <w:p>
            <w:pPr>
              <w:adjustRightInd w:val="0"/>
              <w:snapToGrid w:val="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方案内容基本完整、</w:t>
            </w:r>
            <w:r>
              <w:rPr>
                <w:rFonts w:hint="eastAsia" w:ascii="宋体" w:hAnsi="宋体" w:eastAsia="宋体" w:cs="宋体"/>
                <w:color w:val="auto"/>
                <w:szCs w:val="21"/>
                <w:highlight w:val="none"/>
              </w:rPr>
              <w:t>可行性差，流程不够清晰、</w:t>
            </w:r>
            <w:r>
              <w:rPr>
                <w:rFonts w:hint="eastAsia" w:ascii="宋体" w:hAnsi="宋体" w:eastAsia="宋体" w:cs="宋体"/>
                <w:color w:val="auto"/>
                <w:szCs w:val="21"/>
                <w:highlight w:val="none"/>
                <w:lang w:eastAsia="zh-CN"/>
              </w:rPr>
              <w:t>可能给</w:t>
            </w:r>
            <w:r>
              <w:rPr>
                <w:rFonts w:hint="eastAsia" w:ascii="宋体" w:hAnsi="宋体" w:eastAsia="宋体" w:cs="宋体"/>
                <w:color w:val="auto"/>
                <w:szCs w:val="21"/>
                <w:highlight w:val="none"/>
              </w:rPr>
              <w:t>项目开展造成影响的得2分；</w:t>
            </w:r>
          </w:p>
          <w:p>
            <w:pPr>
              <w:adjustRightInd w:val="0"/>
              <w:snapToGrid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未提供任何方案的不得分。</w:t>
            </w:r>
          </w:p>
        </w:tc>
        <w:tc>
          <w:tcPr>
            <w:tcW w:w="341"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主观评审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823" w:hRule="atLeast"/>
        </w:trPr>
        <w:tc>
          <w:tcPr>
            <w:tcW w:w="478" w:type="pct"/>
            <w:vMerge w:val="continue"/>
            <w:tcBorders>
              <w:left w:val="single" w:color="auto" w:sz="4" w:space="0"/>
              <w:right w:val="single" w:color="auto" w:sz="4" w:space="0"/>
            </w:tcBorders>
            <w:noWrap w:val="0"/>
            <w:vAlign w:val="center"/>
          </w:tcPr>
          <w:p>
            <w:pPr>
              <w:adjustRightInd w:val="0"/>
              <w:rPr>
                <w:rFonts w:hint="eastAsia" w:ascii="宋体" w:hAnsi="宋体" w:eastAsia="宋体" w:cs="宋体"/>
                <w:color w:val="auto"/>
                <w:szCs w:val="21"/>
                <w:highlight w:val="none"/>
              </w:rPr>
            </w:pPr>
          </w:p>
        </w:tc>
        <w:tc>
          <w:tcPr>
            <w:tcW w:w="366" w:type="pct"/>
            <w:vMerge w:val="continue"/>
            <w:tcBorders>
              <w:left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auto"/>
                <w:szCs w:val="21"/>
                <w:highlight w:val="none"/>
                <w:lang w:bidi="ar"/>
              </w:rPr>
            </w:pPr>
          </w:p>
        </w:tc>
        <w:tc>
          <w:tcPr>
            <w:tcW w:w="532" w:type="pct"/>
            <w:vMerge w:val="continue"/>
            <w:tcBorders>
              <w:left w:val="single" w:color="auto" w:sz="4" w:space="0"/>
              <w:right w:val="single" w:color="auto" w:sz="4" w:space="0"/>
            </w:tcBorders>
            <w:noWrap w:val="0"/>
            <w:vAlign w:val="center"/>
          </w:tcPr>
          <w:p>
            <w:pPr>
              <w:adjustRightInd w:val="0"/>
              <w:jc w:val="center"/>
              <w:rPr>
                <w:rFonts w:hint="eastAsia" w:ascii="宋体" w:hAnsi="宋体" w:eastAsia="宋体" w:cs="宋体"/>
                <w:color w:val="auto"/>
                <w:szCs w:val="21"/>
                <w:highlight w:val="none"/>
              </w:rPr>
            </w:pPr>
          </w:p>
        </w:tc>
        <w:tc>
          <w:tcPr>
            <w:tcW w:w="3281" w:type="pct"/>
            <w:tcBorders>
              <w:top w:val="single" w:color="auto" w:sz="4" w:space="0"/>
              <w:left w:val="single" w:color="auto" w:sz="4" w:space="0"/>
              <w:right w:val="single" w:color="auto" w:sz="4" w:space="0"/>
            </w:tcBorders>
            <w:noWrap w:val="0"/>
            <w:vAlign w:val="center"/>
          </w:tcPr>
          <w:p>
            <w:pPr>
              <w:adjustRightInd w:val="0"/>
              <w:snapToGrid w:val="0"/>
              <w:rPr>
                <w:rFonts w:hint="eastAsia" w:ascii="宋体" w:hAnsi="宋体" w:eastAsia="宋体" w:cs="宋体"/>
                <w:color w:val="auto"/>
                <w:szCs w:val="21"/>
                <w:highlight w:val="none"/>
              </w:rPr>
            </w:pPr>
            <w:r>
              <w:rPr>
                <w:rFonts w:hint="eastAsia" w:ascii="宋体" w:hAnsi="宋体" w:eastAsia="宋体" w:cs="宋体"/>
                <w:bCs/>
                <w:color w:val="auto"/>
                <w:szCs w:val="21"/>
                <w:highlight w:val="none"/>
                <w:lang w:bidi="ar"/>
              </w:rPr>
              <w:t>根据供应商针对本项目提供的</w:t>
            </w:r>
            <w:r>
              <w:rPr>
                <w:rFonts w:hint="eastAsia" w:ascii="宋体" w:hAnsi="宋体" w:eastAsia="宋体" w:cs="宋体"/>
                <w:color w:val="auto"/>
                <w:szCs w:val="21"/>
                <w:highlight w:val="none"/>
              </w:rPr>
              <w:t>仪器设备监测</w:t>
            </w:r>
            <w:r>
              <w:rPr>
                <w:rFonts w:hint="eastAsia" w:ascii="宋体" w:hAnsi="宋体" w:eastAsia="宋体" w:cs="宋体"/>
                <w:color w:val="auto"/>
                <w:szCs w:val="21"/>
                <w:highlight w:val="none"/>
                <w:lang w:eastAsia="zh-CN"/>
              </w:rPr>
              <w:t>、自动化动态监测、房安技术服务方案</w:t>
            </w:r>
            <w:r>
              <w:rPr>
                <w:rFonts w:hint="eastAsia" w:ascii="宋体" w:hAnsi="宋体" w:eastAsia="宋体" w:cs="宋体"/>
                <w:color w:val="auto"/>
                <w:szCs w:val="21"/>
                <w:highlight w:val="none"/>
              </w:rPr>
              <w:t>是否合理、完善、科学进行评审：</w:t>
            </w:r>
          </w:p>
          <w:p>
            <w:pPr>
              <w:adjustRightInd w:val="0"/>
              <w:snapToGrid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方案内容</w:t>
            </w:r>
            <w:r>
              <w:rPr>
                <w:rFonts w:hint="eastAsia" w:ascii="宋体" w:hAnsi="宋体" w:eastAsia="宋体" w:cs="宋体"/>
                <w:color w:val="auto"/>
                <w:szCs w:val="21"/>
                <w:highlight w:val="none"/>
                <w:lang w:eastAsia="zh-CN"/>
              </w:rPr>
              <w:t>完善、</w:t>
            </w:r>
            <w:r>
              <w:rPr>
                <w:rFonts w:hint="eastAsia" w:ascii="宋体" w:hAnsi="宋体" w:eastAsia="宋体" w:cs="宋体"/>
                <w:color w:val="auto"/>
                <w:szCs w:val="21"/>
                <w:highlight w:val="none"/>
              </w:rPr>
              <w:t>可行性强、流程清晰、能很好的符合项目开展需求的得</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分；</w:t>
            </w:r>
          </w:p>
          <w:p>
            <w:pPr>
              <w:adjustRightInd w:val="0"/>
              <w:snapToGrid w:val="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方案内容基本完整、</w:t>
            </w:r>
            <w:r>
              <w:rPr>
                <w:rFonts w:hint="eastAsia" w:ascii="宋体" w:hAnsi="宋体" w:eastAsia="宋体" w:cs="宋体"/>
                <w:color w:val="auto"/>
                <w:szCs w:val="21"/>
                <w:highlight w:val="none"/>
              </w:rPr>
              <w:t>可行性一般、流程较清晰、基本符合项目开展需求的得</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分；</w:t>
            </w:r>
          </w:p>
          <w:p>
            <w:pPr>
              <w:adjustRightInd w:val="0"/>
              <w:snapToGrid w:val="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方案内容基本完整、</w:t>
            </w:r>
            <w:r>
              <w:rPr>
                <w:rFonts w:hint="eastAsia" w:ascii="宋体" w:hAnsi="宋体" w:eastAsia="宋体" w:cs="宋体"/>
                <w:color w:val="auto"/>
                <w:szCs w:val="21"/>
                <w:highlight w:val="none"/>
              </w:rPr>
              <w:t>可行性差，流程不够清晰、</w:t>
            </w:r>
            <w:r>
              <w:rPr>
                <w:rFonts w:hint="eastAsia" w:ascii="宋体" w:hAnsi="宋体" w:eastAsia="宋体" w:cs="宋体"/>
                <w:color w:val="auto"/>
                <w:szCs w:val="21"/>
                <w:highlight w:val="none"/>
                <w:lang w:eastAsia="zh-CN"/>
              </w:rPr>
              <w:t>可能给</w:t>
            </w:r>
            <w:r>
              <w:rPr>
                <w:rFonts w:hint="eastAsia" w:ascii="宋体" w:hAnsi="宋体" w:eastAsia="宋体" w:cs="宋体"/>
                <w:color w:val="auto"/>
                <w:szCs w:val="21"/>
                <w:highlight w:val="none"/>
              </w:rPr>
              <w:t>项目开展造成影响的得2分；</w:t>
            </w:r>
          </w:p>
          <w:p>
            <w:pPr>
              <w:adjustRightInd w:val="0"/>
              <w:snapToGrid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未提供任何方案的不得分。</w:t>
            </w:r>
          </w:p>
        </w:tc>
        <w:tc>
          <w:tcPr>
            <w:tcW w:w="341"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主观评审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376" w:hRule="atLeast"/>
        </w:trPr>
        <w:tc>
          <w:tcPr>
            <w:tcW w:w="478" w:type="pct"/>
            <w:vMerge w:val="continue"/>
            <w:tcBorders>
              <w:left w:val="single" w:color="auto" w:sz="4" w:space="0"/>
              <w:right w:val="single" w:color="auto" w:sz="4" w:space="0"/>
            </w:tcBorders>
            <w:noWrap w:val="0"/>
            <w:vAlign w:val="center"/>
          </w:tcPr>
          <w:p>
            <w:pPr>
              <w:adjustRightInd w:val="0"/>
              <w:rPr>
                <w:rFonts w:hint="eastAsia" w:ascii="宋体" w:hAnsi="宋体" w:eastAsia="宋体" w:cs="宋体"/>
                <w:color w:val="auto"/>
                <w:szCs w:val="21"/>
                <w:highlight w:val="none"/>
              </w:rPr>
            </w:pPr>
          </w:p>
        </w:tc>
        <w:tc>
          <w:tcPr>
            <w:tcW w:w="366" w:type="pct"/>
            <w:vMerge w:val="continue"/>
            <w:tcBorders>
              <w:left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auto"/>
                <w:szCs w:val="21"/>
                <w:highlight w:val="none"/>
                <w:lang w:bidi="ar"/>
              </w:rPr>
            </w:pPr>
          </w:p>
        </w:tc>
        <w:tc>
          <w:tcPr>
            <w:tcW w:w="532" w:type="pct"/>
            <w:vMerge w:val="continue"/>
            <w:tcBorders>
              <w:left w:val="single" w:color="auto" w:sz="4" w:space="0"/>
              <w:right w:val="single" w:color="auto" w:sz="4" w:space="0"/>
            </w:tcBorders>
            <w:noWrap w:val="0"/>
            <w:vAlign w:val="center"/>
          </w:tcPr>
          <w:p>
            <w:pPr>
              <w:adjustRightInd w:val="0"/>
              <w:jc w:val="center"/>
              <w:rPr>
                <w:rFonts w:hint="eastAsia" w:ascii="宋体" w:hAnsi="宋体" w:eastAsia="宋体" w:cs="宋体"/>
                <w:color w:val="auto"/>
                <w:szCs w:val="21"/>
                <w:highlight w:val="none"/>
              </w:rPr>
            </w:pPr>
          </w:p>
        </w:tc>
        <w:tc>
          <w:tcPr>
            <w:tcW w:w="3281" w:type="pct"/>
            <w:tcBorders>
              <w:top w:val="single" w:color="auto" w:sz="4" w:space="0"/>
              <w:left w:val="single" w:color="auto" w:sz="4" w:space="0"/>
              <w:right w:val="single" w:color="auto" w:sz="4" w:space="0"/>
            </w:tcBorders>
            <w:noWrap w:val="0"/>
            <w:vAlign w:val="center"/>
          </w:tcPr>
          <w:p>
            <w:pPr>
              <w:adjustRightInd w:val="0"/>
              <w:snapToGrid w:val="0"/>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根据供应商针对本项目提供的台汛季节、重要活动节假日安全排查检查方案</w:t>
            </w:r>
            <w:r>
              <w:rPr>
                <w:rFonts w:hint="eastAsia" w:ascii="宋体" w:hAnsi="宋体" w:eastAsia="宋体" w:cs="宋体"/>
                <w:bCs/>
                <w:color w:val="auto"/>
                <w:szCs w:val="21"/>
                <w:highlight w:val="none"/>
                <w:lang w:eastAsia="zh-CN" w:bidi="ar"/>
              </w:rPr>
              <w:t>、房屋安全宣传方案</w:t>
            </w:r>
            <w:r>
              <w:rPr>
                <w:rFonts w:hint="eastAsia" w:ascii="宋体" w:hAnsi="宋体" w:eastAsia="宋体" w:cs="宋体"/>
                <w:bCs/>
                <w:color w:val="auto"/>
                <w:szCs w:val="21"/>
                <w:highlight w:val="none"/>
                <w:lang w:bidi="ar"/>
              </w:rPr>
              <w:t>否合理、完善、科学进行评审：</w:t>
            </w:r>
          </w:p>
          <w:p>
            <w:pPr>
              <w:adjustRightInd w:val="0"/>
              <w:snapToGrid w:val="0"/>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方案内容可行性强、流程清晰、能很好的符合项目开展需求的得</w:t>
            </w:r>
            <w:r>
              <w:rPr>
                <w:rFonts w:hint="eastAsia" w:ascii="宋体" w:hAnsi="宋体" w:eastAsia="宋体" w:cs="宋体"/>
                <w:bCs/>
                <w:color w:val="auto"/>
                <w:szCs w:val="21"/>
                <w:highlight w:val="none"/>
                <w:lang w:val="en-US" w:eastAsia="zh-CN" w:bidi="ar"/>
              </w:rPr>
              <w:t>4</w:t>
            </w:r>
            <w:r>
              <w:rPr>
                <w:rFonts w:hint="eastAsia" w:ascii="宋体" w:hAnsi="宋体" w:eastAsia="宋体" w:cs="宋体"/>
                <w:bCs/>
                <w:color w:val="auto"/>
                <w:szCs w:val="21"/>
                <w:highlight w:val="none"/>
                <w:lang w:bidi="ar"/>
              </w:rPr>
              <w:t>分；</w:t>
            </w:r>
          </w:p>
          <w:p>
            <w:pPr>
              <w:adjustRightInd w:val="0"/>
              <w:snapToGrid w:val="0"/>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可行性一般、流程较清晰、基本符合项目开展需求的得</w:t>
            </w:r>
            <w:r>
              <w:rPr>
                <w:rFonts w:hint="eastAsia" w:ascii="宋体" w:hAnsi="宋体" w:eastAsia="宋体" w:cs="宋体"/>
                <w:bCs/>
                <w:color w:val="auto"/>
                <w:szCs w:val="21"/>
                <w:highlight w:val="none"/>
                <w:lang w:val="en-US" w:eastAsia="zh-CN" w:bidi="ar"/>
              </w:rPr>
              <w:t>3</w:t>
            </w:r>
            <w:r>
              <w:rPr>
                <w:rFonts w:hint="eastAsia" w:ascii="宋体" w:hAnsi="宋体" w:eastAsia="宋体" w:cs="宋体"/>
                <w:bCs/>
                <w:color w:val="auto"/>
                <w:szCs w:val="21"/>
                <w:highlight w:val="none"/>
                <w:lang w:bidi="ar"/>
              </w:rPr>
              <w:t>分；</w:t>
            </w:r>
          </w:p>
          <w:p>
            <w:pPr>
              <w:adjustRightInd w:val="0"/>
              <w:snapToGrid w:val="0"/>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可行性差，流程不够清晰、</w:t>
            </w:r>
            <w:r>
              <w:rPr>
                <w:rFonts w:hint="eastAsia" w:ascii="宋体" w:hAnsi="宋体" w:eastAsia="宋体" w:cs="宋体"/>
                <w:bCs/>
                <w:color w:val="auto"/>
                <w:szCs w:val="21"/>
                <w:highlight w:val="none"/>
                <w:lang w:eastAsia="zh-CN" w:bidi="ar"/>
              </w:rPr>
              <w:t>可能给</w:t>
            </w:r>
            <w:r>
              <w:rPr>
                <w:rFonts w:hint="eastAsia" w:ascii="宋体" w:hAnsi="宋体" w:eastAsia="宋体" w:cs="宋体"/>
                <w:bCs/>
                <w:color w:val="auto"/>
                <w:szCs w:val="21"/>
                <w:highlight w:val="none"/>
                <w:lang w:bidi="ar"/>
              </w:rPr>
              <w:t>项目开展造成影响的得2分；</w:t>
            </w:r>
          </w:p>
          <w:p>
            <w:pPr>
              <w:adjustRightInd w:val="0"/>
              <w:snapToGrid w:val="0"/>
              <w:rPr>
                <w:rFonts w:hint="eastAsia" w:ascii="宋体" w:hAnsi="宋体" w:eastAsia="宋体" w:cs="宋体"/>
                <w:color w:val="auto"/>
                <w:szCs w:val="21"/>
                <w:highlight w:val="none"/>
                <w:lang w:bidi="ar"/>
              </w:rPr>
            </w:pPr>
            <w:r>
              <w:rPr>
                <w:rFonts w:hint="eastAsia" w:ascii="宋体" w:hAnsi="宋体" w:eastAsia="宋体" w:cs="宋体"/>
                <w:bCs/>
                <w:color w:val="auto"/>
                <w:szCs w:val="21"/>
                <w:highlight w:val="none"/>
                <w:lang w:bidi="ar"/>
              </w:rPr>
              <w:t>未提供任何方案的不得分。</w:t>
            </w:r>
          </w:p>
        </w:tc>
        <w:tc>
          <w:tcPr>
            <w:tcW w:w="341"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主观评审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597" w:hRule="atLeast"/>
        </w:trPr>
        <w:tc>
          <w:tcPr>
            <w:tcW w:w="478" w:type="pct"/>
            <w:vMerge w:val="continue"/>
            <w:tcBorders>
              <w:left w:val="single" w:color="auto" w:sz="4" w:space="0"/>
              <w:right w:val="single" w:color="auto" w:sz="4" w:space="0"/>
            </w:tcBorders>
            <w:noWrap w:val="0"/>
            <w:vAlign w:val="center"/>
          </w:tcPr>
          <w:p>
            <w:pPr>
              <w:adjustRightInd w:val="0"/>
              <w:rPr>
                <w:rFonts w:hint="eastAsia" w:ascii="宋体" w:hAnsi="宋体" w:eastAsia="宋体" w:cs="宋体"/>
                <w:color w:val="auto"/>
                <w:szCs w:val="21"/>
                <w:highlight w:val="none"/>
              </w:rPr>
            </w:pPr>
          </w:p>
        </w:tc>
        <w:tc>
          <w:tcPr>
            <w:tcW w:w="366"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4</w:t>
            </w:r>
          </w:p>
        </w:tc>
        <w:tc>
          <w:tcPr>
            <w:tcW w:w="532"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管理方案（</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分）</w:t>
            </w:r>
          </w:p>
        </w:tc>
        <w:tc>
          <w:tcPr>
            <w:tcW w:w="3281"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根据供应商针对本项目提供的管理方案（包括：现场实施的相关管理制度及服务流程方案、工作人员劳动保护及安全管理制度、各项监督措施及考核办法）否合理、完善、科学进行评审：</w:t>
            </w:r>
          </w:p>
          <w:p>
            <w:pPr>
              <w:adjustRightInd w:val="0"/>
              <w:snapToGrid w:val="0"/>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方案内容可行性强、流程清晰、能很好的符合项目开展需求的得</w:t>
            </w:r>
            <w:r>
              <w:rPr>
                <w:rFonts w:hint="eastAsia" w:ascii="宋体" w:hAnsi="宋体" w:eastAsia="宋体" w:cs="宋体"/>
                <w:bCs/>
                <w:color w:val="auto"/>
                <w:szCs w:val="21"/>
                <w:highlight w:val="none"/>
                <w:lang w:val="en-US" w:eastAsia="zh-CN" w:bidi="ar"/>
              </w:rPr>
              <w:t>4</w:t>
            </w:r>
            <w:r>
              <w:rPr>
                <w:rFonts w:hint="eastAsia" w:ascii="宋体" w:hAnsi="宋体" w:eastAsia="宋体" w:cs="宋体"/>
                <w:bCs/>
                <w:color w:val="auto"/>
                <w:szCs w:val="21"/>
                <w:highlight w:val="none"/>
                <w:lang w:bidi="ar"/>
              </w:rPr>
              <w:t>分；</w:t>
            </w:r>
          </w:p>
          <w:p>
            <w:pPr>
              <w:adjustRightInd w:val="0"/>
              <w:snapToGrid w:val="0"/>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可行性一般、流程较清晰、基本符合项目开展需求的得</w:t>
            </w:r>
            <w:r>
              <w:rPr>
                <w:rFonts w:hint="eastAsia" w:ascii="宋体" w:hAnsi="宋体" w:eastAsia="宋体" w:cs="宋体"/>
                <w:bCs/>
                <w:color w:val="auto"/>
                <w:szCs w:val="21"/>
                <w:highlight w:val="none"/>
                <w:lang w:val="en-US" w:eastAsia="zh-CN" w:bidi="ar"/>
              </w:rPr>
              <w:t>3</w:t>
            </w:r>
            <w:r>
              <w:rPr>
                <w:rFonts w:hint="eastAsia" w:ascii="宋体" w:hAnsi="宋体" w:eastAsia="宋体" w:cs="宋体"/>
                <w:bCs/>
                <w:color w:val="auto"/>
                <w:szCs w:val="21"/>
                <w:highlight w:val="none"/>
                <w:lang w:bidi="ar"/>
              </w:rPr>
              <w:t>分；</w:t>
            </w:r>
          </w:p>
          <w:p>
            <w:pPr>
              <w:adjustRightInd w:val="0"/>
              <w:snapToGrid w:val="0"/>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可行性差，流程不够清晰、</w:t>
            </w:r>
            <w:r>
              <w:rPr>
                <w:rFonts w:hint="eastAsia" w:ascii="宋体" w:hAnsi="宋体" w:eastAsia="宋体" w:cs="宋体"/>
                <w:bCs/>
                <w:color w:val="auto"/>
                <w:szCs w:val="21"/>
                <w:highlight w:val="none"/>
                <w:lang w:eastAsia="zh-CN" w:bidi="ar"/>
              </w:rPr>
              <w:t>可能给</w:t>
            </w:r>
            <w:r>
              <w:rPr>
                <w:rFonts w:hint="eastAsia" w:ascii="宋体" w:hAnsi="宋体" w:eastAsia="宋体" w:cs="宋体"/>
                <w:bCs/>
                <w:color w:val="auto"/>
                <w:szCs w:val="21"/>
                <w:highlight w:val="none"/>
                <w:lang w:bidi="ar"/>
              </w:rPr>
              <w:t>项目开展造成影响的得2分；</w:t>
            </w:r>
          </w:p>
          <w:p>
            <w:pPr>
              <w:adjustRightInd w:val="0"/>
              <w:snapToGrid w:val="0"/>
              <w:rPr>
                <w:rFonts w:hint="eastAsia" w:ascii="宋体" w:hAnsi="宋体" w:eastAsia="宋体" w:cs="宋体"/>
                <w:color w:val="auto"/>
                <w:szCs w:val="21"/>
                <w:highlight w:val="none"/>
                <w:lang w:bidi="ar"/>
              </w:rPr>
            </w:pPr>
            <w:r>
              <w:rPr>
                <w:rFonts w:hint="eastAsia" w:ascii="宋体" w:hAnsi="宋体" w:eastAsia="宋体" w:cs="宋体"/>
                <w:bCs/>
                <w:color w:val="auto"/>
                <w:szCs w:val="21"/>
                <w:highlight w:val="none"/>
                <w:lang w:bidi="ar"/>
              </w:rPr>
              <w:t>未提供任何方案的不得分。</w:t>
            </w:r>
          </w:p>
        </w:tc>
        <w:tc>
          <w:tcPr>
            <w:tcW w:w="341"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主观评审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597" w:hRule="atLeast"/>
        </w:trPr>
        <w:tc>
          <w:tcPr>
            <w:tcW w:w="478" w:type="pct"/>
            <w:vMerge w:val="continue"/>
            <w:tcBorders>
              <w:left w:val="single" w:color="auto" w:sz="4" w:space="0"/>
              <w:right w:val="single" w:color="auto" w:sz="4" w:space="0"/>
            </w:tcBorders>
            <w:noWrap w:val="0"/>
            <w:vAlign w:val="center"/>
          </w:tcPr>
          <w:p>
            <w:pPr>
              <w:adjustRightInd w:val="0"/>
              <w:rPr>
                <w:rFonts w:hint="eastAsia" w:ascii="宋体" w:hAnsi="宋体" w:eastAsia="宋体" w:cs="宋体"/>
                <w:color w:val="auto"/>
                <w:szCs w:val="21"/>
                <w:highlight w:val="none"/>
              </w:rPr>
            </w:pPr>
          </w:p>
        </w:tc>
        <w:tc>
          <w:tcPr>
            <w:tcW w:w="366" w:type="pct"/>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5</w:t>
            </w:r>
          </w:p>
        </w:tc>
        <w:tc>
          <w:tcPr>
            <w:tcW w:w="532" w:type="pct"/>
            <w:tcBorders>
              <w:top w:val="single" w:color="auto" w:sz="4" w:space="0"/>
              <w:left w:val="single" w:color="auto" w:sz="4" w:space="0"/>
              <w:right w:val="single" w:color="auto" w:sz="4" w:space="0"/>
            </w:tcBorders>
            <w:noWrap w:val="0"/>
            <w:vAlign w:val="center"/>
          </w:tcPr>
          <w:p>
            <w:pPr>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质量保障方案</w:t>
            </w:r>
          </w:p>
          <w:p>
            <w:pPr>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分）</w:t>
            </w:r>
          </w:p>
        </w:tc>
        <w:tc>
          <w:tcPr>
            <w:tcW w:w="3281" w:type="pct"/>
            <w:tcBorders>
              <w:top w:val="single" w:color="auto" w:sz="4" w:space="0"/>
              <w:left w:val="single" w:color="auto" w:sz="4" w:space="0"/>
              <w:right w:val="single" w:color="auto" w:sz="4" w:space="0"/>
            </w:tcBorders>
            <w:noWrap w:val="0"/>
            <w:vAlign w:val="center"/>
          </w:tcPr>
          <w:p>
            <w:pPr>
              <w:adjustRightInd w:val="0"/>
              <w:snapToGrid w:val="0"/>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根据供应商针对本项目提供的质量保障方案（包括：服务质量标准、文明工作制度、工作人员后勤保障措施、工作进度计划实施保障、工作质量保障）否合理、完善、科学进行评审：</w:t>
            </w:r>
          </w:p>
          <w:p>
            <w:pPr>
              <w:adjustRightInd w:val="0"/>
              <w:snapToGrid w:val="0"/>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方案内容可行性强、流程清晰、能很好的符合项目开展需求的得</w:t>
            </w:r>
            <w:r>
              <w:rPr>
                <w:rFonts w:hint="eastAsia" w:ascii="宋体" w:hAnsi="宋体" w:eastAsia="宋体" w:cs="宋体"/>
                <w:bCs/>
                <w:color w:val="auto"/>
                <w:szCs w:val="21"/>
                <w:highlight w:val="none"/>
                <w:lang w:val="en-US" w:eastAsia="zh-CN" w:bidi="ar"/>
              </w:rPr>
              <w:t>4</w:t>
            </w:r>
            <w:r>
              <w:rPr>
                <w:rFonts w:hint="eastAsia" w:ascii="宋体" w:hAnsi="宋体" w:eastAsia="宋体" w:cs="宋体"/>
                <w:bCs/>
                <w:color w:val="auto"/>
                <w:szCs w:val="21"/>
                <w:highlight w:val="none"/>
                <w:lang w:bidi="ar"/>
              </w:rPr>
              <w:t>分；</w:t>
            </w:r>
          </w:p>
          <w:p>
            <w:pPr>
              <w:adjustRightInd w:val="0"/>
              <w:snapToGrid w:val="0"/>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可行性一般、流程较清晰、基本符合项目开展需求的得</w:t>
            </w:r>
            <w:r>
              <w:rPr>
                <w:rFonts w:hint="eastAsia" w:ascii="宋体" w:hAnsi="宋体" w:eastAsia="宋体" w:cs="宋体"/>
                <w:bCs/>
                <w:color w:val="auto"/>
                <w:szCs w:val="21"/>
                <w:highlight w:val="none"/>
                <w:lang w:val="en-US" w:eastAsia="zh-CN" w:bidi="ar"/>
              </w:rPr>
              <w:t>3</w:t>
            </w:r>
            <w:r>
              <w:rPr>
                <w:rFonts w:hint="eastAsia" w:ascii="宋体" w:hAnsi="宋体" w:eastAsia="宋体" w:cs="宋体"/>
                <w:bCs/>
                <w:color w:val="auto"/>
                <w:szCs w:val="21"/>
                <w:highlight w:val="none"/>
                <w:lang w:bidi="ar"/>
              </w:rPr>
              <w:t>分；</w:t>
            </w:r>
          </w:p>
          <w:p>
            <w:pPr>
              <w:adjustRightInd w:val="0"/>
              <w:snapToGrid w:val="0"/>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可行性差，流程不够清晰、</w:t>
            </w:r>
            <w:r>
              <w:rPr>
                <w:rFonts w:hint="eastAsia" w:ascii="宋体" w:hAnsi="宋体" w:eastAsia="宋体" w:cs="宋体"/>
                <w:bCs/>
                <w:color w:val="auto"/>
                <w:szCs w:val="21"/>
                <w:highlight w:val="none"/>
                <w:lang w:eastAsia="zh-CN" w:bidi="ar"/>
              </w:rPr>
              <w:t>可能给</w:t>
            </w:r>
            <w:r>
              <w:rPr>
                <w:rFonts w:hint="eastAsia" w:ascii="宋体" w:hAnsi="宋体" w:eastAsia="宋体" w:cs="宋体"/>
                <w:bCs/>
                <w:color w:val="auto"/>
                <w:szCs w:val="21"/>
                <w:highlight w:val="none"/>
                <w:lang w:bidi="ar"/>
              </w:rPr>
              <w:t>项目开展造成影响的得2分；</w:t>
            </w:r>
          </w:p>
          <w:p>
            <w:pPr>
              <w:adjustRightInd w:val="0"/>
              <w:snapToGrid w:val="0"/>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未提供任何方案的不得分。</w:t>
            </w:r>
          </w:p>
        </w:tc>
        <w:tc>
          <w:tcPr>
            <w:tcW w:w="341"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主观评审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371" w:hRule="atLeast"/>
        </w:trPr>
        <w:tc>
          <w:tcPr>
            <w:tcW w:w="478" w:type="pct"/>
            <w:vMerge w:val="continue"/>
            <w:tcBorders>
              <w:left w:val="single" w:color="auto" w:sz="4" w:space="0"/>
              <w:right w:val="single" w:color="auto" w:sz="4" w:space="0"/>
            </w:tcBorders>
            <w:noWrap w:val="0"/>
            <w:vAlign w:val="center"/>
          </w:tcPr>
          <w:p>
            <w:pPr>
              <w:adjustRightInd w:val="0"/>
              <w:rPr>
                <w:rFonts w:hint="eastAsia" w:ascii="宋体" w:hAnsi="宋体" w:eastAsia="宋体" w:cs="宋体"/>
                <w:color w:val="auto"/>
                <w:szCs w:val="21"/>
                <w:highlight w:val="none"/>
              </w:rPr>
            </w:pPr>
          </w:p>
        </w:tc>
        <w:tc>
          <w:tcPr>
            <w:tcW w:w="366" w:type="pct"/>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6</w:t>
            </w:r>
          </w:p>
        </w:tc>
        <w:tc>
          <w:tcPr>
            <w:tcW w:w="532" w:type="pct"/>
            <w:tcBorders>
              <w:top w:val="single" w:color="auto" w:sz="4" w:space="0"/>
              <w:left w:val="single" w:color="auto" w:sz="4" w:space="0"/>
              <w:right w:val="single" w:color="auto" w:sz="4" w:space="0"/>
            </w:tcBorders>
            <w:noWrap w:val="0"/>
            <w:vAlign w:val="center"/>
          </w:tcPr>
          <w:p>
            <w:pPr>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内部培训方案</w:t>
            </w:r>
          </w:p>
          <w:p>
            <w:pPr>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（3分）</w:t>
            </w:r>
          </w:p>
        </w:tc>
        <w:tc>
          <w:tcPr>
            <w:tcW w:w="3281" w:type="pct"/>
            <w:tcBorders>
              <w:top w:val="single" w:color="auto" w:sz="4" w:space="0"/>
              <w:left w:val="single" w:color="auto" w:sz="4" w:space="0"/>
              <w:right w:val="single" w:color="auto" w:sz="4" w:space="0"/>
            </w:tcBorders>
            <w:noWrap w:val="0"/>
            <w:vAlign w:val="center"/>
          </w:tcPr>
          <w:p>
            <w:pPr>
              <w:adjustRightInd w:val="0"/>
              <w:snapToGrid w:val="0"/>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根据供应商针对本项目提供的内部培训方案（包括：人员培训方案、培训周期、培训课程）否合理、完善、科学进行评审：</w:t>
            </w:r>
          </w:p>
          <w:p>
            <w:pPr>
              <w:adjustRightInd w:val="0"/>
              <w:snapToGrid w:val="0"/>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方案内容可行性强、流程清晰、操作性强的得3分；</w:t>
            </w:r>
          </w:p>
          <w:p>
            <w:pPr>
              <w:adjustRightInd w:val="0"/>
              <w:snapToGrid w:val="0"/>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可行性一般、流程较清晰、操作性较为普通的得2分；</w:t>
            </w:r>
          </w:p>
          <w:p>
            <w:pPr>
              <w:adjustRightInd w:val="0"/>
              <w:snapToGrid w:val="0"/>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可行性差，流程不清晰、操作性差的得1分；</w:t>
            </w:r>
          </w:p>
          <w:p>
            <w:pPr>
              <w:adjustRightInd w:val="0"/>
              <w:snapToGrid w:val="0"/>
              <w:rPr>
                <w:rFonts w:hint="eastAsia" w:ascii="宋体" w:hAnsi="宋体" w:eastAsia="宋体" w:cs="宋体"/>
                <w:bCs/>
                <w:color w:val="auto"/>
                <w:szCs w:val="21"/>
                <w:highlight w:val="none"/>
                <w:lang w:bidi="ar"/>
              </w:rPr>
            </w:pPr>
            <w:r>
              <w:rPr>
                <w:rFonts w:hint="eastAsia" w:ascii="宋体" w:hAnsi="宋体" w:eastAsia="宋体" w:cs="宋体"/>
                <w:bCs/>
                <w:color w:val="auto"/>
                <w:szCs w:val="21"/>
                <w:highlight w:val="none"/>
                <w:lang w:bidi="ar"/>
              </w:rPr>
              <w:t>未提供任何方案的不得分。</w:t>
            </w:r>
          </w:p>
        </w:tc>
        <w:tc>
          <w:tcPr>
            <w:tcW w:w="341"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主观评审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597" w:hRule="atLeast"/>
        </w:trPr>
        <w:tc>
          <w:tcPr>
            <w:tcW w:w="478" w:type="pct"/>
            <w:vMerge w:val="continue"/>
            <w:tcBorders>
              <w:left w:val="single" w:color="auto" w:sz="4" w:space="0"/>
              <w:right w:val="single" w:color="auto" w:sz="4" w:space="0"/>
            </w:tcBorders>
            <w:noWrap w:val="0"/>
            <w:vAlign w:val="center"/>
          </w:tcPr>
          <w:p>
            <w:pPr>
              <w:adjustRightInd w:val="0"/>
              <w:rPr>
                <w:rFonts w:hint="eastAsia" w:ascii="宋体" w:hAnsi="宋体" w:eastAsia="宋体" w:cs="宋体"/>
                <w:color w:val="auto"/>
                <w:szCs w:val="21"/>
                <w:highlight w:val="none"/>
              </w:rPr>
            </w:pPr>
          </w:p>
        </w:tc>
        <w:tc>
          <w:tcPr>
            <w:tcW w:w="366" w:type="pct"/>
            <w:tcBorders>
              <w:left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7</w:t>
            </w:r>
          </w:p>
        </w:tc>
        <w:tc>
          <w:tcPr>
            <w:tcW w:w="532" w:type="pct"/>
            <w:tcBorders>
              <w:left w:val="single" w:color="auto" w:sz="4" w:space="0"/>
              <w:right w:val="single" w:color="auto" w:sz="4" w:space="0"/>
            </w:tcBorders>
            <w:noWrap w:val="0"/>
            <w:vAlign w:val="center"/>
          </w:tcPr>
          <w:p>
            <w:pPr>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保险服务人员</w:t>
            </w:r>
          </w:p>
          <w:p>
            <w:pPr>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（5分）</w:t>
            </w:r>
          </w:p>
        </w:tc>
        <w:tc>
          <w:tcPr>
            <w:tcW w:w="3281" w:type="pct"/>
            <w:tcBorders>
              <w:top w:val="single" w:color="auto" w:sz="4" w:space="0"/>
              <w:left w:val="single" w:color="auto" w:sz="4" w:space="0"/>
              <w:right w:val="single" w:color="auto" w:sz="4" w:space="0"/>
            </w:tcBorders>
            <w:noWrap w:val="0"/>
            <w:vAlign w:val="center"/>
          </w:tcPr>
          <w:p>
            <w:pPr>
              <w:adjustRightInd w:val="0"/>
              <w:snapToGrid w:val="0"/>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供应商拟派本项目的保险服务人员（不包含理赔人员），具有结构工程、建筑与土木工程、建筑施工、土木工程、地质工程、安全工程专业全日制本科及以上学历的，每具有其中一个专业得1分，满分5分。</w:t>
            </w:r>
          </w:p>
          <w:p>
            <w:pPr>
              <w:adjustRightInd w:val="0"/>
              <w:snapToGrid w:val="0"/>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注：投标文件中提供保险服务人员一览表、人员毕业证书复印件加盖公章、中国高等教育学生信息网（学信网）关于学历查询的截图加盖公章、以及社保部门打印的由供应商为其缴纳的2023年</w:t>
            </w:r>
            <w:r>
              <w:rPr>
                <w:rFonts w:hint="eastAsia" w:ascii="宋体" w:hAnsi="宋体" w:eastAsia="宋体" w:cs="宋体"/>
                <w:color w:val="auto"/>
                <w:szCs w:val="21"/>
                <w:highlight w:val="none"/>
                <w:lang w:val="en-US" w:eastAsia="zh-CN" w:bidi="ar"/>
              </w:rPr>
              <w:t>8</w:t>
            </w:r>
            <w:r>
              <w:rPr>
                <w:rFonts w:hint="eastAsia" w:ascii="宋体" w:hAnsi="宋体" w:eastAsia="宋体" w:cs="宋体"/>
                <w:color w:val="auto"/>
                <w:szCs w:val="21"/>
                <w:highlight w:val="none"/>
                <w:lang w:bidi="ar"/>
              </w:rPr>
              <w:t>月至2023年</w:t>
            </w:r>
            <w:r>
              <w:rPr>
                <w:rFonts w:hint="eastAsia" w:ascii="宋体" w:hAnsi="宋体" w:eastAsia="宋体" w:cs="宋体"/>
                <w:color w:val="auto"/>
                <w:szCs w:val="21"/>
                <w:highlight w:val="none"/>
                <w:lang w:val="en-US" w:eastAsia="zh-CN" w:bidi="ar"/>
              </w:rPr>
              <w:t>10</w:t>
            </w:r>
            <w:r>
              <w:rPr>
                <w:rFonts w:hint="eastAsia" w:ascii="宋体" w:hAnsi="宋体" w:eastAsia="宋体" w:cs="宋体"/>
                <w:color w:val="auto"/>
                <w:szCs w:val="21"/>
                <w:highlight w:val="none"/>
                <w:lang w:bidi="ar"/>
              </w:rPr>
              <w:t>月间任意一个月的社保缴纳证明材料加盖公章。材料不齐全的不得分。</w:t>
            </w:r>
          </w:p>
        </w:tc>
        <w:tc>
          <w:tcPr>
            <w:tcW w:w="341"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客观评审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050" w:hRule="atLeast"/>
        </w:trPr>
        <w:tc>
          <w:tcPr>
            <w:tcW w:w="478" w:type="pct"/>
            <w:vMerge w:val="continue"/>
            <w:tcBorders>
              <w:left w:val="single" w:color="auto" w:sz="4" w:space="0"/>
              <w:right w:val="single" w:color="auto" w:sz="4" w:space="0"/>
            </w:tcBorders>
            <w:noWrap w:val="0"/>
            <w:vAlign w:val="center"/>
          </w:tcPr>
          <w:p>
            <w:pPr>
              <w:adjustRightInd w:val="0"/>
              <w:rPr>
                <w:rFonts w:hint="eastAsia" w:ascii="宋体" w:hAnsi="宋体" w:eastAsia="宋体" w:cs="宋体"/>
                <w:color w:val="auto"/>
                <w:szCs w:val="21"/>
                <w:highlight w:val="none"/>
              </w:rPr>
            </w:pPr>
          </w:p>
        </w:tc>
        <w:tc>
          <w:tcPr>
            <w:tcW w:w="366" w:type="pct"/>
            <w:tcBorders>
              <w:left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auto"/>
                <w:szCs w:val="21"/>
                <w:highlight w:val="none"/>
                <w:lang w:bidi="ar"/>
              </w:rPr>
            </w:pPr>
          </w:p>
        </w:tc>
        <w:tc>
          <w:tcPr>
            <w:tcW w:w="532" w:type="pct"/>
            <w:tcBorders>
              <w:left w:val="single" w:color="auto" w:sz="4" w:space="0"/>
              <w:right w:val="single" w:color="auto" w:sz="4" w:space="0"/>
            </w:tcBorders>
            <w:noWrap w:val="0"/>
            <w:vAlign w:val="center"/>
          </w:tcPr>
          <w:p>
            <w:pPr>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外聘专家（3分）</w:t>
            </w:r>
          </w:p>
        </w:tc>
        <w:tc>
          <w:tcPr>
            <w:tcW w:w="3281" w:type="pct"/>
            <w:tcBorders>
              <w:top w:val="single" w:color="auto" w:sz="4" w:space="0"/>
              <w:left w:val="single" w:color="auto" w:sz="4" w:space="0"/>
              <w:right w:val="single" w:color="auto" w:sz="4" w:space="0"/>
            </w:tcBorders>
            <w:noWrap w:val="0"/>
            <w:vAlign w:val="center"/>
          </w:tcPr>
          <w:p>
            <w:pPr>
              <w:adjustRightInd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针对本项目配备的外聘专家情况进行评审：</w:t>
            </w:r>
          </w:p>
          <w:p>
            <w:pPr>
              <w:adjustRightInd w:val="0"/>
              <w:jc w:val="left"/>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rPr>
              <w:t>1.外聘专家具有</w:t>
            </w:r>
            <w:r>
              <w:rPr>
                <w:rFonts w:hint="eastAsia" w:ascii="宋体" w:hAnsi="宋体" w:eastAsia="宋体" w:cs="宋体"/>
                <w:color w:val="auto"/>
                <w:szCs w:val="21"/>
                <w:highlight w:val="none"/>
                <w:lang w:eastAsia="zh-CN"/>
              </w:rPr>
              <w:t>正</w:t>
            </w:r>
            <w:r>
              <w:rPr>
                <w:rFonts w:hint="eastAsia" w:ascii="宋体" w:hAnsi="宋体" w:eastAsia="宋体" w:cs="宋体"/>
                <w:color w:val="auto"/>
                <w:szCs w:val="21"/>
                <w:highlight w:val="none"/>
              </w:rPr>
              <w:t>高级工程师职称的且人数在2人（含）以上的得2分</w:t>
            </w:r>
            <w:r>
              <w:rPr>
                <w:rFonts w:hint="eastAsia" w:ascii="宋体" w:hAnsi="宋体" w:eastAsia="宋体" w:cs="宋体"/>
                <w:color w:val="auto"/>
                <w:szCs w:val="21"/>
                <w:highlight w:val="none"/>
                <w:lang w:val="en-US" w:eastAsia="zh-CN"/>
              </w:rPr>
              <w:t>，人数为1人的得1分</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其他情况不得分；</w:t>
            </w:r>
          </w:p>
          <w:p>
            <w:pPr>
              <w:adjustRightInd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2.外聘专家持有一级注册结构工程师证书人数达到5人及以上的，得1分；其余不得分。</w:t>
            </w:r>
          </w:p>
          <w:p>
            <w:pPr>
              <w:adjustRightInd w:val="0"/>
              <w:jc w:val="left"/>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本项打分满分3分。</w:t>
            </w:r>
          </w:p>
          <w:p>
            <w:pPr>
              <w:adjustRightInd w:val="0"/>
              <w:jc w:val="left"/>
              <w:rPr>
                <w:rFonts w:hint="eastAsia" w:ascii="宋体" w:hAnsi="宋体" w:eastAsia="宋体" w:cs="宋体"/>
                <w:color w:val="auto"/>
                <w:highlight w:val="none"/>
              </w:rPr>
            </w:pPr>
            <w:r>
              <w:rPr>
                <w:rFonts w:hint="eastAsia" w:ascii="宋体" w:hAnsi="宋体" w:eastAsia="宋体" w:cs="宋体"/>
                <w:color w:val="auto"/>
                <w:szCs w:val="21"/>
                <w:highlight w:val="none"/>
                <w:lang w:val="en-US" w:eastAsia="zh-CN"/>
              </w:rPr>
              <w:t>注：</w:t>
            </w:r>
            <w:r>
              <w:rPr>
                <w:rFonts w:hint="eastAsia" w:ascii="宋体" w:hAnsi="宋体" w:eastAsia="宋体" w:cs="宋体"/>
                <w:color w:val="auto"/>
                <w:szCs w:val="21"/>
                <w:highlight w:val="none"/>
                <w:lang w:val="en-US" w:eastAsia="zh-CN" w:bidi="ar"/>
              </w:rPr>
              <w:t>投标文件中提供外聘专家人员一览表、外聘专家的聘书复印件加盖公章以及政府部门颁发的外聘专家的职称证书复印件加盖公章</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若同一外聘专家具有多本证书的，可重复计。</w:t>
            </w:r>
          </w:p>
        </w:tc>
        <w:tc>
          <w:tcPr>
            <w:tcW w:w="341"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客观评审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18" w:hRule="atLeast"/>
        </w:trPr>
        <w:tc>
          <w:tcPr>
            <w:tcW w:w="478" w:type="pct"/>
            <w:vMerge w:val="continue"/>
            <w:tcBorders>
              <w:left w:val="single" w:color="auto" w:sz="4" w:space="0"/>
              <w:right w:val="single" w:color="auto" w:sz="4" w:space="0"/>
            </w:tcBorders>
            <w:noWrap w:val="0"/>
            <w:vAlign w:val="center"/>
          </w:tcPr>
          <w:p>
            <w:pPr>
              <w:adjustRightInd w:val="0"/>
              <w:rPr>
                <w:rFonts w:hint="eastAsia" w:ascii="宋体" w:hAnsi="宋体" w:eastAsia="宋体" w:cs="宋体"/>
                <w:color w:val="auto"/>
                <w:szCs w:val="21"/>
                <w:highlight w:val="none"/>
              </w:rPr>
            </w:pPr>
          </w:p>
        </w:tc>
        <w:tc>
          <w:tcPr>
            <w:tcW w:w="366" w:type="pct"/>
            <w:tcBorders>
              <w:left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8</w:t>
            </w:r>
          </w:p>
        </w:tc>
        <w:tc>
          <w:tcPr>
            <w:tcW w:w="532" w:type="pct"/>
            <w:tcBorders>
              <w:left w:val="single" w:color="auto" w:sz="4" w:space="0"/>
              <w:right w:val="single" w:color="auto" w:sz="4" w:space="0"/>
            </w:tcBorders>
            <w:noWrap w:val="0"/>
            <w:vAlign w:val="center"/>
          </w:tcPr>
          <w:p>
            <w:pPr>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业绩</w:t>
            </w:r>
          </w:p>
          <w:p>
            <w:pPr>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（1.5分）</w:t>
            </w:r>
          </w:p>
        </w:tc>
        <w:tc>
          <w:tcPr>
            <w:tcW w:w="3281" w:type="pct"/>
            <w:tcBorders>
              <w:top w:val="single" w:color="auto" w:sz="4" w:space="0"/>
              <w:left w:val="single" w:color="auto" w:sz="4" w:space="0"/>
              <w:right w:val="single" w:color="auto" w:sz="4" w:space="0"/>
            </w:tcBorders>
            <w:noWrap w:val="0"/>
            <w:vAlign w:val="center"/>
          </w:tcPr>
          <w:p>
            <w:pPr>
              <w:adjustRightInd w:val="0"/>
              <w:jc w:val="left"/>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供应商自2020年1月1日起（以合同签订之日为准）至今，具有独家或首席承保的城镇住房保险项目案例的，每具有一个案例得0.5分，满分1.5分。</w:t>
            </w:r>
          </w:p>
          <w:p>
            <w:pPr>
              <w:adjustRightInd w:val="0"/>
              <w:jc w:val="left"/>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注：1.投标文件中提供保险合同复印件或保单复印件并加盖公章。2.合同承保方单位的公章信息必须和供应商信息一致，否则不予认可。</w:t>
            </w:r>
          </w:p>
        </w:tc>
        <w:tc>
          <w:tcPr>
            <w:tcW w:w="341"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客观评审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181" w:hRule="atLeast"/>
        </w:trPr>
        <w:tc>
          <w:tcPr>
            <w:tcW w:w="478" w:type="pct"/>
            <w:vMerge w:val="continue"/>
            <w:tcBorders>
              <w:left w:val="single" w:color="auto" w:sz="4" w:space="0"/>
              <w:right w:val="single" w:color="auto" w:sz="4" w:space="0"/>
            </w:tcBorders>
            <w:noWrap w:val="0"/>
            <w:vAlign w:val="center"/>
          </w:tcPr>
          <w:p>
            <w:pPr>
              <w:adjustRightInd w:val="0"/>
              <w:rPr>
                <w:rFonts w:hint="eastAsia" w:ascii="宋体" w:hAnsi="宋体" w:eastAsia="宋体" w:cs="宋体"/>
                <w:color w:val="auto"/>
                <w:szCs w:val="21"/>
                <w:highlight w:val="none"/>
              </w:rPr>
            </w:pPr>
          </w:p>
        </w:tc>
        <w:tc>
          <w:tcPr>
            <w:tcW w:w="366" w:type="pct"/>
            <w:tcBorders>
              <w:left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9</w:t>
            </w:r>
          </w:p>
        </w:tc>
        <w:tc>
          <w:tcPr>
            <w:tcW w:w="532" w:type="pct"/>
            <w:tcBorders>
              <w:left w:val="single" w:color="auto" w:sz="4" w:space="0"/>
              <w:right w:val="single" w:color="auto" w:sz="4" w:space="0"/>
            </w:tcBorders>
            <w:noWrap w:val="0"/>
            <w:vAlign w:val="center"/>
          </w:tcPr>
          <w:p>
            <w:pPr>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偿付能力（6分）</w:t>
            </w:r>
          </w:p>
        </w:tc>
        <w:tc>
          <w:tcPr>
            <w:tcW w:w="3281" w:type="pct"/>
            <w:tcBorders>
              <w:top w:val="single" w:color="auto" w:sz="4" w:space="0"/>
              <w:left w:val="single" w:color="auto" w:sz="4" w:space="0"/>
              <w:right w:val="single" w:color="auto" w:sz="4" w:space="0"/>
            </w:tcBorders>
            <w:noWrap w:val="0"/>
            <w:vAlign w:val="center"/>
          </w:tcPr>
          <w:p>
            <w:pPr>
              <w:keepNext w:val="0"/>
              <w:keepLines w:val="0"/>
              <w:suppressLineNumbers w:val="0"/>
              <w:adjustRightInd w:val="0"/>
              <w:spacing w:before="0" w:beforeAutospacing="0" w:after="0" w:afterAutospacing="0"/>
              <w:ind w:left="0" w:right="0"/>
              <w:jc w:val="left"/>
              <w:rPr>
                <w:rFonts w:hint="default" w:ascii="宋体" w:hAnsi="宋体" w:eastAsia="宋体" w:cs="宋体"/>
                <w:color w:val="auto"/>
                <w:szCs w:val="21"/>
                <w:highlight w:val="none"/>
                <w:lang w:bidi="ar"/>
              </w:rPr>
            </w:pPr>
            <w:r>
              <w:rPr>
                <w:rFonts w:hint="eastAsia" w:ascii="宋体" w:hAnsi="宋体" w:eastAsia="宋体" w:cs="宋体"/>
                <w:color w:val="auto"/>
                <w:szCs w:val="21"/>
                <w:highlight w:val="none"/>
                <w:lang w:bidi="ar"/>
              </w:rPr>
              <w:t>根据供应商总公司2022年度</w:t>
            </w:r>
            <w:r>
              <w:rPr>
                <w:rFonts w:hint="eastAsia" w:ascii="宋体" w:hAnsi="宋体" w:eastAsia="宋体" w:cs="宋体"/>
                <w:color w:val="auto"/>
                <w:szCs w:val="21"/>
                <w:highlight w:val="none"/>
                <w:lang w:val="en-US" w:eastAsia="zh-CN" w:bidi="ar"/>
              </w:rPr>
              <w:t>第四季度</w:t>
            </w:r>
            <w:r>
              <w:rPr>
                <w:rFonts w:hint="eastAsia" w:ascii="宋体" w:hAnsi="宋体" w:eastAsia="宋体" w:cs="宋体"/>
                <w:color w:val="auto"/>
                <w:szCs w:val="21"/>
                <w:highlight w:val="none"/>
                <w:lang w:bidi="ar"/>
              </w:rPr>
              <w:t>的综合偿付能力和核心偿付能力充足率进行评审：</w:t>
            </w:r>
          </w:p>
          <w:p>
            <w:pPr>
              <w:adjustRightInd w:val="0"/>
              <w:jc w:val="left"/>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综合偿付能力和核心偿付能力充足率都在200%（含）以上的得6分；</w:t>
            </w:r>
          </w:p>
          <w:p>
            <w:pPr>
              <w:adjustRightInd w:val="0"/>
              <w:jc w:val="left"/>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综合偿付能力和核心偿付能力充足率都在200%（不含）至190%（含）之间的得5分；</w:t>
            </w:r>
          </w:p>
          <w:p>
            <w:pPr>
              <w:adjustRightInd w:val="0"/>
              <w:jc w:val="left"/>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综合偿付能力和核心偿付能力充足率都在190%（不含）至180%（含）之间的得4分；</w:t>
            </w:r>
          </w:p>
          <w:p>
            <w:pPr>
              <w:adjustRightInd w:val="0"/>
              <w:jc w:val="left"/>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综合偿付能力和核心偿付能力充足率都在180%（不含）至170%（含）之间的得3分；</w:t>
            </w:r>
          </w:p>
          <w:p>
            <w:pPr>
              <w:adjustRightInd w:val="0"/>
              <w:jc w:val="left"/>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综合偿付能力和核心偿付能力充足率都在170%（不含）至160%（含）之间的得2分；</w:t>
            </w:r>
          </w:p>
          <w:p>
            <w:pPr>
              <w:adjustRightInd w:val="0"/>
              <w:jc w:val="left"/>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综合偿付能力和核心偿付能力充足率都低于160%的得1分。</w:t>
            </w:r>
          </w:p>
          <w:p>
            <w:pPr>
              <w:adjustRightInd w:val="0"/>
              <w:jc w:val="left"/>
              <w:rPr>
                <w:rFonts w:hint="eastAsia" w:ascii="宋体" w:hAnsi="宋体" w:eastAsia="宋体" w:cs="宋体"/>
                <w:color w:val="auto"/>
                <w:szCs w:val="21"/>
                <w:highlight w:val="none"/>
                <w:lang w:bidi="ar"/>
              </w:rPr>
            </w:pPr>
            <w:bookmarkStart w:id="406" w:name="_GoBack"/>
            <w:bookmarkEnd w:id="406"/>
            <w:r>
              <w:rPr>
                <w:rFonts w:hint="eastAsia" w:ascii="宋体" w:hAnsi="宋体" w:eastAsia="宋体" w:cs="宋体"/>
                <w:color w:val="auto"/>
                <w:szCs w:val="21"/>
                <w:highlight w:val="none"/>
                <w:lang w:bidi="ar"/>
              </w:rPr>
              <w:t>注：投标文件须提供供应商总公司</w:t>
            </w:r>
            <w:r>
              <w:rPr>
                <w:rFonts w:hint="eastAsia" w:ascii="宋体" w:hAnsi="宋体" w:eastAsia="宋体" w:cs="宋体"/>
                <w:color w:val="auto"/>
                <w:szCs w:val="21"/>
                <w:highlight w:val="none"/>
                <w:lang w:val="en-US" w:eastAsia="zh-CN" w:bidi="ar"/>
              </w:rPr>
              <w:t>2022年第4季度偿付能力专题财务报表及审计报告</w:t>
            </w:r>
            <w:r>
              <w:rPr>
                <w:rFonts w:hint="eastAsia" w:ascii="宋体" w:hAnsi="宋体" w:eastAsia="宋体" w:cs="宋体"/>
                <w:color w:val="auto"/>
                <w:szCs w:val="21"/>
                <w:highlight w:val="none"/>
                <w:lang w:bidi="ar"/>
              </w:rPr>
              <w:t>复印件加盖供应商公章，未提供不得分。</w:t>
            </w:r>
          </w:p>
        </w:tc>
        <w:tc>
          <w:tcPr>
            <w:tcW w:w="341"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客观评审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371" w:hRule="atLeast"/>
        </w:trPr>
        <w:tc>
          <w:tcPr>
            <w:tcW w:w="478" w:type="pct"/>
            <w:vMerge w:val="continue"/>
            <w:tcBorders>
              <w:left w:val="single" w:color="auto" w:sz="4" w:space="0"/>
              <w:right w:val="single" w:color="auto" w:sz="4" w:space="0"/>
            </w:tcBorders>
            <w:noWrap w:val="0"/>
            <w:vAlign w:val="center"/>
          </w:tcPr>
          <w:p>
            <w:pPr>
              <w:adjustRightInd w:val="0"/>
              <w:rPr>
                <w:rFonts w:hint="eastAsia" w:ascii="宋体" w:hAnsi="宋体" w:eastAsia="宋体" w:cs="宋体"/>
                <w:color w:val="auto"/>
                <w:szCs w:val="21"/>
                <w:highlight w:val="none"/>
              </w:rPr>
            </w:pPr>
          </w:p>
        </w:tc>
        <w:tc>
          <w:tcPr>
            <w:tcW w:w="366" w:type="pct"/>
            <w:tcBorders>
              <w:left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10</w:t>
            </w:r>
          </w:p>
        </w:tc>
        <w:tc>
          <w:tcPr>
            <w:tcW w:w="532" w:type="pct"/>
            <w:tcBorders>
              <w:left w:val="single" w:color="auto" w:sz="4" w:space="0"/>
              <w:right w:val="single" w:color="auto" w:sz="4" w:space="0"/>
            </w:tcBorders>
            <w:noWrap w:val="0"/>
            <w:vAlign w:val="center"/>
          </w:tcPr>
          <w:p>
            <w:pPr>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风险综合评级</w:t>
            </w:r>
          </w:p>
          <w:p>
            <w:pPr>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（2.5分）</w:t>
            </w:r>
          </w:p>
        </w:tc>
        <w:tc>
          <w:tcPr>
            <w:tcW w:w="3281" w:type="pct"/>
            <w:tcBorders>
              <w:top w:val="single" w:color="auto" w:sz="4" w:space="0"/>
              <w:left w:val="single" w:color="auto" w:sz="4" w:space="0"/>
              <w:right w:val="single" w:color="auto" w:sz="4" w:space="0"/>
            </w:tcBorders>
            <w:noWrap w:val="0"/>
            <w:vAlign w:val="center"/>
          </w:tcPr>
          <w:p>
            <w:pPr>
              <w:keepNext w:val="0"/>
              <w:keepLines w:val="0"/>
              <w:suppressLineNumbers w:val="0"/>
              <w:adjustRightInd w:val="0"/>
              <w:spacing w:before="0" w:beforeAutospacing="0" w:after="0" w:afterAutospacing="0"/>
              <w:ind w:left="0" w:right="0"/>
              <w:jc w:val="left"/>
              <w:rPr>
                <w:rFonts w:hint="default" w:ascii="宋体" w:hAnsi="宋体" w:eastAsia="宋体" w:cs="宋体"/>
                <w:color w:val="auto"/>
                <w:szCs w:val="21"/>
                <w:highlight w:val="none"/>
                <w:lang w:bidi="ar"/>
              </w:rPr>
            </w:pPr>
            <w:r>
              <w:rPr>
                <w:rFonts w:hint="eastAsia" w:ascii="宋体" w:hAnsi="宋体" w:eastAsia="宋体" w:cs="宋体"/>
                <w:color w:val="auto"/>
                <w:szCs w:val="21"/>
                <w:highlight w:val="none"/>
                <w:lang w:bidi="ar"/>
              </w:rPr>
              <w:t>根据供应商总公司2022年</w:t>
            </w:r>
            <w:r>
              <w:rPr>
                <w:rFonts w:hint="eastAsia" w:ascii="宋体" w:hAnsi="宋体" w:eastAsia="宋体" w:cs="宋体"/>
                <w:color w:val="auto"/>
                <w:szCs w:val="21"/>
                <w:highlight w:val="none"/>
                <w:lang w:val="en-US" w:eastAsia="zh-CN" w:bidi="ar"/>
              </w:rPr>
              <w:t>第四季度</w:t>
            </w:r>
            <w:r>
              <w:rPr>
                <w:rFonts w:hint="eastAsia" w:ascii="宋体" w:hAnsi="宋体" w:eastAsia="宋体" w:cs="宋体"/>
                <w:color w:val="auto"/>
                <w:szCs w:val="21"/>
                <w:highlight w:val="none"/>
                <w:lang w:bidi="ar"/>
              </w:rPr>
              <w:t>风险综合评级情况进行评审：</w:t>
            </w:r>
          </w:p>
          <w:p>
            <w:pPr>
              <w:keepNext w:val="0"/>
              <w:keepLines w:val="0"/>
              <w:suppressLineNumbers w:val="0"/>
              <w:adjustRightInd w:val="0"/>
              <w:spacing w:before="0" w:beforeAutospacing="0" w:after="0" w:afterAutospacing="0"/>
              <w:ind w:left="0" w:right="0"/>
              <w:jc w:val="left"/>
              <w:rPr>
                <w:rFonts w:hint="default" w:ascii="宋体" w:hAnsi="宋体" w:eastAsia="宋体" w:cs="宋体"/>
                <w:color w:val="auto"/>
                <w:szCs w:val="21"/>
                <w:highlight w:val="none"/>
                <w:lang w:bidi="ar"/>
              </w:rPr>
            </w:pPr>
            <w:r>
              <w:rPr>
                <w:rFonts w:hint="eastAsia" w:ascii="宋体" w:hAnsi="宋体" w:eastAsia="宋体" w:cs="宋体"/>
                <w:color w:val="auto"/>
                <w:szCs w:val="21"/>
                <w:highlight w:val="none"/>
                <w:lang w:bidi="ar"/>
              </w:rPr>
              <w:t>B级及以上的得2</w:t>
            </w:r>
            <w:r>
              <w:rPr>
                <w:rFonts w:hint="default" w:ascii="宋体" w:hAnsi="宋体" w:eastAsia="宋体" w:cs="宋体"/>
                <w:color w:val="auto"/>
                <w:szCs w:val="21"/>
                <w:highlight w:val="none"/>
                <w:lang w:bidi="ar"/>
              </w:rPr>
              <w:t>.5</w:t>
            </w:r>
            <w:r>
              <w:rPr>
                <w:rFonts w:hint="eastAsia" w:ascii="宋体" w:hAnsi="宋体" w:eastAsia="宋体" w:cs="宋体"/>
                <w:color w:val="auto"/>
                <w:szCs w:val="21"/>
                <w:highlight w:val="none"/>
                <w:lang w:bidi="ar"/>
              </w:rPr>
              <w:t>分；</w:t>
            </w:r>
          </w:p>
          <w:p>
            <w:pPr>
              <w:keepNext w:val="0"/>
              <w:keepLines w:val="0"/>
              <w:suppressLineNumbers w:val="0"/>
              <w:adjustRightInd w:val="0"/>
              <w:spacing w:before="0" w:beforeAutospacing="0" w:after="0" w:afterAutospacing="0"/>
              <w:ind w:left="0" w:right="0"/>
              <w:jc w:val="left"/>
              <w:rPr>
                <w:rFonts w:hint="default" w:ascii="宋体" w:hAnsi="宋体" w:eastAsia="宋体" w:cs="宋体"/>
                <w:color w:val="auto"/>
                <w:szCs w:val="21"/>
                <w:highlight w:val="none"/>
                <w:lang w:bidi="ar"/>
              </w:rPr>
            </w:pPr>
            <w:r>
              <w:rPr>
                <w:rFonts w:hint="eastAsia" w:ascii="宋体" w:hAnsi="宋体" w:eastAsia="宋体" w:cs="宋体"/>
                <w:color w:val="auto"/>
                <w:szCs w:val="21"/>
                <w:highlight w:val="none"/>
                <w:lang w:bidi="ar"/>
              </w:rPr>
              <w:t>低于B级的得1.5分；</w:t>
            </w:r>
          </w:p>
          <w:p>
            <w:pPr>
              <w:keepNext w:val="0"/>
              <w:keepLines w:val="0"/>
              <w:suppressLineNumbers w:val="0"/>
              <w:adjustRightInd w:val="0"/>
              <w:spacing w:before="0" w:beforeAutospacing="0" w:after="0" w:afterAutospacing="0"/>
              <w:ind w:left="0" w:right="0"/>
              <w:jc w:val="left"/>
              <w:rPr>
                <w:rFonts w:hint="default" w:ascii="宋体" w:hAnsi="宋体" w:eastAsia="宋体" w:cs="宋体"/>
                <w:color w:val="auto"/>
                <w:szCs w:val="21"/>
                <w:highlight w:val="none"/>
                <w:lang w:bidi="ar"/>
              </w:rPr>
            </w:pPr>
            <w:r>
              <w:rPr>
                <w:rFonts w:hint="eastAsia" w:ascii="宋体" w:hAnsi="宋体" w:eastAsia="宋体" w:cs="宋体"/>
                <w:color w:val="auto"/>
                <w:szCs w:val="21"/>
                <w:highlight w:val="none"/>
                <w:lang w:bidi="ar"/>
              </w:rPr>
              <w:t>无等级的不得分。</w:t>
            </w:r>
          </w:p>
          <w:p>
            <w:pPr>
              <w:adjustRightInd w:val="0"/>
              <w:jc w:val="left"/>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注：投标文件中提供供应商总公司2022年</w:t>
            </w:r>
            <w:r>
              <w:rPr>
                <w:rFonts w:hint="eastAsia" w:ascii="宋体" w:hAnsi="宋体" w:eastAsia="宋体" w:cs="宋体"/>
                <w:color w:val="auto"/>
                <w:szCs w:val="21"/>
                <w:highlight w:val="none"/>
                <w:lang w:val="en-US" w:eastAsia="zh-CN" w:bidi="ar"/>
              </w:rPr>
              <w:t>第四季度偿付能力报告摘要</w:t>
            </w:r>
            <w:r>
              <w:rPr>
                <w:rFonts w:hint="eastAsia" w:ascii="宋体" w:hAnsi="宋体" w:eastAsia="宋体" w:cs="宋体"/>
                <w:color w:val="auto"/>
                <w:szCs w:val="21"/>
                <w:highlight w:val="none"/>
                <w:lang w:bidi="ar"/>
              </w:rPr>
              <w:t>并加盖公章，以审计报告出具的数据为准。</w:t>
            </w:r>
          </w:p>
        </w:tc>
        <w:tc>
          <w:tcPr>
            <w:tcW w:w="341"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客观评审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729" w:hRule="atLeast"/>
        </w:trPr>
        <w:tc>
          <w:tcPr>
            <w:tcW w:w="478" w:type="pct"/>
            <w:vMerge w:val="continue"/>
            <w:tcBorders>
              <w:left w:val="single" w:color="auto" w:sz="4" w:space="0"/>
              <w:right w:val="single" w:color="auto" w:sz="4" w:space="0"/>
            </w:tcBorders>
            <w:noWrap w:val="0"/>
            <w:vAlign w:val="center"/>
          </w:tcPr>
          <w:p>
            <w:pPr>
              <w:adjustRightInd w:val="0"/>
              <w:rPr>
                <w:rFonts w:hint="eastAsia" w:ascii="宋体" w:hAnsi="宋体" w:eastAsia="宋体" w:cs="宋体"/>
                <w:color w:val="auto"/>
                <w:szCs w:val="21"/>
                <w:highlight w:val="none"/>
              </w:rPr>
            </w:pPr>
          </w:p>
        </w:tc>
        <w:tc>
          <w:tcPr>
            <w:tcW w:w="366" w:type="pct"/>
            <w:tcBorders>
              <w:left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11</w:t>
            </w:r>
          </w:p>
        </w:tc>
        <w:tc>
          <w:tcPr>
            <w:tcW w:w="532" w:type="pct"/>
            <w:tcBorders>
              <w:top w:val="single" w:color="auto" w:sz="4" w:space="0"/>
              <w:left w:val="single" w:color="auto" w:sz="4" w:space="0"/>
              <w:right w:val="single" w:color="auto" w:sz="4" w:space="0"/>
            </w:tcBorders>
            <w:noWrap w:val="0"/>
            <w:vAlign w:val="center"/>
          </w:tcPr>
          <w:p>
            <w:pPr>
              <w:adjustRightInd w:val="0"/>
              <w:jc w:val="center"/>
              <w:rPr>
                <w:rFonts w:ascii="宋体" w:hAnsi="宋体" w:eastAsia="宋体" w:cs="宋体"/>
                <w:color w:val="auto"/>
                <w:szCs w:val="21"/>
                <w:highlight w:val="none"/>
              </w:rPr>
            </w:pPr>
            <w:r>
              <w:rPr>
                <w:rFonts w:hint="eastAsia" w:ascii="宋体" w:hAnsi="宋体" w:eastAsia="宋体" w:cs="宋体"/>
                <w:color w:val="auto"/>
                <w:szCs w:val="21"/>
                <w:highlight w:val="none"/>
              </w:rPr>
              <w:t>信访投诉举报考核情况</w:t>
            </w:r>
          </w:p>
          <w:p>
            <w:pPr>
              <w:adjustRightInd w:val="0"/>
              <w:jc w:val="center"/>
              <w:rPr>
                <w:rFonts w:hint="eastAsia" w:ascii="宋体" w:hAnsi="宋体" w:eastAsia="宋体" w:cs="宋体"/>
                <w:color w:val="auto"/>
                <w:highlight w:val="none"/>
                <w:lang w:val="en-US"/>
              </w:rPr>
            </w:pPr>
            <w:r>
              <w:rPr>
                <w:rFonts w:hint="eastAsia" w:ascii="宋体" w:hAnsi="宋体" w:eastAsia="宋体" w:cs="宋体"/>
                <w:color w:val="auto"/>
                <w:szCs w:val="21"/>
                <w:highlight w:val="none"/>
              </w:rPr>
              <w:t>（5分）</w:t>
            </w:r>
          </w:p>
        </w:tc>
        <w:tc>
          <w:tcPr>
            <w:tcW w:w="3281" w:type="pct"/>
            <w:tcBorders>
              <w:top w:val="single" w:color="auto" w:sz="4" w:space="0"/>
              <w:left w:val="single" w:color="auto" w:sz="4" w:space="0"/>
              <w:right w:val="single" w:color="auto" w:sz="4" w:space="0"/>
            </w:tcBorders>
            <w:noWrap w:val="0"/>
            <w:vAlign w:val="center"/>
          </w:tcPr>
          <w:p>
            <w:pPr>
              <w:adjustRightInd w:val="0"/>
              <w:jc w:val="left"/>
              <w:rPr>
                <w:rFonts w:ascii="宋体" w:hAnsi="宋体" w:eastAsia="宋体" w:cs="宋体"/>
                <w:color w:val="auto"/>
                <w:szCs w:val="21"/>
                <w:highlight w:val="none"/>
                <w:lang w:bidi="ar"/>
              </w:rPr>
            </w:pPr>
            <w:r>
              <w:rPr>
                <w:rFonts w:hint="eastAsia" w:ascii="宋体" w:hAnsi="宋体" w:eastAsia="宋体" w:cs="宋体"/>
                <w:color w:val="auto"/>
                <w:szCs w:val="21"/>
                <w:highlight w:val="none"/>
                <w:lang w:bidi="ar"/>
              </w:rPr>
              <w:t>根据供应商2023年第一季度信访投诉举报工作质量考核得分进行评审：</w:t>
            </w:r>
          </w:p>
          <w:p>
            <w:pPr>
              <w:adjustRightInd w:val="0"/>
              <w:jc w:val="left"/>
              <w:rPr>
                <w:rFonts w:ascii="宋体" w:hAnsi="宋体" w:eastAsia="宋体" w:cs="宋体"/>
                <w:color w:val="auto"/>
                <w:szCs w:val="21"/>
                <w:highlight w:val="none"/>
                <w:lang w:bidi="ar"/>
              </w:rPr>
            </w:pPr>
            <w:r>
              <w:rPr>
                <w:rFonts w:hint="eastAsia" w:ascii="宋体" w:hAnsi="宋体" w:eastAsia="宋体" w:cs="宋体"/>
                <w:color w:val="auto"/>
                <w:szCs w:val="21"/>
                <w:highlight w:val="none"/>
                <w:lang w:bidi="ar"/>
              </w:rPr>
              <w:t>第一季度信访投诉举报工作质量考核得分98及以上的得5分；</w:t>
            </w:r>
          </w:p>
          <w:p>
            <w:pPr>
              <w:adjustRightInd w:val="0"/>
              <w:jc w:val="left"/>
              <w:rPr>
                <w:rFonts w:ascii="宋体" w:hAnsi="宋体" w:eastAsia="宋体" w:cs="宋体"/>
                <w:color w:val="auto"/>
                <w:szCs w:val="21"/>
                <w:highlight w:val="none"/>
                <w:lang w:bidi="ar"/>
              </w:rPr>
            </w:pPr>
            <w:r>
              <w:rPr>
                <w:rFonts w:hint="eastAsia" w:ascii="宋体" w:hAnsi="宋体" w:eastAsia="宋体" w:cs="宋体"/>
                <w:color w:val="auto"/>
                <w:szCs w:val="21"/>
                <w:highlight w:val="none"/>
                <w:lang w:bidi="ar"/>
              </w:rPr>
              <w:t>第一季度信访投诉举报工作质量考核得分98（不含）至97分（含）的得4分；</w:t>
            </w:r>
          </w:p>
          <w:p>
            <w:pPr>
              <w:adjustRightInd w:val="0"/>
              <w:jc w:val="left"/>
              <w:rPr>
                <w:rFonts w:ascii="宋体" w:hAnsi="宋体" w:eastAsia="宋体" w:cs="宋体"/>
                <w:color w:val="auto"/>
                <w:szCs w:val="21"/>
                <w:highlight w:val="none"/>
                <w:lang w:bidi="ar"/>
              </w:rPr>
            </w:pPr>
            <w:r>
              <w:rPr>
                <w:rFonts w:hint="eastAsia" w:ascii="宋体" w:hAnsi="宋体" w:eastAsia="宋体" w:cs="宋体"/>
                <w:color w:val="auto"/>
                <w:szCs w:val="21"/>
                <w:highlight w:val="none"/>
                <w:lang w:bidi="ar"/>
              </w:rPr>
              <w:t>第一季度信访投诉举报工作质量考核得分97（不含）至96分（含）的得3分；</w:t>
            </w:r>
          </w:p>
          <w:p>
            <w:pPr>
              <w:adjustRightInd w:val="0"/>
              <w:jc w:val="left"/>
              <w:rPr>
                <w:rFonts w:ascii="宋体" w:hAnsi="宋体" w:eastAsia="宋体" w:cs="宋体"/>
                <w:color w:val="auto"/>
                <w:szCs w:val="21"/>
                <w:highlight w:val="none"/>
                <w:lang w:bidi="ar"/>
              </w:rPr>
            </w:pPr>
            <w:r>
              <w:rPr>
                <w:rFonts w:hint="eastAsia" w:ascii="宋体" w:hAnsi="宋体" w:eastAsia="宋体" w:cs="宋体"/>
                <w:color w:val="auto"/>
                <w:szCs w:val="21"/>
                <w:highlight w:val="none"/>
                <w:lang w:bidi="ar"/>
              </w:rPr>
              <w:t>第一季度信访投诉举报工作质量考核得分96（不含）至95分（含）的得2分；</w:t>
            </w:r>
          </w:p>
          <w:p>
            <w:pPr>
              <w:adjustRightInd w:val="0"/>
              <w:jc w:val="left"/>
              <w:rPr>
                <w:rFonts w:ascii="宋体" w:hAnsi="宋体" w:eastAsia="宋体" w:cs="宋体"/>
                <w:color w:val="auto"/>
                <w:szCs w:val="21"/>
                <w:highlight w:val="none"/>
                <w:lang w:bidi="ar"/>
              </w:rPr>
            </w:pPr>
            <w:r>
              <w:rPr>
                <w:rFonts w:hint="eastAsia" w:ascii="宋体" w:hAnsi="宋体" w:eastAsia="宋体" w:cs="宋体"/>
                <w:color w:val="auto"/>
                <w:szCs w:val="21"/>
                <w:highlight w:val="none"/>
                <w:lang w:bidi="ar"/>
              </w:rPr>
              <w:t>第一季度信访投诉举报工作质量考核得分95（不含）至94分（含）的得1分。</w:t>
            </w:r>
          </w:p>
          <w:p>
            <w:pPr>
              <w:adjustRightInd w:val="0"/>
              <w:jc w:val="left"/>
              <w:rPr>
                <w:rFonts w:ascii="宋体" w:hAnsi="宋体" w:eastAsia="宋体" w:cs="宋体"/>
                <w:color w:val="auto"/>
                <w:szCs w:val="21"/>
                <w:highlight w:val="none"/>
                <w:lang w:bidi="ar"/>
              </w:rPr>
            </w:pPr>
            <w:r>
              <w:rPr>
                <w:rFonts w:hint="eastAsia" w:ascii="宋体" w:hAnsi="宋体" w:eastAsia="宋体" w:cs="宋体"/>
                <w:color w:val="auto"/>
                <w:szCs w:val="21"/>
                <w:highlight w:val="none"/>
                <w:lang w:bidi="ar"/>
              </w:rPr>
              <w:t>其他情况不得分。</w:t>
            </w:r>
          </w:p>
          <w:p>
            <w:pPr>
              <w:adjustRightInd w:val="0"/>
              <w:jc w:val="left"/>
              <w:rPr>
                <w:rFonts w:hint="eastAsia" w:ascii="宋体" w:hAnsi="宋体" w:eastAsia="宋体" w:cs="宋体"/>
                <w:bCs/>
                <w:color w:val="auto"/>
                <w:szCs w:val="21"/>
                <w:highlight w:val="none"/>
                <w:lang w:bidi="ar"/>
              </w:rPr>
            </w:pPr>
            <w:r>
              <w:rPr>
                <w:rFonts w:hint="eastAsia" w:ascii="宋体" w:hAnsi="宋体" w:eastAsia="宋体" w:cs="宋体"/>
                <w:color w:val="auto"/>
                <w:szCs w:val="21"/>
                <w:highlight w:val="none"/>
                <w:lang w:bidi="ar"/>
              </w:rPr>
              <w:t>注：</w:t>
            </w:r>
            <w:r>
              <w:rPr>
                <w:rFonts w:hint="eastAsia" w:ascii="宋体" w:hAnsi="宋体" w:eastAsia="宋体" w:cs="宋体"/>
                <w:color w:val="auto"/>
                <w:szCs w:val="21"/>
                <w:highlight w:val="none"/>
                <w:lang w:bidi="ar"/>
              </w:rPr>
              <w:t>投标文件中提供</w:t>
            </w:r>
            <w:r>
              <w:rPr>
                <w:rFonts w:hint="eastAsia" w:ascii="宋体" w:hAnsi="宋体" w:cs="宋体"/>
                <w:color w:val="auto"/>
                <w:szCs w:val="21"/>
                <w:highlight w:val="none"/>
                <w:lang w:eastAsia="zh-CN" w:bidi="ar"/>
              </w:rPr>
              <w:t>上级行政主管部门</w:t>
            </w:r>
            <w:r>
              <w:rPr>
                <w:rFonts w:hint="eastAsia" w:ascii="宋体" w:hAnsi="宋体" w:eastAsia="宋体" w:cs="宋体"/>
                <w:color w:val="auto"/>
                <w:szCs w:val="21"/>
                <w:highlight w:val="none"/>
                <w:lang w:bidi="ar"/>
              </w:rPr>
              <w:t>出具的相关证明材料并加盖公章</w:t>
            </w:r>
            <w:r>
              <w:rPr>
                <w:rFonts w:hint="eastAsia" w:ascii="宋体" w:hAnsi="宋体" w:eastAsia="宋体" w:cs="宋体"/>
                <w:color w:val="auto"/>
                <w:szCs w:val="21"/>
                <w:highlight w:val="none"/>
                <w:lang w:bidi="ar"/>
              </w:rPr>
              <w:t>。</w:t>
            </w:r>
          </w:p>
        </w:tc>
        <w:tc>
          <w:tcPr>
            <w:tcW w:w="341" w:type="pct"/>
            <w:tcBorders>
              <w:top w:val="single" w:color="auto" w:sz="4" w:space="0"/>
              <w:left w:val="single" w:color="auto" w:sz="4" w:space="0"/>
              <w:right w:val="single" w:color="auto" w:sz="4" w:space="0"/>
            </w:tcBorders>
            <w:noWrap w:val="0"/>
            <w:vAlign w:val="center"/>
          </w:tcPr>
          <w:p>
            <w:pPr>
              <w:adjustRightInd w:val="0"/>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客观评审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823" w:hRule="atLeast"/>
        </w:trPr>
        <w:tc>
          <w:tcPr>
            <w:tcW w:w="478" w:type="pct"/>
            <w:vMerge w:val="continue"/>
            <w:tcBorders>
              <w:left w:val="single" w:color="auto" w:sz="4" w:space="0"/>
              <w:right w:val="single" w:color="auto" w:sz="4" w:space="0"/>
            </w:tcBorders>
            <w:noWrap w:val="0"/>
            <w:vAlign w:val="center"/>
          </w:tcPr>
          <w:p>
            <w:pPr>
              <w:adjustRightInd w:val="0"/>
              <w:rPr>
                <w:rFonts w:hint="eastAsia" w:ascii="宋体" w:hAnsi="宋体" w:eastAsia="宋体" w:cs="宋体"/>
                <w:color w:val="auto"/>
                <w:szCs w:val="21"/>
                <w:highlight w:val="none"/>
              </w:rPr>
            </w:pPr>
          </w:p>
        </w:tc>
        <w:tc>
          <w:tcPr>
            <w:tcW w:w="366" w:type="pct"/>
            <w:tcBorders>
              <w:left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12</w:t>
            </w:r>
          </w:p>
        </w:tc>
        <w:tc>
          <w:tcPr>
            <w:tcW w:w="532" w:type="pct"/>
            <w:tcBorders>
              <w:left w:val="single" w:color="auto" w:sz="4" w:space="0"/>
              <w:right w:val="single" w:color="auto" w:sz="4" w:space="0"/>
            </w:tcBorders>
            <w:noWrap w:val="0"/>
            <w:vAlign w:val="center"/>
          </w:tcPr>
          <w:p>
            <w:pPr>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服务便捷情况</w:t>
            </w:r>
          </w:p>
          <w:p>
            <w:pPr>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分）</w:t>
            </w:r>
          </w:p>
        </w:tc>
        <w:tc>
          <w:tcPr>
            <w:tcW w:w="3281" w:type="pct"/>
            <w:tcBorders>
              <w:top w:val="single" w:color="auto" w:sz="4" w:space="0"/>
              <w:left w:val="single" w:color="auto" w:sz="4" w:space="0"/>
              <w:right w:val="single" w:color="auto" w:sz="4" w:space="0"/>
            </w:tcBorders>
            <w:noWrap w:val="0"/>
            <w:vAlign w:val="center"/>
          </w:tcPr>
          <w:p>
            <w:pPr>
              <w:adjustRightInd w:val="0"/>
              <w:jc w:val="left"/>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根据供应商的服务便捷情况（包括：出险后的响应时间、到场时间、理赔到账时间、服务网点分布状况、理赔人员情况）进行评审：</w:t>
            </w:r>
          </w:p>
          <w:p>
            <w:pPr>
              <w:adjustRightInd w:val="0"/>
              <w:jc w:val="left"/>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服务便捷、操作性强、便于项目开展的得</w:t>
            </w:r>
            <w:r>
              <w:rPr>
                <w:rFonts w:hint="eastAsia" w:ascii="宋体" w:hAnsi="宋体" w:eastAsia="宋体" w:cs="宋体"/>
                <w:color w:val="auto"/>
                <w:szCs w:val="21"/>
                <w:highlight w:val="none"/>
                <w:lang w:val="en-US" w:eastAsia="zh-CN" w:bidi="ar"/>
              </w:rPr>
              <w:t>4</w:t>
            </w:r>
            <w:r>
              <w:rPr>
                <w:rFonts w:hint="eastAsia" w:ascii="宋体" w:hAnsi="宋体" w:eastAsia="宋体" w:cs="宋体"/>
                <w:color w:val="auto"/>
                <w:szCs w:val="21"/>
                <w:highlight w:val="none"/>
                <w:lang w:bidi="ar"/>
              </w:rPr>
              <w:t>分；</w:t>
            </w:r>
          </w:p>
          <w:p>
            <w:pPr>
              <w:adjustRightInd w:val="0"/>
              <w:jc w:val="left"/>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服务较为简便、操作性较好、符合项目开展要求的得</w:t>
            </w:r>
            <w:r>
              <w:rPr>
                <w:rFonts w:hint="eastAsia" w:ascii="宋体" w:hAnsi="宋体" w:eastAsia="宋体" w:cs="宋体"/>
                <w:color w:val="auto"/>
                <w:szCs w:val="21"/>
                <w:highlight w:val="none"/>
                <w:lang w:val="en-US" w:eastAsia="zh-CN" w:bidi="ar"/>
              </w:rPr>
              <w:t>3</w:t>
            </w:r>
            <w:r>
              <w:rPr>
                <w:rFonts w:hint="eastAsia" w:ascii="宋体" w:hAnsi="宋体" w:eastAsia="宋体" w:cs="宋体"/>
                <w:color w:val="auto"/>
                <w:szCs w:val="21"/>
                <w:highlight w:val="none"/>
                <w:lang w:bidi="ar"/>
              </w:rPr>
              <w:t>分；</w:t>
            </w:r>
          </w:p>
          <w:p>
            <w:pPr>
              <w:adjustRightInd w:val="0"/>
              <w:jc w:val="left"/>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服务不便捷、操作性弱、不利于项目开展的得2分；</w:t>
            </w:r>
          </w:p>
          <w:p>
            <w:pPr>
              <w:adjustRightInd w:val="0"/>
              <w:jc w:val="left"/>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未提供任何方案的不得分；</w:t>
            </w:r>
          </w:p>
          <w:p>
            <w:pPr>
              <w:adjustRightInd w:val="0"/>
              <w:jc w:val="left"/>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注：供应商需在投标文件中提供相关证明材料予以佐证其方案的真实性，若证明材料不充分导致无法对真实性作出判定时，本项最高按2分计；</w:t>
            </w:r>
          </w:p>
        </w:tc>
        <w:tc>
          <w:tcPr>
            <w:tcW w:w="341"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主观评审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153" w:hRule="atLeast"/>
        </w:trPr>
        <w:tc>
          <w:tcPr>
            <w:tcW w:w="478" w:type="pct"/>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价格分（15分）</w:t>
            </w:r>
          </w:p>
        </w:tc>
        <w:tc>
          <w:tcPr>
            <w:tcW w:w="4179" w:type="pct"/>
            <w:gridSpan w:val="3"/>
            <w:tcBorders>
              <w:top w:val="single" w:color="auto" w:sz="4" w:space="0"/>
              <w:left w:val="single" w:color="auto" w:sz="4" w:space="0"/>
              <w:bottom w:val="single" w:color="auto" w:sz="4" w:space="0"/>
              <w:right w:val="single" w:color="auto" w:sz="4" w:space="0"/>
            </w:tcBorders>
            <w:noWrap w:val="0"/>
            <w:vAlign w:val="center"/>
          </w:tcPr>
          <w:p>
            <w:pPr>
              <w:adjustRightInd w:val="0"/>
              <w:ind w:left="-4"/>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评标基准价指满足招标文件要求且最低的参与评审的价格。</w:t>
            </w:r>
          </w:p>
          <w:p>
            <w:pPr>
              <w:adjustRightInd w:val="0"/>
              <w:ind w:left="-4"/>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参与评审的价格=投标报价×[1-小微企业价格的政策优惠（如有）]</w:t>
            </w:r>
          </w:p>
          <w:p>
            <w:pPr>
              <w:adjustRightInd w:val="0"/>
              <w:ind w:left="-4"/>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参与评审的价格为评标基准价的其价格得分得满分15分。</w:t>
            </w:r>
          </w:p>
          <w:p>
            <w:pPr>
              <w:adjustRightInd w:val="0"/>
              <w:ind w:left="-4"/>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其他供应商价格得分按照下列公式计算：</w:t>
            </w:r>
          </w:p>
          <w:p>
            <w:pPr>
              <w:adjustRightInd w:val="0"/>
              <w:ind w:left="-4"/>
              <w:rPr>
                <w:rFonts w:hint="eastAsia" w:ascii="宋体" w:hAnsi="宋体" w:eastAsia="宋体" w:cs="宋体"/>
                <w:b/>
                <w:color w:val="auto"/>
                <w:szCs w:val="21"/>
                <w:highlight w:val="none"/>
                <w:lang w:bidi="ar"/>
              </w:rPr>
            </w:pPr>
            <w:r>
              <w:rPr>
                <w:rFonts w:hint="eastAsia" w:ascii="宋体" w:hAnsi="宋体" w:eastAsia="宋体" w:cs="宋体"/>
                <w:color w:val="auto"/>
                <w:szCs w:val="21"/>
                <w:highlight w:val="none"/>
                <w:lang w:bidi="ar"/>
              </w:rPr>
              <w:t>价格得分=（评标基准价/参与评审的价格）×15%×100</w:t>
            </w:r>
            <w:r>
              <w:rPr>
                <w:rFonts w:hint="eastAsia" w:ascii="宋体" w:hAnsi="宋体" w:eastAsia="宋体" w:cs="宋体"/>
                <w:color w:val="auto"/>
                <w:szCs w:val="21"/>
                <w:highlight w:val="none"/>
              </w:rPr>
              <w:t>。</w:t>
            </w:r>
          </w:p>
        </w:tc>
        <w:tc>
          <w:tcPr>
            <w:tcW w:w="341" w:type="pct"/>
            <w:tcBorders>
              <w:top w:val="single" w:color="auto" w:sz="4" w:space="0"/>
              <w:left w:val="single" w:color="auto" w:sz="4" w:space="0"/>
              <w:bottom w:val="single" w:color="auto" w:sz="4" w:space="0"/>
              <w:right w:val="single" w:color="auto" w:sz="4" w:space="0"/>
            </w:tcBorders>
            <w:noWrap w:val="0"/>
            <w:vAlign w:val="center"/>
          </w:tcPr>
          <w:p>
            <w:pPr>
              <w:adjustRightInd w:val="0"/>
              <w:ind w:left="-4"/>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客观评审</w:t>
            </w:r>
          </w:p>
        </w:tc>
      </w:tr>
    </w:tbl>
    <w:p>
      <w:pPr>
        <w:snapToGrid w:val="0"/>
        <w:spacing w:line="240" w:lineRule="auto"/>
        <w:rPr>
          <w:rFonts w:hint="eastAsia" w:ascii="宋体" w:hAnsi="宋体" w:eastAsia="宋体" w:cs="宋体"/>
          <w:color w:val="auto"/>
          <w:sz w:val="20"/>
          <w:szCs w:val="20"/>
          <w:highlight w:val="none"/>
          <w:shd w:val="clear" w:color="auto" w:fill="FFFFFF"/>
        </w:rPr>
      </w:pPr>
      <w:r>
        <w:rPr>
          <w:rFonts w:hint="eastAsia" w:ascii="宋体" w:hAnsi="宋体" w:eastAsia="宋体" w:cs="宋体"/>
          <w:bCs/>
          <w:color w:val="auto"/>
          <w:sz w:val="24"/>
          <w:highlight w:val="none"/>
        </w:rPr>
        <w:t>备注：1、</w:t>
      </w:r>
      <w:r>
        <w:rPr>
          <w:rFonts w:hint="eastAsia" w:ascii="宋体" w:hAnsi="宋体" w:cs="宋体"/>
          <w:bCs/>
          <w:color w:val="auto"/>
          <w:sz w:val="24"/>
          <w:highlight w:val="none"/>
          <w:lang w:eastAsia="zh-CN"/>
        </w:rPr>
        <w:t>供应商</w:t>
      </w:r>
      <w:r>
        <w:rPr>
          <w:rFonts w:hint="eastAsia" w:ascii="宋体" w:hAnsi="宋体" w:eastAsia="宋体" w:cs="宋体"/>
          <w:bCs/>
          <w:color w:val="auto"/>
          <w:sz w:val="24"/>
          <w:highlight w:val="none"/>
        </w:rPr>
        <w:t>编制投标文件（商务技术文件部分）时，建议按此目录（序号和内容）提供评标标准相应的商务技术资料。2、各评标委员会成员自行按以上参考分值评分。3、重大事件由评标委员会集体讨论，应当按照少数服从多数的原则作出结论。4、</w:t>
      </w:r>
      <w:r>
        <w:rPr>
          <w:rFonts w:hint="eastAsia" w:ascii="宋体" w:hAnsi="宋体" w:eastAsia="宋体" w:cs="宋体"/>
          <w:bCs/>
          <w:color w:val="auto"/>
          <w:kern w:val="0"/>
          <w:sz w:val="24"/>
          <w:highlight w:val="none"/>
        </w:rPr>
        <w:t>评审后综合得分采用四舍五入，并保留小数1位。</w:t>
      </w:r>
    </w:p>
    <w:p>
      <w:pPr>
        <w:rPr>
          <w:rFonts w:hint="eastAsia" w:ascii="宋体" w:hAnsi="宋体" w:eastAsia="宋体" w:cs="宋体"/>
          <w:b/>
          <w:color w:val="auto"/>
          <w:sz w:val="32"/>
          <w:highlight w:val="none"/>
        </w:rPr>
      </w:pPr>
      <w:r>
        <w:rPr>
          <w:rFonts w:hint="eastAsia" w:ascii="宋体" w:hAnsi="宋体" w:eastAsia="宋体" w:cs="宋体"/>
          <w:b/>
          <w:color w:val="auto"/>
          <w:sz w:val="32"/>
          <w:highlight w:val="none"/>
        </w:rPr>
        <w:br w:type="page"/>
      </w:r>
    </w:p>
    <w:p>
      <w:pPr>
        <w:snapToGrid w:val="0"/>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32"/>
          <w:highlight w:val="none"/>
        </w:rPr>
        <w:t>一、评标方法</w:t>
      </w:r>
    </w:p>
    <w:p>
      <w:pPr>
        <w:adjustRightInd/>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1.本项目采用综合评分法。</w:t>
      </w:r>
      <w:r>
        <w:rPr>
          <w:rFonts w:hint="eastAsia" w:ascii="宋体" w:hAnsi="宋体" w:eastAsia="宋体" w:cs="宋体"/>
          <w:color w:val="auto"/>
          <w:kern w:val="0"/>
          <w:sz w:val="24"/>
          <w:highlight w:val="none"/>
        </w:rPr>
        <w:t>综合评分法，是指投标文件满足招标文件全部实质性要求，且按照评审因素的量化指标评审得分最高的</w:t>
      </w:r>
      <w:r>
        <w:rPr>
          <w:rFonts w:hint="eastAsia" w:ascii="宋体" w:hAnsi="宋体" w:cs="宋体"/>
          <w:color w:val="auto"/>
          <w:kern w:val="0"/>
          <w:sz w:val="24"/>
          <w:highlight w:val="none"/>
          <w:lang w:eastAsia="zh-CN"/>
        </w:rPr>
        <w:t>供应商</w:t>
      </w:r>
      <w:r>
        <w:rPr>
          <w:rFonts w:hint="eastAsia" w:ascii="宋体" w:hAnsi="宋体" w:eastAsia="宋体" w:cs="宋体"/>
          <w:color w:val="auto"/>
          <w:kern w:val="0"/>
          <w:sz w:val="24"/>
          <w:highlight w:val="none"/>
        </w:rPr>
        <w:t>为中标候选人的评标方法。</w:t>
      </w:r>
    </w:p>
    <w:p>
      <w:pPr>
        <w:adjustRightInd/>
        <w:spacing w:line="360" w:lineRule="auto"/>
        <w:jc w:val="center"/>
        <w:rPr>
          <w:rFonts w:hint="eastAsia" w:ascii="宋体" w:hAnsi="宋体" w:eastAsia="宋体" w:cs="宋体"/>
          <w:color w:val="auto"/>
          <w:kern w:val="0"/>
          <w:sz w:val="24"/>
          <w:highlight w:val="none"/>
        </w:rPr>
      </w:pPr>
      <w:r>
        <w:rPr>
          <w:rFonts w:hint="eastAsia" w:ascii="宋体" w:hAnsi="宋体" w:eastAsia="宋体" w:cs="宋体"/>
          <w:b/>
          <w:color w:val="auto"/>
          <w:sz w:val="32"/>
          <w:highlight w:val="none"/>
        </w:rPr>
        <w:t>二、评标标准</w:t>
      </w:r>
    </w:p>
    <w:p>
      <w:pPr>
        <w:spacing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w:t>
      </w:r>
      <w:r>
        <w:rPr>
          <w:rFonts w:hint="eastAsia" w:ascii="宋体" w:hAnsi="宋体" w:eastAsia="宋体" w:cs="宋体"/>
          <w:color w:val="auto"/>
          <w:highlight w:val="none"/>
        </w:rPr>
        <w:t xml:space="preserve"> </w:t>
      </w:r>
      <w:r>
        <w:rPr>
          <w:rFonts w:hint="eastAsia" w:ascii="宋体" w:hAnsi="宋体" w:eastAsia="宋体" w:cs="宋体"/>
          <w:b/>
          <w:color w:val="auto"/>
          <w:sz w:val="24"/>
          <w:highlight w:val="none"/>
        </w:rPr>
        <w:t>评标标准：</w:t>
      </w:r>
      <w:r>
        <w:rPr>
          <w:rFonts w:hint="eastAsia" w:ascii="宋体" w:hAnsi="宋体" w:eastAsia="宋体" w:cs="宋体"/>
          <w:color w:val="auto"/>
          <w:kern w:val="0"/>
          <w:sz w:val="24"/>
          <w:highlight w:val="none"/>
        </w:rPr>
        <w:t>见评标办法前附表。</w:t>
      </w:r>
    </w:p>
    <w:p>
      <w:pPr>
        <w:spacing w:line="360" w:lineRule="auto"/>
        <w:jc w:val="center"/>
        <w:outlineLvl w:val="0"/>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三、评标程序</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3.1符合性审查。</w:t>
      </w:r>
      <w:r>
        <w:rPr>
          <w:rFonts w:hint="eastAsia" w:ascii="宋体" w:hAnsi="宋体" w:eastAsia="宋体" w:cs="宋体"/>
          <w:color w:val="auto"/>
          <w:kern w:val="0"/>
          <w:sz w:val="24"/>
          <w:highlight w:val="none"/>
        </w:rPr>
        <w:t>评标委员会应当对符合资格的</w:t>
      </w:r>
      <w:r>
        <w:rPr>
          <w:rFonts w:hint="eastAsia" w:ascii="宋体" w:hAnsi="宋体" w:cs="宋体"/>
          <w:color w:val="auto"/>
          <w:kern w:val="0"/>
          <w:sz w:val="24"/>
          <w:highlight w:val="none"/>
          <w:lang w:eastAsia="zh-CN"/>
        </w:rPr>
        <w:t>供应商</w:t>
      </w:r>
      <w:r>
        <w:rPr>
          <w:rFonts w:hint="eastAsia" w:ascii="宋体" w:hAnsi="宋体" w:eastAsia="宋体" w:cs="宋体"/>
          <w:color w:val="auto"/>
          <w:kern w:val="0"/>
          <w:sz w:val="24"/>
          <w:highlight w:val="none"/>
        </w:rPr>
        <w:t>的投标文件进行符合性审查，以确定其是否满足招标文件的实质性要求。不满足招标文件的实质性要求的，投标无效。</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3.2 比较与评价。</w:t>
      </w:r>
      <w:r>
        <w:rPr>
          <w:rFonts w:hint="eastAsia" w:ascii="宋体" w:hAnsi="宋体" w:eastAsia="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3.3汇总商务技术得分。</w:t>
      </w:r>
      <w:r>
        <w:rPr>
          <w:rFonts w:hint="eastAsia" w:ascii="宋体" w:hAnsi="宋体" w:eastAsia="宋体" w:cs="宋体"/>
          <w:color w:val="auto"/>
          <w:kern w:val="0"/>
          <w:sz w:val="24"/>
          <w:highlight w:val="none"/>
        </w:rPr>
        <w:t>评标委员会各成员应当独立对每个</w:t>
      </w:r>
      <w:r>
        <w:rPr>
          <w:rFonts w:hint="eastAsia" w:ascii="宋体" w:hAnsi="宋体" w:cs="宋体"/>
          <w:color w:val="auto"/>
          <w:kern w:val="0"/>
          <w:sz w:val="24"/>
          <w:highlight w:val="none"/>
          <w:lang w:eastAsia="zh-CN"/>
        </w:rPr>
        <w:t>供应商</w:t>
      </w:r>
      <w:r>
        <w:rPr>
          <w:rFonts w:hint="eastAsia" w:ascii="宋体" w:hAnsi="宋体" w:eastAsia="宋体" w:cs="宋体"/>
          <w:color w:val="auto"/>
          <w:kern w:val="0"/>
          <w:sz w:val="24"/>
          <w:highlight w:val="none"/>
        </w:rPr>
        <w:t>的商务和技术文件进行评价，并汇总商务技术得分情况。</w:t>
      </w:r>
    </w:p>
    <w:p>
      <w:pPr>
        <w:spacing w:line="360" w:lineRule="auto"/>
        <w:ind w:firstLine="472" w:firstLineChars="19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3.4报价评审。</w:t>
      </w:r>
    </w:p>
    <w:p>
      <w:pPr>
        <w:pStyle w:val="131"/>
        <w:spacing w:before="0"/>
        <w:ind w:firstLine="508" w:firstLineChars="212"/>
        <w:rPr>
          <w:rFonts w:hint="eastAsia" w:ascii="宋体" w:hAnsi="宋体" w:eastAsia="宋体" w:cs="宋体"/>
          <w:color w:val="auto"/>
          <w:kern w:val="0"/>
          <w:highlight w:val="none"/>
        </w:rPr>
      </w:pPr>
      <w:r>
        <w:rPr>
          <w:rFonts w:hint="eastAsia" w:ascii="宋体" w:hAnsi="宋体" w:eastAsia="宋体" w:cs="宋体"/>
          <w:color w:val="auto"/>
          <w:kern w:val="0"/>
          <w:highlight w:val="none"/>
        </w:rPr>
        <w:t>3.4.1投标文件报价出现前后不一致的，按照下列规定修正：</w:t>
      </w:r>
    </w:p>
    <w:p>
      <w:pPr>
        <w:pStyle w:val="131"/>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3.4.1.1投标文件中开标一览表(报价表)内容与投标文件中相应内容不一致的，以开标一览表(报价表)为准；</w:t>
      </w:r>
    </w:p>
    <w:p>
      <w:pPr>
        <w:pStyle w:val="131"/>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3.4.1.2大写金额和小写金额不一致的，以大写金额为准；</w:t>
      </w:r>
    </w:p>
    <w:p>
      <w:pPr>
        <w:pStyle w:val="131"/>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3.4.1.3单价金额小数点或者百分比有明显错位的，以开标一览表的总价为准，并修改单价；</w:t>
      </w:r>
    </w:p>
    <w:p>
      <w:pPr>
        <w:pStyle w:val="131"/>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3.4.1.4总价金额与按单价汇总金额不一致的，以单价金额计算结果为准。</w:t>
      </w:r>
    </w:p>
    <w:p>
      <w:pPr>
        <w:pStyle w:val="131"/>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3.4.1.5同时出现两种以上不一致的，按照3.4.1规定的顺序修正。修正后的报价按照财政部第87号令《政府采购货物和服务招标投标管理办法》第五十一条第二款的规定经</w:t>
      </w:r>
      <w:r>
        <w:rPr>
          <w:rFonts w:hint="eastAsia" w:ascii="宋体" w:hAnsi="宋体" w:cs="宋体"/>
          <w:color w:val="auto"/>
          <w:kern w:val="0"/>
          <w:szCs w:val="24"/>
          <w:highlight w:val="none"/>
          <w:lang w:eastAsia="zh-CN"/>
        </w:rPr>
        <w:t>供应商</w:t>
      </w:r>
      <w:r>
        <w:rPr>
          <w:rFonts w:hint="eastAsia" w:ascii="宋体" w:hAnsi="宋体" w:eastAsia="宋体" w:cs="宋体"/>
          <w:color w:val="auto"/>
          <w:kern w:val="0"/>
          <w:szCs w:val="24"/>
          <w:highlight w:val="none"/>
        </w:rPr>
        <w:t>确认后产生约束力。</w:t>
      </w:r>
    </w:p>
    <w:p>
      <w:pPr>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3.4.3投标报价超过招标文件中规定的预算金额或者最高限价的，投标无效。</w:t>
      </w:r>
    </w:p>
    <w:p>
      <w:pPr>
        <w:pStyle w:val="131"/>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3.4.4评标委员会认为</w:t>
      </w:r>
      <w:r>
        <w:rPr>
          <w:rFonts w:hint="eastAsia" w:ascii="宋体" w:hAnsi="宋体" w:cs="宋体"/>
          <w:color w:val="auto"/>
          <w:kern w:val="0"/>
          <w:szCs w:val="24"/>
          <w:highlight w:val="none"/>
          <w:lang w:eastAsia="zh-CN"/>
        </w:rPr>
        <w:t>供应商</w:t>
      </w:r>
      <w:r>
        <w:rPr>
          <w:rFonts w:hint="eastAsia" w:ascii="宋体" w:hAnsi="宋体" w:eastAsia="宋体" w:cs="宋体"/>
          <w:color w:val="auto"/>
          <w:kern w:val="0"/>
          <w:szCs w:val="24"/>
          <w:highlight w:val="none"/>
        </w:rPr>
        <w:t>的报价明显低于其他通过符合性审查</w:t>
      </w:r>
      <w:r>
        <w:rPr>
          <w:rFonts w:hint="eastAsia" w:ascii="宋体" w:hAnsi="宋体" w:cs="宋体"/>
          <w:color w:val="auto"/>
          <w:kern w:val="0"/>
          <w:szCs w:val="24"/>
          <w:highlight w:val="none"/>
          <w:lang w:eastAsia="zh-CN"/>
        </w:rPr>
        <w:t>供应商</w:t>
      </w:r>
      <w:r>
        <w:rPr>
          <w:rFonts w:hint="eastAsia" w:ascii="宋体" w:hAnsi="宋体" w:eastAsia="宋体" w:cs="宋体"/>
          <w:color w:val="auto"/>
          <w:kern w:val="0"/>
          <w:szCs w:val="24"/>
          <w:highlight w:val="none"/>
        </w:rPr>
        <w:t>的报价，有可能影响产品质量或者不能诚信履约的，应当要求其在合理的时间内提供书面说明，必要时提交相关证明材料；</w:t>
      </w:r>
      <w:r>
        <w:rPr>
          <w:rFonts w:hint="eastAsia" w:ascii="宋体" w:hAnsi="宋体" w:cs="宋体"/>
          <w:color w:val="auto"/>
          <w:kern w:val="0"/>
          <w:szCs w:val="24"/>
          <w:highlight w:val="none"/>
          <w:lang w:eastAsia="zh-CN"/>
        </w:rPr>
        <w:t>供应商</w:t>
      </w:r>
      <w:r>
        <w:rPr>
          <w:rFonts w:hint="eastAsia" w:ascii="宋体" w:hAnsi="宋体" w:eastAsia="宋体" w:cs="宋体"/>
          <w:color w:val="auto"/>
          <w:kern w:val="0"/>
          <w:szCs w:val="24"/>
          <w:highlight w:val="none"/>
        </w:rPr>
        <w:t>不能证明其报价合理性的，评标委员会应当将其作为无效投标处理。</w:t>
      </w:r>
    </w:p>
    <w:p>
      <w:pPr>
        <w:pStyle w:val="131"/>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3.4.5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3.5排序与推荐。</w:t>
      </w:r>
      <w:r>
        <w:rPr>
          <w:rFonts w:hint="eastAsia" w:ascii="宋体" w:hAnsi="宋体" w:eastAsia="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w:t>
      </w:r>
      <w:r>
        <w:rPr>
          <w:rFonts w:hint="eastAsia" w:ascii="宋体" w:hAnsi="宋体" w:cs="宋体"/>
          <w:color w:val="auto"/>
          <w:kern w:val="0"/>
          <w:sz w:val="24"/>
          <w:highlight w:val="none"/>
          <w:lang w:eastAsia="zh-CN"/>
        </w:rPr>
        <w:t>供应商</w:t>
      </w:r>
      <w:r>
        <w:rPr>
          <w:rFonts w:hint="eastAsia" w:ascii="宋体" w:hAnsi="宋体" w:eastAsia="宋体" w:cs="宋体"/>
          <w:color w:val="auto"/>
          <w:kern w:val="0"/>
          <w:sz w:val="24"/>
          <w:highlight w:val="none"/>
        </w:rPr>
        <w:t>为排名第一的中标候选人。</w:t>
      </w:r>
      <w:r>
        <w:rPr>
          <w:rFonts w:hint="eastAsia" w:ascii="宋体" w:hAnsi="宋体" w:eastAsia="宋体" w:cs="宋体"/>
          <w:b/>
          <w:bCs/>
          <w:color w:val="auto"/>
          <w:kern w:val="0"/>
          <w:sz w:val="24"/>
          <w:highlight w:val="none"/>
        </w:rPr>
        <w:t>备注：本项目推荐3名中标候选人。</w:t>
      </w:r>
    </w:p>
    <w:p>
      <w:pPr>
        <w:spacing w:line="360" w:lineRule="auto"/>
        <w:ind w:firstLine="480" w:firstLineChars="200"/>
        <w:rPr>
          <w:rFonts w:hint="eastAsia" w:ascii="宋体" w:hAnsi="宋体" w:eastAsia="宋体" w:cs="宋体"/>
          <w:b/>
          <w:color w:val="auto"/>
          <w:kern w:val="0"/>
          <w:sz w:val="24"/>
          <w:highlight w:val="none"/>
        </w:rPr>
      </w:pPr>
      <w:r>
        <w:rPr>
          <w:rFonts w:hint="eastAsia" w:ascii="宋体" w:hAnsi="宋体" w:eastAsia="宋体" w:cs="宋体"/>
          <w:color w:val="auto"/>
          <w:kern w:val="0"/>
          <w:sz w:val="24"/>
          <w:highlight w:val="none"/>
        </w:rPr>
        <w:t>多家</w:t>
      </w:r>
      <w:r>
        <w:rPr>
          <w:rFonts w:hint="eastAsia" w:ascii="宋体" w:hAnsi="宋体" w:cs="宋体"/>
          <w:color w:val="auto"/>
          <w:kern w:val="0"/>
          <w:sz w:val="24"/>
          <w:highlight w:val="none"/>
          <w:lang w:eastAsia="zh-CN"/>
        </w:rPr>
        <w:t>供应商</w:t>
      </w:r>
      <w:r>
        <w:rPr>
          <w:rFonts w:hint="eastAsia" w:ascii="宋体" w:hAnsi="宋体" w:eastAsia="宋体" w:cs="宋体"/>
          <w:color w:val="auto"/>
          <w:kern w:val="0"/>
          <w:sz w:val="24"/>
          <w:highlight w:val="none"/>
        </w:rPr>
        <w:t>提供相同品牌产品（单一产品采购项目中的该产品或者非单一产品采购项目的核心产品）且通过资格审查、符合性审查的不同</w:t>
      </w:r>
      <w:r>
        <w:rPr>
          <w:rFonts w:hint="eastAsia" w:ascii="宋体" w:hAnsi="宋体" w:cs="宋体"/>
          <w:color w:val="auto"/>
          <w:kern w:val="0"/>
          <w:sz w:val="24"/>
          <w:highlight w:val="none"/>
          <w:lang w:eastAsia="zh-CN"/>
        </w:rPr>
        <w:t>供应商</w:t>
      </w:r>
      <w:r>
        <w:rPr>
          <w:rFonts w:hint="eastAsia" w:ascii="宋体" w:hAnsi="宋体" w:eastAsia="宋体" w:cs="宋体"/>
          <w:color w:val="auto"/>
          <w:kern w:val="0"/>
          <w:sz w:val="24"/>
          <w:highlight w:val="none"/>
        </w:rPr>
        <w:t>参加同一合同项下投标的，按一家</w:t>
      </w:r>
      <w:r>
        <w:rPr>
          <w:rFonts w:hint="eastAsia" w:ascii="宋体" w:hAnsi="宋体" w:cs="宋体"/>
          <w:color w:val="auto"/>
          <w:kern w:val="0"/>
          <w:sz w:val="24"/>
          <w:highlight w:val="none"/>
          <w:lang w:eastAsia="zh-CN"/>
        </w:rPr>
        <w:t>供应商</w:t>
      </w:r>
      <w:r>
        <w:rPr>
          <w:rFonts w:hint="eastAsia" w:ascii="宋体" w:hAnsi="宋体" w:eastAsia="宋体" w:cs="宋体"/>
          <w:color w:val="auto"/>
          <w:kern w:val="0"/>
          <w:sz w:val="24"/>
          <w:highlight w:val="none"/>
        </w:rPr>
        <w:t>计算，评审后得分最高的同品牌</w:t>
      </w:r>
      <w:r>
        <w:rPr>
          <w:rFonts w:hint="eastAsia" w:ascii="宋体" w:hAnsi="宋体" w:cs="宋体"/>
          <w:color w:val="auto"/>
          <w:kern w:val="0"/>
          <w:sz w:val="24"/>
          <w:highlight w:val="none"/>
          <w:lang w:eastAsia="zh-CN"/>
        </w:rPr>
        <w:t>供应商</w:t>
      </w:r>
      <w:r>
        <w:rPr>
          <w:rFonts w:hint="eastAsia" w:ascii="宋体" w:hAnsi="宋体" w:eastAsia="宋体" w:cs="宋体"/>
          <w:color w:val="auto"/>
          <w:kern w:val="0"/>
          <w:sz w:val="24"/>
          <w:highlight w:val="none"/>
        </w:rPr>
        <w:t>获得中标人推荐资格；评审得分相同的，采取随机抽取方式确定，其他同品牌</w:t>
      </w:r>
      <w:r>
        <w:rPr>
          <w:rFonts w:hint="eastAsia" w:ascii="宋体" w:hAnsi="宋体" w:cs="宋体"/>
          <w:color w:val="auto"/>
          <w:kern w:val="0"/>
          <w:sz w:val="24"/>
          <w:highlight w:val="none"/>
          <w:lang w:eastAsia="zh-CN"/>
        </w:rPr>
        <w:t>供应商</w:t>
      </w:r>
      <w:r>
        <w:rPr>
          <w:rFonts w:hint="eastAsia" w:ascii="宋体" w:hAnsi="宋体" w:eastAsia="宋体" w:cs="宋体"/>
          <w:color w:val="auto"/>
          <w:kern w:val="0"/>
          <w:sz w:val="24"/>
          <w:highlight w:val="none"/>
        </w:rPr>
        <w:t>不作为中标候选人。</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3.6编写评标报告。</w:t>
      </w:r>
      <w:r>
        <w:rPr>
          <w:rFonts w:hint="eastAsia" w:ascii="宋体" w:hAnsi="宋体" w:eastAsia="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adjustRightInd/>
        <w:spacing w:after="225" w:line="315" w:lineRule="atLeast"/>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四、评标中的其他事项</w:t>
      </w:r>
    </w:p>
    <w:p>
      <w:pPr>
        <w:pStyle w:val="131"/>
        <w:spacing w:before="0"/>
        <w:ind w:firstLine="472" w:firstLineChars="196"/>
        <w:rPr>
          <w:rFonts w:hint="eastAsia" w:ascii="宋体" w:hAnsi="宋体" w:eastAsia="宋体" w:cs="宋体"/>
          <w:color w:val="auto"/>
          <w:kern w:val="0"/>
          <w:szCs w:val="24"/>
          <w:highlight w:val="none"/>
        </w:rPr>
      </w:pPr>
      <w:r>
        <w:rPr>
          <w:rFonts w:hint="eastAsia" w:ascii="宋体" w:hAnsi="宋体" w:eastAsia="宋体" w:cs="宋体"/>
          <w:b/>
          <w:color w:val="auto"/>
          <w:kern w:val="0"/>
          <w:szCs w:val="24"/>
          <w:highlight w:val="none"/>
        </w:rPr>
        <w:t>4.1</w:t>
      </w:r>
      <w:r>
        <w:rPr>
          <w:rFonts w:hint="eastAsia" w:ascii="宋体" w:hAnsi="宋体" w:cs="宋体"/>
          <w:b/>
          <w:color w:val="auto"/>
          <w:kern w:val="0"/>
          <w:szCs w:val="24"/>
          <w:highlight w:val="none"/>
          <w:lang w:eastAsia="zh-CN"/>
        </w:rPr>
        <w:t>供应商</w:t>
      </w:r>
      <w:r>
        <w:rPr>
          <w:rFonts w:hint="eastAsia" w:ascii="宋体" w:hAnsi="宋体" w:eastAsia="宋体" w:cs="宋体"/>
          <w:b/>
          <w:color w:val="auto"/>
          <w:kern w:val="0"/>
          <w:szCs w:val="24"/>
          <w:highlight w:val="none"/>
        </w:rPr>
        <w:t>澄清、说明或者补正。</w:t>
      </w:r>
      <w:r>
        <w:rPr>
          <w:rFonts w:hint="eastAsia" w:ascii="宋体" w:hAnsi="宋体" w:eastAsia="宋体" w:cs="宋体"/>
          <w:color w:val="auto"/>
          <w:kern w:val="0"/>
          <w:szCs w:val="24"/>
          <w:highlight w:val="none"/>
        </w:rPr>
        <w:t>对于投标文件中含义不明确、同类问题表述不一致或者有明显文字和计算错误的内容需要</w:t>
      </w:r>
      <w:r>
        <w:rPr>
          <w:rFonts w:hint="eastAsia" w:ascii="宋体" w:hAnsi="宋体" w:cs="宋体"/>
          <w:color w:val="auto"/>
          <w:kern w:val="0"/>
          <w:szCs w:val="24"/>
          <w:highlight w:val="none"/>
          <w:lang w:eastAsia="zh-CN"/>
        </w:rPr>
        <w:t>供应商</w:t>
      </w:r>
      <w:r>
        <w:rPr>
          <w:rFonts w:hint="eastAsia" w:ascii="宋体" w:hAnsi="宋体" w:eastAsia="宋体" w:cs="宋体"/>
          <w:color w:val="auto"/>
          <w:kern w:val="0"/>
          <w:szCs w:val="24"/>
          <w:highlight w:val="none"/>
        </w:rPr>
        <w:t>作出必要的澄清、说明或者补正的，评标委员会和</w:t>
      </w:r>
      <w:r>
        <w:rPr>
          <w:rFonts w:hint="eastAsia" w:ascii="宋体" w:hAnsi="宋体" w:cs="宋体"/>
          <w:color w:val="auto"/>
          <w:kern w:val="0"/>
          <w:szCs w:val="24"/>
          <w:highlight w:val="none"/>
          <w:lang w:eastAsia="zh-CN"/>
        </w:rPr>
        <w:t>供应商</w:t>
      </w:r>
      <w:r>
        <w:rPr>
          <w:rFonts w:hint="eastAsia" w:ascii="宋体" w:hAnsi="宋体" w:eastAsia="宋体" w:cs="宋体"/>
          <w:color w:val="auto"/>
          <w:kern w:val="0"/>
          <w:szCs w:val="24"/>
          <w:highlight w:val="none"/>
        </w:rPr>
        <w:t>通过电子交易平台交换数据电文，</w:t>
      </w:r>
      <w:r>
        <w:rPr>
          <w:rFonts w:hint="eastAsia" w:ascii="宋体" w:hAnsi="宋体" w:cs="宋体"/>
          <w:color w:val="auto"/>
          <w:kern w:val="0"/>
          <w:szCs w:val="24"/>
          <w:highlight w:val="none"/>
          <w:lang w:eastAsia="zh-CN"/>
        </w:rPr>
        <w:t>供应商</w:t>
      </w:r>
      <w:r>
        <w:rPr>
          <w:rFonts w:hint="eastAsia" w:ascii="宋体" w:hAnsi="宋体" w:eastAsia="宋体" w:cs="宋体"/>
          <w:color w:val="auto"/>
          <w:kern w:val="0"/>
          <w:szCs w:val="24"/>
          <w:highlight w:val="none"/>
        </w:rPr>
        <w:t>提交使用电子签名的相关数据电文或通过平台上传加盖公章的扫描件。给予</w:t>
      </w:r>
      <w:r>
        <w:rPr>
          <w:rFonts w:hint="eastAsia" w:ascii="宋体" w:hAnsi="宋体" w:cs="宋体"/>
          <w:color w:val="auto"/>
          <w:kern w:val="0"/>
          <w:szCs w:val="24"/>
          <w:highlight w:val="none"/>
          <w:lang w:eastAsia="zh-CN"/>
        </w:rPr>
        <w:t>供应商</w:t>
      </w:r>
      <w:r>
        <w:rPr>
          <w:rFonts w:hint="eastAsia" w:ascii="宋体" w:hAnsi="宋体" w:eastAsia="宋体" w:cs="宋体"/>
          <w:color w:val="auto"/>
          <w:kern w:val="0"/>
          <w:szCs w:val="24"/>
          <w:highlight w:val="none"/>
        </w:rPr>
        <w:t>提交澄清、说明或补正的时间不得少于半小时，</w:t>
      </w:r>
      <w:r>
        <w:rPr>
          <w:rFonts w:hint="eastAsia" w:ascii="宋体" w:hAnsi="宋体" w:cs="宋体"/>
          <w:color w:val="auto"/>
          <w:kern w:val="0"/>
          <w:szCs w:val="24"/>
          <w:highlight w:val="none"/>
          <w:lang w:eastAsia="zh-CN"/>
        </w:rPr>
        <w:t>供应商</w:t>
      </w:r>
      <w:r>
        <w:rPr>
          <w:rFonts w:hint="eastAsia" w:ascii="宋体" w:hAnsi="宋体" w:eastAsia="宋体" w:cs="宋体"/>
          <w:color w:val="auto"/>
          <w:kern w:val="0"/>
          <w:szCs w:val="24"/>
          <w:highlight w:val="none"/>
        </w:rPr>
        <w:t>已经明确表示澄清说明或补正完毕的除外。</w:t>
      </w:r>
      <w:r>
        <w:rPr>
          <w:rFonts w:hint="eastAsia" w:ascii="宋体" w:hAnsi="宋体" w:cs="宋体"/>
          <w:color w:val="auto"/>
          <w:kern w:val="0"/>
          <w:szCs w:val="24"/>
          <w:highlight w:val="none"/>
          <w:lang w:eastAsia="zh-CN"/>
        </w:rPr>
        <w:t>供应商</w:t>
      </w:r>
      <w:r>
        <w:rPr>
          <w:rFonts w:hint="eastAsia" w:ascii="宋体" w:hAnsi="宋体" w:eastAsia="宋体" w:cs="宋体"/>
          <w:color w:val="auto"/>
          <w:kern w:val="0"/>
          <w:szCs w:val="24"/>
          <w:highlight w:val="none"/>
        </w:rPr>
        <w:t>的澄清、说明或者补正不得超出投标文件的范围或者改变投标文件的实质性内容。</w:t>
      </w:r>
    </w:p>
    <w:p>
      <w:pPr>
        <w:pStyle w:val="24"/>
        <w:spacing w:line="360" w:lineRule="auto"/>
        <w:ind w:left="954" w:leftChars="226" w:hanging="479" w:firstLineChars="0"/>
        <w:rPr>
          <w:rFonts w:hint="eastAsia" w:ascii="宋体" w:hAnsi="宋体" w:eastAsia="宋体" w:cs="宋体"/>
          <w:color w:val="auto"/>
          <w:szCs w:val="21"/>
          <w:highlight w:val="none"/>
        </w:rPr>
      </w:pPr>
      <w:r>
        <w:rPr>
          <w:rFonts w:hint="eastAsia" w:ascii="宋体" w:hAnsi="宋体" w:eastAsia="宋体" w:cs="宋体"/>
          <w:b/>
          <w:color w:val="auto"/>
          <w:kern w:val="0"/>
          <w:highlight w:val="none"/>
        </w:rPr>
        <w:t>4.2投标无效。</w:t>
      </w:r>
      <w:r>
        <w:rPr>
          <w:rFonts w:hint="eastAsia" w:ascii="宋体" w:hAnsi="宋体" w:eastAsia="宋体" w:cs="宋体"/>
          <w:color w:val="auto"/>
          <w:szCs w:val="21"/>
          <w:highlight w:val="none"/>
        </w:rPr>
        <w:t>有下列情形之一的，投标无效：</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w:t>
      </w:r>
      <w:r>
        <w:rPr>
          <w:rFonts w:hint="eastAsia" w:ascii="宋体" w:hAnsi="宋体" w:cs="宋体"/>
          <w:color w:val="auto"/>
          <w:kern w:val="0"/>
          <w:sz w:val="24"/>
          <w:highlight w:val="none"/>
          <w:lang w:eastAsia="zh-CN"/>
        </w:rPr>
        <w:t>供应商</w:t>
      </w:r>
      <w:r>
        <w:rPr>
          <w:rFonts w:hint="eastAsia" w:ascii="宋体" w:hAnsi="宋体" w:eastAsia="宋体" w:cs="宋体"/>
          <w:color w:val="auto"/>
          <w:kern w:val="0"/>
          <w:sz w:val="24"/>
          <w:highlight w:val="none"/>
        </w:rPr>
        <w:t>不具备招标文件中规定的资格要求的（</w:t>
      </w:r>
      <w:r>
        <w:rPr>
          <w:rFonts w:hint="eastAsia" w:ascii="宋体" w:hAnsi="宋体" w:cs="宋体"/>
          <w:color w:val="auto"/>
          <w:kern w:val="0"/>
          <w:sz w:val="24"/>
          <w:highlight w:val="none"/>
          <w:lang w:eastAsia="zh-CN"/>
        </w:rPr>
        <w:t>供应商</w:t>
      </w:r>
      <w:r>
        <w:rPr>
          <w:rFonts w:hint="eastAsia" w:ascii="宋体" w:hAnsi="宋体" w:eastAsia="宋体" w:cs="宋体"/>
          <w:color w:val="auto"/>
          <w:kern w:val="0"/>
          <w:sz w:val="24"/>
          <w:highlight w:val="none"/>
        </w:rPr>
        <w:t>未提供有效的资格文件的，视为</w:t>
      </w:r>
      <w:r>
        <w:rPr>
          <w:rFonts w:hint="eastAsia" w:ascii="宋体" w:hAnsi="宋体" w:cs="宋体"/>
          <w:color w:val="auto"/>
          <w:kern w:val="0"/>
          <w:sz w:val="24"/>
          <w:highlight w:val="none"/>
          <w:lang w:eastAsia="zh-CN"/>
        </w:rPr>
        <w:t>供应商</w:t>
      </w:r>
      <w:r>
        <w:rPr>
          <w:rFonts w:hint="eastAsia" w:ascii="宋体" w:hAnsi="宋体" w:eastAsia="宋体" w:cs="宋体"/>
          <w:color w:val="auto"/>
          <w:kern w:val="0"/>
          <w:sz w:val="24"/>
          <w:highlight w:val="none"/>
        </w:rPr>
        <w:t>不具备招标文件中规定的资格要求）；</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4.2.2投标文件未按照招标文件要求签署、盖章的；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4.2.3采购人拟采购的产品属于政府强制采购的节能产品品目清单范围的，</w:t>
      </w:r>
      <w:r>
        <w:rPr>
          <w:rFonts w:hint="eastAsia" w:ascii="宋体" w:hAnsi="宋体" w:cs="宋体"/>
          <w:color w:val="auto"/>
          <w:kern w:val="0"/>
          <w:sz w:val="24"/>
          <w:highlight w:val="none"/>
          <w:lang w:eastAsia="zh-CN"/>
        </w:rPr>
        <w:t>供应商</w:t>
      </w:r>
      <w:r>
        <w:rPr>
          <w:rFonts w:hint="eastAsia" w:ascii="宋体" w:hAnsi="宋体" w:eastAsia="宋体" w:cs="宋体"/>
          <w:color w:val="auto"/>
          <w:kern w:val="0"/>
          <w:sz w:val="24"/>
          <w:highlight w:val="none"/>
        </w:rPr>
        <w:t>相应的投标产品未获得国家确定的认证机构出具的、处于有效期之内的节能产品认证证书的；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4.2.4投标文件含有采购人不能接受的附加条件的；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4.2.6投标文件出现不是唯一的、有选择性投标报价的；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4.2.7投标报价超过招标文件中规定的预算金额或者最高限价的；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4.2.8报价明显低于其他通过符合性审查</w:t>
      </w:r>
      <w:r>
        <w:rPr>
          <w:rFonts w:hint="eastAsia" w:ascii="宋体" w:hAnsi="宋体" w:cs="宋体"/>
          <w:color w:val="auto"/>
          <w:kern w:val="0"/>
          <w:sz w:val="24"/>
          <w:highlight w:val="none"/>
          <w:lang w:eastAsia="zh-CN"/>
        </w:rPr>
        <w:t>供应商</w:t>
      </w:r>
      <w:r>
        <w:rPr>
          <w:rFonts w:hint="eastAsia" w:ascii="宋体" w:hAnsi="宋体" w:eastAsia="宋体" w:cs="宋体"/>
          <w:color w:val="auto"/>
          <w:kern w:val="0"/>
          <w:sz w:val="24"/>
          <w:highlight w:val="none"/>
        </w:rPr>
        <w:t>的报价，有可能影响产品质量或者不能诚信履约的，未能按要求提供书面说明或者提交相关证明材料，不能证明其报价合理性的；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4.2.9未按招标文件要求的报价形式进行报价的；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4.2.10</w:t>
      </w:r>
      <w:r>
        <w:rPr>
          <w:rFonts w:hint="eastAsia" w:ascii="宋体" w:hAnsi="宋体" w:cs="宋体"/>
          <w:color w:val="auto"/>
          <w:kern w:val="0"/>
          <w:sz w:val="24"/>
          <w:highlight w:val="none"/>
          <w:lang w:eastAsia="zh-CN"/>
        </w:rPr>
        <w:t>供应商</w:t>
      </w:r>
      <w:r>
        <w:rPr>
          <w:rFonts w:hint="eastAsia" w:ascii="宋体" w:hAnsi="宋体" w:eastAsia="宋体" w:cs="宋体"/>
          <w:color w:val="auto"/>
          <w:kern w:val="0"/>
          <w:sz w:val="24"/>
          <w:highlight w:val="none"/>
        </w:rPr>
        <w:t>对根据修正原则修正后的报价不确认的；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4.2.11</w:t>
      </w:r>
      <w:r>
        <w:rPr>
          <w:rFonts w:hint="eastAsia" w:ascii="宋体" w:hAnsi="宋体" w:cs="宋体"/>
          <w:color w:val="auto"/>
          <w:kern w:val="0"/>
          <w:sz w:val="24"/>
          <w:highlight w:val="none"/>
          <w:lang w:eastAsia="zh-CN"/>
        </w:rPr>
        <w:t>供应商</w:t>
      </w:r>
      <w:r>
        <w:rPr>
          <w:rFonts w:hint="eastAsia" w:ascii="宋体" w:hAnsi="宋体" w:eastAsia="宋体" w:cs="宋体"/>
          <w:color w:val="auto"/>
          <w:kern w:val="0"/>
          <w:sz w:val="24"/>
          <w:highlight w:val="none"/>
        </w:rPr>
        <w:t>提供虚假材料投标的；</w:t>
      </w:r>
    </w:p>
    <w:p>
      <w:pPr>
        <w:spacing w:line="360" w:lineRule="auto"/>
        <w:ind w:firstLine="240" w:firstLineChars="1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4.2.12</w:t>
      </w:r>
      <w:r>
        <w:rPr>
          <w:rFonts w:hint="eastAsia" w:ascii="宋体" w:hAnsi="宋体" w:cs="宋体"/>
          <w:color w:val="auto"/>
          <w:kern w:val="0"/>
          <w:sz w:val="24"/>
          <w:highlight w:val="none"/>
          <w:lang w:eastAsia="zh-CN"/>
        </w:rPr>
        <w:t>供应商</w:t>
      </w:r>
      <w:r>
        <w:rPr>
          <w:rFonts w:hint="eastAsia" w:ascii="宋体" w:hAnsi="宋体" w:eastAsia="宋体" w:cs="宋体"/>
          <w:color w:val="auto"/>
          <w:kern w:val="0"/>
          <w:sz w:val="24"/>
          <w:highlight w:val="none"/>
        </w:rPr>
        <w:t>有恶意串通、妨碍其他</w:t>
      </w:r>
      <w:r>
        <w:rPr>
          <w:rFonts w:hint="eastAsia" w:ascii="宋体" w:hAnsi="宋体" w:cs="宋体"/>
          <w:color w:val="auto"/>
          <w:kern w:val="0"/>
          <w:sz w:val="24"/>
          <w:highlight w:val="none"/>
          <w:lang w:eastAsia="zh-CN"/>
        </w:rPr>
        <w:t>供应商</w:t>
      </w:r>
      <w:r>
        <w:rPr>
          <w:rFonts w:hint="eastAsia" w:ascii="宋体" w:hAnsi="宋体" w:eastAsia="宋体" w:cs="宋体"/>
          <w:color w:val="auto"/>
          <w:kern w:val="0"/>
          <w:sz w:val="24"/>
          <w:highlight w:val="none"/>
        </w:rPr>
        <w:t>的竞争行为、损害采购人或者其他</w:t>
      </w:r>
      <w:r>
        <w:rPr>
          <w:rFonts w:hint="eastAsia" w:ascii="宋体" w:hAnsi="宋体" w:cs="宋体"/>
          <w:color w:val="auto"/>
          <w:kern w:val="0"/>
          <w:sz w:val="24"/>
          <w:highlight w:val="none"/>
          <w:lang w:eastAsia="zh-CN"/>
        </w:rPr>
        <w:t>供应商</w:t>
      </w:r>
      <w:r>
        <w:rPr>
          <w:rFonts w:hint="eastAsia" w:ascii="宋体" w:hAnsi="宋体" w:eastAsia="宋体" w:cs="宋体"/>
          <w:color w:val="auto"/>
          <w:kern w:val="0"/>
          <w:sz w:val="24"/>
          <w:highlight w:val="none"/>
        </w:rPr>
        <w:t>的合法权益情形的；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4.2.13</w:t>
      </w:r>
      <w:r>
        <w:rPr>
          <w:rFonts w:hint="eastAsia" w:ascii="宋体" w:hAnsi="宋体" w:cs="宋体"/>
          <w:color w:val="auto"/>
          <w:kern w:val="0"/>
          <w:sz w:val="24"/>
          <w:highlight w:val="none"/>
          <w:lang w:eastAsia="zh-CN"/>
        </w:rPr>
        <w:t>供应商</w:t>
      </w:r>
      <w:r>
        <w:rPr>
          <w:rFonts w:hint="eastAsia" w:ascii="宋体" w:hAnsi="宋体" w:eastAsia="宋体" w:cs="宋体"/>
          <w:color w:val="auto"/>
          <w:kern w:val="0"/>
          <w:sz w:val="24"/>
          <w:highlight w:val="none"/>
        </w:rPr>
        <w:t>仅提交备份投标文件，未在电子交易平台传输递交投标文件的，投标无效；</w:t>
      </w:r>
    </w:p>
    <w:bookmarkEnd w:id="27"/>
    <w:p>
      <w:pPr>
        <w:spacing w:line="360" w:lineRule="auto"/>
        <w:jc w:val="center"/>
        <w:outlineLvl w:val="0"/>
        <w:rPr>
          <w:rFonts w:hint="eastAsia" w:ascii="宋体" w:hAnsi="宋体" w:eastAsia="宋体" w:cs="宋体"/>
          <w:b/>
          <w:color w:val="auto"/>
          <w:kern w:val="0"/>
          <w:sz w:val="36"/>
          <w:szCs w:val="36"/>
          <w:highlight w:val="none"/>
        </w:rPr>
      </w:pP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资格文件部分</w:t>
      </w:r>
    </w:p>
    <w:p>
      <w:pPr>
        <w:pStyle w:val="3"/>
        <w:ind w:left="862" w:leftChars="205"/>
        <w:rPr>
          <w:rFonts w:hint="eastAsia"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4.2.14投标文件不满足招标文件的其它实质性要求的；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4.2.15法律、法规、规章（适用本市的）及省级以上规范性文件（适用本市的）规定的其他无效情形。</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4.2.16上传投标文件同一网卡地址、同一IP地址的为无效标。</w:t>
      </w:r>
    </w:p>
    <w:p>
      <w:pPr>
        <w:pStyle w:val="24"/>
        <w:snapToGrid w:val="0"/>
        <w:spacing w:line="360" w:lineRule="auto"/>
        <w:ind w:firstLine="472" w:firstLineChars="196"/>
        <w:rPr>
          <w:rFonts w:hint="eastAsia" w:ascii="宋体" w:hAnsi="宋体" w:eastAsia="宋体" w:cs="宋体"/>
          <w:color w:val="auto"/>
          <w:highlight w:val="none"/>
        </w:rPr>
      </w:pPr>
      <w:r>
        <w:rPr>
          <w:rFonts w:hint="eastAsia" w:ascii="宋体" w:hAnsi="宋体" w:eastAsia="宋体" w:cs="宋体"/>
          <w:b/>
          <w:color w:val="auto"/>
          <w:highlight w:val="none"/>
        </w:rPr>
        <w:t>5.废标。</w:t>
      </w:r>
      <w:r>
        <w:rPr>
          <w:rFonts w:hint="eastAsia" w:ascii="宋体" w:hAnsi="宋体" w:eastAsia="宋体" w:cs="宋体"/>
          <w:color w:val="auto"/>
          <w:highlight w:val="none"/>
        </w:rPr>
        <w:t>根据《中华人民共和国政府采购法》第三十六条之规定，在采购中，出现下列情形之一的，应予废标：</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5.1符合专业条件的供应商或者对招标文件作实质响应的供应商不足3家的；</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5.2出现影响采购公正的违法、违规行为的；</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5.3</w:t>
      </w:r>
      <w:r>
        <w:rPr>
          <w:rFonts w:hint="eastAsia" w:cs="宋体"/>
          <w:color w:val="auto"/>
          <w:highlight w:val="none"/>
          <w:lang w:eastAsia="zh-CN"/>
        </w:rPr>
        <w:t>供应商</w:t>
      </w:r>
      <w:r>
        <w:rPr>
          <w:rFonts w:hint="eastAsia" w:ascii="宋体" w:hAnsi="宋体" w:eastAsia="宋体" w:cs="宋体"/>
          <w:color w:val="auto"/>
          <w:highlight w:val="none"/>
        </w:rPr>
        <w:t>的报价均超过了采购预算，采购人不能支付的；</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5.4因重大变故，采购任务取消的。</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废标后，采购代理机构应当将废标理由通知所有</w:t>
      </w:r>
      <w:r>
        <w:rPr>
          <w:rFonts w:hint="eastAsia" w:cs="宋体"/>
          <w:color w:val="auto"/>
          <w:highlight w:val="none"/>
          <w:lang w:eastAsia="zh-CN"/>
        </w:rPr>
        <w:t>供应商</w:t>
      </w:r>
      <w:r>
        <w:rPr>
          <w:rFonts w:hint="eastAsia" w:ascii="宋体" w:hAnsi="宋体" w:eastAsia="宋体" w:cs="宋体"/>
          <w:color w:val="auto"/>
          <w:highlight w:val="none"/>
        </w:rPr>
        <w:t>。</w:t>
      </w:r>
    </w:p>
    <w:p>
      <w:pPr>
        <w:pStyle w:val="24"/>
        <w:snapToGrid w:val="0"/>
        <w:spacing w:line="360" w:lineRule="auto"/>
        <w:ind w:firstLine="590" w:firstLineChars="245"/>
        <w:rPr>
          <w:rFonts w:hint="eastAsia" w:ascii="宋体" w:hAnsi="宋体" w:eastAsia="宋体" w:cs="宋体"/>
          <w:color w:val="auto"/>
          <w:highlight w:val="none"/>
        </w:rPr>
      </w:pPr>
      <w:r>
        <w:rPr>
          <w:rFonts w:hint="eastAsia" w:ascii="宋体" w:hAnsi="宋体" w:eastAsia="宋体" w:cs="宋体"/>
          <w:b/>
          <w:color w:val="auto"/>
          <w:highlight w:val="none"/>
        </w:rPr>
        <w:t>6.修改招标文件，重新组织采购活动。</w:t>
      </w:r>
      <w:r>
        <w:rPr>
          <w:rFonts w:hint="eastAsia" w:ascii="宋体" w:hAnsi="宋体" w:eastAsia="宋体" w:cs="宋体"/>
          <w:color w:val="auto"/>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4"/>
        <w:snapToGrid w:val="0"/>
        <w:spacing w:line="360" w:lineRule="auto"/>
        <w:ind w:firstLine="482"/>
        <w:rPr>
          <w:rFonts w:hint="eastAsia" w:ascii="宋体" w:hAnsi="宋体" w:eastAsia="宋体" w:cs="宋体"/>
          <w:color w:val="auto"/>
          <w:highlight w:val="none"/>
        </w:rPr>
      </w:pPr>
      <w:r>
        <w:rPr>
          <w:rFonts w:hint="eastAsia" w:ascii="宋体" w:hAnsi="宋体" w:eastAsia="宋体" w:cs="宋体"/>
          <w:b/>
          <w:color w:val="auto"/>
          <w:kern w:val="0"/>
          <w:highlight w:val="none"/>
        </w:rPr>
        <w:t>7.重新开展采购。</w:t>
      </w:r>
      <w:r>
        <w:rPr>
          <w:rFonts w:hint="eastAsia" w:ascii="宋体" w:hAnsi="宋体" w:eastAsia="宋体" w:cs="宋体"/>
          <w:color w:val="auto"/>
          <w:highlight w:val="none"/>
        </w:rPr>
        <w:t>有政府采购法第七十一条、第七十二条规定的违法行为之一，影响或者可能影响中标结果的，依照下列规定处理：</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7.1未确定中标供应商的，终止本次政府采购活动，重新开展政府采购活动。</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7.4政府采购合同已经履行，给采购人、供应商造成损失的，由责任人承担赔偿责任。</w:t>
      </w:r>
    </w:p>
    <w:p>
      <w:pPr>
        <w:pStyle w:val="24"/>
        <w:snapToGrid w:val="0"/>
        <w:spacing w:line="360" w:lineRule="auto"/>
        <w:rPr>
          <w:rFonts w:hint="eastAsia" w:ascii="宋体" w:hAnsi="宋体" w:eastAsia="宋体" w:cs="宋体"/>
          <w:b/>
          <w:color w:val="auto"/>
          <w:sz w:val="36"/>
          <w:szCs w:val="36"/>
          <w:highlight w:val="none"/>
        </w:rPr>
        <w:sectPr>
          <w:pgSz w:w="11907" w:h="16840"/>
          <w:pgMar w:top="1474" w:right="1814" w:bottom="1474" w:left="1814" w:header="851" w:footer="851" w:gutter="0"/>
          <w:cols w:space="720" w:num="1"/>
        </w:sectPr>
      </w:pPr>
      <w:r>
        <w:rPr>
          <w:rFonts w:hint="eastAsia" w:ascii="宋体" w:hAnsi="宋体" w:eastAsia="宋体"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bookmarkStart w:id="398" w:name="第五部分"/>
      <w:bookmarkStart w:id="399" w:name="_Toc86217003"/>
    </w:p>
    <w:p>
      <w:pPr>
        <w:widowControl/>
        <w:numPr>
          <w:ilvl w:val="0"/>
          <w:numId w:val="1"/>
        </w:numPr>
        <w:adjustRightInd/>
        <w:ind w:firstLine="2168" w:firstLineChars="600"/>
        <w:jc w:val="left"/>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拟签订的合同文本</w:t>
      </w:r>
    </w:p>
    <w:p>
      <w:pPr>
        <w:snapToGrid w:val="0"/>
        <w:spacing w:line="400" w:lineRule="exact"/>
        <w:jc w:val="center"/>
        <w:rPr>
          <w:rFonts w:hint="eastAsia" w:ascii="宋体" w:hAnsi="宋体" w:eastAsia="宋体" w:cs="宋体"/>
          <w:b/>
          <w:bCs/>
          <w:color w:val="auto"/>
          <w:szCs w:val="21"/>
          <w:highlight w:val="none"/>
        </w:rPr>
      </w:pPr>
      <w:bookmarkStart w:id="400" w:name="_Hlk534493261"/>
      <w:r>
        <w:rPr>
          <w:rFonts w:hint="eastAsia" w:ascii="宋体" w:hAnsi="宋体" w:eastAsia="宋体" w:cs="宋体"/>
          <w:b/>
          <w:bCs/>
          <w:color w:val="auto"/>
          <w:szCs w:val="21"/>
          <w:highlight w:val="none"/>
        </w:rPr>
        <w:t>（供参考；本合同为合同样稿，最终稿由甲乙双方协商后确定，但实质性条款不得变动）</w:t>
      </w:r>
    </w:p>
    <w:bookmarkEnd w:id="400"/>
    <w:p>
      <w:pPr>
        <w:rPr>
          <w:rFonts w:hint="eastAsia" w:ascii="宋体" w:hAnsi="宋体" w:eastAsia="宋体" w:cs="宋体"/>
          <w:color w:val="auto"/>
          <w:highlight w:val="none"/>
        </w:rPr>
      </w:pPr>
    </w:p>
    <w:p>
      <w:pPr>
        <w:pStyle w:val="32"/>
        <w:snapToGrid w:val="0"/>
        <w:contextualSpacing/>
        <w:jc w:val="center"/>
        <w:rPr>
          <w:rFonts w:hint="eastAsia" w:ascii="宋体" w:hAnsi="宋体" w:eastAsia="宋体" w:cs="宋体"/>
          <w:color w:val="auto"/>
          <w:sz w:val="24"/>
          <w:szCs w:val="24"/>
          <w:highlight w:val="none"/>
        </w:rPr>
      </w:pPr>
      <w:r>
        <w:rPr>
          <w:rFonts w:hint="eastAsia" w:ascii="宋体" w:hAnsi="宋体" w:eastAsia="宋体" w:cs="宋体"/>
          <w:b/>
          <w:color w:val="auto"/>
          <w:sz w:val="24"/>
          <w:highlight w:val="none"/>
        </w:rPr>
        <w:t>（一）主合同</w:t>
      </w:r>
    </w:p>
    <w:p>
      <w:pPr>
        <w:adjustRightInd/>
        <w:spacing w:line="440" w:lineRule="exact"/>
        <w:ind w:firstLine="417" w:firstLineChars="19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本保险合同、批单及其它相关文件等都作为慈溪城镇房屋综合“保险+服务”项目合同的有效组成部分，上述文件互为补充及解释，如有冲突之处，以最新生效的一份文件内容为准。</w:t>
      </w:r>
    </w:p>
    <w:p>
      <w:pPr>
        <w:pStyle w:val="32"/>
        <w:snapToGrid w:val="0"/>
        <w:spacing w:before="156" w:after="156" w:line="288"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                                    项目编号：</w:t>
      </w:r>
    </w:p>
    <w:p>
      <w:pPr>
        <w:widowControl/>
        <w:overflowPunct w:val="0"/>
        <w:autoSpaceDE w:val="0"/>
        <w:autoSpaceDN w:val="0"/>
        <w:snapToGrid w:val="0"/>
        <w:spacing w:line="360" w:lineRule="auto"/>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甲方（买方）：</w:t>
      </w:r>
    </w:p>
    <w:p>
      <w:pPr>
        <w:widowControl/>
        <w:overflowPunct w:val="0"/>
        <w:autoSpaceDE w:val="0"/>
        <w:autoSpaceDN w:val="0"/>
        <w:snapToGrid w:val="0"/>
        <w:spacing w:line="360" w:lineRule="auto"/>
        <w:jc w:val="lef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乙方（卖方）：</w:t>
      </w:r>
    </w:p>
    <w:p>
      <w:pPr>
        <w:widowControl/>
        <w:overflowPunct w:val="0"/>
        <w:autoSpaceDE w:val="0"/>
        <w:autoSpaceDN w:val="0"/>
        <w:snapToGrid w:val="0"/>
        <w:spacing w:line="360" w:lineRule="auto"/>
        <w:ind w:firstLine="420" w:firstLineChars="200"/>
        <w:jc w:val="left"/>
        <w:textAlignment w:val="baseline"/>
        <w:rPr>
          <w:rFonts w:hint="eastAsia" w:ascii="宋体" w:hAnsi="宋体" w:eastAsia="宋体" w:cs="宋体"/>
          <w:b/>
          <w:color w:val="auto"/>
          <w:kern w:val="0"/>
          <w:sz w:val="21"/>
          <w:szCs w:val="21"/>
          <w:highlight w:val="none"/>
        </w:rPr>
      </w:pPr>
      <w:r>
        <w:rPr>
          <w:rFonts w:hint="eastAsia" w:ascii="宋体" w:hAnsi="宋体" w:eastAsia="宋体" w:cs="宋体"/>
          <w:color w:val="auto"/>
          <w:kern w:val="0"/>
          <w:sz w:val="21"/>
          <w:szCs w:val="21"/>
          <w:highlight w:val="none"/>
        </w:rPr>
        <w:t>甲、乙双方根据</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年</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月</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 xml:space="preserve">日 </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关于</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项目公开招标的结果，签署本合同。</w:t>
      </w:r>
    </w:p>
    <w:p>
      <w:pPr>
        <w:adjustRightInd/>
        <w:spacing w:line="440" w:lineRule="exact"/>
        <w:ind w:firstLine="527" w:firstLineChars="25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一、商业保险部分：</w:t>
      </w:r>
    </w:p>
    <w:p>
      <w:pPr>
        <w:spacing w:line="420" w:lineRule="exact"/>
        <w:ind w:firstLine="422" w:firstLineChars="200"/>
        <w:contextualSpacing/>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（一）保险范围</w:t>
      </w:r>
    </w:p>
    <w:p>
      <w:pPr>
        <w:spacing w:line="440" w:lineRule="exact"/>
        <w:ind w:firstLine="417" w:firstLineChars="19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慈溪市辖区内国有土地上所有在2000年及以前已建成且拥有合法产权证明，用于居民生活居住的城镇房屋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历史建筑、</w:t>
      </w:r>
      <w:r>
        <w:rPr>
          <w:rFonts w:hint="eastAsia" w:ascii="宋体" w:hAnsi="宋体" w:eastAsia="宋体" w:cs="宋体"/>
          <w:color w:val="auto"/>
          <w:sz w:val="21"/>
          <w:szCs w:val="21"/>
          <w:highlight w:val="none"/>
        </w:rPr>
        <w:t>直管公房</w:t>
      </w:r>
      <w:r>
        <w:rPr>
          <w:rFonts w:hint="eastAsia" w:ascii="宋体" w:hAnsi="宋体" w:eastAsia="宋体" w:cs="宋体"/>
          <w:color w:val="auto"/>
          <w:sz w:val="21"/>
          <w:szCs w:val="21"/>
          <w:highlight w:val="none"/>
          <w:lang w:val="en-US" w:eastAsia="zh-CN"/>
        </w:rPr>
        <w:t>及其他建筑</w:t>
      </w:r>
      <w:r>
        <w:rPr>
          <w:rFonts w:hint="eastAsia" w:ascii="宋体" w:hAnsi="宋体" w:eastAsia="宋体" w:cs="宋体"/>
          <w:color w:val="auto"/>
          <w:sz w:val="21"/>
          <w:szCs w:val="21"/>
          <w:highlight w:val="none"/>
        </w:rPr>
        <w:t>（以下简称保险房屋），见下表。</w:t>
      </w:r>
    </w:p>
    <w:tbl>
      <w:tblPr>
        <w:tblStyle w:val="62"/>
        <w:tblW w:w="864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4"/>
        <w:gridCol w:w="1965"/>
        <w:gridCol w:w="4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4" w:type="dxa"/>
            <w:vAlign w:val="center"/>
          </w:tcPr>
          <w:p>
            <w:pPr>
              <w:spacing w:line="420" w:lineRule="exact"/>
              <w:contextualSpacing/>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保险项目</w:t>
            </w:r>
          </w:p>
        </w:tc>
        <w:tc>
          <w:tcPr>
            <w:tcW w:w="1965" w:type="dxa"/>
          </w:tcPr>
          <w:p>
            <w:pPr>
              <w:spacing w:line="420" w:lineRule="exact"/>
              <w:contextualSpacing/>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投保房屋面积</w:t>
            </w:r>
          </w:p>
        </w:tc>
        <w:tc>
          <w:tcPr>
            <w:tcW w:w="4418" w:type="dxa"/>
            <w:vAlign w:val="center"/>
          </w:tcPr>
          <w:p>
            <w:pPr>
              <w:spacing w:line="420" w:lineRule="exact"/>
              <w:contextualSpacing/>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保险期限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4" w:type="dxa"/>
            <w:vAlign w:val="center"/>
          </w:tcPr>
          <w:p>
            <w:pPr>
              <w:spacing w:line="420" w:lineRule="exact"/>
              <w:contextualSpacing/>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房屋综合保险</w:t>
            </w:r>
          </w:p>
        </w:tc>
        <w:tc>
          <w:tcPr>
            <w:tcW w:w="1965" w:type="dxa"/>
            <w:vAlign w:val="top"/>
          </w:tcPr>
          <w:p>
            <w:pPr>
              <w:adjustRightInd w:val="0"/>
              <w:spacing w:beforeLines="0" w:afterLines="0" w:line="420" w:lineRule="exact"/>
              <w:jc w:val="center"/>
              <w:textAlignment w:val="baseline"/>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4077501.95</w:t>
            </w:r>
            <w:r>
              <w:rPr>
                <w:rFonts w:hint="eastAsia" w:ascii="宋体" w:hAnsi="宋体" w:cs="宋体"/>
                <w:color w:val="auto"/>
                <w:sz w:val="21"/>
                <w:szCs w:val="21"/>
                <w:highlight w:val="none"/>
              </w:rPr>
              <w:t>㎡</w:t>
            </w:r>
          </w:p>
        </w:tc>
        <w:tc>
          <w:tcPr>
            <w:tcW w:w="4418" w:type="dxa"/>
            <w:vAlign w:val="center"/>
          </w:tcPr>
          <w:p>
            <w:pPr>
              <w:spacing w:line="420" w:lineRule="exact"/>
              <w:contextualSpacing/>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2023年12月23日——2024年12月22日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4" w:type="dxa"/>
            <w:vAlign w:val="center"/>
          </w:tcPr>
          <w:p>
            <w:pPr>
              <w:spacing w:line="420" w:lineRule="exact"/>
              <w:ind w:firstLine="420" w:firstLineChars="200"/>
              <w:contextualSpacing/>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房屋外墙保险</w:t>
            </w:r>
          </w:p>
        </w:tc>
        <w:tc>
          <w:tcPr>
            <w:tcW w:w="1965" w:type="dxa"/>
            <w:vAlign w:val="top"/>
          </w:tcPr>
          <w:p>
            <w:pPr>
              <w:adjustRightInd w:val="0"/>
              <w:spacing w:beforeLines="0" w:afterLines="0" w:line="420" w:lineRule="exact"/>
              <w:jc w:val="center"/>
              <w:textAlignment w:val="baseline"/>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4077501.95</w:t>
            </w:r>
            <w:r>
              <w:rPr>
                <w:rFonts w:hint="eastAsia" w:ascii="宋体" w:hAnsi="宋体" w:cs="宋体"/>
                <w:color w:val="auto"/>
                <w:sz w:val="21"/>
                <w:szCs w:val="21"/>
                <w:highlight w:val="none"/>
              </w:rPr>
              <w:t>㎡</w:t>
            </w:r>
          </w:p>
        </w:tc>
        <w:tc>
          <w:tcPr>
            <w:tcW w:w="4418" w:type="dxa"/>
            <w:vAlign w:val="center"/>
          </w:tcPr>
          <w:p>
            <w:pPr>
              <w:spacing w:line="480" w:lineRule="exact"/>
              <w:ind w:firstLine="210" w:firstLineChars="1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2023年12月23日——2024年</w:t>
            </w:r>
            <w:r>
              <w:rPr>
                <w:rFonts w:hint="eastAsia" w:ascii="宋体" w:hAnsi="宋体" w:eastAsia="宋体" w:cs="宋体"/>
                <w:color w:val="auto"/>
                <w:sz w:val="21"/>
                <w:szCs w:val="21"/>
                <w:highlight w:val="none"/>
              </w:rPr>
              <w:t>12月22日</w:t>
            </w:r>
          </w:p>
        </w:tc>
      </w:tr>
    </w:tbl>
    <w:p>
      <w:pPr>
        <w:spacing w:line="420" w:lineRule="exact"/>
        <w:ind w:firstLine="422" w:firstLineChars="200"/>
        <w:contextualSpacing/>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（二）主要保障内容</w:t>
      </w:r>
    </w:p>
    <w:p>
      <w:pPr>
        <w:spacing w:line="420" w:lineRule="exact"/>
        <w:ind w:firstLine="420" w:firstLineChars="200"/>
        <w:contextualSpacing/>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主要包括城镇住房整体倒塌保障、临时安置费用保障、人身伤亡保障</w:t>
      </w:r>
      <w:r>
        <w:rPr>
          <w:rFonts w:hint="eastAsia" w:ascii="宋体" w:hAnsi="宋体" w:eastAsia="宋体" w:cs="宋体"/>
          <w:color w:val="auto"/>
          <w:sz w:val="21"/>
          <w:szCs w:val="21"/>
          <w:highlight w:val="none"/>
          <w:lang w:eastAsia="zh-CN"/>
        </w:rPr>
        <w:t>、应急加固维修费用保障</w:t>
      </w:r>
      <w:r>
        <w:rPr>
          <w:rFonts w:hint="eastAsia" w:ascii="宋体" w:hAnsi="宋体" w:eastAsia="宋体" w:cs="宋体"/>
          <w:color w:val="auto"/>
          <w:sz w:val="21"/>
          <w:szCs w:val="21"/>
          <w:highlight w:val="none"/>
        </w:rPr>
        <w:t>以及房屋外墙保险。</w:t>
      </w:r>
    </w:p>
    <w:p>
      <w:pPr>
        <w:spacing w:line="420" w:lineRule="exact"/>
        <w:ind w:firstLine="420" w:firstLineChars="200"/>
        <w:contextualSpacing/>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1、城镇住房倒塌保障：城镇住房保险主险单位面积的保额为2500元/平方米，投保总建筑面积约</w:t>
      </w:r>
      <w:r>
        <w:rPr>
          <w:rFonts w:hint="eastAsia" w:ascii="宋体" w:hAnsi="宋体" w:eastAsia="宋体" w:cs="宋体"/>
          <w:color w:val="auto"/>
          <w:sz w:val="21"/>
          <w:szCs w:val="21"/>
          <w:highlight w:val="none"/>
          <w:lang w:val="en-US" w:eastAsia="zh-CN"/>
        </w:rPr>
        <w:t>4077501.95</w:t>
      </w:r>
      <w:r>
        <w:rPr>
          <w:rFonts w:hint="eastAsia" w:ascii="宋体" w:hAnsi="宋体" w:eastAsia="宋体" w:cs="宋体"/>
          <w:color w:val="auto"/>
          <w:sz w:val="21"/>
          <w:szCs w:val="21"/>
          <w:highlight w:val="none"/>
        </w:rPr>
        <w:t>㎡，以后根据项目实际情况增减；由于保险责任范围内的原因造成保险房屋整体倒塌的按投保面积与单位面积保额之积赔付，免赔额无。</w:t>
      </w:r>
    </w:p>
    <w:p>
      <w:pPr>
        <w:spacing w:line="420" w:lineRule="exact"/>
        <w:ind w:firstLine="420" w:firstLineChars="200"/>
        <w:contextualSpacing/>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临时安置费用保障：（1）由于保险合同主险责任范围内的原因造成保险房屋整体倒塌，致使实际居住在该房屋及前后左右相邻保险房屋内的居民家庭无法继续居住生活而发生的临时安置费用（每次事故最多临时安置保险房屋5幢房屋）；（2）由于主险保险责任范围内的原因导致保险房屋整体成为危房，经政府指定有关专业技术部门鉴定为C、D级危房，或虽未走危房鉴定流程，但政府根据房屋实际危险状况发出强制撤离令而发生的临时安置费用（每次事故最多临时安置保险房屋1幢房屋）。保险金额为1元/平方米/天，每次保险事故最高安置天数180天，免赔额无。</w:t>
      </w:r>
    </w:p>
    <w:p>
      <w:pPr>
        <w:spacing w:line="420" w:lineRule="exact"/>
        <w:ind w:firstLine="420" w:firstLineChars="200"/>
        <w:contextualSpacing/>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人员伤亡保障：在保险期间内，由于保险责任范围内的房屋倒塌（含承重结构构件失效）致使救助对象人身伤亡，每人人身伤亡赔偿限额50万元，其中医疗赔偿限额10万元，每次事故赔偿限额2500万元，其中每次事故医疗费赔偿限额200万元；保险期间累计赔偿限额4000万元，每次事故免赔额100元。</w:t>
      </w:r>
    </w:p>
    <w:p>
      <w:pPr>
        <w:pStyle w:val="5"/>
        <w:spacing w:line="440" w:lineRule="exact"/>
        <w:ind w:firstLine="420" w:firstLineChars="200"/>
        <w:rPr>
          <w:rFonts w:hint="eastAsia" w:ascii="宋体" w:hAnsi="宋体" w:eastAsia="宋体" w:cs="宋体"/>
          <w:snapToGrid/>
          <w:color w:val="auto"/>
          <w:kern w:val="2"/>
          <w:sz w:val="21"/>
          <w:szCs w:val="21"/>
          <w:highlight w:val="none"/>
        </w:rPr>
      </w:pPr>
      <w:r>
        <w:rPr>
          <w:rFonts w:hint="eastAsia" w:ascii="宋体" w:hAnsi="宋体" w:eastAsia="宋体" w:cs="宋体"/>
          <w:snapToGrid/>
          <w:color w:val="auto"/>
          <w:kern w:val="2"/>
          <w:sz w:val="21"/>
          <w:szCs w:val="21"/>
          <w:highlight w:val="none"/>
        </w:rPr>
        <w:t>4、应急加固维修费用保障：在保险期间内，为避免保险房屋倒塌和外墙面脱落伤人所发生的应急加固维修和防护措施费用，</w:t>
      </w:r>
      <w:r>
        <w:rPr>
          <w:rFonts w:hint="eastAsia" w:hAnsi="宋体" w:cs="宋体"/>
          <w:snapToGrid/>
          <w:color w:val="auto"/>
          <w:kern w:val="2"/>
          <w:sz w:val="21"/>
          <w:szCs w:val="21"/>
          <w:highlight w:val="none"/>
          <w:lang w:eastAsia="zh-CN"/>
        </w:rPr>
        <w:t>乙方</w:t>
      </w:r>
      <w:r>
        <w:rPr>
          <w:rFonts w:hint="eastAsia" w:ascii="宋体" w:hAnsi="宋体" w:eastAsia="宋体" w:cs="宋体"/>
          <w:snapToGrid/>
          <w:color w:val="auto"/>
          <w:kern w:val="2"/>
          <w:sz w:val="21"/>
          <w:szCs w:val="21"/>
          <w:highlight w:val="none"/>
        </w:rPr>
        <w:t>按照附加险合同的约定负责赔偿。每次事故应急维修费用赔偿限额10万元，每年应急维修费用累计赔偿限额50万元。</w:t>
      </w:r>
    </w:p>
    <w:p>
      <w:pPr>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房屋外墙保险：在保险期间或保险单载明的追溯期内，由于外墙的保温层材料、面砖、玻璃、金属及石材及粉刷层等脱落造成第三者人身伤亡或财产损失，由受害者在保险期间内首次向被保险人提出损害赔偿请求，被保险人依法应当承担的经济赔偿责任或被保险人依据国家或地方有关法律规定启动救助应承担的对伤亡人员给付救助金的责任，保险人依照本保险合同的约定负责赔偿。保险金额：每人人身伤亡赔偿限额50万，医疗费限额10万，每次事故财产损失赔偿限额50万，每次事故赔偿/累计赔偿限额每个小区赔偿限额500万，保单周期内累计赔偿限额2000万。</w:t>
      </w:r>
    </w:p>
    <w:p>
      <w:pPr>
        <w:spacing w:line="420" w:lineRule="exact"/>
        <w:ind w:firstLine="422" w:firstLineChars="200"/>
        <w:contextualSpacing/>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w:t>
      </w:r>
      <w:r>
        <w:rPr>
          <w:rFonts w:hint="eastAsia" w:ascii="宋体" w:hAnsi="宋体" w:eastAsia="宋体" w:cs="宋体"/>
          <w:b/>
          <w:color w:val="auto"/>
          <w:sz w:val="21"/>
          <w:szCs w:val="21"/>
          <w:highlight w:val="none"/>
        </w:rPr>
        <w:t>（三）保险产品的要求</w:t>
      </w:r>
    </w:p>
    <w:p>
      <w:pPr>
        <w:spacing w:line="420" w:lineRule="exact"/>
        <w:ind w:firstLine="420"/>
        <w:contextualSpacing/>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val="en-US" w:eastAsia="zh-CN"/>
        </w:rPr>
        <w:t>乙方所投的城镇住房保险产品条款必须满足以下要求：</w:t>
      </w:r>
    </w:p>
    <w:p>
      <w:pPr>
        <w:spacing w:line="420" w:lineRule="exact"/>
        <w:ind w:firstLine="420"/>
        <w:contextualSpacing/>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鉴于本次投保房屋房龄较长，当时的开发商和施工企业注销较多，故所投标的保险产品条款不能为责任险条款。条款不能将被保险人是否有责任设定为履行赔偿义务的前提，不得出现如“……依法应由被保险人承担的……”等类似字样；</w:t>
      </w:r>
    </w:p>
    <w:p>
      <w:pPr>
        <w:spacing w:line="420" w:lineRule="exact"/>
        <w:ind w:firstLine="420"/>
        <w:contextualSpacing/>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本次招标是为转嫁因房屋整体倒塌造成居民损失的风险，为此要求投标保险产品条款中必须含有房屋整体倒塌责任，且不能设定倒塌的前置原因，不得出现如“……因某某原因造成房屋倒塌……”等类似字样；</w:t>
      </w:r>
    </w:p>
    <w:p>
      <w:pPr>
        <w:spacing w:line="420" w:lineRule="exact"/>
        <w:ind w:firstLine="420"/>
        <w:contextualSpacing/>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（3）保险条款中不得将台风、暴风、暴雨、洪水、雪灾等慈溪常见的自然灾害和房屋本身缺陷列为房屋倒塌的除外责任</w:t>
      </w:r>
      <w:r>
        <w:rPr>
          <w:rFonts w:hint="eastAsia" w:ascii="宋体" w:hAnsi="宋体" w:eastAsia="宋体" w:cs="宋体"/>
          <w:color w:val="auto"/>
          <w:sz w:val="21"/>
          <w:szCs w:val="21"/>
          <w:highlight w:val="none"/>
        </w:rPr>
        <w:t>。</w:t>
      </w:r>
    </w:p>
    <w:p>
      <w:pPr>
        <w:spacing w:line="480" w:lineRule="exact"/>
        <w:ind w:firstLine="420"/>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乙方所投的外墙保险产品条款必须满足以下要求：</w:t>
      </w:r>
    </w:p>
    <w:p>
      <w:pPr>
        <w:spacing w:line="480" w:lineRule="exact"/>
        <w:ind w:firstLine="420"/>
        <w:rPr>
          <w:rFonts w:hint="eastAsia" w:ascii="宋体" w:hAnsi="宋体" w:eastAsia="宋体" w:cs="宋体"/>
          <w:color w:val="auto"/>
          <w:kern w:val="0"/>
          <w:sz w:val="21"/>
          <w:szCs w:val="21"/>
          <w:highlight w:val="none"/>
        </w:rPr>
      </w:pPr>
      <w:r>
        <w:rPr>
          <w:rFonts w:hint="eastAsia" w:ascii="宋体" w:hAnsi="宋体" w:cs="宋体"/>
          <w:color w:val="auto"/>
          <w:sz w:val="21"/>
          <w:szCs w:val="21"/>
          <w:highlight w:val="none"/>
          <w:lang w:val="en-US" w:eastAsia="zh-CN"/>
        </w:rPr>
        <w:t>保险方案中不得将台风、暴风、暴雨、洪水、雪灾等常见的自然灾害和房屋本身缺陷列为外墙脱落的除外责任</w:t>
      </w:r>
      <w:r>
        <w:rPr>
          <w:rFonts w:hint="eastAsia" w:ascii="宋体" w:hAnsi="宋体" w:eastAsia="宋体" w:cs="宋体"/>
          <w:color w:val="auto"/>
          <w:sz w:val="21"/>
          <w:szCs w:val="21"/>
          <w:highlight w:val="none"/>
        </w:rPr>
        <w:t>。</w:t>
      </w:r>
    </w:p>
    <w:p>
      <w:pPr>
        <w:spacing w:line="480" w:lineRule="exact"/>
        <w:ind w:firstLine="420"/>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（四）其他需求</w:t>
      </w:r>
    </w:p>
    <w:p>
      <w:pPr>
        <w:spacing w:line="480" w:lineRule="exact"/>
        <w:ind w:firstLine="42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1、当年承保房屋数量增减不超过5%的，不调整保险费用；当年承保房屋数量增减超过5%部分，在原有投保面积基础上调整的，调整部分按</w:t>
      </w:r>
      <w:r>
        <w:rPr>
          <w:rFonts w:hint="eastAsia" w:ascii="宋体" w:hAnsi="宋体" w:cs="宋体"/>
          <w:color w:val="auto"/>
          <w:kern w:val="0"/>
          <w:sz w:val="21"/>
          <w:szCs w:val="21"/>
          <w:highlight w:val="none"/>
          <w:lang w:eastAsia="zh-CN"/>
        </w:rPr>
        <w:t>乙方</w:t>
      </w:r>
      <w:r>
        <w:rPr>
          <w:rFonts w:hint="eastAsia" w:ascii="宋体" w:hAnsi="宋体" w:eastAsia="宋体" w:cs="宋体"/>
          <w:color w:val="auto"/>
          <w:kern w:val="0"/>
          <w:sz w:val="21"/>
          <w:szCs w:val="21"/>
          <w:highlight w:val="none"/>
        </w:rPr>
        <w:t>分项报价按月按实进行结算；</w:t>
      </w:r>
    </w:p>
    <w:p>
      <w:pPr>
        <w:spacing w:line="48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2、宁波其他县市区对“整体倒塌”定义有最新的有利于</w:t>
      </w:r>
      <w:r>
        <w:rPr>
          <w:rFonts w:hint="eastAsia" w:ascii="宋体" w:hAnsi="宋体" w:eastAsia="宋体" w:cs="宋体"/>
          <w:color w:val="auto"/>
          <w:kern w:val="0"/>
          <w:sz w:val="21"/>
          <w:szCs w:val="21"/>
          <w:highlight w:val="none"/>
          <w:lang w:eastAsia="zh-CN"/>
        </w:rPr>
        <w:t>甲方</w:t>
      </w:r>
      <w:r>
        <w:rPr>
          <w:rFonts w:hint="eastAsia" w:ascii="宋体" w:hAnsi="宋体" w:eastAsia="宋体" w:cs="宋体"/>
          <w:color w:val="auto"/>
          <w:kern w:val="0"/>
          <w:sz w:val="21"/>
          <w:szCs w:val="21"/>
          <w:highlight w:val="none"/>
        </w:rPr>
        <w:t>的释义，须参照执行。</w:t>
      </w:r>
    </w:p>
    <w:p>
      <w:pPr>
        <w:spacing w:line="420" w:lineRule="exact"/>
        <w:ind w:firstLine="422" w:firstLineChars="200"/>
        <w:contextualSpacing/>
        <w:jc w:val="left"/>
        <w:textAlignment w:val="baseline"/>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（五）索赔和理赔</w:t>
      </w:r>
    </w:p>
    <w:p>
      <w:pPr>
        <w:spacing w:line="420" w:lineRule="exact"/>
        <w:ind w:firstLine="420" w:firstLineChars="200"/>
        <w:contextualSpacing/>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1、须设立全国统一365天、24小时服务专线，便于案情发生后，</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及其工作人员第一时间向</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报案。</w:t>
      </w:r>
    </w:p>
    <w:p>
      <w:pPr>
        <w:spacing w:line="420" w:lineRule="exact"/>
        <w:ind w:firstLine="420" w:firstLineChars="200"/>
        <w:contextualSpacing/>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2、现场查勘</w:t>
      </w:r>
    </w:p>
    <w:p>
      <w:pPr>
        <w:spacing w:line="420" w:lineRule="exact"/>
        <w:ind w:firstLine="424" w:firstLineChars="202"/>
        <w:contextualSpacing/>
        <w:jc w:val="left"/>
        <w:textAlignment w:val="baseline"/>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乙方接到甲方及其工作人员或受灾居民的报案通知后，乙方专责理赔人员须立即赶到现场进行查勘</w:t>
      </w:r>
      <w:r>
        <w:rPr>
          <w:rFonts w:hint="eastAsia" w:ascii="宋体" w:hAnsi="宋体" w:eastAsia="宋体" w:cs="宋体"/>
          <w:color w:val="auto"/>
          <w:sz w:val="21"/>
          <w:szCs w:val="21"/>
          <w:highlight w:val="none"/>
        </w:rPr>
        <w:t>。</w:t>
      </w:r>
    </w:p>
    <w:p>
      <w:pPr>
        <w:spacing w:line="420" w:lineRule="exact"/>
        <w:ind w:firstLine="420" w:firstLineChars="200"/>
        <w:contextualSpacing/>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cs="宋体"/>
          <w:color w:val="auto"/>
          <w:sz w:val="21"/>
          <w:szCs w:val="21"/>
          <w:highlight w:val="none"/>
          <w:lang w:val="en-US" w:eastAsia="zh-CN"/>
        </w:rPr>
        <w:t>乙方在收到甲方提交的有关单证和资料上述材料后应立即进行审查核实，乙方若认为有关证明和材料不完整，应立即以书面方式一次性通知甲方或其他被保险人补充提供有关证明或资料，乙方若在接到索赔资料后5个工作日内未提出有关审核意见，则视为认可索赔资料完整</w:t>
      </w:r>
      <w:r>
        <w:rPr>
          <w:rFonts w:hint="eastAsia" w:ascii="宋体" w:hAnsi="宋体" w:eastAsia="宋体" w:cs="宋体"/>
          <w:color w:val="auto"/>
          <w:sz w:val="21"/>
          <w:szCs w:val="21"/>
          <w:highlight w:val="none"/>
        </w:rPr>
        <w:t>。</w:t>
      </w:r>
    </w:p>
    <w:p>
      <w:pPr>
        <w:spacing w:line="420" w:lineRule="exact"/>
        <w:ind w:firstLine="420" w:firstLineChars="200"/>
        <w:contextualSpacing/>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4、理赔处理</w:t>
      </w:r>
    </w:p>
    <w:p>
      <w:pPr>
        <w:spacing w:line="420" w:lineRule="exact"/>
        <w:ind w:firstLine="420" w:firstLineChars="200"/>
        <w:contextualSpacing/>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对于</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的索赔申请，在收到书面索赔申请和索赔单证齐全后，</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应立即核定损失项目和金额，并按照以下时限要求将赔付意见向</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反馈：</w:t>
      </w:r>
    </w:p>
    <w:p>
      <w:pPr>
        <w:adjustRightInd w:val="0"/>
        <w:spacing w:beforeLines="0" w:afterLines="0" w:line="420" w:lineRule="exact"/>
        <w:ind w:firstLine="420" w:firstLineChars="200"/>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估损金额在人民币100万以下（含）时，不超过5个工作日；</w:t>
      </w:r>
    </w:p>
    <w:p>
      <w:pPr>
        <w:adjustRightInd w:val="0"/>
        <w:spacing w:beforeLines="0" w:afterLines="0" w:line="420" w:lineRule="exact"/>
        <w:ind w:firstLine="420" w:firstLineChars="200"/>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（2）估损金额在人民币100万元（不含）至人民币500万元（含）以内时，不超过7个工作日；</w:t>
      </w:r>
    </w:p>
    <w:p>
      <w:pPr>
        <w:adjustRightInd w:val="0"/>
        <w:spacing w:beforeLines="0" w:afterLines="0" w:line="420" w:lineRule="exact"/>
        <w:ind w:firstLine="420" w:firstLineChars="200"/>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（3）关于估损金额在人民币500万元（不含）以上时，不超过15个工作日</w:t>
      </w:r>
      <w:r>
        <w:rPr>
          <w:rFonts w:hint="eastAsia" w:ascii="宋体" w:hAnsi="宋体" w:eastAsia="宋体" w:cs="宋体"/>
          <w:color w:val="auto"/>
          <w:sz w:val="21"/>
          <w:szCs w:val="21"/>
          <w:highlight w:val="none"/>
        </w:rPr>
        <w:t>；</w:t>
      </w:r>
    </w:p>
    <w:p>
      <w:pPr>
        <w:adjustRightInd w:val="0"/>
        <w:spacing w:beforeLines="0" w:afterLines="0" w:line="420" w:lineRule="exact"/>
        <w:ind w:firstLine="420" w:firstLineChars="200"/>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▲在双方达成赔偿协议后，</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应按照以下时限将赔款支付给</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w:t>
      </w:r>
    </w:p>
    <w:tbl>
      <w:tblPr>
        <w:tblStyle w:val="6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5581"/>
        <w:gridCol w:w="3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300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估损金额</w:t>
            </w:r>
          </w:p>
        </w:tc>
        <w:tc>
          <w:tcPr>
            <w:tcW w:w="199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赔款支付时限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人民币100万元（含）以内赔案</w:t>
            </w:r>
          </w:p>
        </w:tc>
        <w:tc>
          <w:tcPr>
            <w:tcW w:w="199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5个工作日内支付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00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人民币100万元（不含）至人民币500万元（含）以内赔案</w:t>
            </w:r>
          </w:p>
        </w:tc>
        <w:tc>
          <w:tcPr>
            <w:tcW w:w="199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7个工作日内支付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人民币500万元（不含）以上赔案</w:t>
            </w:r>
          </w:p>
        </w:tc>
        <w:tc>
          <w:tcPr>
            <w:tcW w:w="199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bidi="ar"/>
              </w:rPr>
              <w:t>15个工作日内支付</w:t>
            </w:r>
          </w:p>
        </w:tc>
      </w:tr>
    </w:tbl>
    <w:p>
      <w:pPr>
        <w:spacing w:line="420" w:lineRule="exact"/>
        <w:ind w:firstLine="420" w:firstLineChars="200"/>
        <w:contextualSpacing/>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）预付赔款</w:t>
      </w:r>
    </w:p>
    <w:p>
      <w:pPr>
        <w:spacing w:line="420" w:lineRule="exact"/>
        <w:ind w:firstLine="420" w:firstLineChars="200"/>
        <w:contextualSpacing/>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在保险责任明确但损失金额尚不能确定的情况下，根据</w:t>
      </w:r>
      <w:r>
        <w:rPr>
          <w:rFonts w:hint="eastAsia" w:ascii="宋体" w:hAnsi="宋体" w:cs="宋体"/>
          <w:color w:val="auto"/>
          <w:sz w:val="21"/>
          <w:szCs w:val="21"/>
          <w:highlight w:val="none"/>
          <w:lang w:val="en-US" w:eastAsia="zh-CN"/>
        </w:rPr>
        <w:t>甲方</w:t>
      </w:r>
      <w:r>
        <w:rPr>
          <w:rFonts w:hint="eastAsia" w:ascii="宋体" w:hAnsi="宋体" w:eastAsia="宋体" w:cs="宋体"/>
          <w:color w:val="auto"/>
          <w:sz w:val="21"/>
          <w:szCs w:val="21"/>
          <w:highlight w:val="none"/>
        </w:rPr>
        <w:t>的要求，</w:t>
      </w:r>
      <w:r>
        <w:rPr>
          <w:rFonts w:hint="eastAsia" w:ascii="宋体" w:hAnsi="宋体" w:cs="宋体"/>
          <w:color w:val="auto"/>
          <w:sz w:val="21"/>
          <w:szCs w:val="21"/>
          <w:highlight w:val="none"/>
          <w:lang w:val="en-US" w:eastAsia="zh-CN"/>
        </w:rPr>
        <w:t>乙方</w:t>
      </w:r>
      <w:r>
        <w:rPr>
          <w:rFonts w:hint="eastAsia" w:ascii="宋体" w:hAnsi="宋体" w:eastAsia="宋体" w:cs="宋体"/>
          <w:color w:val="auto"/>
          <w:sz w:val="21"/>
          <w:szCs w:val="21"/>
          <w:highlight w:val="none"/>
        </w:rPr>
        <w:t>应支付预付赔款，支付金额为双方初步商定的损失金额（扣除免赔后）的50%。</w:t>
      </w:r>
    </w:p>
    <w:p>
      <w:pPr>
        <w:tabs>
          <w:tab w:val="left" w:pos="2310"/>
        </w:tabs>
        <w:spacing w:line="420" w:lineRule="exact"/>
        <w:ind w:firstLine="422" w:firstLineChars="200"/>
        <w:contextualSpacing/>
        <w:rPr>
          <w:rFonts w:hint="eastAsia" w:ascii="宋体" w:hAnsi="宋体" w:eastAsia="宋体" w:cs="宋体"/>
          <w:b/>
          <w:color w:val="auto"/>
          <w:sz w:val="21"/>
          <w:szCs w:val="21"/>
          <w:highlight w:val="none"/>
          <w:lang w:eastAsia="zh-CN"/>
        </w:rPr>
      </w:pPr>
      <w:r>
        <w:rPr>
          <w:rFonts w:hint="eastAsia" w:ascii="宋体" w:hAnsi="宋体" w:cs="宋体"/>
          <w:b/>
          <w:color w:val="auto"/>
          <w:sz w:val="21"/>
          <w:szCs w:val="21"/>
          <w:highlight w:val="none"/>
          <w:lang w:eastAsia="zh-CN"/>
        </w:rPr>
        <w:t>（六）服务人员及外聘人员情况</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7"/>
        <w:gridCol w:w="1547"/>
        <w:gridCol w:w="1548"/>
        <w:gridCol w:w="1548"/>
        <w:gridCol w:w="2327"/>
        <w:gridCol w:w="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vAlign w:val="center"/>
          </w:tcPr>
          <w:p>
            <w:pPr>
              <w:tabs>
                <w:tab w:val="left" w:pos="2310"/>
              </w:tabs>
              <w:spacing w:line="420" w:lineRule="exact"/>
              <w:contextualSpacing/>
              <w:jc w:val="center"/>
              <w:rPr>
                <w:rFonts w:hint="eastAsia" w:ascii="宋体" w:hAnsi="宋体" w:eastAsia="宋体" w:cs="宋体"/>
                <w:b/>
                <w:color w:val="auto"/>
                <w:sz w:val="21"/>
                <w:szCs w:val="21"/>
                <w:highlight w:val="none"/>
                <w:vertAlign w:val="baseline"/>
                <w:lang w:eastAsia="zh-CN"/>
              </w:rPr>
            </w:pPr>
            <w:r>
              <w:rPr>
                <w:rFonts w:hint="eastAsia" w:ascii="宋体" w:hAnsi="宋体" w:cs="宋体"/>
                <w:b/>
                <w:color w:val="auto"/>
                <w:sz w:val="21"/>
                <w:szCs w:val="21"/>
                <w:highlight w:val="none"/>
                <w:vertAlign w:val="baseline"/>
                <w:lang w:eastAsia="zh-CN"/>
              </w:rPr>
              <w:t>序号</w:t>
            </w:r>
          </w:p>
        </w:tc>
        <w:tc>
          <w:tcPr>
            <w:tcW w:w="1547" w:type="dxa"/>
            <w:vAlign w:val="center"/>
          </w:tcPr>
          <w:p>
            <w:pPr>
              <w:tabs>
                <w:tab w:val="left" w:pos="2310"/>
              </w:tabs>
              <w:spacing w:line="420" w:lineRule="exact"/>
              <w:contextualSpacing/>
              <w:jc w:val="center"/>
              <w:rPr>
                <w:rFonts w:hint="eastAsia" w:ascii="宋体" w:hAnsi="宋体" w:eastAsia="宋体" w:cs="宋体"/>
                <w:b/>
                <w:color w:val="auto"/>
                <w:sz w:val="21"/>
                <w:szCs w:val="21"/>
                <w:highlight w:val="none"/>
                <w:vertAlign w:val="baseline"/>
                <w:lang w:eastAsia="zh-CN"/>
              </w:rPr>
            </w:pPr>
            <w:r>
              <w:rPr>
                <w:rFonts w:hint="eastAsia" w:ascii="宋体" w:hAnsi="宋体" w:cs="宋体"/>
                <w:b/>
                <w:color w:val="auto"/>
                <w:sz w:val="21"/>
                <w:szCs w:val="21"/>
                <w:highlight w:val="none"/>
                <w:vertAlign w:val="baseline"/>
                <w:lang w:eastAsia="zh-CN"/>
              </w:rPr>
              <w:t>姓名</w:t>
            </w:r>
          </w:p>
        </w:tc>
        <w:tc>
          <w:tcPr>
            <w:tcW w:w="1548" w:type="dxa"/>
            <w:vAlign w:val="center"/>
          </w:tcPr>
          <w:p>
            <w:pPr>
              <w:tabs>
                <w:tab w:val="left" w:pos="2310"/>
              </w:tabs>
              <w:spacing w:line="420" w:lineRule="exact"/>
              <w:contextualSpacing/>
              <w:jc w:val="center"/>
              <w:rPr>
                <w:rFonts w:hint="eastAsia" w:ascii="宋体" w:hAnsi="宋体" w:eastAsia="宋体" w:cs="宋体"/>
                <w:b/>
                <w:color w:val="auto"/>
                <w:sz w:val="21"/>
                <w:szCs w:val="21"/>
                <w:highlight w:val="none"/>
                <w:vertAlign w:val="baseline"/>
                <w:lang w:eastAsia="zh-CN"/>
              </w:rPr>
            </w:pPr>
            <w:r>
              <w:rPr>
                <w:rFonts w:hint="eastAsia" w:ascii="宋体" w:hAnsi="宋体" w:cs="宋体"/>
                <w:b/>
                <w:color w:val="auto"/>
                <w:sz w:val="21"/>
                <w:szCs w:val="21"/>
                <w:highlight w:val="none"/>
                <w:vertAlign w:val="baseline"/>
                <w:lang w:eastAsia="zh-CN"/>
              </w:rPr>
              <w:t>专业及学历</w:t>
            </w:r>
          </w:p>
        </w:tc>
        <w:tc>
          <w:tcPr>
            <w:tcW w:w="1548" w:type="dxa"/>
            <w:vAlign w:val="center"/>
          </w:tcPr>
          <w:p>
            <w:pPr>
              <w:tabs>
                <w:tab w:val="left" w:pos="2310"/>
              </w:tabs>
              <w:spacing w:line="420" w:lineRule="exact"/>
              <w:contextualSpacing/>
              <w:jc w:val="center"/>
              <w:rPr>
                <w:rFonts w:hint="eastAsia" w:ascii="宋体" w:hAnsi="宋体" w:eastAsia="宋体" w:cs="宋体"/>
                <w:b/>
                <w:color w:val="auto"/>
                <w:sz w:val="21"/>
                <w:szCs w:val="21"/>
                <w:highlight w:val="none"/>
                <w:vertAlign w:val="baseline"/>
                <w:lang w:eastAsia="zh-CN"/>
              </w:rPr>
            </w:pPr>
            <w:r>
              <w:rPr>
                <w:rFonts w:hint="eastAsia" w:ascii="宋体" w:hAnsi="宋体" w:cs="宋体"/>
                <w:b/>
                <w:color w:val="auto"/>
                <w:sz w:val="21"/>
                <w:szCs w:val="21"/>
                <w:highlight w:val="none"/>
                <w:vertAlign w:val="baseline"/>
                <w:lang w:eastAsia="zh-CN"/>
              </w:rPr>
              <w:t>具有何种证书</w:t>
            </w:r>
          </w:p>
        </w:tc>
        <w:tc>
          <w:tcPr>
            <w:tcW w:w="2327" w:type="dxa"/>
            <w:vAlign w:val="center"/>
          </w:tcPr>
          <w:p>
            <w:pPr>
              <w:tabs>
                <w:tab w:val="left" w:pos="2310"/>
              </w:tabs>
              <w:spacing w:line="420" w:lineRule="exact"/>
              <w:contextualSpacing/>
              <w:jc w:val="center"/>
              <w:rPr>
                <w:rFonts w:hint="eastAsia" w:ascii="宋体" w:hAnsi="宋体" w:eastAsia="宋体" w:cs="宋体"/>
                <w:b/>
                <w:color w:val="auto"/>
                <w:sz w:val="21"/>
                <w:szCs w:val="21"/>
                <w:highlight w:val="none"/>
                <w:vertAlign w:val="baseline"/>
                <w:lang w:eastAsia="zh-CN"/>
              </w:rPr>
            </w:pPr>
            <w:r>
              <w:rPr>
                <w:rFonts w:hint="eastAsia" w:ascii="宋体" w:hAnsi="宋体" w:cs="宋体"/>
                <w:b/>
                <w:color w:val="auto"/>
                <w:sz w:val="21"/>
                <w:szCs w:val="21"/>
                <w:highlight w:val="none"/>
                <w:vertAlign w:val="baseline"/>
                <w:lang w:eastAsia="zh-CN"/>
              </w:rPr>
              <w:t>本项目中拟担任的角色</w:t>
            </w:r>
          </w:p>
        </w:tc>
        <w:tc>
          <w:tcPr>
            <w:tcW w:w="769" w:type="dxa"/>
            <w:vAlign w:val="center"/>
          </w:tcPr>
          <w:p>
            <w:pPr>
              <w:tabs>
                <w:tab w:val="left" w:pos="2310"/>
              </w:tabs>
              <w:spacing w:line="420" w:lineRule="exact"/>
              <w:contextualSpacing/>
              <w:jc w:val="center"/>
              <w:rPr>
                <w:rFonts w:hint="eastAsia" w:ascii="宋体" w:hAnsi="宋体" w:eastAsia="宋体" w:cs="宋体"/>
                <w:b/>
                <w:color w:val="auto"/>
                <w:sz w:val="21"/>
                <w:szCs w:val="21"/>
                <w:highlight w:val="none"/>
                <w:vertAlign w:val="baseline"/>
                <w:lang w:eastAsia="zh-CN"/>
              </w:rPr>
            </w:pPr>
            <w:r>
              <w:rPr>
                <w:rFonts w:hint="eastAsia" w:ascii="宋体" w:hAnsi="宋体" w:cs="宋体"/>
                <w:b/>
                <w:color w:val="auto"/>
                <w:sz w:val="21"/>
                <w:szCs w:val="21"/>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vAlign w:val="center"/>
          </w:tcPr>
          <w:p>
            <w:pPr>
              <w:tabs>
                <w:tab w:val="left" w:pos="2310"/>
              </w:tabs>
              <w:spacing w:line="420" w:lineRule="exact"/>
              <w:contextualSpacing/>
              <w:jc w:val="center"/>
              <w:rPr>
                <w:rFonts w:hint="eastAsia" w:ascii="宋体" w:hAnsi="宋体" w:eastAsia="宋体" w:cs="宋体"/>
                <w:b/>
                <w:color w:val="auto"/>
                <w:sz w:val="21"/>
                <w:szCs w:val="21"/>
                <w:highlight w:val="none"/>
                <w:vertAlign w:val="baseline"/>
                <w:lang w:val="en-US" w:eastAsia="zh-CN"/>
              </w:rPr>
            </w:pPr>
            <w:r>
              <w:rPr>
                <w:rFonts w:hint="eastAsia" w:ascii="宋体" w:hAnsi="宋体" w:cs="宋体"/>
                <w:b/>
                <w:color w:val="auto"/>
                <w:sz w:val="21"/>
                <w:szCs w:val="21"/>
                <w:highlight w:val="none"/>
                <w:vertAlign w:val="baseline"/>
                <w:lang w:val="en-US" w:eastAsia="zh-CN"/>
              </w:rPr>
              <w:t>1</w:t>
            </w:r>
          </w:p>
        </w:tc>
        <w:tc>
          <w:tcPr>
            <w:tcW w:w="1547" w:type="dxa"/>
            <w:vAlign w:val="center"/>
          </w:tcPr>
          <w:p>
            <w:pPr>
              <w:tabs>
                <w:tab w:val="left" w:pos="2310"/>
              </w:tabs>
              <w:spacing w:line="420" w:lineRule="exact"/>
              <w:contextualSpacing/>
              <w:jc w:val="center"/>
              <w:rPr>
                <w:rFonts w:hint="eastAsia" w:ascii="宋体" w:hAnsi="宋体" w:eastAsia="宋体" w:cs="宋体"/>
                <w:b/>
                <w:color w:val="auto"/>
                <w:sz w:val="21"/>
                <w:szCs w:val="21"/>
                <w:highlight w:val="none"/>
                <w:vertAlign w:val="baseline"/>
              </w:rPr>
            </w:pPr>
          </w:p>
        </w:tc>
        <w:tc>
          <w:tcPr>
            <w:tcW w:w="1548" w:type="dxa"/>
            <w:vAlign w:val="center"/>
          </w:tcPr>
          <w:p>
            <w:pPr>
              <w:tabs>
                <w:tab w:val="left" w:pos="2310"/>
              </w:tabs>
              <w:spacing w:line="420" w:lineRule="exact"/>
              <w:contextualSpacing/>
              <w:jc w:val="center"/>
              <w:rPr>
                <w:rFonts w:hint="eastAsia" w:ascii="宋体" w:hAnsi="宋体" w:eastAsia="宋体" w:cs="宋体"/>
                <w:b/>
                <w:color w:val="auto"/>
                <w:sz w:val="21"/>
                <w:szCs w:val="21"/>
                <w:highlight w:val="none"/>
                <w:vertAlign w:val="baseline"/>
              </w:rPr>
            </w:pPr>
          </w:p>
        </w:tc>
        <w:tc>
          <w:tcPr>
            <w:tcW w:w="1548" w:type="dxa"/>
            <w:vAlign w:val="center"/>
          </w:tcPr>
          <w:p>
            <w:pPr>
              <w:tabs>
                <w:tab w:val="left" w:pos="2310"/>
              </w:tabs>
              <w:spacing w:line="420" w:lineRule="exact"/>
              <w:contextualSpacing/>
              <w:jc w:val="center"/>
              <w:rPr>
                <w:rFonts w:hint="eastAsia" w:ascii="宋体" w:hAnsi="宋体" w:eastAsia="宋体" w:cs="宋体"/>
                <w:b/>
                <w:color w:val="auto"/>
                <w:sz w:val="21"/>
                <w:szCs w:val="21"/>
                <w:highlight w:val="none"/>
                <w:vertAlign w:val="baseline"/>
              </w:rPr>
            </w:pPr>
          </w:p>
        </w:tc>
        <w:tc>
          <w:tcPr>
            <w:tcW w:w="2327" w:type="dxa"/>
            <w:vAlign w:val="center"/>
          </w:tcPr>
          <w:p>
            <w:pPr>
              <w:tabs>
                <w:tab w:val="left" w:pos="2310"/>
              </w:tabs>
              <w:spacing w:line="420" w:lineRule="exact"/>
              <w:contextualSpacing/>
              <w:jc w:val="center"/>
              <w:rPr>
                <w:rFonts w:hint="eastAsia" w:ascii="宋体" w:hAnsi="宋体" w:eastAsia="宋体" w:cs="宋体"/>
                <w:b/>
                <w:color w:val="auto"/>
                <w:sz w:val="21"/>
                <w:szCs w:val="21"/>
                <w:highlight w:val="none"/>
                <w:vertAlign w:val="baseline"/>
              </w:rPr>
            </w:pPr>
          </w:p>
        </w:tc>
        <w:tc>
          <w:tcPr>
            <w:tcW w:w="769" w:type="dxa"/>
            <w:vAlign w:val="center"/>
          </w:tcPr>
          <w:p>
            <w:pPr>
              <w:tabs>
                <w:tab w:val="left" w:pos="2310"/>
              </w:tabs>
              <w:spacing w:line="420" w:lineRule="exact"/>
              <w:contextualSpacing/>
              <w:jc w:val="center"/>
              <w:rPr>
                <w:rFonts w:hint="eastAsia" w:ascii="宋体" w:hAnsi="宋体" w:eastAsia="宋体" w:cs="宋体"/>
                <w:b/>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vAlign w:val="center"/>
          </w:tcPr>
          <w:p>
            <w:pPr>
              <w:tabs>
                <w:tab w:val="left" w:pos="2310"/>
              </w:tabs>
              <w:spacing w:line="420" w:lineRule="exact"/>
              <w:contextualSpacing/>
              <w:jc w:val="center"/>
              <w:rPr>
                <w:rFonts w:hint="eastAsia" w:ascii="宋体" w:hAnsi="宋体" w:eastAsia="宋体" w:cs="宋体"/>
                <w:b/>
                <w:color w:val="auto"/>
                <w:sz w:val="21"/>
                <w:szCs w:val="21"/>
                <w:highlight w:val="none"/>
                <w:vertAlign w:val="baseline"/>
                <w:lang w:val="en-US" w:eastAsia="zh-CN"/>
              </w:rPr>
            </w:pPr>
            <w:r>
              <w:rPr>
                <w:rFonts w:hint="eastAsia" w:ascii="宋体" w:hAnsi="宋体" w:cs="宋体"/>
                <w:b/>
                <w:color w:val="auto"/>
                <w:sz w:val="21"/>
                <w:szCs w:val="21"/>
                <w:highlight w:val="none"/>
                <w:vertAlign w:val="baseline"/>
                <w:lang w:val="en-US" w:eastAsia="zh-CN"/>
              </w:rPr>
              <w:t>2</w:t>
            </w:r>
          </w:p>
        </w:tc>
        <w:tc>
          <w:tcPr>
            <w:tcW w:w="1547" w:type="dxa"/>
            <w:vAlign w:val="center"/>
          </w:tcPr>
          <w:p>
            <w:pPr>
              <w:tabs>
                <w:tab w:val="left" w:pos="2310"/>
              </w:tabs>
              <w:spacing w:line="420" w:lineRule="exact"/>
              <w:contextualSpacing/>
              <w:jc w:val="center"/>
              <w:rPr>
                <w:rFonts w:hint="eastAsia" w:ascii="宋体" w:hAnsi="宋体" w:eastAsia="宋体" w:cs="宋体"/>
                <w:b/>
                <w:color w:val="auto"/>
                <w:sz w:val="21"/>
                <w:szCs w:val="21"/>
                <w:highlight w:val="none"/>
                <w:vertAlign w:val="baseline"/>
              </w:rPr>
            </w:pPr>
          </w:p>
        </w:tc>
        <w:tc>
          <w:tcPr>
            <w:tcW w:w="1548" w:type="dxa"/>
            <w:vAlign w:val="center"/>
          </w:tcPr>
          <w:p>
            <w:pPr>
              <w:tabs>
                <w:tab w:val="left" w:pos="2310"/>
              </w:tabs>
              <w:spacing w:line="420" w:lineRule="exact"/>
              <w:contextualSpacing/>
              <w:jc w:val="center"/>
              <w:rPr>
                <w:rFonts w:hint="eastAsia" w:ascii="宋体" w:hAnsi="宋体" w:eastAsia="宋体" w:cs="宋体"/>
                <w:b/>
                <w:color w:val="auto"/>
                <w:sz w:val="21"/>
                <w:szCs w:val="21"/>
                <w:highlight w:val="none"/>
                <w:vertAlign w:val="baseline"/>
              </w:rPr>
            </w:pPr>
          </w:p>
        </w:tc>
        <w:tc>
          <w:tcPr>
            <w:tcW w:w="1548" w:type="dxa"/>
            <w:vAlign w:val="center"/>
          </w:tcPr>
          <w:p>
            <w:pPr>
              <w:tabs>
                <w:tab w:val="left" w:pos="2310"/>
              </w:tabs>
              <w:spacing w:line="420" w:lineRule="exact"/>
              <w:contextualSpacing/>
              <w:jc w:val="center"/>
              <w:rPr>
                <w:rFonts w:hint="eastAsia" w:ascii="宋体" w:hAnsi="宋体" w:eastAsia="宋体" w:cs="宋体"/>
                <w:b/>
                <w:color w:val="auto"/>
                <w:sz w:val="21"/>
                <w:szCs w:val="21"/>
                <w:highlight w:val="none"/>
                <w:vertAlign w:val="baseline"/>
              </w:rPr>
            </w:pPr>
          </w:p>
        </w:tc>
        <w:tc>
          <w:tcPr>
            <w:tcW w:w="2327" w:type="dxa"/>
            <w:vAlign w:val="center"/>
          </w:tcPr>
          <w:p>
            <w:pPr>
              <w:tabs>
                <w:tab w:val="left" w:pos="2310"/>
              </w:tabs>
              <w:spacing w:line="420" w:lineRule="exact"/>
              <w:contextualSpacing/>
              <w:jc w:val="center"/>
              <w:rPr>
                <w:rFonts w:hint="eastAsia" w:ascii="宋体" w:hAnsi="宋体" w:eastAsia="宋体" w:cs="宋体"/>
                <w:b/>
                <w:color w:val="auto"/>
                <w:sz w:val="21"/>
                <w:szCs w:val="21"/>
                <w:highlight w:val="none"/>
                <w:vertAlign w:val="baseline"/>
              </w:rPr>
            </w:pPr>
          </w:p>
        </w:tc>
        <w:tc>
          <w:tcPr>
            <w:tcW w:w="769" w:type="dxa"/>
            <w:vAlign w:val="center"/>
          </w:tcPr>
          <w:p>
            <w:pPr>
              <w:tabs>
                <w:tab w:val="left" w:pos="2310"/>
              </w:tabs>
              <w:spacing w:line="420" w:lineRule="exact"/>
              <w:contextualSpacing/>
              <w:jc w:val="center"/>
              <w:rPr>
                <w:rFonts w:hint="eastAsia" w:ascii="宋体" w:hAnsi="宋体" w:eastAsia="宋体" w:cs="宋体"/>
                <w:b/>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vAlign w:val="center"/>
          </w:tcPr>
          <w:p>
            <w:pPr>
              <w:tabs>
                <w:tab w:val="left" w:pos="2310"/>
              </w:tabs>
              <w:spacing w:line="420" w:lineRule="exact"/>
              <w:contextualSpacing/>
              <w:jc w:val="center"/>
              <w:rPr>
                <w:rFonts w:hint="eastAsia" w:ascii="宋体" w:hAnsi="宋体" w:eastAsia="宋体" w:cs="宋体"/>
                <w:b/>
                <w:color w:val="auto"/>
                <w:sz w:val="21"/>
                <w:szCs w:val="21"/>
                <w:highlight w:val="none"/>
                <w:vertAlign w:val="baseline"/>
                <w:lang w:val="en-US" w:eastAsia="zh-CN"/>
              </w:rPr>
            </w:pPr>
            <w:r>
              <w:rPr>
                <w:rFonts w:hint="eastAsia" w:ascii="宋体" w:hAnsi="宋体" w:cs="宋体"/>
                <w:b/>
                <w:color w:val="auto"/>
                <w:sz w:val="21"/>
                <w:szCs w:val="21"/>
                <w:highlight w:val="none"/>
                <w:vertAlign w:val="baseline"/>
                <w:lang w:val="en-US" w:eastAsia="zh-CN"/>
              </w:rPr>
              <w:t>3</w:t>
            </w:r>
          </w:p>
        </w:tc>
        <w:tc>
          <w:tcPr>
            <w:tcW w:w="1547" w:type="dxa"/>
            <w:vAlign w:val="center"/>
          </w:tcPr>
          <w:p>
            <w:pPr>
              <w:tabs>
                <w:tab w:val="left" w:pos="2310"/>
              </w:tabs>
              <w:spacing w:line="420" w:lineRule="exact"/>
              <w:contextualSpacing/>
              <w:jc w:val="center"/>
              <w:rPr>
                <w:rFonts w:hint="eastAsia" w:ascii="宋体" w:hAnsi="宋体" w:eastAsia="宋体" w:cs="宋体"/>
                <w:b/>
                <w:color w:val="auto"/>
                <w:sz w:val="21"/>
                <w:szCs w:val="21"/>
                <w:highlight w:val="none"/>
                <w:vertAlign w:val="baseline"/>
              </w:rPr>
            </w:pPr>
          </w:p>
        </w:tc>
        <w:tc>
          <w:tcPr>
            <w:tcW w:w="1548" w:type="dxa"/>
            <w:vAlign w:val="center"/>
          </w:tcPr>
          <w:p>
            <w:pPr>
              <w:tabs>
                <w:tab w:val="left" w:pos="2310"/>
              </w:tabs>
              <w:spacing w:line="420" w:lineRule="exact"/>
              <w:contextualSpacing/>
              <w:jc w:val="center"/>
              <w:rPr>
                <w:rFonts w:hint="eastAsia" w:ascii="宋体" w:hAnsi="宋体" w:eastAsia="宋体" w:cs="宋体"/>
                <w:b/>
                <w:color w:val="auto"/>
                <w:sz w:val="21"/>
                <w:szCs w:val="21"/>
                <w:highlight w:val="none"/>
                <w:vertAlign w:val="baseline"/>
              </w:rPr>
            </w:pPr>
          </w:p>
        </w:tc>
        <w:tc>
          <w:tcPr>
            <w:tcW w:w="1548" w:type="dxa"/>
            <w:vAlign w:val="center"/>
          </w:tcPr>
          <w:p>
            <w:pPr>
              <w:tabs>
                <w:tab w:val="left" w:pos="2310"/>
              </w:tabs>
              <w:spacing w:line="420" w:lineRule="exact"/>
              <w:contextualSpacing/>
              <w:jc w:val="center"/>
              <w:rPr>
                <w:rFonts w:hint="eastAsia" w:ascii="宋体" w:hAnsi="宋体" w:eastAsia="宋体" w:cs="宋体"/>
                <w:b/>
                <w:color w:val="auto"/>
                <w:sz w:val="21"/>
                <w:szCs w:val="21"/>
                <w:highlight w:val="none"/>
                <w:vertAlign w:val="baseline"/>
              </w:rPr>
            </w:pPr>
          </w:p>
        </w:tc>
        <w:tc>
          <w:tcPr>
            <w:tcW w:w="2327" w:type="dxa"/>
            <w:vAlign w:val="center"/>
          </w:tcPr>
          <w:p>
            <w:pPr>
              <w:tabs>
                <w:tab w:val="left" w:pos="2310"/>
              </w:tabs>
              <w:spacing w:line="420" w:lineRule="exact"/>
              <w:contextualSpacing/>
              <w:jc w:val="center"/>
              <w:rPr>
                <w:rFonts w:hint="eastAsia" w:ascii="宋体" w:hAnsi="宋体" w:eastAsia="宋体" w:cs="宋体"/>
                <w:b/>
                <w:color w:val="auto"/>
                <w:sz w:val="21"/>
                <w:szCs w:val="21"/>
                <w:highlight w:val="none"/>
                <w:vertAlign w:val="baseline"/>
              </w:rPr>
            </w:pPr>
          </w:p>
        </w:tc>
        <w:tc>
          <w:tcPr>
            <w:tcW w:w="769" w:type="dxa"/>
            <w:vAlign w:val="center"/>
          </w:tcPr>
          <w:p>
            <w:pPr>
              <w:tabs>
                <w:tab w:val="left" w:pos="2310"/>
              </w:tabs>
              <w:spacing w:line="420" w:lineRule="exact"/>
              <w:contextualSpacing/>
              <w:jc w:val="center"/>
              <w:rPr>
                <w:rFonts w:hint="eastAsia" w:ascii="宋体" w:hAnsi="宋体" w:eastAsia="宋体" w:cs="宋体"/>
                <w:b/>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vAlign w:val="center"/>
          </w:tcPr>
          <w:p>
            <w:pPr>
              <w:tabs>
                <w:tab w:val="left" w:pos="2310"/>
              </w:tabs>
              <w:spacing w:line="420" w:lineRule="exact"/>
              <w:contextualSpacing/>
              <w:jc w:val="center"/>
              <w:rPr>
                <w:rFonts w:hint="eastAsia" w:ascii="宋体" w:hAnsi="宋体" w:eastAsia="宋体" w:cs="宋体"/>
                <w:b/>
                <w:color w:val="auto"/>
                <w:sz w:val="21"/>
                <w:szCs w:val="21"/>
                <w:highlight w:val="none"/>
                <w:vertAlign w:val="baseline"/>
                <w:lang w:val="en-US" w:eastAsia="zh-CN"/>
              </w:rPr>
            </w:pPr>
            <w:r>
              <w:rPr>
                <w:rFonts w:hint="eastAsia" w:ascii="宋体" w:hAnsi="宋体" w:cs="宋体"/>
                <w:b/>
                <w:color w:val="auto"/>
                <w:sz w:val="21"/>
                <w:szCs w:val="21"/>
                <w:highlight w:val="none"/>
                <w:vertAlign w:val="baseline"/>
                <w:lang w:val="en-US" w:eastAsia="zh-CN"/>
              </w:rPr>
              <w:t>4</w:t>
            </w:r>
          </w:p>
        </w:tc>
        <w:tc>
          <w:tcPr>
            <w:tcW w:w="1547" w:type="dxa"/>
            <w:vAlign w:val="center"/>
          </w:tcPr>
          <w:p>
            <w:pPr>
              <w:tabs>
                <w:tab w:val="left" w:pos="2310"/>
              </w:tabs>
              <w:spacing w:line="420" w:lineRule="exact"/>
              <w:contextualSpacing/>
              <w:jc w:val="center"/>
              <w:rPr>
                <w:rFonts w:hint="eastAsia" w:ascii="宋体" w:hAnsi="宋体" w:eastAsia="宋体" w:cs="宋体"/>
                <w:b/>
                <w:color w:val="auto"/>
                <w:sz w:val="21"/>
                <w:szCs w:val="21"/>
                <w:highlight w:val="none"/>
                <w:vertAlign w:val="baseline"/>
              </w:rPr>
            </w:pPr>
          </w:p>
        </w:tc>
        <w:tc>
          <w:tcPr>
            <w:tcW w:w="1548" w:type="dxa"/>
            <w:vAlign w:val="center"/>
          </w:tcPr>
          <w:p>
            <w:pPr>
              <w:tabs>
                <w:tab w:val="left" w:pos="2310"/>
              </w:tabs>
              <w:spacing w:line="420" w:lineRule="exact"/>
              <w:contextualSpacing/>
              <w:jc w:val="center"/>
              <w:rPr>
                <w:rFonts w:hint="eastAsia" w:ascii="宋体" w:hAnsi="宋体" w:eastAsia="宋体" w:cs="宋体"/>
                <w:b/>
                <w:color w:val="auto"/>
                <w:sz w:val="21"/>
                <w:szCs w:val="21"/>
                <w:highlight w:val="none"/>
                <w:vertAlign w:val="baseline"/>
              </w:rPr>
            </w:pPr>
          </w:p>
        </w:tc>
        <w:tc>
          <w:tcPr>
            <w:tcW w:w="1548" w:type="dxa"/>
            <w:vAlign w:val="center"/>
          </w:tcPr>
          <w:p>
            <w:pPr>
              <w:tabs>
                <w:tab w:val="left" w:pos="2310"/>
              </w:tabs>
              <w:spacing w:line="420" w:lineRule="exact"/>
              <w:contextualSpacing/>
              <w:jc w:val="center"/>
              <w:rPr>
                <w:rFonts w:hint="eastAsia" w:ascii="宋体" w:hAnsi="宋体" w:eastAsia="宋体" w:cs="宋体"/>
                <w:b/>
                <w:color w:val="auto"/>
                <w:sz w:val="21"/>
                <w:szCs w:val="21"/>
                <w:highlight w:val="none"/>
                <w:vertAlign w:val="baseline"/>
              </w:rPr>
            </w:pPr>
          </w:p>
        </w:tc>
        <w:tc>
          <w:tcPr>
            <w:tcW w:w="2327" w:type="dxa"/>
            <w:vAlign w:val="center"/>
          </w:tcPr>
          <w:p>
            <w:pPr>
              <w:tabs>
                <w:tab w:val="left" w:pos="2310"/>
              </w:tabs>
              <w:spacing w:line="420" w:lineRule="exact"/>
              <w:contextualSpacing/>
              <w:jc w:val="center"/>
              <w:rPr>
                <w:rFonts w:hint="eastAsia" w:ascii="宋体" w:hAnsi="宋体" w:eastAsia="宋体" w:cs="宋体"/>
                <w:b/>
                <w:color w:val="auto"/>
                <w:sz w:val="21"/>
                <w:szCs w:val="21"/>
                <w:highlight w:val="none"/>
                <w:vertAlign w:val="baseline"/>
              </w:rPr>
            </w:pPr>
          </w:p>
        </w:tc>
        <w:tc>
          <w:tcPr>
            <w:tcW w:w="769" w:type="dxa"/>
            <w:vAlign w:val="center"/>
          </w:tcPr>
          <w:p>
            <w:pPr>
              <w:tabs>
                <w:tab w:val="left" w:pos="2310"/>
              </w:tabs>
              <w:spacing w:line="420" w:lineRule="exact"/>
              <w:contextualSpacing/>
              <w:jc w:val="center"/>
              <w:rPr>
                <w:rFonts w:hint="eastAsia" w:ascii="宋体" w:hAnsi="宋体" w:eastAsia="宋体" w:cs="宋体"/>
                <w:b/>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vAlign w:val="center"/>
          </w:tcPr>
          <w:p>
            <w:pPr>
              <w:tabs>
                <w:tab w:val="left" w:pos="2310"/>
              </w:tabs>
              <w:spacing w:line="420" w:lineRule="exact"/>
              <w:contextualSpacing/>
              <w:jc w:val="center"/>
              <w:rPr>
                <w:rFonts w:hint="eastAsia" w:ascii="宋体" w:hAnsi="宋体" w:eastAsia="宋体" w:cs="宋体"/>
                <w:b/>
                <w:color w:val="auto"/>
                <w:sz w:val="21"/>
                <w:szCs w:val="21"/>
                <w:highlight w:val="none"/>
                <w:vertAlign w:val="baseline"/>
                <w:lang w:val="en-US" w:eastAsia="zh-CN"/>
              </w:rPr>
            </w:pPr>
            <w:r>
              <w:rPr>
                <w:rFonts w:hint="eastAsia" w:ascii="宋体" w:hAnsi="宋体" w:cs="宋体"/>
                <w:b/>
                <w:color w:val="auto"/>
                <w:sz w:val="21"/>
                <w:szCs w:val="21"/>
                <w:highlight w:val="none"/>
                <w:vertAlign w:val="baseline"/>
                <w:lang w:val="en-US" w:eastAsia="zh-CN"/>
              </w:rPr>
              <w:t>5</w:t>
            </w:r>
          </w:p>
        </w:tc>
        <w:tc>
          <w:tcPr>
            <w:tcW w:w="1547" w:type="dxa"/>
            <w:vAlign w:val="center"/>
          </w:tcPr>
          <w:p>
            <w:pPr>
              <w:tabs>
                <w:tab w:val="left" w:pos="2310"/>
              </w:tabs>
              <w:spacing w:line="420" w:lineRule="exact"/>
              <w:contextualSpacing/>
              <w:jc w:val="center"/>
              <w:rPr>
                <w:rFonts w:hint="eastAsia" w:ascii="宋体" w:hAnsi="宋体" w:eastAsia="宋体" w:cs="宋体"/>
                <w:b/>
                <w:color w:val="auto"/>
                <w:sz w:val="21"/>
                <w:szCs w:val="21"/>
                <w:highlight w:val="none"/>
                <w:vertAlign w:val="baseline"/>
              </w:rPr>
            </w:pPr>
          </w:p>
        </w:tc>
        <w:tc>
          <w:tcPr>
            <w:tcW w:w="1548" w:type="dxa"/>
            <w:vAlign w:val="center"/>
          </w:tcPr>
          <w:p>
            <w:pPr>
              <w:tabs>
                <w:tab w:val="left" w:pos="2310"/>
              </w:tabs>
              <w:spacing w:line="420" w:lineRule="exact"/>
              <w:contextualSpacing/>
              <w:jc w:val="center"/>
              <w:rPr>
                <w:rFonts w:hint="eastAsia" w:ascii="宋体" w:hAnsi="宋体" w:eastAsia="宋体" w:cs="宋体"/>
                <w:b/>
                <w:color w:val="auto"/>
                <w:sz w:val="21"/>
                <w:szCs w:val="21"/>
                <w:highlight w:val="none"/>
                <w:vertAlign w:val="baseline"/>
              </w:rPr>
            </w:pPr>
          </w:p>
        </w:tc>
        <w:tc>
          <w:tcPr>
            <w:tcW w:w="1548" w:type="dxa"/>
            <w:vAlign w:val="center"/>
          </w:tcPr>
          <w:p>
            <w:pPr>
              <w:tabs>
                <w:tab w:val="left" w:pos="2310"/>
              </w:tabs>
              <w:spacing w:line="420" w:lineRule="exact"/>
              <w:contextualSpacing/>
              <w:jc w:val="center"/>
              <w:rPr>
                <w:rFonts w:hint="eastAsia" w:ascii="宋体" w:hAnsi="宋体" w:eastAsia="宋体" w:cs="宋体"/>
                <w:b/>
                <w:color w:val="auto"/>
                <w:sz w:val="21"/>
                <w:szCs w:val="21"/>
                <w:highlight w:val="none"/>
                <w:vertAlign w:val="baseline"/>
              </w:rPr>
            </w:pPr>
          </w:p>
        </w:tc>
        <w:tc>
          <w:tcPr>
            <w:tcW w:w="2327" w:type="dxa"/>
            <w:vAlign w:val="center"/>
          </w:tcPr>
          <w:p>
            <w:pPr>
              <w:tabs>
                <w:tab w:val="left" w:pos="2310"/>
              </w:tabs>
              <w:spacing w:line="420" w:lineRule="exact"/>
              <w:contextualSpacing/>
              <w:jc w:val="center"/>
              <w:rPr>
                <w:rFonts w:hint="eastAsia" w:ascii="宋体" w:hAnsi="宋体" w:eastAsia="宋体" w:cs="宋体"/>
                <w:b/>
                <w:color w:val="auto"/>
                <w:sz w:val="21"/>
                <w:szCs w:val="21"/>
                <w:highlight w:val="none"/>
                <w:vertAlign w:val="baseline"/>
              </w:rPr>
            </w:pPr>
          </w:p>
        </w:tc>
        <w:tc>
          <w:tcPr>
            <w:tcW w:w="769" w:type="dxa"/>
            <w:vAlign w:val="center"/>
          </w:tcPr>
          <w:p>
            <w:pPr>
              <w:tabs>
                <w:tab w:val="left" w:pos="2310"/>
              </w:tabs>
              <w:spacing w:line="420" w:lineRule="exact"/>
              <w:contextualSpacing/>
              <w:jc w:val="center"/>
              <w:rPr>
                <w:rFonts w:hint="eastAsia" w:ascii="宋体" w:hAnsi="宋体" w:eastAsia="宋体" w:cs="宋体"/>
                <w:b/>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vAlign w:val="center"/>
          </w:tcPr>
          <w:p>
            <w:pPr>
              <w:tabs>
                <w:tab w:val="left" w:pos="2310"/>
              </w:tabs>
              <w:spacing w:line="420" w:lineRule="exact"/>
              <w:contextualSpacing/>
              <w:jc w:val="center"/>
              <w:rPr>
                <w:rFonts w:hint="default" w:ascii="宋体" w:hAnsi="宋体" w:eastAsia="宋体" w:cs="宋体"/>
                <w:b/>
                <w:color w:val="auto"/>
                <w:sz w:val="21"/>
                <w:szCs w:val="21"/>
                <w:highlight w:val="none"/>
                <w:vertAlign w:val="baseline"/>
                <w:lang w:val="en-US" w:eastAsia="zh-CN"/>
              </w:rPr>
            </w:pPr>
            <w:r>
              <w:rPr>
                <w:rFonts w:hint="eastAsia" w:ascii="宋体" w:hAnsi="宋体" w:cs="宋体"/>
                <w:b/>
                <w:color w:val="auto"/>
                <w:sz w:val="21"/>
                <w:szCs w:val="21"/>
                <w:highlight w:val="none"/>
                <w:vertAlign w:val="baseline"/>
                <w:lang w:val="en-US" w:eastAsia="zh-CN"/>
              </w:rPr>
              <w:t>... ...</w:t>
            </w:r>
          </w:p>
        </w:tc>
        <w:tc>
          <w:tcPr>
            <w:tcW w:w="1547" w:type="dxa"/>
            <w:vAlign w:val="center"/>
          </w:tcPr>
          <w:p>
            <w:pPr>
              <w:tabs>
                <w:tab w:val="left" w:pos="2310"/>
              </w:tabs>
              <w:spacing w:line="420" w:lineRule="exact"/>
              <w:contextualSpacing/>
              <w:jc w:val="center"/>
              <w:rPr>
                <w:rFonts w:hint="eastAsia" w:ascii="宋体" w:hAnsi="宋体" w:eastAsia="宋体" w:cs="宋体"/>
                <w:b/>
                <w:color w:val="auto"/>
                <w:sz w:val="21"/>
                <w:szCs w:val="21"/>
                <w:highlight w:val="none"/>
                <w:vertAlign w:val="baseline"/>
              </w:rPr>
            </w:pPr>
          </w:p>
        </w:tc>
        <w:tc>
          <w:tcPr>
            <w:tcW w:w="1548" w:type="dxa"/>
            <w:vAlign w:val="center"/>
          </w:tcPr>
          <w:p>
            <w:pPr>
              <w:tabs>
                <w:tab w:val="left" w:pos="2310"/>
              </w:tabs>
              <w:spacing w:line="420" w:lineRule="exact"/>
              <w:contextualSpacing/>
              <w:jc w:val="center"/>
              <w:rPr>
                <w:rFonts w:hint="eastAsia" w:ascii="宋体" w:hAnsi="宋体" w:eastAsia="宋体" w:cs="宋体"/>
                <w:b/>
                <w:color w:val="auto"/>
                <w:sz w:val="21"/>
                <w:szCs w:val="21"/>
                <w:highlight w:val="none"/>
                <w:vertAlign w:val="baseline"/>
              </w:rPr>
            </w:pPr>
          </w:p>
        </w:tc>
        <w:tc>
          <w:tcPr>
            <w:tcW w:w="1548" w:type="dxa"/>
            <w:vAlign w:val="center"/>
          </w:tcPr>
          <w:p>
            <w:pPr>
              <w:tabs>
                <w:tab w:val="left" w:pos="2310"/>
              </w:tabs>
              <w:spacing w:line="420" w:lineRule="exact"/>
              <w:contextualSpacing/>
              <w:jc w:val="center"/>
              <w:rPr>
                <w:rFonts w:hint="eastAsia" w:ascii="宋体" w:hAnsi="宋体" w:eastAsia="宋体" w:cs="宋体"/>
                <w:b/>
                <w:color w:val="auto"/>
                <w:sz w:val="21"/>
                <w:szCs w:val="21"/>
                <w:highlight w:val="none"/>
                <w:vertAlign w:val="baseline"/>
              </w:rPr>
            </w:pPr>
          </w:p>
        </w:tc>
        <w:tc>
          <w:tcPr>
            <w:tcW w:w="2327" w:type="dxa"/>
            <w:vAlign w:val="center"/>
          </w:tcPr>
          <w:p>
            <w:pPr>
              <w:tabs>
                <w:tab w:val="left" w:pos="2310"/>
              </w:tabs>
              <w:spacing w:line="420" w:lineRule="exact"/>
              <w:contextualSpacing/>
              <w:jc w:val="center"/>
              <w:rPr>
                <w:rFonts w:hint="eastAsia" w:ascii="宋体" w:hAnsi="宋体" w:eastAsia="宋体" w:cs="宋体"/>
                <w:b/>
                <w:color w:val="auto"/>
                <w:sz w:val="21"/>
                <w:szCs w:val="21"/>
                <w:highlight w:val="none"/>
                <w:vertAlign w:val="baseline"/>
              </w:rPr>
            </w:pPr>
          </w:p>
        </w:tc>
        <w:tc>
          <w:tcPr>
            <w:tcW w:w="769" w:type="dxa"/>
            <w:vAlign w:val="center"/>
          </w:tcPr>
          <w:p>
            <w:pPr>
              <w:tabs>
                <w:tab w:val="left" w:pos="2310"/>
              </w:tabs>
              <w:spacing w:line="420" w:lineRule="exact"/>
              <w:contextualSpacing/>
              <w:jc w:val="center"/>
              <w:rPr>
                <w:rFonts w:hint="eastAsia" w:ascii="宋体" w:hAnsi="宋体" w:eastAsia="宋体" w:cs="宋体"/>
                <w:b/>
                <w:color w:val="auto"/>
                <w:sz w:val="21"/>
                <w:szCs w:val="21"/>
                <w:highlight w:val="none"/>
                <w:vertAlign w:val="baseline"/>
              </w:rPr>
            </w:pPr>
          </w:p>
        </w:tc>
      </w:tr>
    </w:tbl>
    <w:p>
      <w:pPr>
        <w:tabs>
          <w:tab w:val="left" w:pos="2310"/>
        </w:tabs>
        <w:spacing w:line="420" w:lineRule="exact"/>
        <w:contextualSpacing/>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二、房屋安全动态监测部分</w:t>
      </w:r>
    </w:p>
    <w:p>
      <w:pPr>
        <w:spacing w:line="440" w:lineRule="exact"/>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（一）服务范围</w:t>
      </w:r>
    </w:p>
    <w:p>
      <w:pPr>
        <w:spacing w:line="440" w:lineRule="exact"/>
        <w:ind w:firstLine="417" w:firstLineChars="19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慈溪市2000年及以前建成的多层多业主的城镇住宅房屋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历史建筑、</w:t>
      </w:r>
      <w:r>
        <w:rPr>
          <w:rFonts w:hint="eastAsia" w:ascii="宋体" w:hAnsi="宋体" w:eastAsia="宋体" w:cs="宋体"/>
          <w:color w:val="auto"/>
          <w:sz w:val="21"/>
          <w:szCs w:val="21"/>
          <w:highlight w:val="none"/>
        </w:rPr>
        <w:t>直管公房</w:t>
      </w:r>
      <w:r>
        <w:rPr>
          <w:rFonts w:hint="eastAsia" w:ascii="宋体" w:hAnsi="宋体" w:eastAsia="宋体" w:cs="宋体"/>
          <w:color w:val="auto"/>
          <w:sz w:val="21"/>
          <w:szCs w:val="21"/>
          <w:highlight w:val="none"/>
          <w:lang w:val="en-US" w:eastAsia="zh-CN"/>
        </w:rPr>
        <w:t>及其他建筑</w:t>
      </w:r>
      <w:r>
        <w:rPr>
          <w:rFonts w:hint="eastAsia" w:ascii="宋体" w:hAnsi="宋体" w:eastAsia="宋体" w:cs="宋体"/>
          <w:color w:val="auto"/>
          <w:sz w:val="21"/>
          <w:szCs w:val="21"/>
          <w:highlight w:val="none"/>
          <w:lang w:eastAsia="zh-CN"/>
        </w:rPr>
        <w:t>，其中多层多业主房屋约为1467幢，历史建筑约为57</w:t>
      </w:r>
      <w:r>
        <w:rPr>
          <w:rFonts w:hint="eastAsia" w:ascii="宋体" w:hAnsi="宋体" w:cs="宋体"/>
          <w:color w:val="auto"/>
          <w:sz w:val="21"/>
          <w:szCs w:val="21"/>
          <w:highlight w:val="none"/>
          <w:lang w:eastAsia="zh-CN"/>
        </w:rPr>
        <w:t>处</w:t>
      </w:r>
      <w:r>
        <w:rPr>
          <w:rFonts w:hint="eastAsia" w:ascii="宋体" w:hAnsi="宋体" w:eastAsia="宋体" w:cs="宋体"/>
          <w:color w:val="auto"/>
          <w:sz w:val="21"/>
          <w:szCs w:val="21"/>
          <w:highlight w:val="none"/>
          <w:lang w:eastAsia="zh-CN"/>
        </w:rPr>
        <w:t>，直管公房约为19幢</w:t>
      </w:r>
      <w:r>
        <w:rPr>
          <w:rFonts w:hint="eastAsia" w:ascii="宋体" w:hAnsi="宋体" w:eastAsia="宋体" w:cs="宋体"/>
          <w:color w:val="auto"/>
          <w:sz w:val="21"/>
          <w:szCs w:val="21"/>
          <w:highlight w:val="none"/>
        </w:rPr>
        <w:t>（具体</w:t>
      </w:r>
      <w:r>
        <w:rPr>
          <w:rFonts w:hint="eastAsia" w:ascii="宋体" w:hAnsi="宋体" w:eastAsia="宋体" w:cs="宋体"/>
          <w:color w:val="auto"/>
          <w:sz w:val="21"/>
          <w:szCs w:val="21"/>
          <w:highlight w:val="none"/>
          <w:lang w:eastAsia="zh-CN"/>
        </w:rPr>
        <w:t>以</w:t>
      </w:r>
      <w:r>
        <w:rPr>
          <w:rFonts w:hint="eastAsia" w:ascii="宋体" w:hAnsi="宋体" w:cs="宋体"/>
          <w:color w:val="auto"/>
          <w:sz w:val="21"/>
          <w:szCs w:val="21"/>
          <w:highlight w:val="none"/>
          <w:lang w:eastAsia="zh-CN"/>
        </w:rPr>
        <w:t>甲方</w:t>
      </w:r>
      <w:r>
        <w:rPr>
          <w:rFonts w:hint="eastAsia" w:ascii="宋体" w:hAnsi="宋体" w:eastAsia="宋体" w:cs="宋体"/>
          <w:color w:val="auto"/>
          <w:sz w:val="21"/>
          <w:szCs w:val="21"/>
          <w:highlight w:val="none"/>
          <w:lang w:eastAsia="zh-CN"/>
        </w:rPr>
        <w:t>提供的</w:t>
      </w:r>
      <w:r>
        <w:rPr>
          <w:rFonts w:hint="eastAsia" w:ascii="宋体" w:hAnsi="宋体" w:cs="宋体"/>
          <w:color w:val="auto"/>
          <w:sz w:val="21"/>
          <w:szCs w:val="21"/>
          <w:highlight w:val="none"/>
          <w:lang w:eastAsia="zh-CN"/>
        </w:rPr>
        <w:t>数据</w:t>
      </w:r>
      <w:r>
        <w:rPr>
          <w:rFonts w:hint="eastAsia" w:ascii="宋体" w:hAnsi="宋体" w:eastAsia="宋体" w:cs="宋体"/>
          <w:color w:val="auto"/>
          <w:sz w:val="21"/>
          <w:szCs w:val="21"/>
          <w:highlight w:val="none"/>
          <w:lang w:eastAsia="zh-CN"/>
        </w:rPr>
        <w:t>为准</w:t>
      </w:r>
      <w:r>
        <w:rPr>
          <w:rFonts w:hint="eastAsia" w:ascii="宋体" w:hAnsi="宋体" w:eastAsia="宋体" w:cs="宋体"/>
          <w:color w:val="auto"/>
          <w:sz w:val="21"/>
          <w:szCs w:val="21"/>
          <w:highlight w:val="none"/>
        </w:rPr>
        <w:t>）。</w:t>
      </w:r>
    </w:p>
    <w:p>
      <w:pPr>
        <w:spacing w:line="440" w:lineRule="exact"/>
        <w:ind w:firstLine="420" w:firstLineChars="19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（二）房屋安全动态监测要求</w:t>
      </w:r>
    </w:p>
    <w:p>
      <w:pPr>
        <w:spacing w:line="440" w:lineRule="exact"/>
        <w:ind w:firstLine="417" w:firstLineChars="19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1、房屋安全核查</w:t>
      </w:r>
    </w:p>
    <w:p>
      <w:pPr>
        <w:spacing w:line="440" w:lineRule="exact"/>
        <w:ind w:firstLine="417" w:firstLineChars="19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提供的有关房屋安全资料，对监测范围内房屋进行分类，由</w:t>
      </w:r>
      <w:r>
        <w:rPr>
          <w:rFonts w:hint="eastAsia" w:ascii="宋体" w:hAnsi="宋体" w:cs="宋体"/>
          <w:color w:val="auto"/>
          <w:sz w:val="21"/>
          <w:szCs w:val="21"/>
          <w:highlight w:val="none"/>
          <w:lang w:eastAsia="zh-CN"/>
        </w:rPr>
        <w:t>乙方</w:t>
      </w:r>
      <w:r>
        <w:rPr>
          <w:rFonts w:hint="eastAsia" w:ascii="宋体" w:hAnsi="宋体" w:eastAsia="宋体" w:cs="宋体"/>
          <w:color w:val="auto"/>
          <w:sz w:val="21"/>
          <w:szCs w:val="21"/>
          <w:highlight w:val="none"/>
        </w:rPr>
        <w:t>聘请专业技术队伍对房屋进行分类，分类要求如下：</w:t>
      </w:r>
    </w:p>
    <w:tbl>
      <w:tblPr>
        <w:tblStyle w:val="62"/>
        <w:tblW w:w="94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1"/>
        <w:gridCol w:w="4305"/>
        <w:gridCol w:w="3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pacing w:beforeLines="0" w:afterLines="0" w:line="44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类别</w:t>
            </w:r>
          </w:p>
        </w:tc>
        <w:tc>
          <w:tcPr>
            <w:tcW w:w="4305"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44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eastAsia="zh-CN"/>
              </w:rPr>
              <w:t>工作区域一</w:t>
            </w:r>
            <w:r>
              <w:rPr>
                <w:rFonts w:hint="eastAsia" w:ascii="宋体" w:hAnsi="宋体" w:eastAsia="宋体" w:cs="宋体"/>
                <w:b/>
                <w:color w:val="auto"/>
                <w:kern w:val="0"/>
                <w:sz w:val="21"/>
                <w:szCs w:val="21"/>
                <w:highlight w:val="none"/>
              </w:rPr>
              <w:t>（古塘、白沙路、掌起、观海卫、附海、逍林、匡堰、横河、长河、周巷）</w:t>
            </w:r>
          </w:p>
        </w:tc>
        <w:tc>
          <w:tcPr>
            <w:tcW w:w="3335"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440" w:lineRule="exact"/>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lang w:eastAsia="zh-CN"/>
              </w:rPr>
              <w:t>工作区域二</w:t>
            </w:r>
            <w:r>
              <w:rPr>
                <w:rFonts w:hint="eastAsia" w:ascii="宋体" w:hAnsi="宋体" w:eastAsia="宋体" w:cs="宋体"/>
                <w:b/>
                <w:color w:val="auto"/>
                <w:kern w:val="0"/>
                <w:sz w:val="21"/>
                <w:szCs w:val="21"/>
                <w:highlight w:val="none"/>
              </w:rPr>
              <w:t>（浒山、宗汉、新浦、胜山、桥头、龙山、坎墩）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1"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一类房屋</w:t>
            </w:r>
          </w:p>
        </w:tc>
        <w:tc>
          <w:tcPr>
            <w:tcW w:w="4305"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440" w:lineRule="exact"/>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剩余房屋，目前149幢</w:t>
            </w:r>
          </w:p>
        </w:tc>
        <w:tc>
          <w:tcPr>
            <w:tcW w:w="3335"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440" w:lineRule="exact"/>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剩余房屋，目前148幢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1"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二类房屋及以上</w:t>
            </w:r>
          </w:p>
        </w:tc>
        <w:tc>
          <w:tcPr>
            <w:tcW w:w="4305"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440" w:lineRule="exact"/>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rPr>
              <w:t>不少于</w:t>
            </w:r>
            <w:r>
              <w:rPr>
                <w:rFonts w:hint="eastAsia" w:ascii="宋体" w:hAnsi="宋体" w:cs="宋体"/>
                <w:color w:val="auto"/>
                <w:sz w:val="21"/>
                <w:szCs w:val="21"/>
                <w:highlight w:val="none"/>
                <w:lang w:val="en-US" w:eastAsia="zh-CN"/>
              </w:rPr>
              <w:t>480</w:t>
            </w:r>
            <w:r>
              <w:rPr>
                <w:rFonts w:hint="eastAsia" w:ascii="宋体" w:hAnsi="宋体" w:cs="宋体"/>
                <w:color w:val="auto"/>
                <w:sz w:val="21"/>
                <w:szCs w:val="21"/>
                <w:highlight w:val="none"/>
              </w:rPr>
              <w:t>幢</w:t>
            </w:r>
          </w:p>
        </w:tc>
        <w:tc>
          <w:tcPr>
            <w:tcW w:w="3335"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440" w:lineRule="exact"/>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rPr>
              <w:t>不少于6</w:t>
            </w:r>
            <w:r>
              <w:rPr>
                <w:rFonts w:hint="eastAsia" w:ascii="宋体" w:hAnsi="宋体" w:cs="宋体"/>
                <w:color w:val="auto"/>
                <w:sz w:val="21"/>
                <w:szCs w:val="21"/>
                <w:highlight w:val="none"/>
                <w:lang w:val="en-US" w:eastAsia="zh-CN"/>
              </w:rPr>
              <w:t>9</w:t>
            </w:r>
            <w:r>
              <w:rPr>
                <w:rFonts w:hint="eastAsia" w:ascii="宋体" w:hAnsi="宋体" w:cs="宋体"/>
                <w:color w:val="auto"/>
                <w:sz w:val="21"/>
                <w:szCs w:val="21"/>
                <w:highlight w:val="none"/>
              </w:rPr>
              <w:t>0幢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1"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三类房屋及以上</w:t>
            </w:r>
          </w:p>
        </w:tc>
        <w:tc>
          <w:tcPr>
            <w:tcW w:w="4305"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440" w:lineRule="exact"/>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rPr>
              <w:t>不少于</w:t>
            </w:r>
            <w:r>
              <w:rPr>
                <w:rFonts w:hint="eastAsia" w:ascii="宋体" w:hAnsi="宋体" w:cs="宋体"/>
                <w:color w:val="auto"/>
                <w:sz w:val="21"/>
                <w:szCs w:val="21"/>
                <w:highlight w:val="none"/>
                <w:lang w:val="en-US" w:eastAsia="zh-CN"/>
              </w:rPr>
              <w:t>295</w:t>
            </w:r>
            <w:r>
              <w:rPr>
                <w:rFonts w:hint="eastAsia" w:ascii="宋体" w:hAnsi="宋体" w:cs="宋体"/>
                <w:color w:val="auto"/>
                <w:sz w:val="21"/>
                <w:szCs w:val="21"/>
                <w:highlight w:val="none"/>
              </w:rPr>
              <w:t>幢</w:t>
            </w:r>
          </w:p>
        </w:tc>
        <w:tc>
          <w:tcPr>
            <w:tcW w:w="3335"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440" w:lineRule="exact"/>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rPr>
              <w:t>不少于3</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0幢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1"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四类房屋及以上</w:t>
            </w:r>
          </w:p>
        </w:tc>
        <w:tc>
          <w:tcPr>
            <w:tcW w:w="4305"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440" w:lineRule="exact"/>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rPr>
              <w:t>不少于</w:t>
            </w:r>
            <w:r>
              <w:rPr>
                <w:rFonts w:hint="eastAsia" w:ascii="宋体" w:hAnsi="宋体" w:cs="宋体"/>
                <w:color w:val="auto"/>
                <w:sz w:val="21"/>
                <w:szCs w:val="21"/>
                <w:highlight w:val="none"/>
                <w:lang w:val="en-US" w:eastAsia="zh-CN"/>
              </w:rPr>
              <w:t>150</w:t>
            </w:r>
            <w:r>
              <w:rPr>
                <w:rFonts w:hint="eastAsia" w:ascii="宋体" w:hAnsi="宋体" w:cs="宋体"/>
                <w:color w:val="auto"/>
                <w:sz w:val="21"/>
                <w:szCs w:val="21"/>
                <w:highlight w:val="none"/>
              </w:rPr>
              <w:t>幢</w:t>
            </w:r>
          </w:p>
        </w:tc>
        <w:tc>
          <w:tcPr>
            <w:tcW w:w="3335"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440" w:lineRule="exact"/>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rPr>
              <w:t>不少于130幢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1"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五类房屋及以上</w:t>
            </w:r>
          </w:p>
        </w:tc>
        <w:tc>
          <w:tcPr>
            <w:tcW w:w="4305"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440" w:lineRule="exact"/>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rPr>
              <w:t>不少于10幢</w:t>
            </w:r>
          </w:p>
        </w:tc>
        <w:tc>
          <w:tcPr>
            <w:tcW w:w="3335"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440" w:lineRule="exact"/>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rPr>
              <w:t>不少于10幢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1"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六类房屋及以上</w:t>
            </w:r>
          </w:p>
        </w:tc>
        <w:tc>
          <w:tcPr>
            <w:tcW w:w="4305"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按实际需求确认</w:t>
            </w:r>
          </w:p>
        </w:tc>
        <w:tc>
          <w:tcPr>
            <w:tcW w:w="3335"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按实际需求确认</w:t>
            </w:r>
          </w:p>
        </w:tc>
      </w:tr>
    </w:tbl>
    <w:p>
      <w:pPr>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2、外观检查</w:t>
      </w:r>
    </w:p>
    <w:p>
      <w:pPr>
        <w:spacing w:line="440" w:lineRule="exact"/>
        <w:ind w:firstLine="417" w:firstLineChars="19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（1）一类房屋定期监测频率为1年4次；</w:t>
      </w:r>
    </w:p>
    <w:p>
      <w:pPr>
        <w:spacing w:line="440" w:lineRule="exact"/>
        <w:ind w:firstLine="417" w:firstLineChars="19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（2）二类房屋定期监测频率为1季度2次；</w:t>
      </w:r>
    </w:p>
    <w:p>
      <w:pPr>
        <w:spacing w:line="440" w:lineRule="exact"/>
        <w:ind w:firstLine="417" w:firstLineChars="19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（3）三类房屋定期监测频率为1月1次；</w:t>
      </w:r>
    </w:p>
    <w:p>
      <w:pPr>
        <w:spacing w:line="440" w:lineRule="exact"/>
        <w:ind w:firstLine="417" w:firstLineChars="19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（4）四类房屋定期监测频率为1月2次；</w:t>
      </w:r>
    </w:p>
    <w:p>
      <w:pPr>
        <w:spacing w:line="440" w:lineRule="exact"/>
        <w:ind w:firstLine="417" w:firstLineChars="19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（5）五类房屋定期监测频率为1周1次；</w:t>
      </w:r>
    </w:p>
    <w:p>
      <w:pPr>
        <w:spacing w:line="440" w:lineRule="exact"/>
        <w:ind w:firstLine="417" w:firstLineChars="19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（6）六类房屋按实际需求确定监测频率且不少于每周两次；</w:t>
      </w:r>
    </w:p>
    <w:p>
      <w:pPr>
        <w:spacing w:line="440" w:lineRule="exact"/>
        <w:ind w:firstLine="417" w:firstLineChars="19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3、入户检查</w:t>
      </w:r>
    </w:p>
    <w:p>
      <w:pPr>
        <w:spacing w:line="440" w:lineRule="exact"/>
        <w:ind w:firstLine="417" w:firstLineChars="19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关于入户检查，入户标准为：按照《浙江省危险房屋结构监测技术导则》《宁波市房屋安全动态监测技术指南》开展动态监测工作，严格按照不同级别不同频次的巡查要求，认真开展动态监测；动态监测人工巡查入户率，除了空关房屋，住宅房屋每户每年至少入户检查一次；因其他原因确实不能入户的房屋，均须有对应的检查记录(包括每一次未入户的原因)。</w:t>
      </w:r>
    </w:p>
    <w:p>
      <w:pPr>
        <w:spacing w:line="440" w:lineRule="exact"/>
        <w:ind w:firstLine="417" w:firstLineChars="19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4、直管公房动态巡查</w:t>
      </w:r>
    </w:p>
    <w:p>
      <w:pPr>
        <w:spacing w:line="440" w:lineRule="exact"/>
        <w:ind w:firstLine="417" w:firstLineChars="19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对动态监测范围内直管公房房屋每月至少巡查1次。</w:t>
      </w:r>
    </w:p>
    <w:p>
      <w:pPr>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5、历史建筑巡查</w:t>
      </w:r>
    </w:p>
    <w:p>
      <w:pPr>
        <w:spacing w:line="440" w:lineRule="exact"/>
        <w:ind w:firstLine="417" w:firstLineChars="19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历史建筑</w:t>
      </w:r>
      <w:r>
        <w:rPr>
          <w:rFonts w:hint="eastAsia" w:ascii="宋体" w:hAnsi="宋体" w:eastAsia="宋体" w:cs="宋体"/>
          <w:color w:val="auto"/>
          <w:sz w:val="21"/>
          <w:szCs w:val="21"/>
          <w:highlight w:val="none"/>
        </w:rPr>
        <w:t>定期监测</w:t>
      </w:r>
      <w:r>
        <w:rPr>
          <w:rFonts w:hint="eastAsia" w:ascii="宋体" w:hAnsi="宋体" w:eastAsia="宋体" w:cs="宋体"/>
          <w:color w:val="auto"/>
          <w:sz w:val="21"/>
          <w:szCs w:val="21"/>
          <w:highlight w:val="none"/>
          <w:lang w:eastAsia="zh-CN"/>
        </w:rPr>
        <w:t>频率</w:t>
      </w:r>
      <w:r>
        <w:rPr>
          <w:rFonts w:hint="eastAsia" w:ascii="宋体" w:hAnsi="宋体" w:eastAsia="宋体" w:cs="宋体"/>
          <w:color w:val="auto"/>
          <w:sz w:val="21"/>
          <w:szCs w:val="21"/>
          <w:highlight w:val="none"/>
        </w:rPr>
        <w:t>每月</w:t>
      </w:r>
      <w:r>
        <w:rPr>
          <w:rFonts w:hint="eastAsia" w:ascii="宋体" w:hAnsi="宋体" w:eastAsia="宋体" w:cs="宋体"/>
          <w:color w:val="auto"/>
          <w:sz w:val="21"/>
          <w:szCs w:val="21"/>
          <w:highlight w:val="none"/>
          <w:lang w:eastAsia="zh-CN"/>
        </w:rPr>
        <w:t>不少于</w:t>
      </w:r>
      <w:r>
        <w:rPr>
          <w:rFonts w:hint="eastAsia" w:ascii="宋体" w:hAnsi="宋体" w:eastAsia="宋体" w:cs="宋体"/>
          <w:color w:val="auto"/>
          <w:sz w:val="21"/>
          <w:szCs w:val="21"/>
          <w:highlight w:val="none"/>
        </w:rPr>
        <w:t>1次。</w:t>
      </w:r>
    </w:p>
    <w:p>
      <w:pPr>
        <w:spacing w:line="440" w:lineRule="exact"/>
        <w:ind w:firstLine="417" w:firstLineChars="19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6、专项装修巡查</w:t>
      </w:r>
    </w:p>
    <w:p>
      <w:pPr>
        <w:spacing w:line="440" w:lineRule="exact"/>
        <w:ind w:firstLine="417" w:firstLineChars="19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于所有装修的房屋，发现后进行跟踪巡查（巡查频率至少为三次，即装修前的巡查、装修中的巡查、装修完成时的巡查），若存在违规装修，监督其进行破坏处恢复及加固处理。开展装修备案工作，装修数量按4000套计算，其中</w:t>
      </w:r>
      <w:r>
        <w:rPr>
          <w:rFonts w:hint="eastAsia" w:ascii="宋体" w:hAnsi="宋体" w:eastAsia="宋体" w:cs="宋体"/>
          <w:color w:val="auto"/>
          <w:sz w:val="21"/>
          <w:szCs w:val="21"/>
          <w:highlight w:val="none"/>
          <w:lang w:eastAsia="zh-CN"/>
        </w:rPr>
        <w:t>工作区域一</w:t>
      </w:r>
      <w:r>
        <w:rPr>
          <w:rFonts w:hint="eastAsia" w:ascii="宋体" w:hAnsi="宋体" w:eastAsia="宋体" w:cs="宋体"/>
          <w:color w:val="auto"/>
          <w:sz w:val="21"/>
          <w:szCs w:val="21"/>
          <w:highlight w:val="none"/>
        </w:rPr>
        <w:t>2200套，</w:t>
      </w:r>
      <w:r>
        <w:rPr>
          <w:rFonts w:hint="eastAsia" w:ascii="宋体" w:hAnsi="宋体" w:eastAsia="宋体" w:cs="宋体"/>
          <w:color w:val="auto"/>
          <w:sz w:val="21"/>
          <w:szCs w:val="21"/>
          <w:highlight w:val="none"/>
          <w:lang w:eastAsia="zh-CN"/>
        </w:rPr>
        <w:t>工作区域二</w:t>
      </w:r>
      <w:r>
        <w:rPr>
          <w:rFonts w:hint="eastAsia" w:ascii="宋体" w:hAnsi="宋体" w:eastAsia="宋体" w:cs="宋体"/>
          <w:color w:val="auto"/>
          <w:sz w:val="21"/>
          <w:szCs w:val="21"/>
          <w:highlight w:val="none"/>
        </w:rPr>
        <w:t>1800套。内容包括装修设计方案审查、装修备案资料收集整理、巡查及系统中登记、为行政执法提供技术支持。如装修前巡查无开展条件，可参考该户相邻或上下楼层情况开展巡查。装修备案对象为全市范围内应备案装修行为，</w:t>
      </w:r>
      <w:r>
        <w:rPr>
          <w:rFonts w:hint="eastAsia" w:ascii="宋体" w:hAnsi="宋体" w:eastAsia="宋体" w:cs="宋体"/>
          <w:color w:val="auto"/>
          <w:sz w:val="21"/>
          <w:szCs w:val="21"/>
          <w:highlight w:val="none"/>
          <w:lang w:eastAsia="zh-CN"/>
        </w:rPr>
        <w:t>区域</w:t>
      </w:r>
      <w:r>
        <w:rPr>
          <w:rFonts w:hint="eastAsia" w:ascii="宋体" w:hAnsi="宋体" w:eastAsia="宋体" w:cs="宋体"/>
          <w:color w:val="auto"/>
          <w:sz w:val="21"/>
          <w:szCs w:val="21"/>
          <w:highlight w:val="none"/>
        </w:rPr>
        <w:t>备案实际数量超过合同数量的，服务费不予追加；</w:t>
      </w:r>
      <w:r>
        <w:rPr>
          <w:rFonts w:hint="eastAsia" w:ascii="宋体" w:hAnsi="宋体" w:eastAsia="宋体" w:cs="宋体"/>
          <w:color w:val="auto"/>
          <w:sz w:val="21"/>
          <w:szCs w:val="21"/>
          <w:highlight w:val="none"/>
          <w:lang w:eastAsia="zh-CN"/>
        </w:rPr>
        <w:t>区域</w:t>
      </w:r>
      <w:r>
        <w:rPr>
          <w:rFonts w:hint="eastAsia" w:ascii="宋体" w:hAnsi="宋体" w:eastAsia="宋体" w:cs="宋体"/>
          <w:color w:val="auto"/>
          <w:sz w:val="21"/>
          <w:szCs w:val="21"/>
          <w:highlight w:val="none"/>
        </w:rPr>
        <w:t>备案实际数量不足合同数量的，按实结算。</w:t>
      </w:r>
    </w:p>
    <w:p>
      <w:pPr>
        <w:spacing w:line="440" w:lineRule="exact"/>
        <w:ind w:firstLine="417" w:firstLineChars="19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7、仪器设备监测</w:t>
      </w:r>
    </w:p>
    <w:p>
      <w:pPr>
        <w:spacing w:line="440" w:lineRule="exact"/>
        <w:ind w:firstLine="417" w:firstLineChars="19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对动态监测范围内房屋每年至少测量一次，已经出现明显的倾斜变形或不均匀沉降、受相邻施工影响的房屋进行测量，适当增加测量频率。现场采用</w:t>
      </w:r>
      <w:r>
        <w:rPr>
          <w:rFonts w:hint="eastAsia" w:ascii="宋体" w:hAnsi="宋体" w:eastAsia="宋体" w:cs="宋体"/>
          <w:color w:val="auto"/>
          <w:sz w:val="21"/>
          <w:szCs w:val="21"/>
          <w:highlight w:val="none"/>
          <w:lang w:eastAsia="zh-CN"/>
        </w:rPr>
        <w:t>全站仪</w:t>
      </w:r>
      <w:r>
        <w:rPr>
          <w:rFonts w:hint="eastAsia" w:ascii="宋体" w:hAnsi="宋体" w:eastAsia="宋体" w:cs="宋体"/>
          <w:color w:val="auto"/>
          <w:sz w:val="21"/>
          <w:szCs w:val="21"/>
          <w:highlight w:val="none"/>
        </w:rPr>
        <w:t>、塔尺、标杆等对房屋进行倾斜、沉降测量。</w:t>
      </w:r>
    </w:p>
    <w:p>
      <w:pPr>
        <w:spacing w:line="440" w:lineRule="exact"/>
        <w:ind w:firstLine="417" w:firstLineChars="19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8、自动化动态监测</w:t>
      </w:r>
    </w:p>
    <w:p>
      <w:pPr>
        <w:spacing w:line="440" w:lineRule="exact"/>
        <w:ind w:firstLine="417" w:firstLineChars="19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（1）通过远程监控系统对安全隐患较大且与</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商定的10幢房屋进行动态监测，每</w:t>
      </w:r>
      <w:r>
        <w:rPr>
          <w:rFonts w:hint="eastAsia" w:ascii="宋体" w:hAnsi="宋体" w:eastAsia="宋体" w:cs="宋体"/>
          <w:color w:val="auto"/>
          <w:sz w:val="21"/>
          <w:szCs w:val="21"/>
          <w:highlight w:val="none"/>
          <w:lang w:eastAsia="zh-CN"/>
        </w:rPr>
        <w:t>工作区域</w:t>
      </w:r>
      <w:r>
        <w:rPr>
          <w:rFonts w:hint="eastAsia" w:ascii="宋体" w:hAnsi="宋体" w:eastAsia="宋体" w:cs="宋体"/>
          <w:color w:val="auto"/>
          <w:sz w:val="21"/>
          <w:szCs w:val="21"/>
          <w:highlight w:val="none"/>
        </w:rPr>
        <w:t>各5幢；</w:t>
      </w:r>
    </w:p>
    <w:p>
      <w:pPr>
        <w:tabs>
          <w:tab w:val="left" w:pos="851"/>
        </w:tabs>
        <w:spacing w:line="440" w:lineRule="exact"/>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（2）远程实时动态监测系统包含自动实时监测</w:t>
      </w:r>
      <w:r>
        <w:rPr>
          <w:rFonts w:hint="eastAsia" w:ascii="宋体" w:hAnsi="宋体" w:cs="宋体"/>
          <w:color w:val="auto"/>
          <w:sz w:val="21"/>
          <w:szCs w:val="21"/>
          <w:highlight w:val="none"/>
          <w:lang w:eastAsia="zh-CN"/>
        </w:rPr>
        <w:t>系统</w:t>
      </w:r>
      <w:r>
        <w:rPr>
          <w:rFonts w:hint="eastAsia" w:ascii="宋体" w:hAnsi="宋体" w:eastAsia="宋体" w:cs="宋体"/>
          <w:color w:val="auto"/>
          <w:sz w:val="21"/>
          <w:szCs w:val="21"/>
          <w:highlight w:val="none"/>
        </w:rPr>
        <w:t>、倾斜仪、裂缝计等专用监测设备及实时动态监测管理平台，详见下表。</w:t>
      </w:r>
    </w:p>
    <w:tbl>
      <w:tblPr>
        <w:tblStyle w:val="62"/>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98"/>
        <w:gridCol w:w="1597"/>
        <w:gridCol w:w="5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1990" w:type="pct"/>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adjustRightInd w:val="0"/>
              <w:spacing w:beforeLines="0" w:afterLine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3009"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adjustRightInd w:val="0"/>
              <w:spacing w:beforeLines="0" w:afterLine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jc w:val="center"/>
        </w:trPr>
        <w:tc>
          <w:tcPr>
            <w:tcW w:w="1130" w:type="pct"/>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pacing w:beforeLines="0" w:afterLine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软硬件设备</w:t>
            </w:r>
          </w:p>
        </w:tc>
        <w:tc>
          <w:tcPr>
            <w:tcW w:w="86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pacing w:beforeLines="0" w:afterLine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3009"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adjustRightInd w:val="0"/>
              <w:spacing w:beforeLines="0" w:afterLine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自动实时监测设备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 w:hRule="atLeast"/>
          <w:jc w:val="center"/>
        </w:trPr>
        <w:tc>
          <w:tcPr>
            <w:tcW w:w="1130" w:type="pct"/>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adjustRightInd w:val="0"/>
              <w:spacing w:beforeLines="0" w:afterLines="0"/>
              <w:jc w:val="center"/>
              <w:rPr>
                <w:rFonts w:hint="eastAsia" w:ascii="宋体" w:hAnsi="宋体" w:eastAsia="宋体" w:cs="宋体"/>
                <w:color w:val="auto"/>
                <w:sz w:val="21"/>
                <w:szCs w:val="21"/>
                <w:highlight w:val="none"/>
              </w:rPr>
            </w:pPr>
          </w:p>
        </w:tc>
        <w:tc>
          <w:tcPr>
            <w:tcW w:w="86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pacing w:beforeLines="0" w:afterLine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3009"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autoSpaceDN w:val="0"/>
              <w:adjustRightInd w:val="0"/>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倾斜仪20个、裂缝计（按需布置）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 w:hRule="atLeast"/>
          <w:jc w:val="center"/>
        </w:trPr>
        <w:tc>
          <w:tcPr>
            <w:tcW w:w="1130" w:type="pct"/>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adjustRightInd w:val="0"/>
              <w:spacing w:beforeLines="0" w:afterLines="0"/>
              <w:jc w:val="center"/>
              <w:rPr>
                <w:rFonts w:hint="eastAsia" w:ascii="宋体" w:hAnsi="宋体" w:eastAsia="宋体" w:cs="宋体"/>
                <w:color w:val="auto"/>
                <w:sz w:val="21"/>
                <w:szCs w:val="21"/>
                <w:highlight w:val="none"/>
              </w:rPr>
            </w:pPr>
          </w:p>
        </w:tc>
        <w:tc>
          <w:tcPr>
            <w:tcW w:w="86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pacing w:beforeLines="0" w:afterLine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300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adjustRightInd w:val="0"/>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监测设备10套、静力水准仪（按需布置）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1130" w:type="pct"/>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adjustRightInd w:val="0"/>
              <w:spacing w:beforeLines="0" w:afterLines="0"/>
              <w:jc w:val="center"/>
              <w:rPr>
                <w:rFonts w:hint="eastAsia" w:ascii="宋体" w:hAnsi="宋体" w:eastAsia="宋体" w:cs="宋体"/>
                <w:color w:val="auto"/>
                <w:sz w:val="21"/>
                <w:szCs w:val="21"/>
                <w:highlight w:val="none"/>
              </w:rPr>
            </w:pPr>
          </w:p>
        </w:tc>
        <w:tc>
          <w:tcPr>
            <w:tcW w:w="86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pacing w:beforeLines="0" w:afterLine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300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adjustRightInd w:val="0"/>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监测数据处理系统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 w:hRule="atLeast"/>
          <w:jc w:val="center"/>
        </w:trPr>
        <w:tc>
          <w:tcPr>
            <w:tcW w:w="1130" w:type="pct"/>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adjustRightInd w:val="0"/>
              <w:spacing w:beforeLines="0" w:afterLines="0"/>
              <w:jc w:val="center"/>
              <w:rPr>
                <w:rFonts w:hint="eastAsia" w:ascii="宋体" w:hAnsi="宋体" w:eastAsia="宋体" w:cs="宋体"/>
                <w:color w:val="auto"/>
                <w:sz w:val="21"/>
                <w:szCs w:val="21"/>
                <w:highlight w:val="none"/>
              </w:rPr>
            </w:pPr>
          </w:p>
        </w:tc>
        <w:tc>
          <w:tcPr>
            <w:tcW w:w="86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pacing w:beforeLines="0" w:afterLine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300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adjustRightInd w:val="0"/>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数据传输系统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1130" w:type="pct"/>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adjustRightInd w:val="0"/>
              <w:spacing w:beforeLines="0" w:afterLines="0"/>
              <w:rPr>
                <w:rFonts w:hint="eastAsia" w:ascii="宋体" w:hAnsi="宋体" w:eastAsia="宋体" w:cs="宋体"/>
                <w:color w:val="auto"/>
                <w:sz w:val="21"/>
                <w:szCs w:val="21"/>
                <w:highlight w:val="none"/>
              </w:rPr>
            </w:pPr>
          </w:p>
        </w:tc>
        <w:tc>
          <w:tcPr>
            <w:tcW w:w="86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pacing w:beforeLines="0" w:afterLine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300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adjustRightInd w:val="0"/>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实时动态监测管理平台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1130" w:type="pct"/>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adjustRightInd w:val="0"/>
              <w:spacing w:beforeLines="0" w:afterLines="0"/>
              <w:rPr>
                <w:rFonts w:hint="eastAsia" w:ascii="宋体" w:hAnsi="宋体" w:eastAsia="宋体" w:cs="宋体"/>
                <w:color w:val="auto"/>
                <w:sz w:val="21"/>
                <w:szCs w:val="21"/>
                <w:highlight w:val="none"/>
              </w:rPr>
            </w:pPr>
          </w:p>
        </w:tc>
        <w:tc>
          <w:tcPr>
            <w:tcW w:w="86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pacing w:beforeLines="0" w:afterLine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300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adjustRightInd w:val="0"/>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人工巡检管理平台及作业APP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1130"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adjustRightInd w:val="0"/>
              <w:spacing w:beforeLines="0" w:afterLine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人工巡检</w:t>
            </w:r>
          </w:p>
        </w:tc>
        <w:tc>
          <w:tcPr>
            <w:tcW w:w="86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pacing w:beforeLines="0" w:afterLine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300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N w:val="0"/>
              <w:adjustRightInd w:val="0"/>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 w:hRule="atLeast"/>
          <w:jc w:val="center"/>
        </w:trPr>
        <w:tc>
          <w:tcPr>
            <w:tcW w:w="113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pacing w:beforeLines="0" w:afterLine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技术服务</w:t>
            </w:r>
          </w:p>
        </w:tc>
        <w:tc>
          <w:tcPr>
            <w:tcW w:w="860"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pacing w:beforeLines="0" w:afterLine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3009" w:type="pct"/>
            <w:tcBorders>
              <w:top w:val="single" w:color="000000" w:sz="4" w:space="0"/>
              <w:left w:val="single" w:color="000000" w:sz="4" w:space="0"/>
              <w:bottom w:val="single" w:color="000000" w:sz="4" w:space="0"/>
              <w:right w:val="single" w:color="000000" w:sz="4" w:space="0"/>
              <w:tl2br w:val="nil"/>
              <w:tr2bl w:val="nil"/>
            </w:tcBorders>
            <w:noWrap w:val="0"/>
            <w:vAlign w:val="top"/>
          </w:tcPr>
          <w:p>
            <w:pPr>
              <w:autoSpaceDN w:val="0"/>
              <w:adjustRightInd w:val="0"/>
              <w:spacing w:beforeLines="0" w:afterLine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软硬件设备安装部署及培训</w:t>
            </w:r>
          </w:p>
        </w:tc>
      </w:tr>
    </w:tbl>
    <w:p>
      <w:pPr>
        <w:tabs>
          <w:tab w:val="left" w:pos="851"/>
        </w:tabs>
        <w:spacing w:line="440" w:lineRule="exact"/>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注：以上软硬件设施须由房屋安全动态监测服务单位提供（费用已包含在本项目预算金额之中）。</w:t>
      </w:r>
    </w:p>
    <w:p>
      <w:pPr>
        <w:spacing w:line="440" w:lineRule="exact"/>
        <w:ind w:firstLine="417" w:firstLineChars="19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（3）远程监控监测系统实时采集技术要求：</w:t>
      </w:r>
    </w:p>
    <w:p>
      <w:pPr>
        <w:tabs>
          <w:tab w:val="left" w:pos="851"/>
        </w:tabs>
        <w:spacing w:line="440" w:lineRule="exact"/>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1)系统通过自动监测设备能够实现对被监测房屋24小时不间断远程动态监测，通过平台或短信等方式提供异常状态实时告警功能。</w:t>
      </w:r>
    </w:p>
    <w:p>
      <w:pPr>
        <w:tabs>
          <w:tab w:val="left" w:pos="851"/>
        </w:tabs>
        <w:spacing w:line="440" w:lineRule="exact"/>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2)系统需同时提供专用管理软件实时显示危房动态变化曲线；房屋地理位置和资料信息能够通过动态实时监测管理平台定位和查询。</w:t>
      </w:r>
    </w:p>
    <w:p>
      <w:pPr>
        <w:tabs>
          <w:tab w:val="left" w:pos="851"/>
        </w:tabs>
        <w:spacing w:line="440" w:lineRule="exact"/>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3)平台能提供历史数据分析以及报表输出功能，同时提供趋势变化分析功能。</w:t>
      </w:r>
    </w:p>
    <w:p>
      <w:pPr>
        <w:tabs>
          <w:tab w:val="left" w:pos="851"/>
        </w:tabs>
        <w:spacing w:line="440" w:lineRule="exact"/>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4)10栋楼需由监测系统实时监测，实现数据远程采集。</w:t>
      </w:r>
    </w:p>
    <w:p>
      <w:pPr>
        <w:tabs>
          <w:tab w:val="left" w:pos="851"/>
        </w:tabs>
        <w:spacing w:line="440" w:lineRule="exact"/>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5)通过人工监测管理平台以及作业APP，形成一整套人工巡查管理流程，如任务派发、巡查管理、险情上报及处理等。</w:t>
      </w:r>
    </w:p>
    <w:p>
      <w:pPr>
        <w:adjustRightInd w:val="0"/>
        <w:spacing w:beforeLines="0" w:afterLines="0" w:line="440" w:lineRule="exact"/>
        <w:ind w:firstLine="417" w:firstLineChars="199"/>
        <w:rPr>
          <w:rFonts w:hint="default" w:ascii="宋体" w:hAnsi="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w:t>
      </w:r>
      <w:r>
        <w:rPr>
          <w:rFonts w:hint="eastAsia" w:ascii="宋体" w:hAnsi="宋体" w:cs="宋体"/>
          <w:color w:val="auto"/>
          <w:sz w:val="21"/>
          <w:szCs w:val="21"/>
          <w:highlight w:val="none"/>
          <w:lang w:val="en-US" w:eastAsia="zh-CN"/>
        </w:rPr>
        <w:t>、监控摄像头按需布置，预估6套（包含太阳能板，摄像头）；通过监控摄像头监测在监测范围内的老旧房屋，选取能定向监控单元门的合适角度。通过监控建筑垃圾的清运或其他行为判断是否有结构拆改发生。</w:t>
      </w:r>
    </w:p>
    <w:p>
      <w:pPr>
        <w:tabs>
          <w:tab w:val="left" w:pos="851"/>
        </w:tabs>
        <w:spacing w:line="440" w:lineRule="exact"/>
        <w:ind w:firstLine="411" w:firstLineChars="196"/>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rPr>
        <w:t>、台汛季节、重要活动节假日安全排查检查</w:t>
      </w:r>
    </w:p>
    <w:p>
      <w:pPr>
        <w:tabs>
          <w:tab w:val="left" w:pos="851"/>
        </w:tabs>
        <w:spacing w:line="440" w:lineRule="exact"/>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按上级要求或</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指示开展三类及以上房屋或其他类别房屋应急安全排查检查，</w:t>
      </w:r>
      <w:r>
        <w:rPr>
          <w:rFonts w:hint="eastAsia" w:ascii="宋体" w:hAnsi="宋体" w:eastAsia="宋体" w:cs="宋体"/>
          <w:color w:val="auto"/>
          <w:sz w:val="21"/>
          <w:szCs w:val="21"/>
          <w:highlight w:val="none"/>
          <w:lang w:eastAsia="zh-CN"/>
        </w:rPr>
        <w:t>工作区域一</w:t>
      </w:r>
      <w:r>
        <w:rPr>
          <w:rFonts w:hint="eastAsia" w:ascii="宋体" w:hAnsi="宋体" w:eastAsia="宋体" w:cs="宋体"/>
          <w:color w:val="auto"/>
          <w:sz w:val="21"/>
          <w:szCs w:val="21"/>
          <w:highlight w:val="none"/>
        </w:rPr>
        <w:t>不少于1080幢/次，</w:t>
      </w:r>
      <w:r>
        <w:rPr>
          <w:rFonts w:hint="eastAsia" w:ascii="宋体" w:hAnsi="宋体" w:eastAsia="宋体" w:cs="宋体"/>
          <w:color w:val="auto"/>
          <w:sz w:val="21"/>
          <w:szCs w:val="21"/>
          <w:highlight w:val="none"/>
          <w:lang w:eastAsia="zh-CN"/>
        </w:rPr>
        <w:t>工作区域二</w:t>
      </w:r>
      <w:r>
        <w:rPr>
          <w:rFonts w:hint="eastAsia" w:ascii="宋体" w:hAnsi="宋体" w:eastAsia="宋体" w:cs="宋体"/>
          <w:color w:val="auto"/>
          <w:sz w:val="21"/>
          <w:szCs w:val="21"/>
          <w:highlight w:val="none"/>
        </w:rPr>
        <w:t>不少于1160幢/次。达到合同规定的幢次后，仍须服从</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的应急排查检查指令，合同金额不追加。</w:t>
      </w:r>
    </w:p>
    <w:p>
      <w:pPr>
        <w:tabs>
          <w:tab w:val="left" w:pos="851"/>
        </w:tabs>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rPr>
        <w:t>、房安技术服务</w:t>
      </w:r>
    </w:p>
    <w:p>
      <w:pPr>
        <w:tabs>
          <w:tab w:val="left" w:pos="851"/>
        </w:tabs>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满足属地房安技术服务需求，含公益性安全鉴定。</w:t>
      </w:r>
    </w:p>
    <w:p>
      <w:pPr>
        <w:tabs>
          <w:tab w:val="left" w:pos="851"/>
        </w:tabs>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应急准备、演练，房安宣传、专家咨询</w:t>
      </w:r>
    </w:p>
    <w:p>
      <w:pPr>
        <w:tabs>
          <w:tab w:val="left" w:pos="851"/>
        </w:tabs>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（1）每</w:t>
      </w:r>
      <w:r>
        <w:rPr>
          <w:rFonts w:hint="eastAsia" w:ascii="宋体" w:hAnsi="宋体" w:eastAsia="宋体" w:cs="宋体"/>
          <w:color w:val="auto"/>
          <w:sz w:val="21"/>
          <w:szCs w:val="21"/>
          <w:highlight w:val="none"/>
          <w:lang w:eastAsia="zh-CN"/>
        </w:rPr>
        <w:t>工作区域</w:t>
      </w:r>
      <w:r>
        <w:rPr>
          <w:rFonts w:hint="eastAsia" w:ascii="宋体" w:hAnsi="宋体" w:eastAsia="宋体" w:cs="宋体"/>
          <w:color w:val="auto"/>
          <w:sz w:val="21"/>
          <w:szCs w:val="21"/>
          <w:highlight w:val="none"/>
        </w:rPr>
        <w:t>组建一支不少于10人的房安专业抢险队伍，并配备必要的抢险物资、装备。</w:t>
      </w:r>
    </w:p>
    <w:p>
      <w:pPr>
        <w:tabs>
          <w:tab w:val="left" w:pos="851"/>
        </w:tabs>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（2）三年合同周期内开展一次大型房安宣传活动或应急演练。</w:t>
      </w:r>
    </w:p>
    <w:p>
      <w:pPr>
        <w:tabs>
          <w:tab w:val="left" w:pos="851"/>
        </w:tabs>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（3）每年举办</w:t>
      </w:r>
      <w:r>
        <w:rPr>
          <w:rFonts w:hint="eastAsia" w:ascii="宋体" w:hAnsi="宋体" w:eastAsia="宋体" w:cs="宋体"/>
          <w:color w:val="auto"/>
          <w:sz w:val="21"/>
          <w:szCs w:val="21"/>
          <w:highlight w:val="none"/>
          <w:lang w:eastAsia="zh-CN"/>
        </w:rPr>
        <w:t>至少</w:t>
      </w:r>
      <w:r>
        <w:rPr>
          <w:rFonts w:hint="eastAsia" w:ascii="宋体" w:hAnsi="宋体" w:eastAsia="宋体" w:cs="宋体"/>
          <w:color w:val="auto"/>
          <w:sz w:val="21"/>
          <w:szCs w:val="21"/>
          <w:highlight w:val="none"/>
        </w:rPr>
        <w:t>1次房安宣传活动，按</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需求提供房安专家咨询服务。</w:t>
      </w:r>
    </w:p>
    <w:p>
      <w:pPr>
        <w:adjustRightInd/>
        <w:spacing w:line="440" w:lineRule="exact"/>
        <w:ind w:firstLine="420" w:firstLineChars="19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（三）房屋动态安全监测单位</w:t>
      </w:r>
    </w:p>
    <w:p>
      <w:pPr>
        <w:tabs>
          <w:tab w:val="left" w:pos="426"/>
        </w:tabs>
        <w:adjustRightInd/>
        <w:spacing w:line="440" w:lineRule="exact"/>
        <w:ind w:firstLine="420" w:firstLineChars="200"/>
        <w:contextualSpacing/>
        <w:rPr>
          <w:rFonts w:hint="eastAsia" w:ascii="宋体" w:hAnsi="宋体" w:eastAsia="宋体" w:cs="宋体"/>
          <w:color w:val="auto"/>
          <w:sz w:val="21"/>
          <w:szCs w:val="21"/>
          <w:highlight w:val="none"/>
        </w:rPr>
      </w:pPr>
      <w:r>
        <w:rPr>
          <w:rFonts w:hint="eastAsia" w:ascii="宋体" w:hAnsi="宋体" w:cs="宋体"/>
          <w:color w:val="auto"/>
          <w:sz w:val="21"/>
          <w:szCs w:val="21"/>
          <w:highlight w:val="none"/>
        </w:rPr>
        <w:t>本次慈溪</w:t>
      </w:r>
      <w:r>
        <w:rPr>
          <w:rFonts w:hint="eastAsia" w:ascii="宋体" w:hAnsi="宋体" w:cs="宋体"/>
          <w:color w:val="auto"/>
          <w:sz w:val="21"/>
          <w:szCs w:val="21"/>
          <w:highlight w:val="none"/>
          <w:lang w:eastAsia="zh-CN"/>
        </w:rPr>
        <w:t>市</w:t>
      </w:r>
      <w:r>
        <w:rPr>
          <w:rFonts w:hint="eastAsia" w:ascii="宋体" w:hAnsi="宋体" w:cs="宋体"/>
          <w:color w:val="auto"/>
          <w:sz w:val="21"/>
          <w:szCs w:val="21"/>
          <w:highlight w:val="none"/>
        </w:rPr>
        <w:t>房屋安全动态监测</w:t>
      </w:r>
      <w:r>
        <w:rPr>
          <w:rFonts w:hint="eastAsia" w:ascii="宋体" w:hAnsi="宋体" w:cs="宋体"/>
          <w:color w:val="auto"/>
          <w:sz w:val="21"/>
          <w:szCs w:val="21"/>
          <w:highlight w:val="none"/>
          <w:lang w:eastAsia="zh-CN"/>
        </w:rPr>
        <w:t>工作区域共分为两个片区</w:t>
      </w:r>
      <w:r>
        <w:rPr>
          <w:rFonts w:hint="eastAsia" w:ascii="宋体" w:hAnsi="宋体" w:cs="宋体"/>
          <w:color w:val="auto"/>
          <w:sz w:val="21"/>
          <w:szCs w:val="21"/>
          <w:highlight w:val="none"/>
          <w:lang w:val="en-US" w:eastAsia="zh-CN"/>
        </w:rPr>
        <w:t>[工作区域一为：古塘、白沙路、掌起、观海卫、附海、逍林、匡堰、横河、长河、周巷；工作区域二为：浒山、宗汉、新浦、胜山、桥头、龙山、坎墩]</w:t>
      </w:r>
      <w:r>
        <w:rPr>
          <w:rFonts w:hint="eastAsia" w:ascii="宋体" w:hAnsi="宋体" w:cs="宋体"/>
          <w:color w:val="auto"/>
          <w:sz w:val="21"/>
          <w:szCs w:val="21"/>
          <w:highlight w:val="none"/>
          <w:lang w:eastAsia="zh-CN"/>
        </w:rPr>
        <w:t>，需要</w:t>
      </w:r>
      <w:r>
        <w:rPr>
          <w:rFonts w:hint="eastAsia" w:ascii="宋体" w:hAnsi="宋体" w:cs="宋体"/>
          <w:color w:val="auto"/>
          <w:sz w:val="21"/>
          <w:szCs w:val="21"/>
          <w:highlight w:val="none"/>
          <w:lang w:val="en-US" w:eastAsia="zh-CN"/>
        </w:rPr>
        <w:t>2家单位提供服务，</w:t>
      </w:r>
      <w:r>
        <w:rPr>
          <w:rFonts w:hint="eastAsia" w:ascii="宋体" w:hAnsi="宋体" w:cs="宋体"/>
          <w:color w:val="auto"/>
          <w:sz w:val="21"/>
          <w:szCs w:val="21"/>
          <w:highlight w:val="none"/>
        </w:rPr>
        <w:t>每个</w:t>
      </w:r>
      <w:r>
        <w:rPr>
          <w:rFonts w:hint="eastAsia" w:ascii="宋体" w:hAnsi="宋体" w:cs="宋体"/>
          <w:color w:val="auto"/>
          <w:sz w:val="21"/>
          <w:szCs w:val="21"/>
          <w:highlight w:val="none"/>
          <w:lang w:eastAsia="zh-CN"/>
        </w:rPr>
        <w:t>工作区域各</w:t>
      </w:r>
      <w:r>
        <w:rPr>
          <w:rFonts w:hint="eastAsia" w:ascii="宋体" w:hAnsi="宋体" w:cs="宋体"/>
          <w:color w:val="auto"/>
          <w:sz w:val="21"/>
          <w:szCs w:val="21"/>
          <w:highlight w:val="none"/>
          <w:lang w:val="en-US" w:eastAsia="zh-CN"/>
        </w:rPr>
        <w:t>1家（允许监测单位以联合体形式参与，若以联合体形式参与的，组成联合体的监测单位不得超过2家。）</w:t>
      </w:r>
      <w:r>
        <w:rPr>
          <w:rFonts w:hint="eastAsia" w:ascii="宋体" w:hAnsi="宋体" w:eastAsia="宋体" w:cs="宋体"/>
          <w:color w:val="auto"/>
          <w:sz w:val="21"/>
          <w:szCs w:val="21"/>
          <w:highlight w:val="none"/>
        </w:rPr>
        <w:t>，房屋动态安全监测单位应具备房屋安全鉴定</w:t>
      </w:r>
      <w:r>
        <w:rPr>
          <w:rFonts w:hint="eastAsia" w:ascii="宋体" w:hAnsi="宋体" w:eastAsia="宋体" w:cs="宋体"/>
          <w:color w:val="auto"/>
          <w:sz w:val="21"/>
          <w:szCs w:val="21"/>
          <w:highlight w:val="none"/>
          <w:lang w:eastAsia="zh-CN"/>
        </w:rPr>
        <w:t>能力</w:t>
      </w:r>
      <w:r>
        <w:rPr>
          <w:rFonts w:hint="eastAsia" w:ascii="宋体" w:hAnsi="宋体" w:eastAsia="宋体" w:cs="宋体"/>
          <w:color w:val="auto"/>
          <w:sz w:val="21"/>
          <w:szCs w:val="21"/>
          <w:highlight w:val="none"/>
        </w:rPr>
        <w:t>，有完整的检查、观测、监测、评估、安全预警机制，巡检人员能够对房屋安全情况进行识别查勘。且须符合以下要求：</w:t>
      </w:r>
    </w:p>
    <w:p>
      <w:pPr>
        <w:tabs>
          <w:tab w:val="left" w:pos="426"/>
        </w:tabs>
        <w:adjustRightInd/>
        <w:spacing w:line="440" w:lineRule="exact"/>
        <w:ind w:firstLine="420" w:firstLineChars="200"/>
        <w:contextualSpacing/>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根据《宁波市城市房屋使用安全管理条例》、《城市危险房屋管理规定》（建设部令第129号）、省政府《关于全面推进城镇危旧住宅房屋治理改造工作的通知》（浙政办发〔2015〕61号）、省建设厅《关于开展房屋使用安全鉴定机构备案工作的通知》（建房发〔2015〕328号）等规定，房屋动态安全监测单位须是在宁波市住建局备案的房屋安全鉴定机构；</w:t>
      </w:r>
    </w:p>
    <w:p>
      <w:pPr>
        <w:tabs>
          <w:tab w:val="left" w:pos="426"/>
        </w:tabs>
        <w:adjustRightInd/>
        <w:spacing w:line="440" w:lineRule="exact"/>
        <w:ind w:firstLine="420" w:firstLineChars="200"/>
        <w:contextualSpacing/>
        <w:rPr>
          <w:rFonts w:hint="eastAsia" w:ascii="宋体" w:hAnsi="宋体" w:eastAsia="宋体" w:cs="宋体"/>
          <w:b/>
          <w:color w:val="auto"/>
          <w:sz w:val="21"/>
          <w:szCs w:val="21"/>
          <w:highlight w:val="none"/>
          <w:lang w:bidi="ar"/>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每个工作区域须符合：</w:t>
      </w:r>
      <w:r>
        <w:rPr>
          <w:rFonts w:hint="eastAsia" w:ascii="宋体" w:hAnsi="宋体" w:eastAsia="宋体" w:cs="宋体"/>
          <w:color w:val="auto"/>
          <w:sz w:val="21"/>
          <w:szCs w:val="21"/>
          <w:highlight w:val="none"/>
        </w:rPr>
        <w:t>在慈溪设立常驻10人（含）及以上专业技术人员的服务实施团队</w:t>
      </w:r>
      <w:r>
        <w:rPr>
          <w:rFonts w:hint="eastAsia" w:ascii="宋体" w:hAnsi="宋体" w:eastAsia="宋体" w:cs="宋体"/>
          <w:color w:val="auto"/>
          <w:sz w:val="21"/>
          <w:szCs w:val="21"/>
          <w:highlight w:val="none"/>
          <w:lang w:eastAsia="zh-CN"/>
        </w:rPr>
        <w:t>的要求</w:t>
      </w:r>
      <w:r>
        <w:rPr>
          <w:rFonts w:hint="eastAsia" w:ascii="宋体" w:hAnsi="宋体" w:eastAsia="宋体" w:cs="宋体"/>
          <w:color w:val="auto"/>
          <w:sz w:val="21"/>
          <w:szCs w:val="21"/>
          <w:highlight w:val="none"/>
          <w:lang w:bidi="ar"/>
        </w:rPr>
        <w:t>。</w:t>
      </w:r>
    </w:p>
    <w:p>
      <w:pPr>
        <w:widowControl/>
        <w:adjustRightInd w:val="0"/>
        <w:spacing w:beforeLines="0" w:afterLines="0" w:line="440" w:lineRule="exact"/>
        <w:ind w:right="45" w:firstLine="424" w:firstLineChars="20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▲房屋动态监测单位对本项目的实施应具备合理的组织架构，出于待监测及巡查房屋数量的考虑，每个</w:t>
      </w:r>
      <w:r>
        <w:rPr>
          <w:rFonts w:hint="eastAsia" w:ascii="宋体" w:hAnsi="宋体" w:eastAsia="宋体" w:cs="宋体"/>
          <w:color w:val="auto"/>
          <w:sz w:val="21"/>
          <w:szCs w:val="21"/>
          <w:highlight w:val="none"/>
          <w:lang w:eastAsia="zh-CN"/>
        </w:rPr>
        <w:t>工作区域</w:t>
      </w:r>
      <w:r>
        <w:rPr>
          <w:rFonts w:hint="eastAsia" w:ascii="宋体" w:hAnsi="宋体" w:eastAsia="宋体" w:cs="宋体"/>
          <w:color w:val="auto"/>
          <w:sz w:val="21"/>
          <w:szCs w:val="21"/>
          <w:highlight w:val="none"/>
        </w:rPr>
        <w:t>应划分为至少二个片区并分别配备动态监测人员及片区管理员。</w:t>
      </w:r>
      <w:r>
        <w:rPr>
          <w:rFonts w:hint="eastAsia" w:ascii="宋体" w:hAnsi="宋体" w:eastAsia="宋体" w:cs="宋体"/>
          <w:b/>
          <w:color w:val="auto"/>
          <w:sz w:val="21"/>
          <w:szCs w:val="21"/>
          <w:highlight w:val="none"/>
        </w:rPr>
        <w:t>每一片区配备注册结构工程师或相关专业中级以上职称人员不少于</w:t>
      </w:r>
      <w:r>
        <w:rPr>
          <w:rFonts w:hint="eastAsia" w:ascii="宋体" w:hAnsi="宋体" w:eastAsia="宋体" w:cs="宋体"/>
          <w:b/>
          <w:color w:val="auto"/>
          <w:sz w:val="21"/>
          <w:szCs w:val="21"/>
          <w:highlight w:val="none"/>
          <w:lang w:val="en-US" w:eastAsia="zh-CN"/>
        </w:rPr>
        <w:t>1</w:t>
      </w:r>
      <w:r>
        <w:rPr>
          <w:rFonts w:hint="eastAsia" w:ascii="宋体" w:hAnsi="宋体" w:eastAsia="宋体" w:cs="宋体"/>
          <w:b/>
          <w:color w:val="auto"/>
          <w:sz w:val="21"/>
          <w:szCs w:val="21"/>
          <w:highlight w:val="none"/>
        </w:rPr>
        <w:t>人，其他相关专业人员不少于</w:t>
      </w:r>
      <w:r>
        <w:rPr>
          <w:rFonts w:hint="eastAsia" w:ascii="宋体" w:hAnsi="宋体" w:eastAsia="宋体" w:cs="宋体"/>
          <w:b/>
          <w:color w:val="auto"/>
          <w:sz w:val="21"/>
          <w:szCs w:val="21"/>
          <w:highlight w:val="none"/>
          <w:lang w:val="en-US" w:eastAsia="zh-CN"/>
        </w:rPr>
        <w:t>4</w:t>
      </w:r>
      <w:r>
        <w:rPr>
          <w:rFonts w:hint="eastAsia" w:ascii="宋体" w:hAnsi="宋体" w:eastAsia="宋体" w:cs="宋体"/>
          <w:b/>
          <w:color w:val="auto"/>
          <w:sz w:val="21"/>
          <w:szCs w:val="21"/>
          <w:highlight w:val="none"/>
        </w:rPr>
        <w:t>人。（注：相关专业仅指结构工程、建筑工程、工民建、土木工程专业）</w:t>
      </w:r>
      <w:r>
        <w:rPr>
          <w:rFonts w:hint="eastAsia" w:ascii="宋体" w:hAnsi="宋体" w:eastAsia="宋体" w:cs="宋体"/>
          <w:color w:val="auto"/>
          <w:sz w:val="21"/>
          <w:szCs w:val="21"/>
          <w:highlight w:val="none"/>
        </w:rPr>
        <w:t>房屋动态安全监测单位应具备现场判断装修行为对结构影响性质的人员，为本项目配备的一级注册结构工程师不少于</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 xml:space="preserve">人。 </w:t>
      </w:r>
    </w:p>
    <w:p>
      <w:pPr>
        <w:adjustRightInd/>
        <w:spacing w:line="440" w:lineRule="exact"/>
        <w:ind w:firstLine="420"/>
        <w:rPr>
          <w:rFonts w:hint="eastAsia" w:ascii="宋体" w:hAnsi="宋体" w:eastAsia="宋体" w:cs="宋体"/>
          <w:b/>
          <w:color w:val="auto"/>
          <w:kern w:val="0"/>
          <w:sz w:val="21"/>
          <w:szCs w:val="21"/>
          <w:highlight w:val="none"/>
        </w:rPr>
      </w:pPr>
      <w:r>
        <w:rPr>
          <w:rFonts w:hint="eastAsia" w:ascii="宋体" w:hAnsi="宋体" w:eastAsia="宋体" w:cs="宋体"/>
          <w:color w:val="auto"/>
          <w:sz w:val="21"/>
          <w:szCs w:val="21"/>
          <w:highlight w:val="none"/>
        </w:rPr>
        <w:t>▲房屋动态安全监测单位应在合同签订前将人员配备齐全并报</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审核同意，如人员配备达不到要求，</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不予同意签订合同，由此造成的一切损失由房屋动态安全监测单位承担</w:t>
      </w:r>
    </w:p>
    <w:p>
      <w:pPr>
        <w:adjustRightInd/>
        <w:spacing w:line="440" w:lineRule="exact"/>
        <w:ind w:firstLine="420"/>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（四）城镇住房安全监测系统</w:t>
      </w:r>
    </w:p>
    <w:p>
      <w:pPr>
        <w:adjustRightInd/>
        <w:spacing w:line="440" w:lineRule="exact"/>
        <w:ind w:firstLine="42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本项目要求</w:t>
      </w:r>
      <w:r>
        <w:rPr>
          <w:rFonts w:hint="eastAsia" w:ascii="宋体" w:hAnsi="宋体" w:cs="宋体"/>
          <w:color w:val="auto"/>
          <w:kern w:val="0"/>
          <w:sz w:val="21"/>
          <w:szCs w:val="21"/>
          <w:highlight w:val="none"/>
          <w:lang w:eastAsia="zh-CN"/>
        </w:rPr>
        <w:t>乙方</w:t>
      </w:r>
      <w:r>
        <w:rPr>
          <w:rFonts w:hint="eastAsia" w:ascii="宋体" w:hAnsi="宋体" w:eastAsia="宋体" w:cs="宋体"/>
          <w:color w:val="auto"/>
          <w:kern w:val="0"/>
          <w:sz w:val="21"/>
          <w:szCs w:val="21"/>
          <w:highlight w:val="none"/>
        </w:rPr>
        <w:t>具有可满足房屋安全动态监测需要的城房安全动态监控系统平台。利用互联网技术，为辖区内的被监测房屋建立完整的档案，以便分析房屋的危险发展趋势。</w:t>
      </w:r>
      <w:r>
        <w:rPr>
          <w:rFonts w:hint="eastAsia" w:ascii="宋体" w:hAnsi="宋体" w:eastAsia="宋体" w:cs="宋体"/>
          <w:color w:val="auto"/>
          <w:kern w:val="0"/>
          <w:sz w:val="21"/>
          <w:szCs w:val="21"/>
          <w:highlight w:val="none"/>
          <w:lang w:eastAsia="zh-CN"/>
        </w:rPr>
        <w:t>乙方</w:t>
      </w:r>
      <w:r>
        <w:rPr>
          <w:rFonts w:hint="eastAsia" w:ascii="宋体" w:hAnsi="宋体" w:eastAsia="宋体" w:cs="宋体"/>
          <w:color w:val="auto"/>
          <w:kern w:val="0"/>
          <w:sz w:val="21"/>
          <w:szCs w:val="21"/>
          <w:highlight w:val="none"/>
        </w:rPr>
        <w:t>须在合同签订前提供符合要求的房屋安全动态监测系统，如不能完成，</w:t>
      </w:r>
      <w:r>
        <w:rPr>
          <w:rFonts w:hint="eastAsia" w:ascii="宋体" w:hAnsi="宋体" w:eastAsia="宋体" w:cs="宋体"/>
          <w:color w:val="auto"/>
          <w:kern w:val="0"/>
          <w:sz w:val="21"/>
          <w:szCs w:val="21"/>
          <w:highlight w:val="none"/>
          <w:lang w:eastAsia="zh-CN"/>
        </w:rPr>
        <w:t>甲方</w:t>
      </w:r>
      <w:r>
        <w:rPr>
          <w:rFonts w:hint="eastAsia" w:ascii="宋体" w:hAnsi="宋体" w:eastAsia="宋体" w:cs="宋体"/>
          <w:color w:val="auto"/>
          <w:kern w:val="0"/>
          <w:sz w:val="21"/>
          <w:szCs w:val="21"/>
          <w:highlight w:val="none"/>
        </w:rPr>
        <w:t>不予同意签订合同，并视</w:t>
      </w:r>
      <w:r>
        <w:rPr>
          <w:rFonts w:hint="eastAsia" w:ascii="宋体" w:hAnsi="宋体" w:eastAsia="宋体" w:cs="宋体"/>
          <w:color w:val="auto"/>
          <w:kern w:val="0"/>
          <w:sz w:val="21"/>
          <w:szCs w:val="21"/>
          <w:highlight w:val="none"/>
          <w:lang w:eastAsia="zh-CN"/>
        </w:rPr>
        <w:t>乙方</w:t>
      </w:r>
      <w:r>
        <w:rPr>
          <w:rFonts w:hint="eastAsia" w:ascii="宋体" w:hAnsi="宋体" w:eastAsia="宋体" w:cs="宋体"/>
          <w:color w:val="auto"/>
          <w:kern w:val="0"/>
          <w:sz w:val="21"/>
          <w:szCs w:val="21"/>
          <w:highlight w:val="none"/>
        </w:rPr>
        <w:t>违约，由此造成的一切损失由</w:t>
      </w:r>
      <w:r>
        <w:rPr>
          <w:rFonts w:hint="eastAsia" w:ascii="宋体" w:hAnsi="宋体" w:eastAsia="宋体" w:cs="宋体"/>
          <w:color w:val="auto"/>
          <w:kern w:val="0"/>
          <w:sz w:val="21"/>
          <w:szCs w:val="21"/>
          <w:highlight w:val="none"/>
          <w:lang w:eastAsia="zh-CN"/>
        </w:rPr>
        <w:t>乙方</w:t>
      </w:r>
      <w:r>
        <w:rPr>
          <w:rFonts w:hint="eastAsia" w:ascii="宋体" w:hAnsi="宋体" w:eastAsia="宋体" w:cs="宋体"/>
          <w:color w:val="auto"/>
          <w:kern w:val="0"/>
          <w:sz w:val="21"/>
          <w:szCs w:val="21"/>
          <w:highlight w:val="none"/>
        </w:rPr>
        <w:t>承担。</w:t>
      </w:r>
    </w:p>
    <w:p>
      <w:pPr>
        <w:widowControl/>
        <w:spacing w:line="440" w:lineRule="exact"/>
        <w:ind w:right="45" w:firstLine="420"/>
        <w:rPr>
          <w:rFonts w:hint="eastAsia" w:ascii="宋体" w:hAnsi="宋体" w:eastAsia="宋体" w:cs="宋体"/>
          <w:bCs/>
          <w:color w:val="auto"/>
          <w:kern w:val="0"/>
          <w:sz w:val="21"/>
          <w:szCs w:val="21"/>
          <w:highlight w:val="none"/>
          <w:lang w:val="zh-CN"/>
        </w:rPr>
      </w:pPr>
      <w:r>
        <w:rPr>
          <w:rFonts w:hint="eastAsia" w:ascii="宋体" w:hAnsi="宋体" w:eastAsia="宋体" w:cs="宋体"/>
          <w:bCs/>
          <w:color w:val="auto"/>
          <w:kern w:val="0"/>
          <w:sz w:val="21"/>
          <w:szCs w:val="21"/>
          <w:highlight w:val="none"/>
        </w:rPr>
        <w:t>1、</w:t>
      </w:r>
      <w:r>
        <w:rPr>
          <w:rFonts w:hint="eastAsia" w:ascii="宋体" w:hAnsi="宋体" w:eastAsia="宋体" w:cs="宋体"/>
          <w:bCs/>
          <w:color w:val="auto"/>
          <w:kern w:val="0"/>
          <w:sz w:val="21"/>
          <w:szCs w:val="21"/>
          <w:highlight w:val="none"/>
          <w:lang w:val="zh-CN"/>
        </w:rPr>
        <w:t>系统平台建设</w:t>
      </w:r>
    </w:p>
    <w:p>
      <w:pPr>
        <w:widowControl/>
        <w:spacing w:line="440" w:lineRule="exact"/>
        <w:ind w:right="45" w:firstLine="420"/>
        <w:rPr>
          <w:rFonts w:hint="eastAsia" w:ascii="宋体" w:hAnsi="宋体" w:eastAsia="宋体" w:cs="宋体"/>
          <w:bCs/>
          <w:color w:val="auto"/>
          <w:kern w:val="0"/>
          <w:sz w:val="21"/>
          <w:szCs w:val="21"/>
          <w:highlight w:val="none"/>
          <w:lang w:val="zh-CN"/>
        </w:rPr>
      </w:pPr>
      <w:r>
        <w:rPr>
          <w:rFonts w:hint="eastAsia" w:ascii="宋体" w:hAnsi="宋体" w:eastAsia="宋体" w:cs="宋体"/>
          <w:bCs/>
          <w:color w:val="auto"/>
          <w:kern w:val="0"/>
          <w:sz w:val="21"/>
          <w:szCs w:val="21"/>
          <w:highlight w:val="none"/>
          <w:lang w:val="zh-CN"/>
        </w:rPr>
        <w:t>系统应用及后台管理程序应实现的核心功能：1）系统支持对房屋地图的图斑数据进行在线编辑；2）</w:t>
      </w:r>
      <w:r>
        <w:rPr>
          <w:rFonts w:hint="eastAsia" w:ascii="宋体" w:hAnsi="宋体" w:eastAsia="宋体" w:cs="宋体"/>
          <w:bCs/>
          <w:color w:val="auto"/>
          <w:kern w:val="0"/>
          <w:sz w:val="21"/>
          <w:szCs w:val="21"/>
          <w:highlight w:val="none"/>
          <w:lang w:val="zh-CN" w:eastAsia="zh-CN"/>
        </w:rPr>
        <w:t>系统</w:t>
      </w:r>
      <w:r>
        <w:rPr>
          <w:rFonts w:hint="eastAsia" w:ascii="宋体" w:hAnsi="宋体" w:eastAsia="宋体" w:cs="宋体"/>
          <w:bCs/>
          <w:color w:val="auto"/>
          <w:kern w:val="0"/>
          <w:sz w:val="21"/>
          <w:szCs w:val="21"/>
          <w:highlight w:val="none"/>
          <w:lang w:val="zh-CN"/>
        </w:rPr>
        <w:t>支持对房屋图斑进行集中展示；3）</w:t>
      </w:r>
      <w:r>
        <w:rPr>
          <w:rFonts w:hint="eastAsia" w:ascii="宋体" w:hAnsi="宋体" w:eastAsia="宋体" w:cs="宋体"/>
          <w:bCs/>
          <w:color w:val="auto"/>
          <w:kern w:val="0"/>
          <w:sz w:val="21"/>
          <w:szCs w:val="21"/>
          <w:highlight w:val="none"/>
          <w:lang w:val="zh-CN" w:eastAsia="zh-CN"/>
        </w:rPr>
        <w:t>系统</w:t>
      </w:r>
      <w:r>
        <w:rPr>
          <w:rFonts w:hint="eastAsia" w:ascii="宋体" w:hAnsi="宋体" w:eastAsia="宋体" w:cs="宋体"/>
          <w:bCs/>
          <w:color w:val="auto"/>
          <w:kern w:val="0"/>
          <w:sz w:val="21"/>
          <w:szCs w:val="21"/>
          <w:highlight w:val="none"/>
          <w:lang w:val="zh-CN"/>
        </w:rPr>
        <w:t>能对监测数据实时上传；4）</w:t>
      </w:r>
      <w:r>
        <w:rPr>
          <w:rFonts w:hint="eastAsia" w:ascii="宋体" w:hAnsi="宋体" w:eastAsia="宋体" w:cs="宋体"/>
          <w:bCs/>
          <w:color w:val="auto"/>
          <w:kern w:val="0"/>
          <w:sz w:val="21"/>
          <w:szCs w:val="21"/>
          <w:highlight w:val="none"/>
          <w:lang w:val="zh-CN" w:eastAsia="zh-CN"/>
        </w:rPr>
        <w:t>系统</w:t>
      </w:r>
      <w:r>
        <w:rPr>
          <w:rFonts w:hint="eastAsia" w:ascii="宋体" w:hAnsi="宋体" w:eastAsia="宋体" w:cs="宋体"/>
          <w:bCs/>
          <w:color w:val="auto"/>
          <w:kern w:val="0"/>
          <w:sz w:val="21"/>
          <w:szCs w:val="21"/>
          <w:highlight w:val="none"/>
          <w:lang w:val="zh-CN"/>
        </w:rPr>
        <w:t>能对监测数据实现量化要求；</w:t>
      </w:r>
      <w:r>
        <w:rPr>
          <w:rFonts w:hint="eastAsia" w:ascii="宋体" w:hAnsi="宋体" w:eastAsia="宋体" w:cs="宋体"/>
          <w:bCs/>
          <w:color w:val="auto"/>
          <w:kern w:val="0"/>
          <w:sz w:val="21"/>
          <w:szCs w:val="21"/>
          <w:highlight w:val="none"/>
          <w:lang w:val="zh-CN" w:eastAsia="zh-CN"/>
        </w:rPr>
        <w:t>5）系统能对监测数据实现分级审批；6）系统可以提供巡检人员定位功能；7）可以提供巡检人员电子签到功能</w:t>
      </w:r>
      <w:r>
        <w:rPr>
          <w:rFonts w:hint="eastAsia" w:ascii="宋体" w:hAnsi="宋体" w:eastAsia="宋体" w:cs="宋体"/>
          <w:bCs/>
          <w:color w:val="auto"/>
          <w:kern w:val="0"/>
          <w:sz w:val="21"/>
          <w:szCs w:val="21"/>
          <w:highlight w:val="none"/>
          <w:lang w:val="zh-CN"/>
        </w:rPr>
        <w:t>。</w:t>
      </w:r>
    </w:p>
    <w:p>
      <w:pPr>
        <w:widowControl/>
        <w:spacing w:line="440" w:lineRule="exact"/>
        <w:ind w:right="45" w:firstLine="420" w:firstLineChars="200"/>
        <w:rPr>
          <w:rFonts w:hint="eastAsia" w:ascii="宋体" w:hAnsi="宋体" w:eastAsia="宋体" w:cs="宋体"/>
          <w:bCs/>
          <w:color w:val="auto"/>
          <w:kern w:val="0"/>
          <w:sz w:val="21"/>
          <w:szCs w:val="21"/>
          <w:highlight w:val="none"/>
          <w:lang w:val="zh-CN"/>
        </w:rPr>
      </w:pPr>
      <w:r>
        <w:rPr>
          <w:rFonts w:hint="eastAsia" w:ascii="宋体" w:hAnsi="宋体" w:cs="宋体"/>
          <w:bCs/>
          <w:color w:val="auto"/>
          <w:kern w:val="0"/>
          <w:sz w:val="21"/>
          <w:szCs w:val="21"/>
          <w:highlight w:val="none"/>
          <w:lang w:val="en-US" w:eastAsia="zh-CN"/>
        </w:rPr>
        <w:t>2、</w:t>
      </w:r>
      <w:r>
        <w:rPr>
          <w:rFonts w:hint="eastAsia" w:ascii="宋体" w:hAnsi="宋体" w:eastAsia="宋体" w:cs="宋体"/>
          <w:bCs/>
          <w:color w:val="auto"/>
          <w:kern w:val="0"/>
          <w:sz w:val="21"/>
          <w:szCs w:val="21"/>
          <w:highlight w:val="none"/>
          <w:lang w:val="zh-CN"/>
        </w:rPr>
        <w:t>房屋识别装置制作安装：由房屋动态安全监测单位负责根据监测房屋数量制作。</w:t>
      </w:r>
    </w:p>
    <w:p>
      <w:pPr>
        <w:widowControl/>
        <w:spacing w:line="440" w:lineRule="exact"/>
        <w:ind w:right="45" w:firstLine="420" w:firstLineChars="200"/>
        <w:rPr>
          <w:rFonts w:hint="eastAsia" w:ascii="宋体" w:hAnsi="宋体" w:eastAsia="宋体" w:cs="宋体"/>
          <w:bCs/>
          <w:color w:val="auto"/>
          <w:kern w:val="0"/>
          <w:sz w:val="21"/>
          <w:szCs w:val="21"/>
          <w:highlight w:val="none"/>
          <w:lang w:val="zh-CN"/>
        </w:rPr>
      </w:pPr>
      <w:r>
        <w:rPr>
          <w:rFonts w:hint="eastAsia" w:ascii="宋体" w:hAnsi="宋体" w:eastAsia="宋体" w:cs="宋体"/>
          <w:bCs/>
          <w:color w:val="auto"/>
          <w:kern w:val="0"/>
          <w:sz w:val="21"/>
          <w:szCs w:val="21"/>
          <w:highlight w:val="none"/>
          <w:lang w:val="en-US" w:eastAsia="zh-CN"/>
        </w:rPr>
        <w:t>3</w:t>
      </w:r>
      <w:r>
        <w:rPr>
          <w:rFonts w:hint="eastAsia" w:ascii="宋体" w:hAnsi="宋体" w:cs="宋体"/>
          <w:bCs/>
          <w:color w:val="auto"/>
          <w:kern w:val="0"/>
          <w:sz w:val="21"/>
          <w:szCs w:val="21"/>
          <w:highlight w:val="none"/>
          <w:lang w:val="en-US" w:eastAsia="zh-CN"/>
        </w:rPr>
        <w:t>、</w:t>
      </w:r>
      <w:r>
        <w:rPr>
          <w:rFonts w:hint="eastAsia" w:ascii="宋体" w:hAnsi="宋体" w:eastAsia="宋体" w:cs="宋体"/>
          <w:bCs/>
          <w:color w:val="auto"/>
          <w:kern w:val="0"/>
          <w:sz w:val="21"/>
          <w:szCs w:val="21"/>
          <w:highlight w:val="none"/>
          <w:lang w:val="zh-CN"/>
        </w:rPr>
        <w:t>网络与服务器：满足系统使用要求，并可按甲方实际使用需求进行扩展。</w:t>
      </w:r>
    </w:p>
    <w:p>
      <w:pPr>
        <w:widowControl/>
        <w:spacing w:line="440" w:lineRule="exact"/>
        <w:ind w:right="45" w:firstLine="420" w:firstLineChars="200"/>
        <w:rPr>
          <w:rFonts w:hint="eastAsia" w:ascii="宋体" w:hAnsi="宋体" w:eastAsia="宋体" w:cs="宋体"/>
          <w:bCs/>
          <w:color w:val="auto"/>
          <w:kern w:val="0"/>
          <w:sz w:val="21"/>
          <w:szCs w:val="21"/>
          <w:highlight w:val="none"/>
          <w:lang w:val="zh-CN"/>
        </w:rPr>
      </w:pPr>
      <w:r>
        <w:rPr>
          <w:rFonts w:hint="eastAsia" w:ascii="宋体" w:hAnsi="宋体" w:eastAsia="宋体" w:cs="宋体"/>
          <w:bCs/>
          <w:color w:val="auto"/>
          <w:kern w:val="0"/>
          <w:sz w:val="21"/>
          <w:szCs w:val="21"/>
          <w:highlight w:val="none"/>
          <w:lang w:val="en-US" w:eastAsia="zh-CN"/>
        </w:rPr>
        <w:t>4</w:t>
      </w:r>
      <w:r>
        <w:rPr>
          <w:rFonts w:hint="eastAsia" w:ascii="宋体" w:hAnsi="宋体" w:cs="宋体"/>
          <w:bCs/>
          <w:color w:val="auto"/>
          <w:kern w:val="0"/>
          <w:sz w:val="21"/>
          <w:szCs w:val="21"/>
          <w:highlight w:val="none"/>
          <w:lang w:val="en-US" w:eastAsia="zh-CN"/>
        </w:rPr>
        <w:t>、</w:t>
      </w:r>
      <w:r>
        <w:rPr>
          <w:rFonts w:hint="eastAsia" w:ascii="宋体" w:hAnsi="宋体" w:eastAsia="宋体" w:cs="宋体"/>
          <w:bCs/>
          <w:color w:val="auto"/>
          <w:kern w:val="0"/>
          <w:sz w:val="21"/>
          <w:szCs w:val="21"/>
          <w:highlight w:val="none"/>
          <w:lang w:val="zh-CN"/>
        </w:rPr>
        <w:t>其他要求：</w:t>
      </w:r>
    </w:p>
    <w:p>
      <w:pPr>
        <w:widowControl/>
        <w:spacing w:line="440" w:lineRule="exact"/>
        <w:ind w:right="45" w:firstLine="420" w:firstLineChars="200"/>
        <w:rPr>
          <w:rFonts w:hint="eastAsia" w:ascii="宋体" w:hAnsi="宋体" w:eastAsia="宋体" w:cs="宋体"/>
          <w:bCs/>
          <w:color w:val="auto"/>
          <w:kern w:val="0"/>
          <w:sz w:val="21"/>
          <w:szCs w:val="21"/>
          <w:highlight w:val="none"/>
          <w:lang w:val="zh-CN"/>
        </w:rPr>
      </w:pPr>
      <w:r>
        <w:rPr>
          <w:rFonts w:hint="eastAsia" w:ascii="宋体" w:hAnsi="宋体" w:eastAsia="宋体" w:cs="宋体"/>
          <w:bCs/>
          <w:color w:val="auto"/>
          <w:kern w:val="0"/>
          <w:sz w:val="21"/>
          <w:szCs w:val="21"/>
          <w:highlight w:val="none"/>
          <w:lang w:val="zh-CN"/>
        </w:rPr>
        <w:t>（</w:t>
      </w:r>
      <w:r>
        <w:rPr>
          <w:rFonts w:hint="eastAsia" w:ascii="宋体" w:hAnsi="宋体" w:eastAsia="宋体" w:cs="宋体"/>
          <w:bCs/>
          <w:color w:val="auto"/>
          <w:kern w:val="0"/>
          <w:sz w:val="21"/>
          <w:szCs w:val="21"/>
          <w:highlight w:val="none"/>
          <w:lang w:val="en-US" w:eastAsia="zh-CN"/>
        </w:rPr>
        <w:t>1</w:t>
      </w:r>
      <w:r>
        <w:rPr>
          <w:rFonts w:hint="eastAsia" w:ascii="宋体" w:hAnsi="宋体" w:eastAsia="宋体" w:cs="宋体"/>
          <w:bCs/>
          <w:color w:val="auto"/>
          <w:kern w:val="0"/>
          <w:sz w:val="21"/>
          <w:szCs w:val="21"/>
          <w:highlight w:val="none"/>
          <w:lang w:val="zh-CN"/>
        </w:rPr>
        <w:t>）提供一站式服务，配备专业服务队伍，负责业务使用培训、网络技术、维修等支撑服务。</w:t>
      </w:r>
    </w:p>
    <w:p>
      <w:pPr>
        <w:widowControl/>
        <w:spacing w:line="440" w:lineRule="exact"/>
        <w:ind w:right="45" w:firstLine="420" w:firstLineChars="200"/>
        <w:rPr>
          <w:rFonts w:hint="eastAsia" w:ascii="宋体" w:hAnsi="宋体" w:eastAsia="宋体" w:cs="宋体"/>
          <w:bCs/>
          <w:color w:val="auto"/>
          <w:kern w:val="0"/>
          <w:sz w:val="21"/>
          <w:szCs w:val="21"/>
          <w:highlight w:val="none"/>
          <w:lang w:val="zh-CN"/>
        </w:rPr>
      </w:pPr>
      <w:r>
        <w:rPr>
          <w:rFonts w:hint="eastAsia" w:ascii="宋体" w:hAnsi="宋体" w:eastAsia="宋体" w:cs="宋体"/>
          <w:bCs/>
          <w:color w:val="auto"/>
          <w:kern w:val="0"/>
          <w:sz w:val="21"/>
          <w:szCs w:val="21"/>
          <w:highlight w:val="none"/>
          <w:lang w:val="zh-CN"/>
        </w:rPr>
        <w:t>（</w:t>
      </w:r>
      <w:r>
        <w:rPr>
          <w:rFonts w:hint="eastAsia" w:ascii="宋体" w:hAnsi="宋体" w:eastAsia="宋体" w:cs="宋体"/>
          <w:bCs/>
          <w:color w:val="auto"/>
          <w:kern w:val="0"/>
          <w:sz w:val="21"/>
          <w:szCs w:val="21"/>
          <w:highlight w:val="none"/>
          <w:lang w:val="en-US" w:eastAsia="zh-CN"/>
        </w:rPr>
        <w:t>2</w:t>
      </w:r>
      <w:r>
        <w:rPr>
          <w:rFonts w:hint="eastAsia" w:ascii="宋体" w:hAnsi="宋体" w:eastAsia="宋体" w:cs="宋体"/>
          <w:bCs/>
          <w:color w:val="auto"/>
          <w:kern w:val="0"/>
          <w:sz w:val="21"/>
          <w:szCs w:val="21"/>
          <w:highlight w:val="none"/>
          <w:lang w:val="zh-CN"/>
        </w:rPr>
        <w:t>）为甲方房屋安全管理人员开设系统账户，使房屋安全管理人员通过系统远程管理和监督第三方专业监测机构的监测服务工作。</w:t>
      </w:r>
    </w:p>
    <w:p>
      <w:pPr>
        <w:widowControl/>
        <w:spacing w:line="440" w:lineRule="exact"/>
        <w:ind w:right="45" w:firstLine="420" w:firstLineChars="200"/>
        <w:rPr>
          <w:rFonts w:hint="eastAsia" w:ascii="宋体" w:hAnsi="宋体" w:eastAsia="宋体" w:cs="宋体"/>
          <w:bCs/>
          <w:color w:val="auto"/>
          <w:kern w:val="0"/>
          <w:sz w:val="21"/>
          <w:szCs w:val="21"/>
          <w:highlight w:val="none"/>
          <w:lang w:val="zh-CN"/>
        </w:rPr>
      </w:pPr>
      <w:r>
        <w:rPr>
          <w:rFonts w:hint="eastAsia" w:ascii="宋体" w:hAnsi="宋体" w:eastAsia="宋体" w:cs="宋体"/>
          <w:bCs/>
          <w:color w:val="auto"/>
          <w:kern w:val="0"/>
          <w:sz w:val="21"/>
          <w:szCs w:val="21"/>
          <w:highlight w:val="none"/>
          <w:lang w:val="zh-CN"/>
        </w:rPr>
        <w:t>（</w:t>
      </w:r>
      <w:r>
        <w:rPr>
          <w:rFonts w:hint="eastAsia" w:ascii="宋体" w:hAnsi="宋体" w:eastAsia="宋体" w:cs="宋体"/>
          <w:bCs/>
          <w:color w:val="auto"/>
          <w:kern w:val="0"/>
          <w:sz w:val="21"/>
          <w:szCs w:val="21"/>
          <w:highlight w:val="none"/>
          <w:lang w:val="en-US" w:eastAsia="zh-CN"/>
        </w:rPr>
        <w:t>3</w:t>
      </w:r>
      <w:r>
        <w:rPr>
          <w:rFonts w:hint="eastAsia" w:ascii="宋体" w:hAnsi="宋体" w:eastAsia="宋体" w:cs="宋体"/>
          <w:bCs/>
          <w:color w:val="auto"/>
          <w:kern w:val="0"/>
          <w:sz w:val="21"/>
          <w:szCs w:val="21"/>
          <w:highlight w:val="none"/>
          <w:lang w:val="zh-CN"/>
        </w:rPr>
        <w:t>）对于虽不属于乙方监测范围内的房屋，依据相关规定，甲方的房屋安全管理人员仍须进行动态监测的，可免费使用此系统。</w:t>
      </w:r>
    </w:p>
    <w:p>
      <w:pPr>
        <w:widowControl/>
        <w:spacing w:line="440" w:lineRule="exact"/>
        <w:ind w:right="45" w:firstLine="420" w:firstLineChars="200"/>
        <w:rPr>
          <w:rFonts w:hint="eastAsia" w:ascii="宋体" w:hAnsi="宋体" w:eastAsia="宋体" w:cs="宋体"/>
          <w:bCs/>
          <w:color w:val="auto"/>
          <w:kern w:val="0"/>
          <w:sz w:val="21"/>
          <w:szCs w:val="21"/>
          <w:highlight w:val="none"/>
          <w:lang w:val="zh-CN"/>
        </w:rPr>
      </w:pPr>
      <w:r>
        <w:rPr>
          <w:rFonts w:hint="eastAsia" w:ascii="宋体" w:hAnsi="宋体" w:eastAsia="宋体" w:cs="宋体"/>
          <w:bCs/>
          <w:color w:val="auto"/>
          <w:kern w:val="0"/>
          <w:sz w:val="21"/>
          <w:szCs w:val="21"/>
          <w:highlight w:val="none"/>
          <w:lang w:val="zh-CN"/>
        </w:rPr>
        <w:t>（</w:t>
      </w:r>
      <w:r>
        <w:rPr>
          <w:rFonts w:hint="eastAsia" w:ascii="宋体" w:hAnsi="宋体" w:eastAsia="宋体" w:cs="宋体"/>
          <w:bCs/>
          <w:color w:val="auto"/>
          <w:kern w:val="0"/>
          <w:sz w:val="21"/>
          <w:szCs w:val="21"/>
          <w:highlight w:val="none"/>
          <w:lang w:val="en-US" w:eastAsia="zh-CN"/>
        </w:rPr>
        <w:t>4</w:t>
      </w:r>
      <w:r>
        <w:rPr>
          <w:rFonts w:hint="eastAsia" w:ascii="宋体" w:hAnsi="宋体" w:eastAsia="宋体" w:cs="宋体"/>
          <w:bCs/>
          <w:color w:val="auto"/>
          <w:kern w:val="0"/>
          <w:sz w:val="21"/>
          <w:szCs w:val="21"/>
          <w:highlight w:val="none"/>
          <w:lang w:val="zh-CN"/>
        </w:rPr>
        <w:t>）建立危情预警和报告制度。当监测过程中发现房屋出现危险状况时，监控平台通过APP向甲方相关工作人员发出提醒通知。</w:t>
      </w:r>
    </w:p>
    <w:p>
      <w:pPr>
        <w:widowControl/>
        <w:spacing w:line="440" w:lineRule="exact"/>
        <w:ind w:right="45" w:firstLine="420" w:firstLineChars="200"/>
        <w:rPr>
          <w:rFonts w:hint="eastAsia" w:ascii="宋体" w:hAnsi="宋体" w:eastAsia="宋体" w:cs="宋体"/>
          <w:color w:val="auto"/>
          <w:sz w:val="21"/>
          <w:szCs w:val="21"/>
          <w:highlight w:val="none"/>
        </w:rPr>
      </w:pPr>
      <w:r>
        <w:rPr>
          <w:rFonts w:hint="eastAsia" w:ascii="宋体" w:hAnsi="宋体" w:eastAsia="宋体" w:cs="宋体"/>
          <w:bCs/>
          <w:color w:val="auto"/>
          <w:kern w:val="0"/>
          <w:sz w:val="21"/>
          <w:szCs w:val="21"/>
          <w:highlight w:val="none"/>
          <w:lang w:val="zh-CN"/>
        </w:rPr>
        <w:t>（</w:t>
      </w:r>
      <w:r>
        <w:rPr>
          <w:rFonts w:hint="eastAsia" w:ascii="宋体" w:hAnsi="宋体" w:eastAsia="宋体" w:cs="宋体"/>
          <w:bCs/>
          <w:color w:val="auto"/>
          <w:kern w:val="0"/>
          <w:sz w:val="21"/>
          <w:szCs w:val="21"/>
          <w:highlight w:val="none"/>
          <w:lang w:val="en-US" w:eastAsia="zh-CN"/>
        </w:rPr>
        <w:t>5</w:t>
      </w:r>
      <w:r>
        <w:rPr>
          <w:rFonts w:hint="eastAsia" w:ascii="宋体" w:hAnsi="宋体" w:eastAsia="宋体" w:cs="宋体"/>
          <w:bCs/>
          <w:color w:val="auto"/>
          <w:kern w:val="0"/>
          <w:sz w:val="21"/>
          <w:szCs w:val="21"/>
          <w:highlight w:val="none"/>
          <w:lang w:val="zh-CN"/>
        </w:rPr>
        <w:t>）房屋动态安全监测单位根据甲方需要，每年邀请有关专家对各街道内负责房屋使用安全网格化的管理人员进行房屋监测专业指导培训，提高管理人员的专业技能</w:t>
      </w:r>
      <w:r>
        <w:rPr>
          <w:rFonts w:hint="eastAsia" w:ascii="宋体" w:hAnsi="宋体" w:eastAsia="宋体" w:cs="宋体"/>
          <w:color w:val="auto"/>
          <w:sz w:val="21"/>
          <w:szCs w:val="21"/>
          <w:highlight w:val="none"/>
        </w:rPr>
        <w:t>。</w:t>
      </w:r>
    </w:p>
    <w:p>
      <w:pPr>
        <w:adjustRightInd/>
        <w:spacing w:line="440" w:lineRule="exact"/>
        <w:ind w:firstLine="411" w:firstLineChars="196"/>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5、甲、乙双方主要责任</w:t>
      </w:r>
    </w:p>
    <w:p>
      <w:pPr>
        <w:adjustRightInd/>
        <w:spacing w:line="44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5.1甲方责任</w:t>
      </w:r>
    </w:p>
    <w:p>
      <w:pPr>
        <w:adjustRightInd/>
        <w:spacing w:line="440" w:lineRule="exact"/>
        <w:ind w:firstLine="42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5.1.1安排各社区人员配合乙方入户检查，为乙方开展工作提供相关便利。</w:t>
      </w:r>
    </w:p>
    <w:p>
      <w:pPr>
        <w:adjustRightInd/>
        <w:spacing w:line="440" w:lineRule="exact"/>
        <w:ind w:firstLine="42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5.1.2做好对乙方工作的监督检查考核。</w:t>
      </w:r>
    </w:p>
    <w:p>
      <w:pPr>
        <w:adjustRightInd/>
        <w:spacing w:line="440" w:lineRule="exact"/>
        <w:ind w:firstLine="42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5.1.3做好居民工作，让居民及时提供室内裂缝位置，并为室内裂缝观测创造条件。</w:t>
      </w:r>
    </w:p>
    <w:p>
      <w:pPr>
        <w:adjustRightInd/>
        <w:spacing w:line="440" w:lineRule="exact"/>
        <w:ind w:firstLine="42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5.1.4按合同规定及时结算及支付合同价款。</w:t>
      </w:r>
    </w:p>
    <w:p>
      <w:pPr>
        <w:adjustRightInd/>
        <w:spacing w:line="44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5.2乙方责任</w:t>
      </w:r>
    </w:p>
    <w:p>
      <w:pPr>
        <w:adjustRightInd/>
        <w:spacing w:line="440" w:lineRule="exact"/>
        <w:ind w:firstLine="42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5.2.1组织、协调各专业单位完成上述工作，按合同约定的要求进行巡查、监测，保证数据真实可靠并及时提供工作成果报告。</w:t>
      </w:r>
    </w:p>
    <w:p>
      <w:pPr>
        <w:adjustRightInd/>
        <w:spacing w:line="440" w:lineRule="exact"/>
        <w:ind w:firstLine="42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5.2.2除提供甲方外，不对外发布各种数据和信息，包括住户。</w:t>
      </w:r>
    </w:p>
    <w:p>
      <w:pPr>
        <w:adjustRightInd/>
        <w:spacing w:line="440" w:lineRule="exact"/>
        <w:ind w:firstLine="42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5.2.3建筑物破坏起始点发生在外墙、楼梯间、已入户检查的室内结构及居民已经反映的危险点，因乙方工作不到位没有及时发现垮塌隐患的，应按相关政策及法律法规承担相关的责任。</w:t>
      </w:r>
    </w:p>
    <w:p>
      <w:pPr>
        <w:adjustRightInd/>
        <w:spacing w:line="440" w:lineRule="exact"/>
        <w:ind w:firstLine="42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5.2.4接受各属地街道、社区的监督管理。</w:t>
      </w:r>
    </w:p>
    <w:p>
      <w:pPr>
        <w:adjustRightInd/>
        <w:spacing w:line="440" w:lineRule="exact"/>
        <w:ind w:firstLine="42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5.2.5乙方在动态监测或应急施工等相关工作中应加强自身工作人员的安全生产教育培训，由此发生的一切人身意外等事故均有乙方自行承担。</w:t>
      </w:r>
    </w:p>
    <w:p>
      <w:pPr>
        <w:adjustRightInd/>
        <w:spacing w:line="440" w:lineRule="exact"/>
        <w:ind w:firstLine="42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5.2.6组建技术专家团队，提供相应咨询服务。</w:t>
      </w:r>
    </w:p>
    <w:p>
      <w:pPr>
        <w:adjustRightInd/>
        <w:spacing w:line="440" w:lineRule="exact"/>
        <w:ind w:firstLine="420"/>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6、成果文件要求</w:t>
      </w:r>
    </w:p>
    <w:p>
      <w:pPr>
        <w:adjustRightInd/>
        <w:spacing w:line="440" w:lineRule="exact"/>
        <w:ind w:firstLine="42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乙方应按国家规定和合同约定的技术规范、标准委托房屋动态安全监测单位进行监测服务。乙方按本合同约定要求向甲方交付监测服务文件，并对提交的监测服务文件的质量负责。约定要求如下：</w:t>
      </w:r>
    </w:p>
    <w:tbl>
      <w:tblPr>
        <w:tblStyle w:val="62"/>
        <w:tblW w:w="9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3165"/>
        <w:gridCol w:w="3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28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pacing w:beforeLines="0" w:afterLines="0" w:line="480" w:lineRule="exac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资料及文件名称</w:t>
            </w:r>
          </w:p>
        </w:tc>
        <w:tc>
          <w:tcPr>
            <w:tcW w:w="316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pacing w:beforeLines="0" w:afterLines="0" w:line="480" w:lineRule="exac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套数</w:t>
            </w:r>
          </w:p>
        </w:tc>
        <w:tc>
          <w:tcPr>
            <w:tcW w:w="301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pacing w:beforeLines="0" w:afterLines="0" w:line="480" w:lineRule="exac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提交日期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2880"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851"/>
              </w:tabs>
              <w:adjustRightInd w:val="0"/>
              <w:spacing w:beforeLines="0" w:afterLines="0" w:line="4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房屋安全动态月度监测报告</w:t>
            </w:r>
          </w:p>
        </w:tc>
        <w:tc>
          <w:tcPr>
            <w:tcW w:w="3165"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851"/>
              </w:tabs>
              <w:adjustRightInd w:val="0"/>
              <w:spacing w:beforeLines="0" w:afterLines="0" w:line="4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书面文本3套、电子文本1套</w:t>
            </w:r>
          </w:p>
        </w:tc>
        <w:tc>
          <w:tcPr>
            <w:tcW w:w="3013"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851"/>
              </w:tabs>
              <w:adjustRightInd w:val="0"/>
              <w:spacing w:beforeLines="0" w:afterLines="0" w:line="4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每月度结束后1周内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2880"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851"/>
              </w:tabs>
              <w:adjustRightInd w:val="0"/>
              <w:spacing w:beforeLines="0" w:afterLines="0" w:line="4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房屋安全动态季度监测报告</w:t>
            </w:r>
          </w:p>
        </w:tc>
        <w:tc>
          <w:tcPr>
            <w:tcW w:w="3165"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851"/>
              </w:tabs>
              <w:adjustRightInd w:val="0"/>
              <w:spacing w:beforeLines="0" w:afterLines="0" w:line="4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书面文本3套、电子文本1套</w:t>
            </w:r>
          </w:p>
        </w:tc>
        <w:tc>
          <w:tcPr>
            <w:tcW w:w="3013"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851"/>
              </w:tabs>
              <w:adjustRightInd w:val="0"/>
              <w:spacing w:beforeLines="0" w:afterLines="0" w:line="4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每季度结束后2周内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2880"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851"/>
              </w:tabs>
              <w:adjustRightInd w:val="0"/>
              <w:spacing w:beforeLines="0" w:afterLines="0" w:line="4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房屋安全动态年度监测报告</w:t>
            </w:r>
          </w:p>
        </w:tc>
        <w:tc>
          <w:tcPr>
            <w:tcW w:w="3165"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851"/>
              </w:tabs>
              <w:adjustRightInd w:val="0"/>
              <w:spacing w:beforeLines="0" w:afterLines="0" w:line="4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书面文本3套、电子文本1套</w:t>
            </w:r>
          </w:p>
        </w:tc>
        <w:tc>
          <w:tcPr>
            <w:tcW w:w="3013"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851"/>
              </w:tabs>
              <w:adjustRightInd w:val="0"/>
              <w:spacing w:beforeLines="0" w:afterLines="0" w:line="48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合同期结束后30日内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9058"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tabs>
                <w:tab w:val="left" w:pos="1212"/>
                <w:tab w:val="left" w:pos="3888"/>
              </w:tabs>
              <w:adjustRightInd w:val="0"/>
              <w:snapToGrid w:val="0"/>
              <w:spacing w:beforeLines="0" w:afterLines="0" w:line="48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注：1、</w:t>
            </w:r>
            <w:r>
              <w:rPr>
                <w:rFonts w:hint="eastAsia" w:ascii="宋体" w:hAnsi="宋体" w:eastAsia="宋体" w:cs="宋体"/>
                <w:color w:val="auto"/>
                <w:kern w:val="0"/>
                <w:sz w:val="21"/>
                <w:szCs w:val="21"/>
                <w:highlight w:val="none"/>
              </w:rPr>
              <w:t>房屋动态安全监测单位</w:t>
            </w:r>
            <w:r>
              <w:rPr>
                <w:rFonts w:hint="eastAsia" w:ascii="宋体" w:hAnsi="宋体" w:eastAsia="宋体" w:cs="宋体"/>
                <w:color w:val="auto"/>
                <w:sz w:val="21"/>
                <w:szCs w:val="21"/>
                <w:highlight w:val="none"/>
              </w:rPr>
              <w:t>在合同期限内须建立房屋安全管理专家组，为房屋使用安全管理提供技术咨询。</w:t>
            </w:r>
          </w:p>
          <w:p>
            <w:pPr>
              <w:widowControl/>
              <w:adjustRightInd w:val="0"/>
              <w:snapToGrid w:val="0"/>
              <w:spacing w:beforeLines="0" w:afterLines="0" w:line="440" w:lineRule="exact"/>
              <w:rPr>
                <w:rFonts w:hint="eastAsia" w:ascii="宋体" w:hAnsi="宋体" w:eastAsia="宋体" w:cs="宋体"/>
                <w:snapToGrid w:val="0"/>
                <w:color w:val="auto"/>
                <w:kern w:val="28"/>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snapToGrid w:val="0"/>
                <w:color w:val="auto"/>
                <w:kern w:val="28"/>
                <w:sz w:val="21"/>
                <w:szCs w:val="21"/>
                <w:highlight w:val="none"/>
              </w:rPr>
              <w:t>房屋动态安全监测单位</w:t>
            </w:r>
            <w:r>
              <w:rPr>
                <w:rFonts w:hint="eastAsia" w:ascii="宋体" w:hAnsi="宋体" w:eastAsia="宋体" w:cs="宋体"/>
                <w:color w:val="auto"/>
                <w:sz w:val="21"/>
                <w:szCs w:val="21"/>
                <w:highlight w:val="none"/>
              </w:rPr>
              <w:t>对监测服务文件出现的遗漏或错误负责修改或补充。月度监测报告主要包括被监测房屋当月的监测数据情况；季度监测报告及年度监测报告主要包括对分配的需监测房屋总体工作进度、累计监测次数、装修巡查户数、入户检测情况、报警情况等信息统计汇总，具体房屋的监测数据参见月度监测报告。</w:t>
            </w:r>
          </w:p>
        </w:tc>
      </w:tr>
    </w:tbl>
    <w:p>
      <w:pPr>
        <w:snapToGrid w:val="0"/>
        <w:spacing w:line="440" w:lineRule="exact"/>
        <w:ind w:firstLine="409" w:firstLineChars="195"/>
        <w:rPr>
          <w:rFonts w:hint="eastAsia"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7、应急抢修人员及物资配备</w:t>
      </w:r>
    </w:p>
    <w:p>
      <w:pPr>
        <w:snapToGrid w:val="0"/>
        <w:spacing w:line="440" w:lineRule="exact"/>
        <w:ind w:firstLine="409" w:firstLineChars="195"/>
        <w:rPr>
          <w:rFonts w:hint="default"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本项目要求每个工作区域房屋动态安全监测单位都具有10人（含）以上的应急抢修队伍及必要的物资准备，如遇房屋应急抢修，以上人员需要配合采购人开展相应工作；应急抢险人员应常驻在慈溪，能够在半小时内对采购人的通知做出响应并抵达抢修现场，并应明确姓名、联系电话、常住地址。合同期内，房屋动态安全监测单位须保证人员随叫随到。</w:t>
      </w:r>
    </w:p>
    <w:p>
      <w:pPr>
        <w:snapToGrid w:val="0"/>
        <w:spacing w:line="440" w:lineRule="exact"/>
        <w:ind w:firstLine="411" w:firstLineChars="195"/>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四、合同金额及支付方式</w:t>
      </w:r>
    </w:p>
    <w:p>
      <w:pPr>
        <w:snapToGrid w:val="0"/>
        <w:spacing w:line="440" w:lineRule="exact"/>
        <w:ind w:firstLine="413" w:firstLineChars="196"/>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（一）保险费及监测服务费</w:t>
      </w:r>
    </w:p>
    <w:p>
      <w:pPr>
        <w:snapToGrid w:val="0"/>
        <w:spacing w:line="440" w:lineRule="exact"/>
        <w:ind w:left="315" w:leftChars="150" w:firstLine="105" w:firstLineChars="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本合同金额为：（具体见合同费用清单）</w:t>
      </w:r>
    </w:p>
    <w:p>
      <w:pPr>
        <w:adjustRightInd/>
        <w:spacing w:line="440" w:lineRule="exact"/>
        <w:ind w:firstLine="420"/>
        <w:rPr>
          <w:rFonts w:hint="eastAsia" w:ascii="宋体" w:hAnsi="宋体" w:eastAsia="宋体" w:cs="宋体"/>
          <w:b/>
          <w:bCs/>
          <w:color w:val="auto"/>
          <w:kern w:val="0"/>
          <w:sz w:val="21"/>
          <w:szCs w:val="21"/>
          <w:highlight w:val="none"/>
        </w:rPr>
      </w:pPr>
      <w:r>
        <w:rPr>
          <w:rFonts w:hint="eastAsia" w:ascii="宋体" w:hAnsi="宋体" w:cs="宋体"/>
          <w:b/>
          <w:bCs/>
          <w:color w:val="auto"/>
          <w:kern w:val="0"/>
          <w:sz w:val="21"/>
          <w:szCs w:val="21"/>
          <w:highlight w:val="none"/>
          <w:lang w:eastAsia="zh-CN"/>
        </w:rPr>
        <w:t>（二）</w:t>
      </w:r>
      <w:r>
        <w:rPr>
          <w:rFonts w:hint="eastAsia" w:ascii="宋体" w:hAnsi="宋体" w:eastAsia="宋体" w:cs="宋体"/>
          <w:b/>
          <w:bCs/>
          <w:color w:val="auto"/>
          <w:kern w:val="0"/>
          <w:sz w:val="21"/>
          <w:szCs w:val="21"/>
          <w:highlight w:val="none"/>
        </w:rPr>
        <w:t>支付方式</w:t>
      </w:r>
    </w:p>
    <w:p>
      <w:pPr>
        <w:adjustRightInd/>
        <w:spacing w:line="440" w:lineRule="exact"/>
        <w:ind w:firstLine="42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本项目款项支付共分为综合保险费和动态监测费两部分：</w:t>
      </w:r>
    </w:p>
    <w:p>
      <w:pPr>
        <w:adjustRightInd/>
        <w:spacing w:line="440" w:lineRule="exact"/>
        <w:ind w:firstLine="42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1.综合保险</w:t>
      </w:r>
      <w:r>
        <w:rPr>
          <w:rFonts w:hint="eastAsia" w:ascii="宋体" w:hAnsi="宋体" w:eastAsia="宋体" w:cs="宋体"/>
          <w:color w:val="auto"/>
          <w:kern w:val="0"/>
          <w:sz w:val="21"/>
          <w:szCs w:val="21"/>
          <w:highlight w:val="none"/>
          <w:lang w:eastAsia="zh-CN"/>
        </w:rPr>
        <w:t>费</w:t>
      </w:r>
      <w:r>
        <w:rPr>
          <w:rFonts w:hint="eastAsia" w:ascii="宋体" w:hAnsi="宋体" w:eastAsia="宋体" w:cs="宋体"/>
          <w:color w:val="auto"/>
          <w:kern w:val="0"/>
          <w:sz w:val="21"/>
          <w:szCs w:val="21"/>
          <w:highlight w:val="none"/>
        </w:rPr>
        <w:t>：</w:t>
      </w:r>
    </w:p>
    <w:p>
      <w:pPr>
        <w:adjustRightInd/>
        <w:spacing w:line="440" w:lineRule="exact"/>
        <w:ind w:firstLine="42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1.1.采购合同签订生效以及具备实施条件后7个工作日内，</w:t>
      </w:r>
      <w:r>
        <w:rPr>
          <w:rFonts w:hint="eastAsia" w:ascii="宋体" w:hAnsi="宋体" w:eastAsia="宋体" w:cs="宋体"/>
          <w:color w:val="auto"/>
          <w:kern w:val="0"/>
          <w:sz w:val="21"/>
          <w:szCs w:val="21"/>
          <w:highlight w:val="none"/>
          <w:lang w:eastAsia="zh-CN"/>
        </w:rPr>
        <w:t>甲方</w:t>
      </w:r>
      <w:r>
        <w:rPr>
          <w:rFonts w:hint="eastAsia" w:ascii="宋体" w:hAnsi="宋体" w:eastAsia="宋体" w:cs="宋体"/>
          <w:color w:val="auto"/>
          <w:kern w:val="0"/>
          <w:sz w:val="21"/>
          <w:szCs w:val="21"/>
          <w:highlight w:val="none"/>
        </w:rPr>
        <w:t>向</w:t>
      </w:r>
      <w:r>
        <w:rPr>
          <w:rFonts w:hint="eastAsia" w:ascii="宋体" w:hAnsi="宋体" w:eastAsia="宋体" w:cs="宋体"/>
          <w:color w:val="auto"/>
          <w:kern w:val="0"/>
          <w:sz w:val="21"/>
          <w:szCs w:val="21"/>
          <w:highlight w:val="none"/>
          <w:lang w:eastAsia="zh-CN"/>
        </w:rPr>
        <w:t>乙方</w:t>
      </w:r>
      <w:r>
        <w:rPr>
          <w:rFonts w:hint="eastAsia" w:ascii="宋体" w:hAnsi="宋体" w:eastAsia="宋体" w:cs="宋体"/>
          <w:color w:val="auto"/>
          <w:kern w:val="0"/>
          <w:sz w:val="21"/>
          <w:szCs w:val="21"/>
          <w:highlight w:val="none"/>
        </w:rPr>
        <w:t>支付中标保费金额的40%作为预付款（</w:t>
      </w:r>
      <w:r>
        <w:rPr>
          <w:rFonts w:hint="eastAsia" w:ascii="宋体" w:hAnsi="宋体" w:eastAsia="宋体" w:cs="宋体"/>
          <w:color w:val="auto"/>
          <w:kern w:val="0"/>
          <w:sz w:val="21"/>
          <w:szCs w:val="21"/>
          <w:highlight w:val="none"/>
          <w:lang w:eastAsia="zh-CN"/>
        </w:rPr>
        <w:t>乙方</w:t>
      </w:r>
      <w:r>
        <w:rPr>
          <w:rFonts w:hint="eastAsia" w:ascii="宋体" w:hAnsi="宋体" w:eastAsia="宋体" w:cs="宋体"/>
          <w:color w:val="auto"/>
          <w:kern w:val="0"/>
          <w:sz w:val="21"/>
          <w:szCs w:val="21"/>
          <w:highlight w:val="none"/>
        </w:rPr>
        <w:t>于合同签订前书面承诺放弃预付款或降低预付款支付比例的，可不适用本条款，具体支付方式由双方在合同签订中自行约定）；</w:t>
      </w:r>
    </w:p>
    <w:p>
      <w:pPr>
        <w:adjustRightInd/>
        <w:spacing w:line="440" w:lineRule="exact"/>
        <w:ind w:firstLine="42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1.2.服务满6个月，在当年度服务期第7个月的15日前，</w:t>
      </w:r>
      <w:r>
        <w:rPr>
          <w:rFonts w:hint="eastAsia" w:ascii="宋体" w:hAnsi="宋体" w:eastAsia="宋体" w:cs="宋体"/>
          <w:color w:val="auto"/>
          <w:kern w:val="0"/>
          <w:sz w:val="21"/>
          <w:szCs w:val="21"/>
          <w:highlight w:val="none"/>
          <w:lang w:eastAsia="zh-CN"/>
        </w:rPr>
        <w:t>甲方</w:t>
      </w:r>
      <w:r>
        <w:rPr>
          <w:rFonts w:hint="eastAsia" w:ascii="宋体" w:hAnsi="宋体" w:eastAsia="宋体" w:cs="宋体"/>
          <w:color w:val="auto"/>
          <w:kern w:val="0"/>
          <w:sz w:val="21"/>
          <w:szCs w:val="21"/>
          <w:highlight w:val="none"/>
        </w:rPr>
        <w:t>一次性支付剩余中标保费（无息）。</w:t>
      </w:r>
    </w:p>
    <w:p>
      <w:pPr>
        <w:adjustRightInd/>
        <w:spacing w:line="440" w:lineRule="exact"/>
        <w:ind w:firstLine="420"/>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注：若财政资金到位延迟的，</w:t>
      </w:r>
      <w:r>
        <w:rPr>
          <w:rFonts w:hint="eastAsia" w:ascii="宋体" w:hAnsi="宋体" w:eastAsia="宋体" w:cs="宋体"/>
          <w:color w:val="auto"/>
          <w:kern w:val="0"/>
          <w:sz w:val="21"/>
          <w:szCs w:val="21"/>
          <w:highlight w:val="none"/>
          <w:lang w:eastAsia="zh-CN"/>
        </w:rPr>
        <w:t>甲方</w:t>
      </w:r>
      <w:r>
        <w:rPr>
          <w:rFonts w:hint="eastAsia" w:ascii="宋体" w:hAnsi="宋体" w:eastAsia="宋体" w:cs="宋体"/>
          <w:color w:val="auto"/>
          <w:kern w:val="0"/>
          <w:sz w:val="21"/>
          <w:szCs w:val="21"/>
          <w:highlight w:val="none"/>
        </w:rPr>
        <w:t>将在资金到位后及时支付对应款项</w:t>
      </w:r>
      <w:r>
        <w:rPr>
          <w:rFonts w:hint="eastAsia" w:ascii="宋体" w:hAnsi="宋体" w:eastAsia="宋体" w:cs="宋体"/>
          <w:color w:val="auto"/>
          <w:kern w:val="0"/>
          <w:sz w:val="21"/>
          <w:szCs w:val="21"/>
          <w:highlight w:val="none"/>
          <w:lang w:eastAsia="zh-CN"/>
        </w:rPr>
        <w:t>。</w:t>
      </w:r>
    </w:p>
    <w:p>
      <w:pPr>
        <w:adjustRightInd/>
        <w:spacing w:line="440" w:lineRule="exact"/>
        <w:ind w:firstLine="42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2.动态监测费：[分项合同金额根据各乡镇（街道）实际监测房屋数量确定，各乡（街道）支付比例见下表1]</w:t>
      </w:r>
    </w:p>
    <w:p>
      <w:pPr>
        <w:adjustRightInd/>
        <w:spacing w:line="440" w:lineRule="exact"/>
        <w:ind w:firstLine="420"/>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2.1.采购合同签订生效以及具备实施条件后7个工作日内，甲方向乙方支付中标动态监测费金额的40%作为预付款（乙方于合同签订前书面承诺放弃预付款或降低预付款支付比例的，可不适用本条款，具体支付方式由双方在合同签订中自行约定）；</w:t>
      </w:r>
    </w:p>
    <w:p>
      <w:pPr>
        <w:adjustRightInd/>
        <w:spacing w:line="440" w:lineRule="exact"/>
        <w:ind w:firstLine="42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.服务满6个月，在当年度服务期第7个月的15日前，支付</w:t>
      </w:r>
      <w:r>
        <w:rPr>
          <w:rFonts w:hint="eastAsia" w:ascii="宋体" w:hAnsi="宋体" w:eastAsia="宋体" w:cs="宋体"/>
          <w:color w:val="auto"/>
          <w:kern w:val="0"/>
          <w:sz w:val="21"/>
          <w:szCs w:val="21"/>
          <w:highlight w:val="none"/>
          <w:lang w:eastAsia="zh-CN"/>
        </w:rPr>
        <w:t>至</w:t>
      </w:r>
      <w:r>
        <w:rPr>
          <w:rFonts w:hint="eastAsia" w:ascii="宋体" w:hAnsi="宋体" w:eastAsia="宋体" w:cs="宋体"/>
          <w:color w:val="auto"/>
          <w:kern w:val="0"/>
          <w:sz w:val="21"/>
          <w:szCs w:val="21"/>
          <w:highlight w:val="none"/>
        </w:rPr>
        <w:t>动态监测费</w:t>
      </w:r>
      <w:r>
        <w:rPr>
          <w:rFonts w:hint="eastAsia" w:ascii="宋体" w:hAnsi="宋体" w:eastAsia="宋体" w:cs="宋体"/>
          <w:color w:val="auto"/>
          <w:kern w:val="0"/>
          <w:sz w:val="21"/>
          <w:szCs w:val="21"/>
          <w:highlight w:val="none"/>
          <w:lang w:eastAsia="zh-CN"/>
        </w:rPr>
        <w:t>总金额</w:t>
      </w:r>
      <w:r>
        <w:rPr>
          <w:rFonts w:hint="eastAsia" w:ascii="宋体" w:hAnsi="宋体" w:eastAsia="宋体" w:cs="宋体"/>
          <w:color w:val="auto"/>
          <w:kern w:val="0"/>
          <w:sz w:val="21"/>
          <w:szCs w:val="21"/>
          <w:highlight w:val="none"/>
        </w:rPr>
        <w:t>的60%；</w:t>
      </w:r>
    </w:p>
    <w:p>
      <w:pPr>
        <w:adjustRightInd/>
        <w:spacing w:line="440" w:lineRule="exact"/>
        <w:ind w:firstLine="42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.根据前三季度考核情况，在第四季度初7个工作日内支付</w:t>
      </w:r>
      <w:r>
        <w:rPr>
          <w:rFonts w:hint="eastAsia" w:ascii="宋体" w:hAnsi="宋体" w:eastAsia="宋体" w:cs="宋体"/>
          <w:color w:val="auto"/>
          <w:kern w:val="0"/>
          <w:sz w:val="21"/>
          <w:szCs w:val="21"/>
          <w:highlight w:val="none"/>
          <w:lang w:eastAsia="zh-CN"/>
        </w:rPr>
        <w:t>至</w:t>
      </w:r>
      <w:r>
        <w:rPr>
          <w:rFonts w:hint="eastAsia" w:ascii="宋体" w:hAnsi="宋体" w:eastAsia="宋体" w:cs="宋体"/>
          <w:color w:val="auto"/>
          <w:kern w:val="0"/>
          <w:sz w:val="21"/>
          <w:szCs w:val="21"/>
          <w:highlight w:val="none"/>
        </w:rPr>
        <w:t>动态监测费</w:t>
      </w:r>
      <w:r>
        <w:rPr>
          <w:rFonts w:hint="eastAsia" w:ascii="宋体" w:hAnsi="宋体" w:eastAsia="宋体" w:cs="宋体"/>
          <w:color w:val="auto"/>
          <w:kern w:val="0"/>
          <w:sz w:val="21"/>
          <w:szCs w:val="21"/>
          <w:highlight w:val="none"/>
          <w:lang w:eastAsia="zh-CN"/>
        </w:rPr>
        <w:t>总金额</w:t>
      </w:r>
      <w:r>
        <w:rPr>
          <w:rFonts w:hint="eastAsia" w:ascii="宋体" w:hAnsi="宋体" w:eastAsia="宋体" w:cs="宋体"/>
          <w:color w:val="auto"/>
          <w:kern w:val="0"/>
          <w:sz w:val="21"/>
          <w:szCs w:val="21"/>
          <w:highlight w:val="none"/>
        </w:rPr>
        <w:t>的</w:t>
      </w:r>
      <w:r>
        <w:rPr>
          <w:rFonts w:hint="eastAsia" w:ascii="宋体" w:hAnsi="宋体" w:eastAsia="宋体" w:cs="宋体"/>
          <w:color w:val="auto"/>
          <w:kern w:val="0"/>
          <w:sz w:val="21"/>
          <w:szCs w:val="21"/>
          <w:highlight w:val="none"/>
          <w:lang w:val="en-US" w:eastAsia="zh-CN"/>
        </w:rPr>
        <w:t>9</w:t>
      </w:r>
      <w:r>
        <w:rPr>
          <w:rFonts w:hint="eastAsia" w:ascii="宋体" w:hAnsi="宋体" w:eastAsia="宋体" w:cs="宋体"/>
          <w:color w:val="auto"/>
          <w:kern w:val="0"/>
          <w:sz w:val="21"/>
          <w:szCs w:val="21"/>
          <w:highlight w:val="none"/>
        </w:rPr>
        <w:t>0%（考核不合格的情况除外）；</w:t>
      </w:r>
    </w:p>
    <w:p>
      <w:pPr>
        <w:adjustRightInd/>
        <w:spacing w:line="440" w:lineRule="exact"/>
        <w:ind w:firstLine="42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.剩余动态监测费于合同期满后7个工作日内一次性支付（无息）。</w:t>
      </w:r>
    </w:p>
    <w:p>
      <w:pPr>
        <w:adjustRightInd/>
        <w:spacing w:line="440" w:lineRule="exact"/>
        <w:ind w:firstLine="42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表一：慈溪市房产管理中心和镇／街道应付</w:t>
      </w:r>
      <w:r>
        <w:rPr>
          <w:rFonts w:hint="eastAsia" w:ascii="宋体" w:hAnsi="宋体" w:eastAsia="宋体" w:cs="宋体"/>
          <w:color w:val="auto"/>
          <w:kern w:val="0"/>
          <w:sz w:val="21"/>
          <w:szCs w:val="21"/>
          <w:highlight w:val="none"/>
          <w:lang w:eastAsia="zh-CN"/>
        </w:rPr>
        <w:t>乙方</w:t>
      </w:r>
      <w:r>
        <w:rPr>
          <w:rFonts w:hint="eastAsia" w:ascii="宋体" w:hAnsi="宋体" w:eastAsia="宋体" w:cs="宋体"/>
          <w:color w:val="auto"/>
          <w:kern w:val="0"/>
          <w:sz w:val="21"/>
          <w:szCs w:val="21"/>
          <w:highlight w:val="none"/>
        </w:rPr>
        <w:t>动态监测服务费比例表</w:t>
      </w:r>
    </w:p>
    <w:tbl>
      <w:tblPr>
        <w:tblStyle w:val="62"/>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1"/>
        <w:gridCol w:w="2964"/>
        <w:gridCol w:w="2051"/>
        <w:gridCol w:w="28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660"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629"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镇/街道</w:t>
            </w:r>
          </w:p>
          <w:p>
            <w:pPr>
              <w:adjustRightInd w:val="0"/>
              <w:spacing w:beforeLines="0" w:afterLines="0" w:line="28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名称</w:t>
            </w:r>
          </w:p>
        </w:tc>
        <w:tc>
          <w:tcPr>
            <w:tcW w:w="1127"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中心付</w:t>
            </w:r>
          </w:p>
          <w:p>
            <w:pPr>
              <w:adjustRightInd w:val="0"/>
              <w:spacing w:beforeLines="0" w:afterLines="0" w:line="28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款比例</w:t>
            </w:r>
          </w:p>
        </w:tc>
        <w:tc>
          <w:tcPr>
            <w:tcW w:w="1583"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镇/街道</w:t>
            </w:r>
          </w:p>
          <w:p>
            <w:pPr>
              <w:adjustRightInd w:val="0"/>
              <w:spacing w:beforeLines="0" w:afterLines="0" w:line="28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付款比例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660"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629"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观海卫镇</w:t>
            </w:r>
          </w:p>
        </w:tc>
        <w:tc>
          <w:tcPr>
            <w:tcW w:w="1127"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30</w:t>
            </w:r>
            <w:r>
              <w:rPr>
                <w:rFonts w:hint="eastAsia" w:ascii="宋体" w:hAnsi="宋体" w:eastAsia="宋体" w:cs="宋体"/>
                <w:color w:val="auto"/>
                <w:sz w:val="21"/>
                <w:szCs w:val="21"/>
                <w:highlight w:val="none"/>
                <w:lang w:eastAsia="zh-CN"/>
              </w:rPr>
              <w:t>%</w:t>
            </w:r>
          </w:p>
        </w:tc>
        <w:tc>
          <w:tcPr>
            <w:tcW w:w="1583"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70</w:t>
            </w:r>
            <w:r>
              <w:rPr>
                <w:rFonts w:hint="eastAsia" w:ascii="宋体" w:hAnsi="宋体" w:eastAsia="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 w:hRule="atLeast"/>
          <w:jc w:val="center"/>
        </w:trPr>
        <w:tc>
          <w:tcPr>
            <w:tcW w:w="660"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629"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横河镇</w:t>
            </w:r>
          </w:p>
        </w:tc>
        <w:tc>
          <w:tcPr>
            <w:tcW w:w="1127"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30</w:t>
            </w:r>
            <w:r>
              <w:rPr>
                <w:rFonts w:hint="eastAsia" w:ascii="宋体" w:hAnsi="宋体" w:eastAsia="宋体" w:cs="宋体"/>
                <w:color w:val="auto"/>
                <w:sz w:val="21"/>
                <w:szCs w:val="21"/>
                <w:highlight w:val="none"/>
                <w:lang w:eastAsia="zh-CN"/>
              </w:rPr>
              <w:t>%</w:t>
            </w:r>
          </w:p>
        </w:tc>
        <w:tc>
          <w:tcPr>
            <w:tcW w:w="1583"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70</w:t>
            </w:r>
            <w:r>
              <w:rPr>
                <w:rFonts w:hint="eastAsia" w:ascii="宋体" w:hAnsi="宋体" w:eastAsia="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 w:hRule="atLeast"/>
          <w:jc w:val="center"/>
        </w:trPr>
        <w:tc>
          <w:tcPr>
            <w:tcW w:w="660"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629"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龙山镇</w:t>
            </w:r>
          </w:p>
        </w:tc>
        <w:tc>
          <w:tcPr>
            <w:tcW w:w="1127"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30</w:t>
            </w:r>
            <w:r>
              <w:rPr>
                <w:rFonts w:hint="eastAsia" w:ascii="宋体" w:hAnsi="宋体" w:eastAsia="宋体" w:cs="宋体"/>
                <w:color w:val="auto"/>
                <w:sz w:val="21"/>
                <w:szCs w:val="21"/>
                <w:highlight w:val="none"/>
                <w:lang w:eastAsia="zh-CN"/>
              </w:rPr>
              <w:t>%</w:t>
            </w:r>
          </w:p>
        </w:tc>
        <w:tc>
          <w:tcPr>
            <w:tcW w:w="1583"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70</w:t>
            </w:r>
            <w:r>
              <w:rPr>
                <w:rFonts w:hint="eastAsia" w:ascii="宋体" w:hAnsi="宋体" w:eastAsia="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 w:hRule="atLeast"/>
          <w:jc w:val="center"/>
        </w:trPr>
        <w:tc>
          <w:tcPr>
            <w:tcW w:w="660"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1629"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桥头镇</w:t>
            </w:r>
          </w:p>
        </w:tc>
        <w:tc>
          <w:tcPr>
            <w:tcW w:w="1127"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30</w:t>
            </w:r>
            <w:r>
              <w:rPr>
                <w:rFonts w:hint="eastAsia" w:ascii="宋体" w:hAnsi="宋体" w:eastAsia="宋体" w:cs="宋体"/>
                <w:color w:val="auto"/>
                <w:sz w:val="21"/>
                <w:szCs w:val="21"/>
                <w:highlight w:val="none"/>
                <w:lang w:eastAsia="zh-CN"/>
              </w:rPr>
              <w:t>%</w:t>
            </w:r>
          </w:p>
        </w:tc>
        <w:tc>
          <w:tcPr>
            <w:tcW w:w="1583"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70</w:t>
            </w:r>
            <w:r>
              <w:rPr>
                <w:rFonts w:hint="eastAsia" w:ascii="宋体" w:hAnsi="宋体" w:eastAsia="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 w:hRule="atLeast"/>
          <w:jc w:val="center"/>
        </w:trPr>
        <w:tc>
          <w:tcPr>
            <w:tcW w:w="660"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1629"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浒山街道</w:t>
            </w:r>
          </w:p>
        </w:tc>
        <w:tc>
          <w:tcPr>
            <w:tcW w:w="1127"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50</w:t>
            </w:r>
            <w:r>
              <w:rPr>
                <w:rFonts w:hint="eastAsia" w:ascii="宋体" w:hAnsi="宋体" w:eastAsia="宋体" w:cs="宋体"/>
                <w:color w:val="auto"/>
                <w:sz w:val="21"/>
                <w:szCs w:val="21"/>
                <w:highlight w:val="none"/>
                <w:lang w:eastAsia="zh-CN"/>
              </w:rPr>
              <w:t>%</w:t>
            </w:r>
          </w:p>
        </w:tc>
        <w:tc>
          <w:tcPr>
            <w:tcW w:w="1583"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50</w:t>
            </w:r>
            <w:r>
              <w:rPr>
                <w:rFonts w:hint="eastAsia" w:ascii="宋体" w:hAnsi="宋体" w:eastAsia="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 w:hRule="atLeast"/>
          <w:jc w:val="center"/>
        </w:trPr>
        <w:tc>
          <w:tcPr>
            <w:tcW w:w="660"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1629"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掌起镇</w:t>
            </w:r>
          </w:p>
        </w:tc>
        <w:tc>
          <w:tcPr>
            <w:tcW w:w="1127"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30</w:t>
            </w:r>
            <w:r>
              <w:rPr>
                <w:rFonts w:hint="eastAsia" w:ascii="宋体" w:hAnsi="宋体" w:eastAsia="宋体" w:cs="宋体"/>
                <w:color w:val="auto"/>
                <w:sz w:val="21"/>
                <w:szCs w:val="21"/>
                <w:highlight w:val="none"/>
                <w:lang w:eastAsia="zh-CN"/>
              </w:rPr>
              <w:t>%</w:t>
            </w:r>
          </w:p>
        </w:tc>
        <w:tc>
          <w:tcPr>
            <w:tcW w:w="1583"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70</w:t>
            </w:r>
            <w:r>
              <w:rPr>
                <w:rFonts w:hint="eastAsia" w:ascii="宋体" w:hAnsi="宋体" w:eastAsia="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660"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1629"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匡堰镇</w:t>
            </w:r>
          </w:p>
        </w:tc>
        <w:tc>
          <w:tcPr>
            <w:tcW w:w="1127"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30</w:t>
            </w:r>
            <w:r>
              <w:rPr>
                <w:rFonts w:hint="eastAsia" w:ascii="宋体" w:hAnsi="宋体" w:eastAsia="宋体" w:cs="宋体"/>
                <w:color w:val="auto"/>
                <w:sz w:val="21"/>
                <w:szCs w:val="21"/>
                <w:highlight w:val="none"/>
                <w:lang w:eastAsia="zh-CN"/>
              </w:rPr>
              <w:t>%</w:t>
            </w:r>
          </w:p>
        </w:tc>
        <w:tc>
          <w:tcPr>
            <w:tcW w:w="1583"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70</w:t>
            </w:r>
            <w:r>
              <w:rPr>
                <w:rFonts w:hint="eastAsia" w:ascii="宋体" w:hAnsi="宋体" w:eastAsia="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 w:hRule="atLeast"/>
          <w:jc w:val="center"/>
        </w:trPr>
        <w:tc>
          <w:tcPr>
            <w:tcW w:w="660"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1629"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逍林镇</w:t>
            </w:r>
          </w:p>
        </w:tc>
        <w:tc>
          <w:tcPr>
            <w:tcW w:w="1127"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30</w:t>
            </w:r>
            <w:r>
              <w:rPr>
                <w:rFonts w:hint="eastAsia" w:ascii="宋体" w:hAnsi="宋体" w:eastAsia="宋体" w:cs="宋体"/>
                <w:color w:val="auto"/>
                <w:sz w:val="21"/>
                <w:szCs w:val="21"/>
                <w:highlight w:val="none"/>
                <w:lang w:eastAsia="zh-CN"/>
              </w:rPr>
              <w:t>%</w:t>
            </w:r>
          </w:p>
        </w:tc>
        <w:tc>
          <w:tcPr>
            <w:tcW w:w="1583"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70</w:t>
            </w:r>
            <w:r>
              <w:rPr>
                <w:rFonts w:hint="eastAsia" w:ascii="宋体" w:hAnsi="宋体" w:eastAsia="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 w:hRule="atLeast"/>
          <w:jc w:val="center"/>
        </w:trPr>
        <w:tc>
          <w:tcPr>
            <w:tcW w:w="660"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p>
        </w:tc>
        <w:tc>
          <w:tcPr>
            <w:tcW w:w="1629"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白沙路街道</w:t>
            </w:r>
          </w:p>
        </w:tc>
        <w:tc>
          <w:tcPr>
            <w:tcW w:w="1127"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50</w:t>
            </w:r>
            <w:r>
              <w:rPr>
                <w:rFonts w:hint="eastAsia" w:ascii="宋体" w:hAnsi="宋体" w:eastAsia="宋体" w:cs="宋体"/>
                <w:color w:val="auto"/>
                <w:sz w:val="21"/>
                <w:szCs w:val="21"/>
                <w:highlight w:val="none"/>
                <w:lang w:eastAsia="zh-CN"/>
              </w:rPr>
              <w:t>%</w:t>
            </w:r>
          </w:p>
        </w:tc>
        <w:tc>
          <w:tcPr>
            <w:tcW w:w="1583"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50</w:t>
            </w:r>
            <w:r>
              <w:rPr>
                <w:rFonts w:hint="eastAsia" w:ascii="宋体" w:hAnsi="宋体" w:eastAsia="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 w:hRule="atLeast"/>
          <w:jc w:val="center"/>
        </w:trPr>
        <w:tc>
          <w:tcPr>
            <w:tcW w:w="660"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1629"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长河镇</w:t>
            </w:r>
          </w:p>
        </w:tc>
        <w:tc>
          <w:tcPr>
            <w:tcW w:w="1127"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30</w:t>
            </w:r>
            <w:r>
              <w:rPr>
                <w:rFonts w:hint="eastAsia" w:ascii="宋体" w:hAnsi="宋体" w:eastAsia="宋体" w:cs="宋体"/>
                <w:color w:val="auto"/>
                <w:sz w:val="21"/>
                <w:szCs w:val="21"/>
                <w:highlight w:val="none"/>
                <w:lang w:eastAsia="zh-CN"/>
              </w:rPr>
              <w:t>%</w:t>
            </w:r>
          </w:p>
        </w:tc>
        <w:tc>
          <w:tcPr>
            <w:tcW w:w="1583"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70</w:t>
            </w:r>
            <w:r>
              <w:rPr>
                <w:rFonts w:hint="eastAsia" w:ascii="宋体" w:hAnsi="宋体" w:eastAsia="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 w:hRule="atLeast"/>
          <w:jc w:val="center"/>
        </w:trPr>
        <w:tc>
          <w:tcPr>
            <w:tcW w:w="660"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1629"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附海镇</w:t>
            </w:r>
          </w:p>
        </w:tc>
        <w:tc>
          <w:tcPr>
            <w:tcW w:w="1127"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30</w:t>
            </w:r>
            <w:r>
              <w:rPr>
                <w:rFonts w:hint="eastAsia" w:ascii="宋体" w:hAnsi="宋体" w:eastAsia="宋体" w:cs="宋体"/>
                <w:color w:val="auto"/>
                <w:sz w:val="21"/>
                <w:szCs w:val="21"/>
                <w:highlight w:val="none"/>
                <w:lang w:eastAsia="zh-CN"/>
              </w:rPr>
              <w:t>%</w:t>
            </w:r>
          </w:p>
        </w:tc>
        <w:tc>
          <w:tcPr>
            <w:tcW w:w="1583"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70</w:t>
            </w:r>
            <w:r>
              <w:rPr>
                <w:rFonts w:hint="eastAsia" w:ascii="宋体" w:hAnsi="宋体" w:eastAsia="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 w:hRule="atLeast"/>
          <w:jc w:val="center"/>
        </w:trPr>
        <w:tc>
          <w:tcPr>
            <w:tcW w:w="660"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p>
        </w:tc>
        <w:tc>
          <w:tcPr>
            <w:tcW w:w="1629"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古塘街道</w:t>
            </w:r>
          </w:p>
        </w:tc>
        <w:tc>
          <w:tcPr>
            <w:tcW w:w="1127"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50</w:t>
            </w:r>
            <w:r>
              <w:rPr>
                <w:rFonts w:hint="eastAsia" w:ascii="宋体" w:hAnsi="宋体" w:eastAsia="宋体" w:cs="宋体"/>
                <w:color w:val="auto"/>
                <w:sz w:val="21"/>
                <w:szCs w:val="21"/>
                <w:highlight w:val="none"/>
                <w:lang w:eastAsia="zh-CN"/>
              </w:rPr>
              <w:t>%</w:t>
            </w:r>
          </w:p>
        </w:tc>
        <w:tc>
          <w:tcPr>
            <w:tcW w:w="1583"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50</w:t>
            </w:r>
            <w:r>
              <w:rPr>
                <w:rFonts w:hint="eastAsia" w:ascii="宋体" w:hAnsi="宋体" w:eastAsia="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 w:hRule="atLeast"/>
          <w:jc w:val="center"/>
        </w:trPr>
        <w:tc>
          <w:tcPr>
            <w:tcW w:w="660"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w:t>
            </w:r>
          </w:p>
        </w:tc>
        <w:tc>
          <w:tcPr>
            <w:tcW w:w="1629"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坎墩街道</w:t>
            </w:r>
          </w:p>
        </w:tc>
        <w:tc>
          <w:tcPr>
            <w:tcW w:w="1127"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50</w:t>
            </w:r>
            <w:r>
              <w:rPr>
                <w:rFonts w:hint="eastAsia" w:ascii="宋体" w:hAnsi="宋体" w:eastAsia="宋体" w:cs="宋体"/>
                <w:color w:val="auto"/>
                <w:sz w:val="21"/>
                <w:szCs w:val="21"/>
                <w:highlight w:val="none"/>
                <w:lang w:eastAsia="zh-CN"/>
              </w:rPr>
              <w:t>%</w:t>
            </w:r>
          </w:p>
        </w:tc>
        <w:tc>
          <w:tcPr>
            <w:tcW w:w="1583"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50</w:t>
            </w:r>
            <w:r>
              <w:rPr>
                <w:rFonts w:hint="eastAsia" w:ascii="宋体" w:hAnsi="宋体" w:eastAsia="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 w:hRule="atLeast"/>
          <w:jc w:val="center"/>
        </w:trPr>
        <w:tc>
          <w:tcPr>
            <w:tcW w:w="660"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w:t>
            </w:r>
          </w:p>
        </w:tc>
        <w:tc>
          <w:tcPr>
            <w:tcW w:w="1629"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胜山镇</w:t>
            </w:r>
          </w:p>
        </w:tc>
        <w:tc>
          <w:tcPr>
            <w:tcW w:w="1127"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30</w:t>
            </w:r>
            <w:r>
              <w:rPr>
                <w:rFonts w:hint="eastAsia" w:ascii="宋体" w:hAnsi="宋体" w:eastAsia="宋体" w:cs="宋体"/>
                <w:color w:val="auto"/>
                <w:sz w:val="21"/>
                <w:szCs w:val="21"/>
                <w:highlight w:val="none"/>
                <w:lang w:eastAsia="zh-CN"/>
              </w:rPr>
              <w:t>%</w:t>
            </w:r>
          </w:p>
        </w:tc>
        <w:tc>
          <w:tcPr>
            <w:tcW w:w="1583"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70</w:t>
            </w:r>
            <w:r>
              <w:rPr>
                <w:rFonts w:hint="eastAsia" w:ascii="宋体" w:hAnsi="宋体" w:eastAsia="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jc w:val="center"/>
        </w:trPr>
        <w:tc>
          <w:tcPr>
            <w:tcW w:w="660"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c>
          <w:tcPr>
            <w:tcW w:w="1629"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新浦镇</w:t>
            </w:r>
          </w:p>
        </w:tc>
        <w:tc>
          <w:tcPr>
            <w:tcW w:w="1127"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30</w:t>
            </w:r>
            <w:r>
              <w:rPr>
                <w:rFonts w:hint="eastAsia" w:ascii="宋体" w:hAnsi="宋体" w:eastAsia="宋体" w:cs="宋体"/>
                <w:color w:val="auto"/>
                <w:sz w:val="21"/>
                <w:szCs w:val="21"/>
                <w:highlight w:val="none"/>
                <w:lang w:eastAsia="zh-CN"/>
              </w:rPr>
              <w:t>%</w:t>
            </w:r>
          </w:p>
        </w:tc>
        <w:tc>
          <w:tcPr>
            <w:tcW w:w="1583"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70</w:t>
            </w:r>
            <w:r>
              <w:rPr>
                <w:rFonts w:hint="eastAsia" w:ascii="宋体" w:hAnsi="宋体" w:eastAsia="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 w:hRule="atLeast"/>
          <w:jc w:val="center"/>
        </w:trPr>
        <w:tc>
          <w:tcPr>
            <w:tcW w:w="660"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w:t>
            </w:r>
          </w:p>
        </w:tc>
        <w:tc>
          <w:tcPr>
            <w:tcW w:w="1629"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周巷镇</w:t>
            </w:r>
          </w:p>
        </w:tc>
        <w:tc>
          <w:tcPr>
            <w:tcW w:w="1127"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30</w:t>
            </w:r>
            <w:r>
              <w:rPr>
                <w:rFonts w:hint="eastAsia" w:ascii="宋体" w:hAnsi="宋体" w:eastAsia="宋体" w:cs="宋体"/>
                <w:color w:val="auto"/>
                <w:sz w:val="21"/>
                <w:szCs w:val="21"/>
                <w:highlight w:val="none"/>
                <w:lang w:eastAsia="zh-CN"/>
              </w:rPr>
              <w:t>%</w:t>
            </w:r>
          </w:p>
        </w:tc>
        <w:tc>
          <w:tcPr>
            <w:tcW w:w="1583"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70</w:t>
            </w:r>
            <w:r>
              <w:rPr>
                <w:rFonts w:hint="eastAsia" w:ascii="宋体" w:hAnsi="宋体" w:eastAsia="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1" w:hRule="atLeast"/>
          <w:jc w:val="center"/>
        </w:trPr>
        <w:tc>
          <w:tcPr>
            <w:tcW w:w="660"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w:t>
            </w:r>
          </w:p>
        </w:tc>
        <w:tc>
          <w:tcPr>
            <w:tcW w:w="1629"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宗汉街道</w:t>
            </w:r>
          </w:p>
        </w:tc>
        <w:tc>
          <w:tcPr>
            <w:tcW w:w="1127"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30</w:t>
            </w:r>
            <w:r>
              <w:rPr>
                <w:rFonts w:hint="eastAsia" w:ascii="宋体" w:hAnsi="宋体" w:eastAsia="宋体" w:cs="宋体"/>
                <w:color w:val="auto"/>
                <w:sz w:val="21"/>
                <w:szCs w:val="21"/>
                <w:highlight w:val="none"/>
                <w:lang w:eastAsia="zh-CN"/>
              </w:rPr>
              <w:t>%</w:t>
            </w:r>
          </w:p>
        </w:tc>
        <w:tc>
          <w:tcPr>
            <w:tcW w:w="1583"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88"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70</w:t>
            </w:r>
            <w:r>
              <w:rPr>
                <w:rFonts w:hint="eastAsia" w:ascii="宋体" w:hAnsi="宋体" w:eastAsia="宋体" w:cs="宋体"/>
                <w:color w:val="auto"/>
                <w:sz w:val="21"/>
                <w:szCs w:val="21"/>
                <w:highlight w:val="none"/>
                <w:lang w:eastAsia="zh-CN"/>
              </w:rPr>
              <w:t>%</w:t>
            </w:r>
          </w:p>
        </w:tc>
      </w:tr>
    </w:tbl>
    <w:p>
      <w:pPr>
        <w:adjustRightInd/>
        <w:spacing w:line="420" w:lineRule="exact"/>
        <w:ind w:firstLine="420" w:firstLineChars="2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 xml:space="preserve">   备注：直管公房安全动态监测费用由慈溪市房屋管理中心按动态监测费用支付方式进行支付，与各乡镇（街道）无涉</w:t>
      </w:r>
      <w:r>
        <w:rPr>
          <w:rFonts w:hint="eastAsia" w:ascii="宋体" w:hAnsi="宋体" w:eastAsia="宋体" w:cs="宋体"/>
          <w:color w:val="auto"/>
          <w:kern w:val="0"/>
          <w:sz w:val="21"/>
          <w:szCs w:val="21"/>
          <w:highlight w:val="none"/>
        </w:rPr>
        <w:t>。</w:t>
      </w:r>
    </w:p>
    <w:p>
      <w:pPr>
        <w:adjustRightInd/>
        <w:spacing w:line="420" w:lineRule="exact"/>
        <w:ind w:firstLine="422" w:firstLineChars="200"/>
        <w:rPr>
          <w:rFonts w:hint="eastAsia" w:ascii="宋体" w:hAnsi="宋体" w:eastAsia="宋体" w:cs="宋体"/>
          <w:b/>
          <w:bCs/>
          <w:color w:val="auto"/>
          <w:sz w:val="21"/>
          <w:szCs w:val="21"/>
          <w:highlight w:val="none"/>
        </w:rPr>
      </w:pPr>
      <w:r>
        <w:rPr>
          <w:rFonts w:hint="eastAsia" w:ascii="宋体" w:hAnsi="宋体" w:cs="宋体"/>
          <w:b/>
          <w:bCs/>
          <w:color w:val="auto"/>
          <w:sz w:val="21"/>
          <w:szCs w:val="21"/>
          <w:highlight w:val="none"/>
          <w:lang w:eastAsia="zh-CN"/>
        </w:rPr>
        <w:t>五、</w:t>
      </w:r>
      <w:r>
        <w:rPr>
          <w:rFonts w:hint="eastAsia" w:ascii="宋体" w:hAnsi="宋体" w:eastAsia="宋体" w:cs="宋体"/>
          <w:b/>
          <w:bCs/>
          <w:color w:val="auto"/>
          <w:sz w:val="21"/>
          <w:szCs w:val="21"/>
          <w:highlight w:val="none"/>
        </w:rPr>
        <w:t>履约保证金</w:t>
      </w:r>
    </w:p>
    <w:p>
      <w:pPr>
        <w:adjustRightInd/>
        <w:spacing w:line="4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1.履约保证金金额：单年度合同总价的1%。</w:t>
      </w:r>
    </w:p>
    <w:p>
      <w:pPr>
        <w:adjustRightInd/>
        <w:spacing w:line="4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2.履约担保的形式：支票、汇票、本票或者金融机构、担保机构出具的保函等非现金形式提交。</w:t>
      </w:r>
    </w:p>
    <w:p>
      <w:pPr>
        <w:adjustRightInd/>
        <w:spacing w:line="4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3.提交时间：合同签订并具备实施条件后15个工作日内提交。</w:t>
      </w:r>
    </w:p>
    <w:p>
      <w:pPr>
        <w:adjustRightInd/>
        <w:spacing w:line="4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4.履约担保的退取：</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在</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履行完单个年度合同规定的所有义务并经</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验收通过后退还。</w:t>
      </w:r>
    </w:p>
    <w:p>
      <w:pPr>
        <w:adjustRightInd/>
        <w:spacing w:line="4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备注：①退还履约保证金时</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应向</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发起申请，</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在收到</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的退还履约保证金申请后7个工作日内一次性无息退还。②若</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未按合同条款或其投标文件提供服务的或经</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终验不通过的，</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有权全额扣罚履约保证金。③履约保证金的有效期：自履约保证金递交之日起至</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履行完单个年度合同规定的所有义务并经</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验收通过之日止。④若次年度续签合同的，则按此要求重新递交和退还履约保证金。</w:t>
      </w:r>
    </w:p>
    <w:p>
      <w:pPr>
        <w:snapToGrid w:val="0"/>
        <w:spacing w:line="44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六、监测及巡查考核</w:t>
      </w:r>
    </w:p>
    <w:p>
      <w:pPr>
        <w:adjustRightInd/>
        <w:spacing w:line="440" w:lineRule="exact"/>
        <w:ind w:firstLine="420" w:firstLineChars="200"/>
        <w:contextualSpacing/>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w:t>
      </w:r>
      <w:r>
        <w:rPr>
          <w:rFonts w:hint="eastAsia" w:ascii="宋体" w:hAnsi="宋体" w:eastAsia="宋体" w:cs="宋体"/>
          <w:color w:val="auto"/>
          <w:kern w:val="0"/>
          <w:sz w:val="21"/>
          <w:szCs w:val="21"/>
          <w:highlight w:val="none"/>
          <w:lang w:val="zh-CN"/>
        </w:rPr>
        <w:t>房屋动态安全监测单位应依合同的技术要求和实施方案实施监测服务，</w:t>
      </w:r>
      <w:r>
        <w:rPr>
          <w:rFonts w:hint="eastAsia" w:ascii="宋体" w:hAnsi="宋体" w:eastAsia="宋体" w:cs="宋体"/>
          <w:color w:val="auto"/>
          <w:kern w:val="0"/>
          <w:sz w:val="21"/>
          <w:szCs w:val="21"/>
          <w:highlight w:val="none"/>
          <w:lang w:eastAsia="zh-CN"/>
        </w:rPr>
        <w:t>保险公司</w:t>
      </w:r>
      <w:r>
        <w:rPr>
          <w:rFonts w:hint="eastAsia" w:ascii="宋体" w:hAnsi="宋体" w:eastAsia="宋体" w:cs="宋体"/>
          <w:color w:val="auto"/>
          <w:kern w:val="0"/>
          <w:sz w:val="21"/>
          <w:szCs w:val="21"/>
          <w:highlight w:val="none"/>
          <w:lang w:val="zh-CN"/>
        </w:rPr>
        <w:t>应根据采购文件及合同要求，定期对房屋动态安全监测单位进行督查考核，同时接受甲方和甲方各属地街道社区的监督管理，根据督查情况按季度对其实施考核，考核主要考察房屋动态安全监测单位对项目技术要求的落实情况，一次考核不符合要求的，将罚处项目服务费（房屋安全动态监测服务费）的2%，两次考核不符合要求的，将罚处项目服务费（房屋安全动态监测服务费）的5%，三次考核不符合要求的，</w:t>
      </w:r>
      <w:r>
        <w:rPr>
          <w:rFonts w:hint="eastAsia" w:ascii="宋体" w:hAnsi="宋体" w:eastAsia="宋体" w:cs="宋体"/>
          <w:color w:val="auto"/>
          <w:kern w:val="0"/>
          <w:sz w:val="21"/>
          <w:szCs w:val="21"/>
          <w:highlight w:val="none"/>
          <w:lang w:eastAsia="zh-CN"/>
        </w:rPr>
        <w:t>保险公司</w:t>
      </w:r>
      <w:r>
        <w:rPr>
          <w:rFonts w:hint="eastAsia" w:ascii="宋体" w:hAnsi="宋体" w:eastAsia="宋体" w:cs="宋体"/>
          <w:color w:val="auto"/>
          <w:kern w:val="0"/>
          <w:sz w:val="21"/>
          <w:szCs w:val="21"/>
          <w:highlight w:val="none"/>
          <w:lang w:val="zh-CN"/>
        </w:rPr>
        <w:t>必须取消其房屋使用安全动态监测项目服务资格，重新更换合格服务商</w:t>
      </w:r>
      <w:r>
        <w:rPr>
          <w:rFonts w:hint="eastAsia" w:ascii="宋体" w:hAnsi="宋体" w:eastAsia="宋体" w:cs="宋体"/>
          <w:color w:val="auto"/>
          <w:kern w:val="0"/>
          <w:sz w:val="21"/>
          <w:szCs w:val="21"/>
          <w:highlight w:val="none"/>
        </w:rPr>
        <w:t>。</w:t>
      </w:r>
    </w:p>
    <w:p>
      <w:pPr>
        <w:adjustRightInd/>
        <w:spacing w:line="440" w:lineRule="exact"/>
        <w:ind w:firstLine="420" w:firstLineChars="200"/>
        <w:contextualSpacing/>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eastAsia="zh-CN"/>
        </w:rPr>
        <w:t>甲方</w:t>
      </w:r>
      <w:r>
        <w:rPr>
          <w:rFonts w:hint="eastAsia" w:ascii="宋体" w:hAnsi="宋体" w:eastAsia="宋体" w:cs="宋体"/>
          <w:color w:val="auto"/>
          <w:kern w:val="0"/>
          <w:sz w:val="21"/>
          <w:szCs w:val="21"/>
          <w:highlight w:val="none"/>
        </w:rPr>
        <w:t>将不定期对房屋动态安全监测单位进行常驻专业技术人员的抽查，抽查人数少于10人的，第一次扣罚合同金额（房屋安全动态监测服务费）的10%，第二次</w:t>
      </w:r>
      <w:r>
        <w:rPr>
          <w:rFonts w:hint="eastAsia" w:ascii="宋体" w:hAnsi="宋体" w:eastAsia="宋体" w:cs="宋体"/>
          <w:color w:val="auto"/>
          <w:kern w:val="0"/>
          <w:sz w:val="21"/>
          <w:szCs w:val="21"/>
          <w:highlight w:val="none"/>
          <w:lang w:eastAsia="zh-CN"/>
        </w:rPr>
        <w:t>保险公司</w:t>
      </w:r>
      <w:r>
        <w:rPr>
          <w:rFonts w:hint="eastAsia" w:ascii="宋体" w:hAnsi="宋体" w:eastAsia="宋体" w:cs="宋体"/>
          <w:color w:val="auto"/>
          <w:kern w:val="0"/>
          <w:sz w:val="21"/>
          <w:szCs w:val="21"/>
          <w:highlight w:val="none"/>
        </w:rPr>
        <w:t>必须取消其房屋使用安全动态监测项目服务资格，重新更换合格服务商。</w:t>
      </w:r>
    </w:p>
    <w:p>
      <w:pPr>
        <w:adjustRightInd/>
        <w:spacing w:line="440" w:lineRule="exact"/>
        <w:ind w:firstLine="420" w:firstLineChars="200"/>
        <w:contextualSpacing/>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监测单位考核合格但有工作失误的，酌情进行扣罚，扣罚标准如下：</w:t>
      </w:r>
    </w:p>
    <w:tbl>
      <w:tblPr>
        <w:tblStyle w:val="62"/>
        <w:tblW w:w="924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1"/>
        <w:gridCol w:w="3255"/>
        <w:gridCol w:w="51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881" w:type="dxa"/>
            <w:tcBorders>
              <w:top w:val="single" w:color="000000" w:sz="4" w:space="0"/>
              <w:left w:val="single" w:color="000000" w:sz="4" w:space="0"/>
              <w:bottom w:val="single" w:color="000000" w:sz="4" w:space="0"/>
              <w:right w:val="single" w:color="auto" w:sz="4" w:space="0"/>
              <w:tl2br w:val="nil"/>
              <w:tr2bl w:val="nil"/>
            </w:tcBorders>
            <w:noWrap w:val="0"/>
            <w:tcMar>
              <w:top w:w="15" w:type="dxa"/>
              <w:left w:w="15" w:type="dxa"/>
              <w:bottom w:w="15" w:type="dxa"/>
              <w:right w:w="15" w:type="dxa"/>
            </w:tcMar>
            <w:vAlign w:val="center"/>
          </w:tcPr>
          <w:p>
            <w:pPr>
              <w:widowControl/>
              <w:adjustRightInd w:val="0"/>
              <w:spacing w:beforeLines="0" w:afterLines="0" w:line="320" w:lineRule="exact"/>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3255"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adjustRightInd w:val="0"/>
              <w:spacing w:beforeLines="0" w:afterLines="0" w:line="320" w:lineRule="exact"/>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rPr>
              <w:t>子项</w:t>
            </w:r>
          </w:p>
        </w:tc>
        <w:tc>
          <w:tcPr>
            <w:tcW w:w="510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widowControl/>
              <w:adjustRightInd w:val="0"/>
              <w:spacing w:beforeLines="0" w:afterLines="0" w:line="320" w:lineRule="exact"/>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rPr>
              <w:t>扣罚标准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81" w:type="dxa"/>
            <w:tcBorders>
              <w:top w:val="single" w:color="000000" w:sz="4" w:space="0"/>
              <w:left w:val="single" w:color="auto" w:sz="4" w:space="0"/>
              <w:bottom w:val="single" w:color="auto" w:sz="4" w:space="0"/>
              <w:right w:val="single" w:color="auto" w:sz="4" w:space="0"/>
              <w:tl2br w:val="nil"/>
              <w:tr2bl w:val="nil"/>
            </w:tcBorders>
            <w:noWrap w:val="0"/>
            <w:tcMar>
              <w:top w:w="15" w:type="dxa"/>
              <w:left w:w="15" w:type="dxa"/>
              <w:bottom w:w="15" w:type="dxa"/>
              <w:right w:w="15" w:type="dxa"/>
            </w:tcMar>
            <w:vAlign w:val="center"/>
          </w:tcPr>
          <w:p>
            <w:pPr>
              <w:adjustRightInd w:val="0"/>
              <w:spacing w:beforeLines="0" w:afterLines="0" w:line="240" w:lineRule="atLeas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3255"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adjustRightInd w:val="0"/>
              <w:spacing w:beforeLines="0" w:afterLines="0" w:line="240" w:lineRule="atLeas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多业主巡查（包括外观、入户）</w:t>
            </w:r>
          </w:p>
        </w:tc>
        <w:tc>
          <w:tcPr>
            <w:tcW w:w="510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40" w:lineRule="atLeas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外观巡查及入户不到位按每幢/次120元进行扣罚；入户率未达到合同要求按每少一户30元进行扣罚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jc w:val="center"/>
        </w:trPr>
        <w:tc>
          <w:tcPr>
            <w:tcW w:w="881"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15" w:type="dxa"/>
              <w:right w:w="15" w:type="dxa"/>
            </w:tcMar>
            <w:vAlign w:val="center"/>
          </w:tcPr>
          <w:p>
            <w:pPr>
              <w:adjustRightInd w:val="0"/>
              <w:spacing w:beforeLines="0" w:afterLines="0" w:line="240" w:lineRule="atLeas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3255"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adjustRightInd w:val="0"/>
              <w:spacing w:beforeLines="0" w:afterLines="0" w:line="240" w:lineRule="atLeas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应急巡查</w:t>
            </w:r>
          </w:p>
        </w:tc>
        <w:tc>
          <w:tcPr>
            <w:tcW w:w="510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40" w:lineRule="atLeas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应急巡查不到位或次数未达要求，按每幢/次110元进行扣罚；未按甲方要求开展应急排查，每次按10000-30000元酌情扣罚。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jc w:val="center"/>
        </w:trPr>
        <w:tc>
          <w:tcPr>
            <w:tcW w:w="881"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15" w:type="dxa"/>
              <w:right w:w="15" w:type="dxa"/>
            </w:tcMar>
            <w:vAlign w:val="center"/>
          </w:tcPr>
          <w:p>
            <w:pPr>
              <w:adjustRightInd w:val="0"/>
              <w:spacing w:beforeLines="0" w:afterLines="0" w:line="240" w:lineRule="atLeas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3255"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adjustRightInd w:val="0"/>
              <w:spacing w:beforeLines="0" w:afterLines="0" w:line="240" w:lineRule="atLeas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直管公房屋动态监测</w:t>
            </w:r>
          </w:p>
        </w:tc>
        <w:tc>
          <w:tcPr>
            <w:tcW w:w="510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40" w:lineRule="atLeas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巡查不到位按每幢/次110元进行扣罚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jc w:val="center"/>
        </w:trPr>
        <w:tc>
          <w:tcPr>
            <w:tcW w:w="881" w:type="dxa"/>
            <w:tcBorders>
              <w:top w:val="single" w:color="auto" w:sz="4" w:space="0"/>
              <w:left w:val="single" w:color="auto" w:sz="4" w:space="0"/>
              <w:bottom w:val="single" w:color="000000" w:sz="4" w:space="0"/>
              <w:right w:val="single" w:color="auto" w:sz="4" w:space="0"/>
              <w:tl2br w:val="nil"/>
              <w:tr2bl w:val="nil"/>
            </w:tcBorders>
            <w:noWrap w:val="0"/>
            <w:tcMar>
              <w:top w:w="15" w:type="dxa"/>
              <w:left w:w="15" w:type="dxa"/>
              <w:bottom w:w="15" w:type="dxa"/>
              <w:right w:w="15" w:type="dxa"/>
            </w:tcMar>
            <w:vAlign w:val="center"/>
          </w:tcPr>
          <w:p>
            <w:pPr>
              <w:adjustRightInd w:val="0"/>
              <w:spacing w:beforeLines="0" w:afterLines="0" w:line="240" w:lineRule="atLeas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3255"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adjustRightInd w:val="0"/>
              <w:spacing w:beforeLines="0" w:afterLines="0" w:line="240" w:lineRule="atLeas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房安技术服务费（含公益性鉴定）</w:t>
            </w:r>
          </w:p>
        </w:tc>
        <w:tc>
          <w:tcPr>
            <w:tcW w:w="510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40" w:lineRule="atLeas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不服从甲方技术服务指令或技术服务不到位按每次500元进行扣罚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jc w:val="center"/>
        </w:trPr>
        <w:tc>
          <w:tcPr>
            <w:tcW w:w="881"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15" w:type="dxa"/>
              <w:right w:w="15" w:type="dxa"/>
            </w:tcMar>
            <w:vAlign w:val="center"/>
          </w:tcPr>
          <w:p>
            <w:pPr>
              <w:adjustRightInd w:val="0"/>
              <w:spacing w:beforeLines="0" w:afterLines="0" w:line="240" w:lineRule="atLeas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3255"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adjustRightInd w:val="0"/>
              <w:spacing w:beforeLines="0" w:afterLines="0" w:line="240" w:lineRule="atLeas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装修巡查、备案</w:t>
            </w:r>
          </w:p>
        </w:tc>
        <w:tc>
          <w:tcPr>
            <w:tcW w:w="510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40" w:lineRule="atLeas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装修巡查不到位按每户100-200元酌情扣罚；标段装修备案数量少于预计数量的按每户200元扣款；应备案而未备案，每发现1户扣款100元；违规装修督促整改不到位造成不良后果，每发现一户扣罚500-2000元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 w:hRule="atLeast"/>
          <w:jc w:val="center"/>
        </w:trPr>
        <w:tc>
          <w:tcPr>
            <w:tcW w:w="881"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15" w:type="dxa"/>
              <w:right w:w="15" w:type="dxa"/>
            </w:tcMar>
            <w:vAlign w:val="center"/>
          </w:tcPr>
          <w:p>
            <w:pPr>
              <w:adjustRightInd w:val="0"/>
              <w:spacing w:beforeLines="0" w:afterLines="0" w:line="240" w:lineRule="atLeas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3255"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adjustRightInd w:val="0"/>
              <w:spacing w:beforeLines="0" w:afterLines="0" w:line="240" w:lineRule="atLeas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仪器设备测量</w:t>
            </w:r>
          </w:p>
        </w:tc>
        <w:tc>
          <w:tcPr>
            <w:tcW w:w="510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40" w:lineRule="atLeas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仪器设备测量不到位按每幢200元进行扣罚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 w:hRule="atLeast"/>
          <w:jc w:val="center"/>
        </w:trPr>
        <w:tc>
          <w:tcPr>
            <w:tcW w:w="881"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15" w:type="dxa"/>
              <w:right w:w="15" w:type="dxa"/>
            </w:tcMar>
            <w:vAlign w:val="center"/>
          </w:tcPr>
          <w:p>
            <w:pPr>
              <w:adjustRightInd w:val="0"/>
              <w:spacing w:beforeLines="0" w:afterLines="0" w:line="240" w:lineRule="atLeas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w:t>
            </w:r>
          </w:p>
        </w:tc>
        <w:tc>
          <w:tcPr>
            <w:tcW w:w="3255"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adjustRightInd w:val="0"/>
              <w:spacing w:beforeLines="0" w:afterLines="0" w:line="240" w:lineRule="atLeas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自动化实时监测</w:t>
            </w:r>
          </w:p>
        </w:tc>
        <w:tc>
          <w:tcPr>
            <w:tcW w:w="510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40" w:lineRule="atLeas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自动化实时监测相关工作不到位，每幢500-20000元酌情扣罚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 w:hRule="atLeast"/>
          <w:jc w:val="center"/>
        </w:trPr>
        <w:tc>
          <w:tcPr>
            <w:tcW w:w="881"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15" w:type="dxa"/>
              <w:right w:w="15" w:type="dxa"/>
            </w:tcMar>
            <w:vAlign w:val="center"/>
          </w:tcPr>
          <w:p>
            <w:pPr>
              <w:adjustRightInd w:val="0"/>
              <w:spacing w:beforeLines="0" w:afterLines="0" w:line="240" w:lineRule="atLeas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w:t>
            </w:r>
          </w:p>
        </w:tc>
        <w:tc>
          <w:tcPr>
            <w:tcW w:w="3255" w:type="dxa"/>
            <w:tcBorders>
              <w:top w:val="single" w:color="000000" w:sz="4" w:space="0"/>
              <w:left w:val="single" w:color="auto" w:sz="4" w:space="0"/>
              <w:bottom w:val="single" w:color="000000" w:sz="4" w:space="0"/>
              <w:right w:val="single" w:color="000000" w:sz="4" w:space="0"/>
              <w:tl2br w:val="nil"/>
              <w:tr2bl w:val="nil"/>
            </w:tcBorders>
            <w:noWrap w:val="0"/>
            <w:vAlign w:val="center"/>
          </w:tcPr>
          <w:p>
            <w:pPr>
              <w:adjustRightInd w:val="0"/>
              <w:spacing w:beforeLines="0" w:afterLines="0" w:line="240" w:lineRule="atLeas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应急准备、演练，</w:t>
            </w:r>
          </w:p>
          <w:p>
            <w:pPr>
              <w:adjustRightInd w:val="0"/>
              <w:spacing w:beforeLines="0" w:afterLines="0" w:line="240" w:lineRule="atLeas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房安宣传、专家咨询</w:t>
            </w:r>
          </w:p>
        </w:tc>
        <w:tc>
          <w:tcPr>
            <w:tcW w:w="5106"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bottom w:w="15" w:type="dxa"/>
              <w:right w:w="15" w:type="dxa"/>
            </w:tcMar>
            <w:vAlign w:val="center"/>
          </w:tcPr>
          <w:p>
            <w:pPr>
              <w:adjustRightInd w:val="0"/>
              <w:spacing w:beforeLines="0" w:afterLines="0" w:line="240" w:lineRule="atLeast"/>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应急准备、演练，房安宣传等相关工作不到位每次按500-5000元酌情扣罚；未满足甲方专家咨询服务需求每次扣罚2000元</w:t>
            </w:r>
          </w:p>
        </w:tc>
      </w:tr>
    </w:tbl>
    <w:p>
      <w:pPr>
        <w:adjustRightInd/>
        <w:spacing w:line="440" w:lineRule="exact"/>
        <w:ind w:firstLine="420" w:firstLineChars="200"/>
        <w:contextualSpacing/>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w:t>
      </w:r>
      <w:r>
        <w:rPr>
          <w:rFonts w:hint="eastAsia" w:ascii="宋体" w:hAnsi="宋体" w:eastAsia="宋体" w:cs="宋体"/>
          <w:color w:val="auto"/>
          <w:kern w:val="0"/>
          <w:sz w:val="21"/>
          <w:szCs w:val="21"/>
          <w:highlight w:val="none"/>
          <w:lang w:eastAsia="zh-CN"/>
        </w:rPr>
        <w:t>保险公司</w:t>
      </w:r>
      <w:r>
        <w:rPr>
          <w:rFonts w:hint="eastAsia" w:ascii="宋体" w:hAnsi="宋体" w:eastAsia="宋体" w:cs="宋体"/>
          <w:color w:val="auto"/>
          <w:kern w:val="0"/>
          <w:sz w:val="21"/>
          <w:szCs w:val="21"/>
          <w:highlight w:val="none"/>
        </w:rPr>
        <w:t>委托的房屋动态安全监测单位在服务过程中给业主、居民等造成的损失，由房屋动态安全监测单位承担。如因房屋动态安全监测单位的行为致不特定主体向</w:t>
      </w:r>
      <w:r>
        <w:rPr>
          <w:rFonts w:hint="eastAsia" w:ascii="宋体" w:hAnsi="宋体" w:eastAsia="宋体" w:cs="宋体"/>
          <w:color w:val="auto"/>
          <w:kern w:val="0"/>
          <w:sz w:val="21"/>
          <w:szCs w:val="21"/>
          <w:highlight w:val="none"/>
          <w:lang w:eastAsia="zh-CN"/>
        </w:rPr>
        <w:t>甲方</w:t>
      </w:r>
      <w:r>
        <w:rPr>
          <w:rFonts w:hint="eastAsia" w:ascii="宋体" w:hAnsi="宋体" w:eastAsia="宋体" w:cs="宋体"/>
          <w:color w:val="auto"/>
          <w:kern w:val="0"/>
          <w:sz w:val="21"/>
          <w:szCs w:val="21"/>
          <w:highlight w:val="none"/>
        </w:rPr>
        <w:t>求偿并给</w:t>
      </w:r>
      <w:r>
        <w:rPr>
          <w:rFonts w:hint="eastAsia" w:ascii="宋体" w:hAnsi="宋体" w:eastAsia="宋体" w:cs="宋体"/>
          <w:color w:val="auto"/>
          <w:kern w:val="0"/>
          <w:sz w:val="21"/>
          <w:szCs w:val="21"/>
          <w:highlight w:val="none"/>
          <w:lang w:eastAsia="zh-CN"/>
        </w:rPr>
        <w:t>甲方</w:t>
      </w:r>
      <w:r>
        <w:rPr>
          <w:rFonts w:hint="eastAsia" w:ascii="宋体" w:hAnsi="宋体" w:eastAsia="宋体" w:cs="宋体"/>
          <w:color w:val="auto"/>
          <w:kern w:val="0"/>
          <w:sz w:val="21"/>
          <w:szCs w:val="21"/>
          <w:highlight w:val="none"/>
        </w:rPr>
        <w:t>造成损失的，</w:t>
      </w:r>
      <w:r>
        <w:rPr>
          <w:rFonts w:hint="eastAsia" w:ascii="宋体" w:hAnsi="宋体" w:eastAsia="宋体" w:cs="宋体"/>
          <w:color w:val="auto"/>
          <w:kern w:val="0"/>
          <w:sz w:val="21"/>
          <w:szCs w:val="21"/>
          <w:highlight w:val="none"/>
          <w:lang w:eastAsia="zh-CN"/>
        </w:rPr>
        <w:t>甲方</w:t>
      </w:r>
      <w:r>
        <w:rPr>
          <w:rFonts w:hint="eastAsia" w:ascii="宋体" w:hAnsi="宋体" w:eastAsia="宋体" w:cs="宋体"/>
          <w:color w:val="auto"/>
          <w:kern w:val="0"/>
          <w:sz w:val="21"/>
          <w:szCs w:val="21"/>
          <w:highlight w:val="none"/>
        </w:rPr>
        <w:t>有权直接向房屋动态安全监测单位追偿，如房屋动态安全监测单位拒绝赔偿损失的，承保单位承担连带责任。房屋动态安全监测单位</w:t>
      </w:r>
      <w:r>
        <w:rPr>
          <w:rFonts w:hint="eastAsia" w:ascii="宋体" w:hAnsi="宋体" w:eastAsia="宋体" w:cs="宋体"/>
          <w:color w:val="auto"/>
          <w:kern w:val="0"/>
          <w:sz w:val="21"/>
          <w:szCs w:val="21"/>
          <w:highlight w:val="none"/>
          <w:lang w:eastAsia="zh-CN"/>
        </w:rPr>
        <w:t>在服务过程中因巡查不到位，安全隐患未发现，险情未及时预警，导致发生安全事故或事故扩大的，采购人有权追究法律责任，同时保险公司须承担连带责任，由此造成的一切损失由房屋动态安全监测单位和保险公司共同承担</w:t>
      </w:r>
      <w:r>
        <w:rPr>
          <w:rFonts w:hint="eastAsia" w:ascii="宋体" w:hAnsi="宋体" w:cs="宋体"/>
          <w:color w:val="auto"/>
          <w:kern w:val="0"/>
          <w:sz w:val="21"/>
          <w:szCs w:val="21"/>
          <w:highlight w:val="none"/>
          <w:lang w:eastAsia="zh-CN"/>
        </w:rPr>
        <w:t>。</w:t>
      </w:r>
    </w:p>
    <w:p>
      <w:pPr>
        <w:snapToGrid w:val="0"/>
        <w:spacing w:line="440" w:lineRule="exact"/>
        <w:ind w:firstLine="411" w:firstLineChars="196"/>
        <w:rPr>
          <w:rFonts w:hint="eastAsia" w:ascii="宋体" w:hAnsi="宋体" w:eastAsia="宋体" w:cs="宋体"/>
          <w:b w:val="0"/>
          <w:bCs/>
          <w:color w:val="auto"/>
          <w:sz w:val="21"/>
          <w:szCs w:val="21"/>
          <w:highlight w:val="none"/>
          <w:lang w:eastAsia="zh-CN"/>
        </w:rPr>
      </w:pPr>
      <w:r>
        <w:rPr>
          <w:rFonts w:hint="eastAsia" w:ascii="宋体" w:hAnsi="宋体" w:cs="宋体"/>
          <w:b w:val="0"/>
          <w:bCs/>
          <w:color w:val="auto"/>
          <w:sz w:val="21"/>
          <w:szCs w:val="21"/>
          <w:highlight w:val="none"/>
          <w:lang w:eastAsia="zh-CN"/>
        </w:rPr>
        <w:t>（三）动态监测部分：后续每个工作区域监测服务房屋数量（月/幢）增加不超过5%的，不调整服务费用；每个工作区域监测服务房屋数量（月/幢）增加超过5%部分，因监测服务工作量调整导致实际监测服务费用与合同约定金额存在差异时，该保险年度期满时则按照如下规则进行结算：按实际发生量进行结算；每个工作区域监测服务房屋数量（月/幢）减少的，按实际发生量进行结算。</w:t>
      </w:r>
      <w:r>
        <w:rPr>
          <w:rFonts w:hint="eastAsia" w:ascii="宋体" w:hAnsi="宋体" w:cs="宋体"/>
          <w:b w:val="0"/>
          <w:bCs/>
          <w:color w:val="auto"/>
          <w:sz w:val="21"/>
          <w:szCs w:val="21"/>
          <w:highlight w:val="none"/>
          <w:lang w:val="en-US" w:eastAsia="zh-CN"/>
        </w:rPr>
        <w:t>监控摄像头按需布置少于预估6套的按实结算。</w:t>
      </w:r>
    </w:p>
    <w:p>
      <w:pPr>
        <w:snapToGrid w:val="0"/>
        <w:spacing w:line="440" w:lineRule="exact"/>
        <w:ind w:firstLine="413" w:firstLineChars="196"/>
        <w:rPr>
          <w:rFonts w:hint="eastAsia" w:ascii="宋体" w:hAnsi="宋体" w:cs="宋体"/>
          <w:b/>
          <w:color w:val="auto"/>
          <w:sz w:val="21"/>
          <w:szCs w:val="21"/>
          <w:highlight w:val="none"/>
          <w:lang w:eastAsia="zh-CN"/>
        </w:rPr>
      </w:pPr>
      <w:r>
        <w:rPr>
          <w:rFonts w:hint="eastAsia" w:ascii="宋体" w:hAnsi="宋体" w:cs="宋体"/>
          <w:b/>
          <w:color w:val="auto"/>
          <w:sz w:val="21"/>
          <w:szCs w:val="21"/>
          <w:highlight w:val="none"/>
          <w:lang w:eastAsia="zh-CN"/>
        </w:rPr>
        <w:t>七、合同履约期限</w:t>
      </w:r>
    </w:p>
    <w:p>
      <w:pPr>
        <w:snapToGrid w:val="0"/>
        <w:spacing w:line="440" w:lineRule="exact"/>
        <w:ind w:firstLine="411" w:firstLineChars="196"/>
        <w:rPr>
          <w:rFonts w:hint="eastAsia" w:ascii="宋体" w:hAnsi="宋体" w:cs="宋体"/>
          <w:b w:val="0"/>
          <w:bCs/>
          <w:color w:val="auto"/>
          <w:sz w:val="21"/>
          <w:szCs w:val="21"/>
          <w:highlight w:val="none"/>
          <w:lang w:eastAsia="zh-CN"/>
        </w:rPr>
      </w:pPr>
      <w:r>
        <w:rPr>
          <w:rFonts w:hint="eastAsia" w:ascii="宋体" w:hAnsi="宋体" w:cs="宋体"/>
          <w:b w:val="0"/>
          <w:bCs/>
          <w:color w:val="auto"/>
          <w:sz w:val="21"/>
          <w:szCs w:val="21"/>
          <w:highlight w:val="none"/>
          <w:lang w:eastAsia="zh-CN"/>
        </w:rPr>
        <w:t>本项目总服务期限为三年，合同一年一签（第一年：预计自2023年12月23日起至2024年12月22日止；第二年：预计自2024年12月23日起至2025年12月22日止，第三年：预计自2025年12月23日起至2026年12月22日止）。第一年度合同期满后，经采购人考核合格，可续签下一年度合同，最多可续签二次。</w:t>
      </w:r>
    </w:p>
    <w:p>
      <w:pPr>
        <w:snapToGrid w:val="0"/>
        <w:spacing w:line="440" w:lineRule="exact"/>
        <w:ind w:firstLine="413" w:firstLineChars="196"/>
        <w:rPr>
          <w:rFonts w:hint="eastAsia" w:ascii="宋体" w:hAnsi="宋体" w:eastAsia="宋体" w:cs="宋体"/>
          <w:b/>
          <w:color w:val="auto"/>
          <w:sz w:val="21"/>
          <w:szCs w:val="21"/>
          <w:highlight w:val="none"/>
        </w:rPr>
      </w:pPr>
      <w:r>
        <w:rPr>
          <w:rFonts w:hint="eastAsia" w:ascii="宋体" w:hAnsi="宋体" w:cs="宋体"/>
          <w:b/>
          <w:color w:val="auto"/>
          <w:sz w:val="21"/>
          <w:szCs w:val="21"/>
          <w:highlight w:val="none"/>
          <w:lang w:eastAsia="zh-CN"/>
        </w:rPr>
        <w:t>八</w:t>
      </w:r>
      <w:r>
        <w:rPr>
          <w:rFonts w:hint="eastAsia" w:ascii="宋体" w:hAnsi="宋体" w:eastAsia="宋体" w:cs="宋体"/>
          <w:b/>
          <w:color w:val="auto"/>
          <w:sz w:val="21"/>
          <w:szCs w:val="21"/>
          <w:highlight w:val="none"/>
        </w:rPr>
        <w:t>、一般条款：</w:t>
      </w:r>
    </w:p>
    <w:p>
      <w:pPr>
        <w:snapToGrid w:val="0"/>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（一）合同生效</w:t>
      </w:r>
    </w:p>
    <w:p>
      <w:pPr>
        <w:snapToGrid w:val="0"/>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本合同自签订之日起生效。</w:t>
      </w:r>
    </w:p>
    <w:p>
      <w:pPr>
        <w:snapToGrid w:val="0"/>
        <w:spacing w:line="440" w:lineRule="exact"/>
        <w:ind w:firstLine="424" w:firstLineChars="20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（二）合同变更</w:t>
      </w:r>
    </w:p>
    <w:p>
      <w:pPr>
        <w:snapToGrid w:val="0"/>
        <w:spacing w:line="440" w:lineRule="exact"/>
        <w:ind w:firstLine="424" w:firstLineChars="20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本合同如有未尽事宜，经各方协商确定后可随时以书面形式修改或补充，并作为本合同的组成部分。</w:t>
      </w:r>
    </w:p>
    <w:p>
      <w:pPr>
        <w:snapToGrid w:val="0"/>
        <w:spacing w:line="440" w:lineRule="exact"/>
        <w:ind w:firstLine="424" w:firstLineChars="202"/>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（三）合同终止</w:t>
      </w:r>
    </w:p>
    <w:p>
      <w:pPr>
        <w:snapToGrid w:val="0"/>
        <w:spacing w:line="440" w:lineRule="exact"/>
        <w:ind w:firstLine="424" w:firstLineChars="202"/>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在合同有效期内，不得以任何理由终止合同，确有特殊情况的，须提前15个工作日向</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提出书面申请，经</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同意后，方可终止合同。因</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不能保证工作质量，或发生重大差错事故的，</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可有权终止协议（同时全额扣罚履约保证金），</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承担全部责任</w:t>
      </w:r>
      <w:r>
        <w:rPr>
          <w:rFonts w:hint="eastAsia" w:ascii="宋体" w:hAnsi="宋体" w:cs="宋体"/>
          <w:color w:val="auto"/>
          <w:sz w:val="21"/>
          <w:szCs w:val="21"/>
          <w:highlight w:val="none"/>
          <w:lang w:eastAsia="zh-CN"/>
        </w:rPr>
        <w:t>。</w:t>
      </w:r>
    </w:p>
    <w:p>
      <w:pPr>
        <w:snapToGrid w:val="0"/>
        <w:spacing w:line="440" w:lineRule="exact"/>
        <w:ind w:firstLine="424" w:firstLineChars="20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eastAsia="zh-CN"/>
        </w:rPr>
        <w:t>四</w:t>
      </w:r>
      <w:r>
        <w:rPr>
          <w:rFonts w:hint="eastAsia" w:ascii="宋体" w:hAnsi="宋体" w:eastAsia="宋体" w:cs="宋体"/>
          <w:color w:val="auto"/>
          <w:sz w:val="21"/>
          <w:szCs w:val="21"/>
          <w:highlight w:val="none"/>
        </w:rPr>
        <w:t>）保密条款</w:t>
      </w:r>
    </w:p>
    <w:p>
      <w:pPr>
        <w:snapToGrid w:val="0"/>
        <w:spacing w:line="440" w:lineRule="exact"/>
        <w:ind w:firstLine="424" w:firstLineChars="20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除非下列情况，自本合同生效之日起，各方不得将本合同涉及的所有有形、无形的信息及资料等泄露给其他方：</w:t>
      </w:r>
    </w:p>
    <w:p>
      <w:pPr>
        <w:snapToGrid w:val="0"/>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1、为执行本合同而提供相关服务的雇员或顾问；</w:t>
      </w:r>
    </w:p>
    <w:p>
      <w:pPr>
        <w:snapToGrid w:val="0"/>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2、应法律或司法管辖要求而提供；</w:t>
      </w:r>
    </w:p>
    <w:p>
      <w:pPr>
        <w:snapToGrid w:val="0"/>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3、经各方书面同意。</w:t>
      </w:r>
    </w:p>
    <w:p>
      <w:pPr>
        <w:snapToGrid w:val="0"/>
        <w:spacing w:line="440" w:lineRule="exact"/>
        <w:ind w:firstLine="424" w:firstLineChars="20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本合同一方因过错造成泄密而给另一方造成损失的，由过错一方承担经济赔偿责任。</w:t>
      </w:r>
    </w:p>
    <w:p>
      <w:pPr>
        <w:snapToGrid w:val="0"/>
        <w:spacing w:line="440" w:lineRule="exact"/>
        <w:ind w:firstLine="424" w:firstLineChars="20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保险合同终止时本条款继续有效两年。</w:t>
      </w:r>
    </w:p>
    <w:p>
      <w:pPr>
        <w:snapToGrid w:val="0"/>
        <w:spacing w:line="440" w:lineRule="exact"/>
        <w:ind w:firstLine="424" w:firstLineChars="20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eastAsia="zh-CN"/>
        </w:rPr>
        <w:t>五</w:t>
      </w:r>
      <w:r>
        <w:rPr>
          <w:rFonts w:hint="eastAsia" w:ascii="宋体" w:hAnsi="宋体" w:eastAsia="宋体" w:cs="宋体"/>
          <w:color w:val="auto"/>
          <w:sz w:val="21"/>
          <w:szCs w:val="21"/>
          <w:highlight w:val="none"/>
        </w:rPr>
        <w:t>）法律责任</w:t>
      </w:r>
    </w:p>
    <w:p>
      <w:pPr>
        <w:snapToGrid w:val="0"/>
        <w:spacing w:line="440" w:lineRule="exact"/>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由于本合同一方当事人的过错，造成合同不能履行或者不能完全履行的，由有过错的一方依法承担违约责任和相应法律责任；如属双方当事人的过错，则根据双方当事人过错的实际情况，由双方当事人分别承担各自应负的违约责任和相应法律责任；</w:t>
      </w:r>
    </w:p>
    <w:p>
      <w:pPr>
        <w:snapToGrid w:val="0"/>
        <w:spacing w:line="440" w:lineRule="exact"/>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若发生违约情形，违约方依法依约承担其相应法律责任后，除非守约方同意终止本合同的，本合同仍须继续履行。</w:t>
      </w:r>
    </w:p>
    <w:p>
      <w:pPr>
        <w:snapToGrid w:val="0"/>
        <w:spacing w:line="440" w:lineRule="exact"/>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eastAsia="zh-CN"/>
        </w:rPr>
        <w:t>六</w:t>
      </w:r>
      <w:r>
        <w:rPr>
          <w:rFonts w:hint="eastAsia" w:ascii="宋体" w:hAnsi="宋体" w:eastAsia="宋体" w:cs="宋体"/>
          <w:color w:val="auto"/>
          <w:sz w:val="21"/>
          <w:szCs w:val="21"/>
          <w:highlight w:val="none"/>
        </w:rPr>
        <w:t>）争议解决</w:t>
      </w:r>
    </w:p>
    <w:p>
      <w:pPr>
        <w:snapToGrid w:val="0"/>
        <w:spacing w:line="440" w:lineRule="exact"/>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本合同未尽事宜，或因履行本保险合同发生争议，由合同当事人协商解决。协商不成的，双方均可向甲方所在地有管辖权的人民法院提起诉讼。</w:t>
      </w:r>
    </w:p>
    <w:p>
      <w:pPr>
        <w:snapToGrid w:val="0"/>
        <w:spacing w:line="440" w:lineRule="exact"/>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与本保险合同有关的以及履行本保险合同产生的一切争议处理适用中华人民共和国法律（不包括港澳台地区法律）。</w:t>
      </w:r>
    </w:p>
    <w:p>
      <w:pPr>
        <w:snapToGrid w:val="0"/>
        <w:spacing w:line="440" w:lineRule="exact"/>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eastAsia="zh-CN"/>
        </w:rPr>
        <w:t>七</w:t>
      </w:r>
      <w:r>
        <w:rPr>
          <w:rFonts w:hint="eastAsia" w:ascii="宋体" w:hAnsi="宋体" w:eastAsia="宋体" w:cs="宋体"/>
          <w:color w:val="auto"/>
          <w:sz w:val="21"/>
          <w:szCs w:val="21"/>
          <w:highlight w:val="none"/>
        </w:rPr>
        <w:t>）其他</w:t>
      </w:r>
    </w:p>
    <w:p>
      <w:pPr>
        <w:snapToGrid w:val="0"/>
        <w:spacing w:line="440" w:lineRule="exact"/>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1、本合同正本、副本各贰份，甲乙双方各持正、副本壹份，各正本具有同等效力。双方对本合同的任何补充修改，均应以书面形式为准。补充修改合同经双方授权签字盖章生效后，即作为本合同的组成部分。</w:t>
      </w:r>
    </w:p>
    <w:p>
      <w:pPr>
        <w:snapToGrid w:val="0"/>
        <w:spacing w:line="440" w:lineRule="exact"/>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2、本合同的附件作为本合同的组成部分，如与本合同条款有冲突，不利于投保人、</w:t>
      </w:r>
    </w:p>
    <w:p>
      <w:pPr>
        <w:snapToGrid w:val="0"/>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被保险人（或受益人）的条款，以本合同条款为准。</w:t>
      </w:r>
    </w:p>
    <w:p>
      <w:pPr>
        <w:adjustRightInd/>
        <w:spacing w:line="440" w:lineRule="exact"/>
        <w:rPr>
          <w:rFonts w:hint="eastAsia" w:ascii="宋体" w:hAnsi="宋体" w:eastAsia="宋体" w:cs="宋体"/>
          <w:color w:val="auto"/>
          <w:sz w:val="21"/>
          <w:szCs w:val="21"/>
          <w:highlight w:val="none"/>
        </w:rPr>
      </w:pPr>
    </w:p>
    <w:p>
      <w:pPr>
        <w:adjustRightInd/>
        <w:spacing w:line="440" w:lineRule="exact"/>
        <w:rPr>
          <w:rFonts w:hint="eastAsia" w:ascii="宋体" w:hAnsi="宋体" w:eastAsia="宋体" w:cs="宋体"/>
          <w:color w:val="auto"/>
          <w:sz w:val="21"/>
          <w:szCs w:val="21"/>
          <w:highlight w:val="none"/>
        </w:rPr>
      </w:pPr>
    </w:p>
    <w:p>
      <w:pPr>
        <w:adjustRightInd/>
        <w:spacing w:line="440" w:lineRule="exact"/>
        <w:rPr>
          <w:rFonts w:hint="eastAsia" w:ascii="宋体" w:hAnsi="宋体" w:eastAsia="宋体" w:cs="宋体"/>
          <w:color w:val="auto"/>
          <w:sz w:val="21"/>
          <w:szCs w:val="21"/>
          <w:highlight w:val="none"/>
        </w:rPr>
      </w:pPr>
    </w:p>
    <w:p>
      <w:pPr>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（本页无正文）</w:t>
      </w:r>
    </w:p>
    <w:p>
      <w:pPr>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甲方（公章）：                                乙方（公章）：</w:t>
      </w:r>
    </w:p>
    <w:p>
      <w:pPr>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                                       地址：</w:t>
      </w:r>
    </w:p>
    <w:p>
      <w:pPr>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法定代表人（签字或盖章）：                    法定代表人（签字或盖章）：</w:t>
      </w:r>
    </w:p>
    <w:p>
      <w:pPr>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委托代理人（签字或盖章）：                    委托代理人（签字或盖章）：</w:t>
      </w:r>
    </w:p>
    <w:p>
      <w:pPr>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                                       电话：</w:t>
      </w:r>
    </w:p>
    <w:p>
      <w:pPr>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传真：                                       传真：</w:t>
      </w:r>
    </w:p>
    <w:p>
      <w:pPr>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                                   开户银行：</w:t>
      </w:r>
    </w:p>
    <w:p>
      <w:pPr>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账</w:t>
      </w:r>
      <w:r>
        <w:rPr>
          <w:rFonts w:hint="eastAsia" w:ascii="宋体" w:hAnsi="宋体" w:eastAsia="宋体" w:cs="宋体"/>
          <w:color w:val="auto"/>
          <w:sz w:val="21"/>
          <w:szCs w:val="21"/>
          <w:highlight w:val="none"/>
        </w:rPr>
        <w:t xml:space="preserve">号：                                       </w:t>
      </w:r>
      <w:r>
        <w:rPr>
          <w:rFonts w:hint="eastAsia" w:ascii="宋体" w:hAnsi="宋体" w:cs="宋体"/>
          <w:color w:val="auto"/>
          <w:sz w:val="21"/>
          <w:szCs w:val="21"/>
          <w:highlight w:val="none"/>
          <w:lang w:eastAsia="zh-CN"/>
        </w:rPr>
        <w:t>账</w:t>
      </w:r>
      <w:r>
        <w:rPr>
          <w:rFonts w:hint="eastAsia" w:ascii="宋体" w:hAnsi="宋体" w:eastAsia="宋体" w:cs="宋体"/>
          <w:color w:val="auto"/>
          <w:sz w:val="21"/>
          <w:szCs w:val="21"/>
          <w:highlight w:val="none"/>
        </w:rPr>
        <w:t>号：</w:t>
      </w:r>
    </w:p>
    <w:p>
      <w:pPr>
        <w:adjustRightInd/>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邮政编码：                                   邮政编码：</w:t>
      </w:r>
    </w:p>
    <w:p>
      <w:pPr>
        <w:spacing w:line="360" w:lineRule="auto"/>
        <w:jc w:val="center"/>
        <w:rPr>
          <w:rFonts w:hint="eastAsia" w:ascii="宋体" w:hAnsi="宋体" w:eastAsia="宋体" w:cs="宋体"/>
          <w:color w:val="auto"/>
          <w:szCs w:val="21"/>
          <w:highlight w:val="none"/>
        </w:rPr>
        <w:sectPr>
          <w:pgSz w:w="11906" w:h="16838"/>
          <w:pgMar w:top="1701" w:right="1418" w:bottom="1134" w:left="1418" w:header="851" w:footer="992" w:gutter="0"/>
          <w:cols w:space="720" w:num="1"/>
          <w:docGrid w:linePitch="312" w:charSpace="0"/>
        </w:sectPr>
      </w:pPr>
    </w:p>
    <w:bookmarkEnd w:id="398"/>
    <w:bookmarkEnd w:id="399"/>
    <w:p>
      <w:pPr>
        <w:widowControl/>
        <w:adjustRightInd/>
        <w:jc w:val="center"/>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第六部分 应提交的有关格式范例</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（1）有效的企业法人营业执照（或事业法人登记证）、其他组织（个体工商户）的营业执照或者民办非企业单位登记证书</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提供原件扫描件或电子营业执照</w:t>
      </w:r>
      <w:r>
        <w:rPr>
          <w:rFonts w:hint="eastAsia" w:ascii="宋体" w:hAnsi="宋体" w:eastAsia="宋体" w:cs="宋体"/>
          <w:color w:val="auto"/>
          <w:sz w:val="24"/>
          <w:highlight w:val="none"/>
          <w:lang w:eastAsia="zh-CN"/>
        </w:rPr>
        <w:t>），供应商如果有名称变更的，应提供由行政主管部门出具的变更证明文件………………………（页码）</w:t>
      </w:r>
    </w:p>
    <w:p>
      <w:pPr>
        <w:snapToGrid w:val="0"/>
        <w:spacing w:line="360" w:lineRule="auto"/>
        <w:rPr>
          <w:rFonts w:hint="eastAsia" w:ascii="宋体" w:hAnsi="宋体" w:eastAsia="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符合参加政府采购活动应当具备的一般条件的承诺函………………………（页码）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snapToGrid w:val="0"/>
          <w:color w:val="auto"/>
          <w:kern w:val="28"/>
          <w:sz w:val="24"/>
          <w:szCs w:val="20"/>
          <w:highlight w:val="none"/>
        </w:rPr>
        <w:t>（</w:t>
      </w:r>
      <w:r>
        <w:rPr>
          <w:rFonts w:hint="eastAsia" w:ascii="宋体" w:hAnsi="宋体" w:cs="宋体"/>
          <w:snapToGrid w:val="0"/>
          <w:color w:val="auto"/>
          <w:kern w:val="28"/>
          <w:sz w:val="24"/>
          <w:szCs w:val="20"/>
          <w:highlight w:val="none"/>
          <w:lang w:val="en-US" w:eastAsia="zh-CN"/>
        </w:rPr>
        <w:t>3</w:t>
      </w:r>
      <w:r>
        <w:rPr>
          <w:rFonts w:hint="eastAsia" w:ascii="宋体" w:hAnsi="宋体" w:eastAsia="宋体" w:cs="宋体"/>
          <w:snapToGrid w:val="0"/>
          <w:color w:val="auto"/>
          <w:kern w:val="28"/>
          <w:sz w:val="24"/>
          <w:szCs w:val="20"/>
          <w:highlight w:val="none"/>
        </w:rPr>
        <w:t>）联合协议（如适用）</w:t>
      </w:r>
      <w:r>
        <w:rPr>
          <w:rFonts w:hint="eastAsia" w:ascii="宋体" w:hAnsi="宋体" w:eastAsia="宋体" w:cs="宋体"/>
          <w:color w:val="auto"/>
          <w:sz w:val="24"/>
          <w:highlight w:val="none"/>
        </w:rPr>
        <w:t>……………………………………………………………（页码）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）落实政府采购政策需满足的资格要求</w:t>
      </w:r>
      <w:r>
        <w:rPr>
          <w:rFonts w:hint="eastAsia" w:ascii="宋体" w:hAnsi="宋体" w:cs="宋体"/>
          <w:color w:val="auto"/>
          <w:sz w:val="24"/>
          <w:highlight w:val="none"/>
          <w:lang w:eastAsia="zh-CN"/>
        </w:rPr>
        <w:t>（如适用）</w:t>
      </w:r>
      <w:r>
        <w:rPr>
          <w:rFonts w:hint="eastAsia" w:ascii="宋体" w:hAnsi="宋体" w:eastAsia="宋体" w:cs="宋体"/>
          <w:color w:val="auto"/>
          <w:sz w:val="24"/>
          <w:highlight w:val="none"/>
        </w:rPr>
        <w:t>……………………………（页码）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）本项目的特定资格要求（如适用）……………………………………………（页码）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rPr>
        <w:t>）业务专用章使用说明函（如适用）……………………………………………（页码）</w:t>
      </w:r>
    </w:p>
    <w:p>
      <w:pPr>
        <w:snapToGrid w:val="0"/>
        <w:spacing w:line="360" w:lineRule="auto"/>
        <w:rPr>
          <w:rFonts w:hint="eastAsia" w:ascii="宋体" w:hAnsi="宋体" w:eastAsia="宋体" w:cs="宋体"/>
          <w:color w:val="auto"/>
          <w:sz w:val="24"/>
          <w:highlight w:val="none"/>
        </w:rPr>
      </w:pPr>
    </w:p>
    <w:p>
      <w:pPr>
        <w:snapToGrid w:val="0"/>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napToGrid w:val="0"/>
        <w:spacing w:line="360" w:lineRule="auto"/>
        <w:ind w:right="48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br w:type="page"/>
      </w:r>
    </w:p>
    <w:p>
      <w:pPr>
        <w:snapToGrid w:val="0"/>
        <w:spacing w:line="360" w:lineRule="auto"/>
        <w:ind w:right="480"/>
        <w:jc w:val="center"/>
        <w:rPr>
          <w:rFonts w:hint="eastAsia" w:ascii="宋体" w:hAnsi="宋体" w:eastAsia="宋体" w:cs="宋体"/>
          <w:b/>
          <w:color w:val="auto"/>
          <w:kern w:val="0"/>
          <w:sz w:val="32"/>
          <w:szCs w:val="32"/>
          <w:highlight w:val="none"/>
          <w:lang w:eastAsia="zh-CN"/>
        </w:rPr>
      </w:pPr>
      <w:r>
        <w:rPr>
          <w:rFonts w:hint="eastAsia" w:ascii="宋体" w:hAnsi="宋体" w:eastAsia="宋体" w:cs="宋体"/>
          <w:b/>
          <w:color w:val="auto"/>
          <w:kern w:val="0"/>
          <w:sz w:val="32"/>
          <w:szCs w:val="32"/>
          <w:highlight w:val="none"/>
          <w:lang w:eastAsia="zh-CN"/>
        </w:rPr>
        <w:t>一、有效的企业法人营业执照（或事业法人登记证）、其他组织（个体工商户）的营业执照或者民办非企业单位登记证书（</w:t>
      </w:r>
      <w:r>
        <w:rPr>
          <w:rFonts w:hint="eastAsia" w:ascii="宋体" w:hAnsi="宋体" w:eastAsia="宋体" w:cs="宋体"/>
          <w:b/>
          <w:color w:val="auto"/>
          <w:kern w:val="0"/>
          <w:sz w:val="32"/>
          <w:szCs w:val="32"/>
          <w:highlight w:val="none"/>
          <w:lang w:val="en-US" w:eastAsia="zh-CN"/>
        </w:rPr>
        <w:t>提供原件扫描件或电子营业执照</w:t>
      </w:r>
      <w:r>
        <w:rPr>
          <w:rFonts w:hint="eastAsia" w:ascii="宋体" w:hAnsi="宋体" w:eastAsia="宋体" w:cs="宋体"/>
          <w:b/>
          <w:color w:val="auto"/>
          <w:kern w:val="0"/>
          <w:sz w:val="32"/>
          <w:szCs w:val="32"/>
          <w:highlight w:val="none"/>
          <w:lang w:eastAsia="zh-CN"/>
        </w:rPr>
        <w:t>），供应商如果有名称变更的，应提供由行政主管部门出具的变更证明文件</w:t>
      </w:r>
    </w:p>
    <w:p>
      <w:pPr>
        <w:snapToGrid w:val="0"/>
        <w:spacing w:line="360" w:lineRule="auto"/>
        <w:ind w:right="480"/>
        <w:jc w:val="center"/>
        <w:rPr>
          <w:rFonts w:hint="eastAsia" w:ascii="宋体" w:hAnsi="宋体" w:eastAsia="宋体" w:cs="宋体"/>
          <w:color w:val="auto"/>
          <w:kern w:val="0"/>
          <w:sz w:val="24"/>
          <w:highlight w:val="none"/>
        </w:rPr>
      </w:pPr>
    </w:p>
    <w:p>
      <w:pPr>
        <w:snapToGrid w:val="0"/>
        <w:spacing w:line="360" w:lineRule="auto"/>
        <w:ind w:right="480"/>
        <w:jc w:val="center"/>
        <w:rPr>
          <w:rFonts w:hint="eastAsia" w:ascii="宋体" w:hAnsi="宋体" w:eastAsia="宋体" w:cs="宋体"/>
          <w:color w:val="auto"/>
          <w:kern w:val="0"/>
          <w:sz w:val="24"/>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cs="宋体"/>
          <w:b/>
          <w:color w:val="auto"/>
          <w:kern w:val="0"/>
          <w:sz w:val="32"/>
          <w:szCs w:val="32"/>
          <w:highlight w:val="none"/>
          <w:lang w:eastAsia="zh-CN"/>
        </w:rPr>
        <w:t>二</w:t>
      </w:r>
      <w:r>
        <w:rPr>
          <w:rFonts w:hint="eastAsia" w:ascii="宋体" w:hAnsi="宋体" w:eastAsia="宋体" w:cs="宋体"/>
          <w:b/>
          <w:color w:val="auto"/>
          <w:kern w:val="0"/>
          <w:sz w:val="32"/>
          <w:szCs w:val="32"/>
          <w:highlight w:val="none"/>
        </w:rPr>
        <w:t>、符合参加政府采购活动应当具备的一般条件的承诺函</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（采购人）、（采购代理机构）：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我方参与（项目名称）【招标编号：（采购编号）】政府采购活动，郑重承诺：</w:t>
      </w:r>
    </w:p>
    <w:p>
      <w:pPr>
        <w:snapToGrid w:val="0"/>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（一）具备《中华人民共和国政府采购法》第二十二条第一款规定的条件：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2、具有良好的商业信誉和健全的财务会计制度； </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3、具有履行合同所必需的设备和专业技术能力；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4、有依法缴纳税收和社会保障资金的良好记录；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5、参加政府采购活动前三年内，在经营活动中没有重大违法记录；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6、具有法律、行政法规规定的其他条件。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（三）不存在以下情况：</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color w:val="auto"/>
          <w:kern w:val="0"/>
          <w:sz w:val="24"/>
          <w:highlight w:val="none"/>
        </w:rPr>
      </w:pPr>
      <w:r>
        <w:rPr>
          <w:rFonts w:hint="eastAsia" w:ascii="宋体" w:hAnsi="宋体" w:cs="宋体"/>
          <w:color w:val="auto"/>
          <w:kern w:val="0"/>
          <w:sz w:val="24"/>
          <w:highlight w:val="none"/>
          <w:lang w:val="zh-CN"/>
        </w:rPr>
        <w:t>供应商</w:t>
      </w:r>
      <w:r>
        <w:rPr>
          <w:rFonts w:hint="eastAsia" w:ascii="宋体" w:hAnsi="宋体" w:eastAsia="宋体" w:cs="宋体"/>
          <w:color w:val="auto"/>
          <w:kern w:val="0"/>
          <w:sz w:val="24"/>
          <w:highlight w:val="none"/>
          <w:lang w:val="zh-CN"/>
        </w:rPr>
        <w:t>名称(电子签名)：</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widowControl/>
        <w:spacing w:line="360" w:lineRule="auto"/>
        <w:ind w:firstLine="643" w:firstLineChars="200"/>
        <w:jc w:val="center"/>
        <w:rPr>
          <w:rFonts w:hint="eastAsia" w:ascii="宋体" w:hAnsi="宋体" w:eastAsia="宋体" w:cs="宋体"/>
          <w:b/>
          <w:color w:val="auto"/>
          <w:kern w:val="0"/>
          <w:sz w:val="32"/>
          <w:szCs w:val="32"/>
          <w:highlight w:val="none"/>
        </w:rPr>
      </w:pPr>
      <w:r>
        <w:rPr>
          <w:rFonts w:hint="eastAsia" w:ascii="宋体" w:hAnsi="宋体" w:cs="宋体"/>
          <w:b/>
          <w:color w:val="auto"/>
          <w:kern w:val="0"/>
          <w:sz w:val="32"/>
          <w:szCs w:val="32"/>
          <w:highlight w:val="none"/>
          <w:lang w:eastAsia="zh-CN"/>
        </w:rPr>
        <w:t>三</w:t>
      </w:r>
      <w:r>
        <w:rPr>
          <w:rFonts w:hint="eastAsia" w:ascii="宋体" w:hAnsi="宋体" w:eastAsia="宋体" w:cs="宋体"/>
          <w:b/>
          <w:color w:val="auto"/>
          <w:kern w:val="0"/>
          <w:sz w:val="32"/>
          <w:szCs w:val="32"/>
          <w:highlight w:val="none"/>
        </w:rPr>
        <w:t>、联合协议（如适用）</w:t>
      </w:r>
    </w:p>
    <w:p>
      <w:pPr>
        <w:widowControl/>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[以联合体形式投标的，提供联合协议（附件5）；本项目不接受联合体投标或者</w:t>
      </w:r>
      <w:r>
        <w:rPr>
          <w:rFonts w:hint="eastAsia" w:ascii="宋体" w:hAnsi="宋体" w:cs="宋体"/>
          <w:b/>
          <w:color w:val="auto"/>
          <w:sz w:val="24"/>
          <w:highlight w:val="none"/>
          <w:lang w:eastAsia="zh-CN"/>
        </w:rPr>
        <w:t>供应商</w:t>
      </w:r>
      <w:r>
        <w:rPr>
          <w:rFonts w:hint="eastAsia" w:ascii="宋体" w:hAnsi="宋体" w:eastAsia="宋体" w:cs="宋体"/>
          <w:b/>
          <w:color w:val="auto"/>
          <w:sz w:val="24"/>
          <w:highlight w:val="none"/>
        </w:rPr>
        <w:t>不以联合体形式投标的，则不需要提供）]</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cs="宋体"/>
          <w:b/>
          <w:color w:val="auto"/>
          <w:kern w:val="0"/>
          <w:sz w:val="32"/>
          <w:szCs w:val="32"/>
          <w:highlight w:val="none"/>
          <w:lang w:eastAsia="zh-CN"/>
        </w:rPr>
        <w:t>四</w:t>
      </w:r>
      <w:r>
        <w:rPr>
          <w:rFonts w:hint="eastAsia" w:ascii="宋体" w:hAnsi="宋体" w:eastAsia="宋体" w:cs="宋体"/>
          <w:b/>
          <w:color w:val="auto"/>
          <w:kern w:val="0"/>
          <w:sz w:val="32"/>
          <w:szCs w:val="32"/>
          <w:highlight w:val="none"/>
        </w:rPr>
        <w:t>、落实政府采购政策需满足的资格要求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A</w:t>
      </w:r>
      <w:r>
        <w:rPr>
          <w:rFonts w:hint="eastAsia" w:ascii="宋体" w:hAnsi="宋体" w:eastAsia="宋体" w:cs="宋体"/>
          <w:color w:val="auto"/>
          <w:sz w:val="24"/>
          <w:highlight w:val="none"/>
        </w:rPr>
        <w:t xml:space="preserve">.专门面向中小企业，服务全部由符合政策要求的中小企业（或小微企业）承接的，提供相应的中小企业声明函（附件7）。 </w:t>
      </w:r>
    </w:p>
    <w:p>
      <w:pPr>
        <w:widowControl/>
        <w:spacing w:line="360" w:lineRule="auto"/>
        <w:ind w:firstLine="480"/>
        <w:jc w:val="left"/>
        <w:rPr>
          <w:rFonts w:hint="eastAsia" w:ascii="宋体" w:hAnsi="宋体" w:eastAsia="宋体" w:cs="宋体"/>
          <w:color w:val="auto"/>
          <w:sz w:val="24"/>
          <w:highlight w:val="none"/>
        </w:rPr>
      </w:pPr>
    </w:p>
    <w:p>
      <w:pPr>
        <w:widowControl/>
        <w:spacing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B.</w:t>
      </w:r>
      <w:r>
        <w:rPr>
          <w:rFonts w:hint="eastAsia" w:ascii="宋体" w:hAnsi="宋体" w:eastAsia="宋体" w:cs="宋体"/>
          <w:color w:val="auto"/>
          <w:sz w:val="24"/>
          <w:highlight w:val="none"/>
        </w:rPr>
        <w:t>要求以联合体形式参加的，提供联合协议（附件5）和中小企业声明函（附件7），联合协议中中小企业合同金额应当达到招标公告载明的比例；如果供应商本身提供所有标的均由中小企业承接的，</w:t>
      </w:r>
      <w:r>
        <w:rPr>
          <w:rFonts w:hint="eastAsia" w:ascii="宋体" w:hAnsi="宋体" w:eastAsia="宋体" w:cs="宋体"/>
          <w:color w:val="auto"/>
          <w:spacing w:val="8"/>
          <w:kern w:val="0"/>
          <w:sz w:val="24"/>
          <w:highlight w:val="none"/>
        </w:rPr>
        <w:t>并相应达到了前述比例要求，</w:t>
      </w:r>
      <w:r>
        <w:rPr>
          <w:rFonts w:hint="eastAsia" w:ascii="宋体" w:hAnsi="宋体" w:eastAsia="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hint="eastAsia" w:ascii="宋体" w:hAnsi="宋体" w:eastAsia="宋体" w:cs="宋体"/>
          <w:color w:val="auto"/>
          <w:sz w:val="24"/>
          <w:highlight w:val="none"/>
        </w:rPr>
      </w:pPr>
      <w:r>
        <w:rPr>
          <w:rFonts w:hint="eastAsia" w:ascii="宋体" w:hAnsi="宋体" w:eastAsia="宋体" w:cs="宋体"/>
          <w:b/>
          <w:color w:val="auto"/>
          <w:sz w:val="24"/>
          <w:highlight w:val="none"/>
        </w:rPr>
        <w:t xml:space="preserve">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C、</w:t>
      </w:r>
      <w:r>
        <w:rPr>
          <w:rFonts w:hint="eastAsia" w:ascii="宋体" w:hAnsi="宋体" w:eastAsia="宋体" w:cs="宋体"/>
          <w:color w:val="auto"/>
          <w:sz w:val="24"/>
          <w:highlight w:val="none"/>
        </w:rPr>
        <w:t>要求合同分包的，提供分包意向协议（附件6）和中小企业声明函（附件7），分包意向协议中中小企业合同金额应当达到招标公告载明的比例；如果供应商本身提供所有标的均由中小企业承接的，</w:t>
      </w:r>
      <w:r>
        <w:rPr>
          <w:rFonts w:hint="eastAsia" w:ascii="宋体" w:hAnsi="宋体" w:eastAsia="宋体" w:cs="宋体"/>
          <w:color w:val="auto"/>
          <w:spacing w:val="8"/>
          <w:kern w:val="0"/>
          <w:sz w:val="24"/>
          <w:highlight w:val="none"/>
        </w:rPr>
        <w:t>并相应达到了前述比例要求，</w:t>
      </w:r>
      <w:r>
        <w:rPr>
          <w:rFonts w:hint="eastAsia" w:ascii="宋体" w:hAnsi="宋体" w:eastAsia="宋体" w:cs="宋体"/>
          <w:color w:val="auto"/>
          <w:sz w:val="24"/>
          <w:highlight w:val="none"/>
        </w:rPr>
        <w:t>视同符合了资格条件，无需再向中小企业分包，无需提供分包意向协议。</w:t>
      </w:r>
    </w:p>
    <w:p>
      <w:pPr>
        <w:widowControl/>
        <w:spacing w:line="360" w:lineRule="auto"/>
        <w:ind w:left="150"/>
        <w:jc w:val="center"/>
        <w:rPr>
          <w:rFonts w:hint="eastAsia" w:ascii="宋体" w:hAnsi="宋体" w:cs="宋体"/>
          <w:b/>
          <w:color w:val="auto"/>
          <w:sz w:val="32"/>
          <w:szCs w:val="32"/>
          <w:highlight w:val="none"/>
          <w:lang w:eastAsia="zh-CN"/>
        </w:rPr>
      </w:pPr>
    </w:p>
    <w:p>
      <w:pPr>
        <w:widowControl/>
        <w:spacing w:line="360" w:lineRule="auto"/>
        <w:ind w:left="150"/>
        <w:jc w:val="center"/>
        <w:rPr>
          <w:rFonts w:hint="eastAsia" w:ascii="宋体" w:hAnsi="宋体" w:cs="宋体"/>
          <w:b/>
          <w:color w:val="auto"/>
          <w:sz w:val="32"/>
          <w:szCs w:val="32"/>
          <w:highlight w:val="none"/>
          <w:lang w:eastAsia="zh-CN"/>
        </w:rPr>
      </w:pPr>
    </w:p>
    <w:p>
      <w:pPr>
        <w:widowControl/>
        <w:spacing w:line="360" w:lineRule="auto"/>
        <w:ind w:left="150"/>
        <w:jc w:val="center"/>
        <w:rPr>
          <w:rFonts w:hint="eastAsia" w:ascii="宋体" w:hAnsi="宋体" w:eastAsia="宋体" w:cs="宋体"/>
          <w:b/>
          <w:color w:val="auto"/>
          <w:kern w:val="0"/>
          <w:sz w:val="32"/>
          <w:szCs w:val="32"/>
          <w:highlight w:val="none"/>
        </w:rPr>
      </w:pPr>
      <w:r>
        <w:rPr>
          <w:rFonts w:hint="eastAsia" w:ascii="宋体" w:hAnsi="宋体" w:cs="宋体"/>
          <w:b/>
          <w:color w:val="auto"/>
          <w:sz w:val="32"/>
          <w:szCs w:val="32"/>
          <w:highlight w:val="none"/>
          <w:lang w:eastAsia="zh-CN"/>
        </w:rPr>
        <w:t>五</w:t>
      </w:r>
      <w:r>
        <w:rPr>
          <w:rFonts w:hint="eastAsia" w:ascii="宋体" w:hAnsi="宋体" w:eastAsia="宋体" w:cs="宋体"/>
          <w:b/>
          <w:color w:val="auto"/>
          <w:sz w:val="32"/>
          <w:szCs w:val="32"/>
          <w:highlight w:val="none"/>
        </w:rPr>
        <w:t>、</w:t>
      </w:r>
      <w:r>
        <w:rPr>
          <w:rFonts w:hint="eastAsia" w:ascii="宋体" w:hAnsi="宋体" w:eastAsia="宋体" w:cs="宋体"/>
          <w:b/>
          <w:color w:val="auto"/>
          <w:kern w:val="0"/>
          <w:sz w:val="32"/>
          <w:szCs w:val="32"/>
          <w:highlight w:val="none"/>
        </w:rPr>
        <w:t>本项目的特定资格要求（如适用）</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（根据招标公告本项目的特定资格要求提供相应的材料；未要求的，无需提供）</w:t>
      </w:r>
    </w:p>
    <w:p>
      <w:pPr>
        <w:rPr>
          <w:rFonts w:hint="eastAsia" w:ascii="宋体" w:hAnsi="宋体" w:eastAsia="宋体" w:cs="宋体"/>
          <w:color w:val="auto"/>
          <w:highlight w:val="none"/>
        </w:rPr>
      </w:pPr>
    </w:p>
    <w:p>
      <w:pPr>
        <w:spacing w:line="360" w:lineRule="auto"/>
        <w:ind w:right="420"/>
        <w:jc w:val="center"/>
        <w:rPr>
          <w:rFonts w:hint="eastAsia" w:ascii="宋体" w:hAnsi="宋体" w:eastAsia="宋体" w:cs="宋体"/>
          <w:b/>
          <w:color w:val="auto"/>
          <w:kern w:val="0"/>
          <w:sz w:val="36"/>
          <w:szCs w:val="36"/>
          <w:highlight w:val="none"/>
        </w:rPr>
      </w:pPr>
    </w:p>
    <w:p>
      <w:pPr>
        <w:spacing w:line="360" w:lineRule="auto"/>
        <w:ind w:right="420"/>
        <w:jc w:val="center"/>
        <w:rPr>
          <w:rFonts w:hint="eastAsia" w:ascii="宋体" w:hAnsi="宋体" w:eastAsia="宋体" w:cs="宋体"/>
          <w:b/>
          <w:color w:val="auto"/>
          <w:kern w:val="0"/>
          <w:sz w:val="36"/>
          <w:szCs w:val="36"/>
          <w:highlight w:val="none"/>
        </w:rPr>
      </w:pPr>
    </w:p>
    <w:p>
      <w:pPr>
        <w:spacing w:line="360" w:lineRule="auto"/>
        <w:ind w:right="420"/>
        <w:jc w:val="center"/>
        <w:rPr>
          <w:rFonts w:hint="eastAsia" w:ascii="宋体" w:hAnsi="宋体" w:eastAsia="宋体" w:cs="宋体"/>
          <w:b/>
          <w:color w:val="auto"/>
          <w:kern w:val="0"/>
          <w:sz w:val="36"/>
          <w:szCs w:val="36"/>
          <w:highlight w:val="none"/>
        </w:rPr>
      </w:pPr>
    </w:p>
    <w:p>
      <w:pPr>
        <w:spacing w:line="360" w:lineRule="auto"/>
        <w:ind w:right="420"/>
        <w:jc w:val="center"/>
        <w:rPr>
          <w:rFonts w:hint="eastAsia" w:ascii="宋体" w:hAnsi="宋体" w:eastAsia="宋体" w:cs="宋体"/>
          <w:b/>
          <w:color w:val="auto"/>
          <w:kern w:val="0"/>
          <w:sz w:val="24"/>
          <w:highlight w:val="none"/>
        </w:rPr>
      </w:pPr>
      <w:r>
        <w:rPr>
          <w:rFonts w:hint="eastAsia" w:ascii="宋体" w:hAnsi="宋体" w:eastAsia="宋体" w:cs="宋体"/>
          <w:b/>
          <w:color w:val="auto"/>
          <w:kern w:val="0"/>
          <w:sz w:val="36"/>
          <w:szCs w:val="36"/>
          <w:highlight w:val="none"/>
        </w:rPr>
        <w:t>商务技术文件部分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numPr>
          <w:ilvl w:val="0"/>
          <w:numId w:val="2"/>
        </w:numPr>
        <w:snapToGrid w:val="0"/>
        <w:spacing w:line="360" w:lineRule="auto"/>
        <w:ind w:left="479" w:leftChars="228"/>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投标函……………………………………………………………………（页码）</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（2）授权委托书或法定代表人（单位负责人、自然人本人）身份证明…（页码）</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（3）分包意向协议（如适用）………………………………………………（页码）</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（4）符合性审查资料…………………………………………………………（页码）</w:t>
      </w:r>
    </w:p>
    <w:p>
      <w:pPr>
        <w:snapToGrid w:val="0"/>
        <w:spacing w:line="360" w:lineRule="auto"/>
        <w:ind w:left="479" w:leftChars="228"/>
        <w:rPr>
          <w:rFonts w:hint="eastAsia" w:ascii="宋体" w:hAnsi="宋体" w:eastAsia="宋体" w:cs="宋体"/>
          <w:color w:val="auto"/>
          <w:sz w:val="24"/>
          <w:highlight w:val="none"/>
        </w:rPr>
      </w:pPr>
      <w:r>
        <w:rPr>
          <w:rFonts w:hint="eastAsia" w:ascii="宋体" w:hAnsi="宋体" w:eastAsia="宋体" w:cs="宋体"/>
          <w:color w:val="auto"/>
          <w:sz w:val="24"/>
          <w:highlight w:val="none"/>
        </w:rPr>
        <w:t>（5）招标文件第四部分-评标办法：评标办法前附表中要求提供的各项方案以及相关证明材料………………………………………………………………………（页码）</w:t>
      </w:r>
    </w:p>
    <w:p>
      <w:pPr>
        <w:snapToGrid w:val="0"/>
        <w:spacing w:line="360" w:lineRule="auto"/>
        <w:ind w:left="479" w:leftChars="228"/>
        <w:rPr>
          <w:rFonts w:hint="eastAsia" w:ascii="宋体" w:hAnsi="宋体" w:eastAsia="宋体" w:cs="宋体"/>
          <w:color w:val="auto"/>
          <w:sz w:val="24"/>
          <w:highlight w:val="none"/>
        </w:rPr>
      </w:pPr>
      <w:r>
        <w:rPr>
          <w:rFonts w:hint="eastAsia" w:ascii="宋体" w:hAnsi="宋体" w:eastAsia="宋体" w:cs="宋体"/>
          <w:color w:val="auto"/>
          <w:sz w:val="24"/>
          <w:highlight w:val="none"/>
        </w:rPr>
        <w:t>（6）商务技术偏离表…………………………………………………………（页码）</w:t>
      </w:r>
    </w:p>
    <w:p>
      <w:pPr>
        <w:snapToGrid w:val="0"/>
        <w:spacing w:line="360" w:lineRule="auto"/>
        <w:ind w:left="479" w:leftChars="228"/>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7</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业绩表……………………………………………………………………（页码）</w:t>
      </w:r>
    </w:p>
    <w:p>
      <w:pPr>
        <w:snapToGrid w:val="0"/>
        <w:spacing w:line="360" w:lineRule="auto"/>
        <w:ind w:left="479" w:leftChars="228"/>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拟投入本项目的实施团队人员一览表…………………………………（页码）</w:t>
      </w:r>
    </w:p>
    <w:p>
      <w:pPr>
        <w:snapToGrid w:val="0"/>
        <w:spacing w:line="360" w:lineRule="auto"/>
        <w:ind w:left="479" w:leftChars="228"/>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9</w:t>
      </w:r>
      <w:r>
        <w:rPr>
          <w:rFonts w:hint="eastAsia" w:ascii="宋体" w:hAnsi="宋体" w:eastAsia="宋体" w:cs="宋体"/>
          <w:color w:val="auto"/>
          <w:sz w:val="24"/>
          <w:highlight w:val="none"/>
          <w:lang w:val="zh-CN"/>
        </w:rPr>
        <w:t>）政府采购供应商廉洁自律承诺书</w:t>
      </w:r>
      <w:r>
        <w:rPr>
          <w:rFonts w:hint="eastAsia" w:ascii="宋体" w:hAnsi="宋体" w:eastAsia="宋体" w:cs="宋体"/>
          <w:color w:val="auto"/>
          <w:sz w:val="24"/>
          <w:highlight w:val="none"/>
        </w:rPr>
        <w:t>………………………………………（页码）</w:t>
      </w:r>
    </w:p>
    <w:p>
      <w:pPr>
        <w:snapToGrid w:val="0"/>
        <w:spacing w:line="360" w:lineRule="auto"/>
        <w:ind w:left="479" w:leftChars="228"/>
        <w:rPr>
          <w:rFonts w:hint="eastAsia" w:ascii="宋体" w:hAnsi="宋体" w:eastAsia="宋体" w:cs="宋体"/>
          <w:color w:val="auto"/>
          <w:sz w:val="24"/>
          <w:highlight w:val="none"/>
        </w:rPr>
      </w:pPr>
    </w:p>
    <w:p>
      <w:pPr>
        <w:snapToGrid w:val="0"/>
        <w:spacing w:line="360" w:lineRule="auto"/>
        <w:ind w:left="479" w:leftChars="228"/>
        <w:rPr>
          <w:rFonts w:hint="eastAsia" w:ascii="宋体" w:hAnsi="宋体" w:eastAsia="宋体" w:cs="宋体"/>
          <w:color w:val="auto"/>
          <w:sz w:val="24"/>
          <w:highlight w:val="none"/>
        </w:rPr>
      </w:pPr>
    </w:p>
    <w:p>
      <w:pPr>
        <w:snapToGrid w:val="0"/>
        <w:spacing w:line="360" w:lineRule="auto"/>
        <w:ind w:left="479" w:leftChars="228"/>
        <w:rPr>
          <w:rFonts w:hint="eastAsia" w:ascii="宋体" w:hAnsi="宋体" w:eastAsia="宋体" w:cs="宋体"/>
          <w:color w:val="auto"/>
          <w:sz w:val="24"/>
          <w:highlight w:val="none"/>
        </w:rPr>
      </w:pPr>
    </w:p>
    <w:p>
      <w:pPr>
        <w:snapToGrid w:val="0"/>
        <w:spacing w:line="360" w:lineRule="auto"/>
        <w:ind w:left="479" w:leftChars="228"/>
        <w:rPr>
          <w:rFonts w:hint="eastAsia" w:ascii="宋体" w:hAnsi="宋体" w:eastAsia="宋体" w:cs="宋体"/>
          <w:color w:val="auto"/>
          <w:sz w:val="24"/>
          <w:highlight w:val="none"/>
        </w:rPr>
      </w:pPr>
    </w:p>
    <w:p>
      <w:pPr>
        <w:snapToGrid w:val="0"/>
        <w:spacing w:line="360" w:lineRule="auto"/>
        <w:ind w:left="479" w:leftChars="228"/>
        <w:rPr>
          <w:rFonts w:hint="eastAsia" w:ascii="宋体" w:hAnsi="宋体" w:eastAsia="宋体" w:cs="宋体"/>
          <w:color w:val="auto"/>
          <w:sz w:val="24"/>
          <w:highlight w:val="none"/>
        </w:rPr>
      </w:pPr>
    </w:p>
    <w:p>
      <w:pPr>
        <w:snapToGrid w:val="0"/>
        <w:spacing w:line="360" w:lineRule="auto"/>
        <w:ind w:left="479" w:leftChars="228"/>
        <w:rPr>
          <w:rFonts w:hint="eastAsia" w:ascii="宋体" w:hAnsi="宋体" w:eastAsia="宋体" w:cs="宋体"/>
          <w:color w:val="auto"/>
          <w:sz w:val="24"/>
          <w:highlight w:val="none"/>
        </w:rPr>
      </w:pPr>
    </w:p>
    <w:p>
      <w:pPr>
        <w:snapToGrid w:val="0"/>
        <w:spacing w:line="360" w:lineRule="auto"/>
        <w:ind w:left="479" w:leftChars="228"/>
        <w:rPr>
          <w:rFonts w:hint="eastAsia" w:ascii="宋体" w:hAnsi="宋体" w:eastAsia="宋体" w:cs="宋体"/>
          <w:color w:val="auto"/>
          <w:sz w:val="24"/>
          <w:highlight w:val="none"/>
        </w:rPr>
      </w:pPr>
    </w:p>
    <w:p>
      <w:pPr>
        <w:snapToGrid w:val="0"/>
        <w:spacing w:line="360" w:lineRule="auto"/>
        <w:ind w:left="479" w:leftChars="228"/>
        <w:rPr>
          <w:rFonts w:hint="eastAsia" w:ascii="宋体" w:hAnsi="宋体" w:eastAsia="宋体" w:cs="宋体"/>
          <w:color w:val="auto"/>
          <w:sz w:val="24"/>
          <w:highlight w:val="none"/>
        </w:rPr>
      </w:pPr>
    </w:p>
    <w:p>
      <w:pPr>
        <w:snapToGrid w:val="0"/>
        <w:spacing w:line="360" w:lineRule="auto"/>
        <w:ind w:left="479" w:leftChars="228"/>
        <w:rPr>
          <w:rFonts w:hint="eastAsia" w:ascii="宋体" w:hAnsi="宋体" w:eastAsia="宋体" w:cs="宋体"/>
          <w:color w:val="auto"/>
          <w:sz w:val="24"/>
          <w:highlight w:val="none"/>
        </w:rPr>
      </w:pPr>
    </w:p>
    <w:p>
      <w:pPr>
        <w:snapToGrid w:val="0"/>
        <w:spacing w:line="360" w:lineRule="auto"/>
        <w:ind w:left="479" w:leftChars="228"/>
        <w:rPr>
          <w:rFonts w:hint="eastAsia" w:ascii="宋体" w:hAnsi="宋体" w:eastAsia="宋体" w:cs="宋体"/>
          <w:color w:val="auto"/>
          <w:sz w:val="24"/>
          <w:highlight w:val="none"/>
        </w:rPr>
      </w:pPr>
    </w:p>
    <w:p>
      <w:pPr>
        <w:snapToGrid w:val="0"/>
        <w:spacing w:line="360" w:lineRule="auto"/>
        <w:ind w:left="479" w:leftChars="228"/>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jc w:val="center"/>
        <w:outlineLvl w:val="0"/>
        <w:rPr>
          <w:rFonts w:hint="eastAsia" w:ascii="宋体" w:hAnsi="宋体" w:eastAsia="宋体" w:cs="宋体"/>
          <w:b/>
          <w:color w:val="auto"/>
          <w:kern w:val="0"/>
          <w:sz w:val="32"/>
          <w:szCs w:val="32"/>
          <w:highlight w:val="none"/>
        </w:rPr>
      </w:pPr>
    </w:p>
    <w:p>
      <w:pPr>
        <w:snapToGrid w:val="0"/>
        <w:jc w:val="center"/>
        <w:outlineLvl w:val="0"/>
        <w:rPr>
          <w:rFonts w:hint="eastAsia" w:ascii="宋体" w:hAnsi="宋体" w:eastAsia="宋体" w:cs="宋体"/>
          <w:b/>
          <w:color w:val="auto"/>
          <w:sz w:val="32"/>
          <w:szCs w:val="32"/>
          <w:highlight w:val="none"/>
        </w:rPr>
      </w:pPr>
      <w:r>
        <w:rPr>
          <w:rFonts w:hint="eastAsia" w:ascii="宋体" w:hAnsi="宋体" w:eastAsia="宋体" w:cs="宋体"/>
          <w:b/>
          <w:color w:val="auto"/>
          <w:kern w:val="0"/>
          <w:sz w:val="32"/>
          <w:szCs w:val="32"/>
          <w:highlight w:val="none"/>
        </w:rPr>
        <w:t>一、投标</w:t>
      </w:r>
      <w:r>
        <w:rPr>
          <w:rFonts w:hint="eastAsia" w:ascii="宋体" w:hAnsi="宋体" w:eastAsia="宋体" w:cs="宋体"/>
          <w:b/>
          <w:color w:val="auto"/>
          <w:sz w:val="32"/>
          <w:szCs w:val="32"/>
          <w:highlight w:val="none"/>
        </w:rPr>
        <w:t>函</w:t>
      </w:r>
    </w:p>
    <w:p>
      <w:pPr>
        <w:snapToGrid w:val="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（采购人）、（采购代理机构）：</w:t>
      </w:r>
    </w:p>
    <w:p>
      <w:pPr>
        <w:snapToGrid w:val="0"/>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我方参加你方组织的（项目名称）【招标编号：（采购编号）】招标的有关活动，并对此项目进行投标。为此：</w:t>
      </w:r>
    </w:p>
    <w:p>
      <w:pPr>
        <w:snapToGrid w:val="0"/>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1、我方承诺投标有效期从提交投标文件的截止之日起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天（不少于90天）</w:t>
      </w:r>
      <w:r>
        <w:rPr>
          <w:rFonts w:hint="eastAsia" w:ascii="宋体" w:hAnsi="宋体" w:eastAsia="宋体" w:cs="宋体"/>
          <w:color w:val="auto"/>
          <w:highlight w:val="none"/>
        </w:rPr>
        <w:t>，</w:t>
      </w:r>
      <w:r>
        <w:rPr>
          <w:rFonts w:hint="eastAsia" w:ascii="宋体" w:hAnsi="宋体" w:eastAsia="宋体" w:cs="宋体"/>
          <w:color w:val="auto"/>
          <w:sz w:val="24"/>
          <w:highlight w:val="none"/>
        </w:rPr>
        <w:t>本投标文件在投标有效期满之前均具有约束力。</w:t>
      </w:r>
    </w:p>
    <w:p>
      <w:pPr>
        <w:snapToGrid w:val="0"/>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2、我方的投标文件包括以下内容：</w:t>
      </w:r>
    </w:p>
    <w:p>
      <w:pPr>
        <w:snapToGrid w:val="0"/>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2.1资格文件：</w:t>
      </w:r>
    </w:p>
    <w:p>
      <w:pPr>
        <w:snapToGrid w:val="0"/>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2.2.1有效的企业法人营业执照（或事业法人登记证）、其他组织（个体工商户）的营业执照或者民办非企业单位登记证书</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提供原件扫描件或电子营业执照</w:t>
      </w:r>
      <w:r>
        <w:rPr>
          <w:rFonts w:hint="eastAsia" w:ascii="宋体" w:hAnsi="宋体" w:eastAsia="宋体" w:cs="宋体"/>
          <w:color w:val="auto"/>
          <w:sz w:val="24"/>
          <w:highlight w:val="none"/>
          <w:lang w:eastAsia="zh-CN"/>
        </w:rPr>
        <w:t>），供应商如果有名称变更的，应提供由行政主管部门出具的变更证明文件；</w:t>
      </w:r>
    </w:p>
    <w:p>
      <w:pPr>
        <w:snapToGrid w:val="0"/>
        <w:ind w:left="420" w:leftChars="200"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2.2.2</w:t>
      </w:r>
      <w:r>
        <w:rPr>
          <w:rFonts w:hint="eastAsia" w:ascii="宋体" w:hAnsi="宋体" w:eastAsia="宋体" w:cs="宋体"/>
          <w:color w:val="auto"/>
          <w:sz w:val="24"/>
          <w:highlight w:val="none"/>
        </w:rPr>
        <w:t>符合参加政府采购活动应当具备的一般条件的承诺函；</w:t>
      </w:r>
    </w:p>
    <w:p>
      <w:pPr>
        <w:snapToGrid w:val="0"/>
        <w:ind w:left="420" w:leftChars="200"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2.2.3</w:t>
      </w:r>
      <w:r>
        <w:rPr>
          <w:rFonts w:hint="eastAsia" w:ascii="宋体" w:hAnsi="宋体" w:eastAsia="宋体" w:cs="宋体"/>
          <w:color w:val="auto"/>
          <w:sz w:val="24"/>
          <w:highlight w:val="none"/>
        </w:rPr>
        <w:t>联合协议（如适用)；</w:t>
      </w:r>
    </w:p>
    <w:p>
      <w:pPr>
        <w:snapToGrid w:val="0"/>
        <w:ind w:left="420" w:leftChars="200"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2.2.4</w:t>
      </w:r>
      <w:r>
        <w:rPr>
          <w:rFonts w:hint="eastAsia" w:ascii="宋体" w:hAnsi="宋体" w:eastAsia="宋体" w:cs="宋体"/>
          <w:color w:val="auto"/>
          <w:sz w:val="24"/>
          <w:highlight w:val="none"/>
        </w:rPr>
        <w:t>落实政府采购政策需满足的资格要求（不适用）：</w:t>
      </w:r>
    </w:p>
    <w:p>
      <w:pPr>
        <w:snapToGrid w:val="0"/>
        <w:ind w:left="420" w:leftChars="200"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2.2.5</w:t>
      </w:r>
      <w:r>
        <w:rPr>
          <w:rFonts w:hint="eastAsia" w:ascii="宋体" w:hAnsi="宋体" w:eastAsia="宋体" w:cs="宋体"/>
          <w:color w:val="auto"/>
          <w:sz w:val="24"/>
          <w:highlight w:val="none"/>
        </w:rPr>
        <w:t>本项目的特定资格要求：供应商具有</w:t>
      </w:r>
      <w:r>
        <w:rPr>
          <w:rFonts w:hint="eastAsia" w:ascii="宋体" w:hAnsi="宋体" w:eastAsia="宋体" w:cs="宋体"/>
          <w:color w:val="auto"/>
          <w:sz w:val="24"/>
          <w:highlight w:val="none"/>
          <w:lang w:val="en-US" w:eastAsia="zh-CN"/>
        </w:rPr>
        <w:t>国家金融监督管理总局（原中国保险监督管理委员会）</w:t>
      </w:r>
      <w:r>
        <w:rPr>
          <w:rFonts w:hint="eastAsia" w:ascii="宋体" w:hAnsi="宋体" w:eastAsia="宋体" w:cs="宋体"/>
          <w:color w:val="auto"/>
          <w:sz w:val="24"/>
          <w:highlight w:val="none"/>
        </w:rPr>
        <w:t>颁发的《经营保险业务许可证》</w:t>
      </w:r>
      <w:r>
        <w:rPr>
          <w:rFonts w:hint="eastAsia" w:ascii="宋体" w:hAnsi="宋体" w:eastAsia="宋体" w:cs="宋体"/>
          <w:color w:val="auto"/>
          <w:sz w:val="24"/>
          <w:highlight w:val="none"/>
          <w:lang w:val="en-US" w:eastAsia="zh-CN"/>
        </w:rPr>
        <w:t>的保险公司或其分支机构</w:t>
      </w:r>
      <w:r>
        <w:rPr>
          <w:rFonts w:hint="eastAsia" w:ascii="宋体" w:hAnsi="宋体" w:eastAsia="宋体" w:cs="宋体"/>
          <w:color w:val="auto"/>
          <w:sz w:val="24"/>
          <w:highlight w:val="none"/>
        </w:rPr>
        <w:t>，许可经营范围含有财产损失险的保险业务资格，投标文件中提供证书复印件加盖公章（如以联合体形式参加政府采购活动的，联合体的牵头单位必须符合本条资格要求）；</w:t>
      </w:r>
    </w:p>
    <w:p>
      <w:pPr>
        <w:snapToGrid w:val="0"/>
        <w:ind w:left="420" w:leftChars="200"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2.2.6</w:t>
      </w:r>
      <w:r>
        <w:rPr>
          <w:rFonts w:hint="eastAsia" w:ascii="宋体" w:hAnsi="宋体" w:eastAsia="宋体" w:cs="宋体"/>
          <w:color w:val="auto"/>
          <w:sz w:val="24"/>
          <w:highlight w:val="none"/>
        </w:rPr>
        <w:t>业务专用章使用说明函（如适用）。</w:t>
      </w:r>
    </w:p>
    <w:p>
      <w:pPr>
        <w:snapToGrid w:val="0"/>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2.2商务技术文件：</w:t>
      </w:r>
    </w:p>
    <w:p>
      <w:pPr>
        <w:snapToGrid w:val="0"/>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2.2.1投标函； </w:t>
      </w:r>
    </w:p>
    <w:p>
      <w:pPr>
        <w:snapToGrid w:val="0"/>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2.2.2授权委托书或法定代表人（单位负责人、自然人本人）身份证明；</w:t>
      </w:r>
    </w:p>
    <w:p>
      <w:pPr>
        <w:snapToGrid w:val="0"/>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2.2.3分包意向协议（如适用）</w:t>
      </w:r>
    </w:p>
    <w:p>
      <w:pPr>
        <w:snapToGrid w:val="0"/>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2.2.4符合性审查资料；</w:t>
      </w:r>
    </w:p>
    <w:p>
      <w:pPr>
        <w:snapToGrid w:val="0"/>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2.2.5招标文件第四部分-评标办法：评标办法前附表中要求提供的各项方案以及相关证明材料；</w:t>
      </w:r>
    </w:p>
    <w:p>
      <w:pPr>
        <w:snapToGrid w:val="0"/>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2.2.6商务技术偏离表；</w:t>
      </w:r>
    </w:p>
    <w:p>
      <w:pPr>
        <w:snapToGrid w:val="0"/>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2.2.7业绩表；</w:t>
      </w:r>
    </w:p>
    <w:p>
      <w:pPr>
        <w:snapToGrid w:val="0"/>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2.2.8拟投入本项目的实施团队人员一览表；</w:t>
      </w:r>
    </w:p>
    <w:p>
      <w:pPr>
        <w:snapToGrid w:val="0"/>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2.2.9政府采购供应商廉洁自律承诺书；</w:t>
      </w:r>
    </w:p>
    <w:p>
      <w:pPr>
        <w:snapToGrid w:val="0"/>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2.3报价文件：</w:t>
      </w:r>
    </w:p>
    <w:p>
      <w:pPr>
        <w:snapToGrid w:val="0"/>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2.3.1开标一览表（报价表）；</w:t>
      </w:r>
    </w:p>
    <w:p>
      <w:pPr>
        <w:snapToGrid w:val="0"/>
        <w:ind w:left="420" w:leftChars="200"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2.3.2投标报价明细表；</w:t>
      </w:r>
    </w:p>
    <w:p>
      <w:pPr>
        <w:snapToGrid w:val="0"/>
        <w:ind w:left="420" w:leftChars="200"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2.3.</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中小企业声明函（如是，请提供）</w:t>
      </w:r>
      <w:r>
        <w:rPr>
          <w:rFonts w:hint="eastAsia" w:ascii="宋体" w:hAnsi="宋体" w:eastAsia="宋体" w:cs="宋体"/>
          <w:color w:val="auto"/>
          <w:sz w:val="24"/>
          <w:highlight w:val="none"/>
          <w:lang w:eastAsia="zh-CN"/>
        </w:rPr>
        <w:t>；</w:t>
      </w:r>
    </w:p>
    <w:p>
      <w:pPr>
        <w:snapToGrid w:val="0"/>
        <w:ind w:left="420" w:leftChars="200"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.3.</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供应商为监狱企业的证明文件：省级以上监狱管理局、戒毒管理局（含新疆生产建设兵团）出具（如是，请提供）</w:t>
      </w:r>
      <w:r>
        <w:rPr>
          <w:rFonts w:hint="eastAsia" w:ascii="宋体" w:hAnsi="宋体" w:eastAsia="宋体" w:cs="宋体"/>
          <w:color w:val="auto"/>
          <w:sz w:val="24"/>
          <w:highlight w:val="none"/>
          <w:lang w:eastAsia="zh-CN"/>
        </w:rPr>
        <w:t>；</w:t>
      </w:r>
    </w:p>
    <w:p>
      <w:pPr>
        <w:snapToGrid w:val="0"/>
        <w:ind w:left="420" w:leftChars="200"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.3.</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残疾人福利性单位声明函（如是，请提供）。</w:t>
      </w:r>
    </w:p>
    <w:p>
      <w:pPr>
        <w:snapToGrid w:val="0"/>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3、我方承诺除商务技术偏离表列出的偏离外，我方响应招标文件的全部要求。</w:t>
      </w:r>
    </w:p>
    <w:p>
      <w:pPr>
        <w:snapToGrid w:val="0"/>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4、如我方中标，我方承诺：</w:t>
      </w:r>
    </w:p>
    <w:p>
      <w:pPr>
        <w:snapToGrid w:val="0"/>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4.1在收到中标通知书后，在中标通知书规定的期限内与你方签订合同； </w:t>
      </w:r>
    </w:p>
    <w:p>
      <w:pPr>
        <w:snapToGrid w:val="0"/>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4.2在签订合同时不向你方提出附加条件； </w:t>
      </w:r>
    </w:p>
    <w:p>
      <w:pPr>
        <w:snapToGrid w:val="0"/>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4.3按照招标文件要求提交履约保证金； </w:t>
      </w:r>
    </w:p>
    <w:p>
      <w:pPr>
        <w:snapToGrid w:val="0"/>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4.4在合同约定的期限内完成合同规定的全部义务。 </w:t>
      </w:r>
    </w:p>
    <w:p>
      <w:pPr>
        <w:snapToGrid w:val="0"/>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4.5按照招标文件的规定，在中标后向采购代理机构一次性支付招标代理服务费。 </w:t>
      </w:r>
    </w:p>
    <w:p>
      <w:pPr>
        <w:snapToGrid w:val="0"/>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5、其他补充说明: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ind w:firstLine="3600" w:firstLineChars="1500"/>
        <w:rPr>
          <w:rFonts w:hint="eastAsia" w:ascii="宋体" w:hAnsi="宋体" w:eastAsia="宋体" w:cs="宋体"/>
          <w:color w:val="auto"/>
          <w:sz w:val="24"/>
          <w:highlight w:val="none"/>
        </w:rPr>
      </w:pPr>
      <w:r>
        <w:rPr>
          <w:rFonts w:hint="eastAsia" w:ascii="宋体" w:hAnsi="宋体" w:cs="宋体"/>
          <w:color w:val="auto"/>
          <w:sz w:val="24"/>
          <w:highlight w:val="none"/>
          <w:lang w:eastAsia="zh-CN"/>
        </w:rPr>
        <w:t>供应商</w:t>
      </w:r>
      <w:r>
        <w:rPr>
          <w:rFonts w:hint="eastAsia" w:ascii="宋体" w:hAnsi="宋体" w:eastAsia="宋体" w:cs="宋体"/>
          <w:color w:val="auto"/>
          <w:sz w:val="24"/>
          <w:highlight w:val="none"/>
        </w:rPr>
        <w:t xml:space="preserve">名称（电子签名）：                          </w:t>
      </w:r>
    </w:p>
    <w:p>
      <w:pPr>
        <w:jc w:val="center"/>
        <w:rPr>
          <w:rFonts w:hint="eastAsia" w:ascii="宋体" w:hAnsi="宋体" w:eastAsia="宋体" w:cs="宋体"/>
          <w:color w:val="auto"/>
          <w:kern w:val="0"/>
          <w:sz w:val="24"/>
          <w:highlight w:val="none"/>
          <w:u w:val="single"/>
        </w:rPr>
      </w:pPr>
      <w:r>
        <w:rPr>
          <w:rFonts w:hint="eastAsia" w:ascii="宋体" w:hAnsi="宋体" w:eastAsia="宋体" w:cs="宋体"/>
          <w:color w:val="auto"/>
          <w:sz w:val="24"/>
          <w:highlight w:val="none"/>
        </w:rPr>
        <w:t xml:space="preserve">     日期：  年   月   日</w:t>
      </w:r>
    </w:p>
    <w:p>
      <w:pPr>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rPr>
          <w:rFonts w:hint="eastAsia" w:ascii="宋体" w:hAnsi="宋体" w:eastAsia="宋体" w:cs="宋体"/>
          <w:color w:val="auto"/>
          <w:highlight w:val="none"/>
        </w:rPr>
      </w:pPr>
      <w:r>
        <w:rPr>
          <w:rFonts w:hint="eastAsia" w:ascii="宋体" w:hAnsi="宋体" w:eastAsia="宋体" w:cs="宋体"/>
          <w:color w:val="auto"/>
          <w:sz w:val="24"/>
          <w:highlight w:val="none"/>
        </w:rPr>
        <w:br w:type="page"/>
      </w:r>
    </w:p>
    <w:p>
      <w:pPr>
        <w:numPr>
          <w:ilvl w:val="0"/>
          <w:numId w:val="3"/>
        </w:numPr>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授权委托书或法定代表人（单位负责人、自然人本人）</w:t>
      </w:r>
    </w:p>
    <w:p>
      <w:pPr>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身份证明</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napToGrid w:val="0"/>
        <w:spacing w:line="360" w:lineRule="auto"/>
        <w:ind w:firstLine="2872" w:firstLineChars="894"/>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lang w:val="zh-CN"/>
        </w:rPr>
        <w:t>授权委托书（适用于非联合体投标）</w:t>
      </w:r>
      <w:r>
        <w:rPr>
          <w:rFonts w:hint="eastAsia" w:ascii="宋体" w:hAnsi="宋体" w:eastAsia="宋体" w:cs="宋体"/>
          <w:color w:val="auto"/>
          <w:highlight w:val="none"/>
        </w:rPr>
        <w:t xml:space="preserve">                               </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特此告知。</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w:t>
      </w:r>
      <w:r>
        <w:rPr>
          <w:rFonts w:hint="eastAsia" w:ascii="宋体" w:hAnsi="宋体" w:cs="宋体"/>
          <w:color w:val="auto"/>
          <w:kern w:val="0"/>
          <w:sz w:val="24"/>
          <w:highlight w:val="none"/>
          <w:lang w:val="zh-CN"/>
        </w:rPr>
        <w:t>供应商</w:t>
      </w:r>
      <w:r>
        <w:rPr>
          <w:rFonts w:hint="eastAsia" w:ascii="宋体" w:hAnsi="宋体" w:eastAsia="宋体" w:cs="宋体"/>
          <w:color w:val="auto"/>
          <w:kern w:val="0"/>
          <w:sz w:val="24"/>
          <w:highlight w:val="none"/>
          <w:lang w:val="zh-CN"/>
        </w:rPr>
        <w:t>名称(电子签名)：</w:t>
      </w:r>
    </w:p>
    <w:p>
      <w:pPr>
        <w:snapToGrid w:val="0"/>
        <w:spacing w:line="360" w:lineRule="auto"/>
        <w:rPr>
          <w:rFonts w:hint="eastAsia" w:ascii="宋体" w:hAnsi="宋体" w:eastAsia="宋体" w:cs="宋体"/>
          <w:b/>
          <w:color w:val="auto"/>
          <w:kern w:val="0"/>
          <w:sz w:val="32"/>
          <w:szCs w:val="32"/>
          <w:highlight w:val="none"/>
          <w:lang w:val="zh-CN"/>
        </w:rPr>
      </w:pPr>
      <w:r>
        <w:rPr>
          <w:rFonts w:hint="eastAsia" w:ascii="宋体" w:hAnsi="宋体" w:eastAsia="宋体" w:cs="宋体"/>
          <w:color w:val="auto"/>
          <w:kern w:val="0"/>
          <w:sz w:val="24"/>
          <w:highlight w:val="none"/>
          <w:lang w:val="zh-CN"/>
        </w:rPr>
        <w:t xml:space="preserve">                                                 签发日期：  年  月   日</w:t>
      </w: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授权委托书（适用于联合体投标）</w:t>
      </w:r>
    </w:p>
    <w:p>
      <w:pPr>
        <w:widowControl w:val="0"/>
        <w:autoSpaceDE w:val="0"/>
        <w:autoSpaceDN w:val="0"/>
        <w:adjustRightInd w:val="0"/>
        <w:spacing w:line="360" w:lineRule="auto"/>
        <w:ind w:firstLine="420"/>
        <w:jc w:val="both"/>
        <w:rPr>
          <w:rFonts w:ascii="宋体" w:hAnsi="Calibri" w:eastAsia="宋体" w:cs="Times New Roman"/>
          <w:snapToGrid w:val="0"/>
          <w:color w:val="auto"/>
          <w:kern w:val="2"/>
          <w:sz w:val="24"/>
          <w:szCs w:val="20"/>
          <w:highlight w:val="none"/>
          <w:lang w:val="zh-CN" w:eastAsia="zh-CN" w:bidi="ar-SA"/>
        </w:rPr>
      </w:pPr>
    </w:p>
    <w:p>
      <w:pPr>
        <w:snapToGrid w:val="0"/>
        <w:spacing w:line="360" w:lineRule="auto"/>
        <w:rPr>
          <w:rFonts w:ascii="宋体" w:hAnsi="宋体" w:eastAsia="宋体" w:cs="宋体"/>
          <w:color w:val="auto"/>
          <w:kern w:val="0"/>
          <w:sz w:val="24"/>
          <w:highlight w:val="none"/>
        </w:rPr>
      </w:pPr>
      <w:r>
        <w:rPr>
          <w:rFonts w:hint="eastAsia" w:ascii="宋体" w:hAnsi="宋体" w:eastAsia="宋体" w:cs="宋体"/>
          <w:color w:val="auto"/>
          <w:sz w:val="24"/>
          <w:highlight w:val="none"/>
          <w:u w:val="none"/>
          <w:lang w:val="en-US" w:eastAsia="zh-CN"/>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576"/>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eastAsia="宋体" w:cs="宋体"/>
          <w:color w:val="auto"/>
          <w:sz w:val="24"/>
          <w:highlight w:val="none"/>
          <w:u w:val="single"/>
          <w:lang w:eastAsia="zh-CN"/>
        </w:rPr>
        <w:t>（</w:t>
      </w:r>
      <w:r>
        <w:rPr>
          <w:rFonts w:hint="eastAsia" w:ascii="宋体" w:hAnsi="宋体" w:eastAsia="宋体" w:cs="宋体"/>
          <w:color w:val="auto"/>
          <w:sz w:val="24"/>
          <w:highlight w:val="none"/>
          <w:u w:val="single"/>
          <w:lang w:val="en-US" w:eastAsia="zh-CN"/>
        </w:rPr>
        <w:t>项目编号+项目名称）</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360" w:lineRule="auto"/>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特此告知。</w:t>
      </w:r>
    </w:p>
    <w:p>
      <w:pPr>
        <w:jc w:val="center"/>
        <w:rPr>
          <w:rFonts w:ascii="宋体" w:hAnsi="宋体" w:eastAsia="宋体" w:cs="宋体"/>
          <w:b/>
          <w:color w:val="auto"/>
          <w:kern w:val="0"/>
          <w:sz w:val="32"/>
          <w:szCs w:val="32"/>
          <w:highlight w:val="none"/>
        </w:rPr>
      </w:pPr>
    </w:p>
    <w:p>
      <w:pPr>
        <w:jc w:val="center"/>
        <w:rPr>
          <w:rFonts w:ascii="宋体" w:hAnsi="宋体" w:eastAsia="宋体" w:cs="宋体"/>
          <w:b/>
          <w:color w:val="auto"/>
          <w:kern w:val="0"/>
          <w:sz w:val="32"/>
          <w:szCs w:val="32"/>
          <w:highlight w:val="none"/>
        </w:rPr>
      </w:pPr>
    </w:p>
    <w:p>
      <w:pPr>
        <w:jc w:val="center"/>
        <w:rPr>
          <w:rFonts w:ascii="宋体" w:hAnsi="宋体" w:eastAsia="宋体" w:cs="宋体"/>
          <w:b/>
          <w:color w:val="auto"/>
          <w:kern w:val="0"/>
          <w:sz w:val="32"/>
          <w:szCs w:val="32"/>
          <w:highlight w:val="none"/>
        </w:rPr>
      </w:pPr>
    </w:p>
    <w:p>
      <w:pPr>
        <w:rPr>
          <w:rFonts w:ascii="宋体" w:hAnsi="宋体" w:eastAsia="宋体" w:cs="宋体"/>
          <w:color w:val="auto"/>
          <w:highlight w:val="none"/>
        </w:rPr>
      </w:pPr>
    </w:p>
    <w:p>
      <w:pPr>
        <w:snapToGrid w:val="0"/>
        <w:spacing w:line="360" w:lineRule="auto"/>
        <w:ind w:firstLine="5040" w:firstLineChars="2100"/>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w:t>
      </w:r>
      <w:r>
        <w:rPr>
          <w:rFonts w:hint="eastAsia" w:ascii="宋体" w:hAnsi="宋体" w:eastAsia="宋体" w:cs="宋体"/>
          <w:color w:val="auto"/>
          <w:sz w:val="24"/>
          <w:highlight w:val="none"/>
          <w:lang w:val="en-US" w:eastAsia="zh-CN"/>
        </w:rPr>
        <w:t>电子</w:t>
      </w:r>
      <w:r>
        <w:rPr>
          <w:rFonts w:hint="eastAsia" w:ascii="宋体" w:hAnsi="宋体" w:eastAsia="宋体" w:cs="宋体"/>
          <w:color w:val="auto"/>
          <w:sz w:val="24"/>
          <w:highlight w:val="none"/>
        </w:rPr>
        <w:t>签</w:t>
      </w:r>
      <w:r>
        <w:rPr>
          <w:rFonts w:hint="eastAsia" w:ascii="宋体" w:hAnsi="宋体" w:eastAsia="宋体" w:cs="宋体"/>
          <w:color w:val="auto"/>
          <w:sz w:val="24"/>
          <w:highlight w:val="none"/>
          <w:lang w:val="en-US" w:eastAsia="zh-CN"/>
        </w:rPr>
        <w:t>章</w:t>
      </w:r>
      <w:r>
        <w:rPr>
          <w:rFonts w:hint="eastAsia" w:ascii="宋体" w:hAnsi="宋体" w:eastAsia="宋体" w:cs="宋体"/>
          <w:color w:val="auto"/>
          <w:kern w:val="0"/>
          <w:sz w:val="24"/>
          <w:highlight w:val="none"/>
          <w:lang w:val="zh-CN"/>
        </w:rPr>
        <w:t>)：</w:t>
      </w:r>
    </w:p>
    <w:p>
      <w:pPr>
        <w:snapToGrid w:val="0"/>
        <w:spacing w:line="360" w:lineRule="auto"/>
        <w:ind w:firstLine="5040" w:firstLineChars="2100"/>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w:t>
      </w:r>
      <w:r>
        <w:rPr>
          <w:rFonts w:hint="eastAsia" w:ascii="宋体" w:hAnsi="宋体" w:eastAsia="宋体" w:cs="宋体"/>
          <w:color w:val="auto"/>
          <w:sz w:val="24"/>
          <w:highlight w:val="none"/>
          <w:lang w:val="en-US" w:eastAsia="zh-CN"/>
        </w:rPr>
        <w:t>电子</w:t>
      </w:r>
      <w:r>
        <w:rPr>
          <w:rFonts w:hint="eastAsia" w:ascii="宋体" w:hAnsi="宋体" w:eastAsia="宋体" w:cs="宋体"/>
          <w:color w:val="auto"/>
          <w:sz w:val="24"/>
          <w:highlight w:val="none"/>
        </w:rPr>
        <w:t>签</w:t>
      </w:r>
      <w:r>
        <w:rPr>
          <w:rFonts w:hint="eastAsia" w:ascii="宋体" w:hAnsi="宋体" w:eastAsia="宋体" w:cs="宋体"/>
          <w:color w:val="auto"/>
          <w:sz w:val="24"/>
          <w:highlight w:val="none"/>
          <w:lang w:val="en-US" w:eastAsia="zh-CN"/>
        </w:rPr>
        <w:t>章</w:t>
      </w:r>
      <w:r>
        <w:rPr>
          <w:rFonts w:hint="eastAsia" w:ascii="宋体" w:hAnsi="宋体" w:eastAsia="宋体" w:cs="宋体"/>
          <w:color w:val="auto"/>
          <w:kern w:val="0"/>
          <w:sz w:val="24"/>
          <w:highlight w:val="none"/>
          <w:lang w:val="zh-CN"/>
        </w:rPr>
        <w:t>)：</w:t>
      </w:r>
    </w:p>
    <w:p>
      <w:pPr>
        <w:snapToGrid w:val="0"/>
        <w:spacing w:line="360" w:lineRule="auto"/>
        <w:ind w:firstLine="5760" w:firstLineChars="2400"/>
        <w:rPr>
          <w:rFonts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autoSpaceDE w:val="0"/>
        <w:autoSpaceDN w:val="0"/>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br w:type="page"/>
      </w:r>
    </w:p>
    <w:p>
      <w:pPr>
        <w:autoSpaceDE w:val="0"/>
        <w:autoSpaceDN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kern w:val="0"/>
          <w:sz w:val="32"/>
          <w:szCs w:val="32"/>
          <w:highlight w:val="none"/>
          <w:lang w:val="zh-CN"/>
        </w:rPr>
        <w:t>法定代表人、单位负责人或自然人本人</w:t>
      </w:r>
      <w:r>
        <w:rPr>
          <w:rFonts w:hint="eastAsia" w:ascii="宋体" w:hAnsi="宋体" w:eastAsia="宋体" w:cs="宋体"/>
          <w:b/>
          <w:color w:val="auto"/>
          <w:sz w:val="30"/>
          <w:szCs w:val="30"/>
          <w:highlight w:val="none"/>
        </w:rPr>
        <w:t>的身份证明（适用于法定代表人、单位负责人或者自然人本人代表</w:t>
      </w:r>
      <w:r>
        <w:rPr>
          <w:rFonts w:hint="eastAsia" w:ascii="宋体" w:hAnsi="宋体" w:cs="宋体"/>
          <w:b/>
          <w:color w:val="auto"/>
          <w:sz w:val="30"/>
          <w:szCs w:val="30"/>
          <w:highlight w:val="none"/>
          <w:lang w:eastAsia="zh-CN"/>
        </w:rPr>
        <w:t>供应商</w:t>
      </w:r>
      <w:r>
        <w:rPr>
          <w:rFonts w:hint="eastAsia" w:ascii="宋体" w:hAnsi="宋体" w:eastAsia="宋体" w:cs="宋体"/>
          <w:b/>
          <w:color w:val="auto"/>
          <w:sz w:val="30"/>
          <w:szCs w:val="30"/>
          <w:highlight w:val="none"/>
        </w:rPr>
        <w:t>参加投标）</w:t>
      </w:r>
    </w:p>
    <w:p>
      <w:pPr>
        <w:spacing w:line="360" w:lineRule="auto"/>
        <w:rPr>
          <w:rFonts w:hint="eastAsia" w:ascii="宋体" w:hAnsi="宋体" w:eastAsia="宋体" w:cs="宋体"/>
          <w:bCs/>
          <w:color w:val="auto"/>
          <w:sz w:val="24"/>
          <w:szCs w:val="21"/>
          <w:highlight w:val="none"/>
        </w:rPr>
      </w:pPr>
      <w:r>
        <w:rPr>
          <w:rFonts w:hint="eastAsia" w:ascii="宋体" w:hAnsi="宋体" w:eastAsia="宋体" w:cs="宋体"/>
          <w:bCs/>
          <w:color w:val="auto"/>
          <w:sz w:val="24"/>
          <w:szCs w:val="21"/>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spacing w:line="360" w:lineRule="auto"/>
              <w:rPr>
                <w:rFonts w:hint="eastAsia" w:ascii="宋体" w:hAnsi="宋体" w:eastAsia="宋体" w:cs="宋体"/>
                <w:bCs/>
                <w:color w:val="auto"/>
                <w:sz w:val="24"/>
                <w:szCs w:val="21"/>
                <w:highlight w:val="none"/>
              </w:rPr>
            </w:pPr>
            <w:r>
              <w:rPr>
                <w:rFonts w:hint="eastAsia" w:ascii="宋体" w:hAnsi="宋体" w:eastAsia="宋体" w:cs="宋体"/>
                <w:bCs/>
                <w:color w:val="auto"/>
                <w:sz w:val="24"/>
                <w:szCs w:val="21"/>
                <w:highlight w:val="none"/>
              </w:rPr>
              <w:t>正面：                                 反面：</w:t>
            </w:r>
          </w:p>
          <w:p>
            <w:pPr>
              <w:spacing w:line="360" w:lineRule="auto"/>
              <w:rPr>
                <w:rFonts w:hint="eastAsia" w:ascii="宋体" w:hAnsi="宋体" w:eastAsia="宋体" w:cs="宋体"/>
                <w:bCs/>
                <w:color w:val="auto"/>
                <w:sz w:val="24"/>
                <w:szCs w:val="21"/>
                <w:highlight w:val="none"/>
              </w:rPr>
            </w:pPr>
          </w:p>
        </w:tc>
      </w:tr>
    </w:tbl>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r>
        <w:rPr>
          <w:rFonts w:hint="eastAsia" w:ascii="宋体" w:hAnsi="宋体" w:cs="宋体"/>
          <w:color w:val="auto"/>
          <w:kern w:val="0"/>
          <w:sz w:val="24"/>
          <w:highlight w:val="none"/>
          <w:lang w:val="zh-CN"/>
        </w:rPr>
        <w:t>供应商</w:t>
      </w:r>
      <w:r>
        <w:rPr>
          <w:rFonts w:hint="eastAsia" w:ascii="宋体" w:hAnsi="宋体" w:eastAsia="宋体" w:cs="宋体"/>
          <w:color w:val="auto"/>
          <w:kern w:val="0"/>
          <w:sz w:val="24"/>
          <w:highlight w:val="none"/>
          <w:lang w:val="zh-CN"/>
        </w:rPr>
        <w:t xml:space="preserve">名称(电子签名)：                              </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jc w:val="center"/>
        <w:rPr>
          <w:rFonts w:hint="eastAsia" w:ascii="宋体" w:hAnsi="宋体" w:eastAsia="宋体" w:cs="宋体"/>
          <w:b/>
          <w:color w:val="auto"/>
          <w:kern w:val="0"/>
          <w:sz w:val="32"/>
          <w:szCs w:val="32"/>
          <w:highlight w:val="none"/>
        </w:rPr>
      </w:pPr>
    </w:p>
    <w:p>
      <w:pPr>
        <w:snapToGrid w:val="0"/>
        <w:spacing w:line="360" w:lineRule="auto"/>
        <w:ind w:right="480"/>
        <w:rPr>
          <w:rFonts w:hint="eastAsia" w:ascii="宋体" w:hAnsi="宋体" w:eastAsia="宋体" w:cs="宋体"/>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三、分包意向协议（如适用）</w:t>
      </w:r>
    </w:p>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中标后以分包方式履行合同的，提供分包意向协议(附件6)；采购人不同意分包或者</w:t>
      </w:r>
      <w:r>
        <w:rPr>
          <w:rFonts w:hint="eastAsia" w:ascii="宋体" w:hAnsi="宋体" w:cs="宋体"/>
          <w:b/>
          <w:color w:val="auto"/>
          <w:sz w:val="24"/>
          <w:highlight w:val="none"/>
          <w:lang w:eastAsia="zh-CN"/>
        </w:rPr>
        <w:t>供应商</w:t>
      </w:r>
      <w:r>
        <w:rPr>
          <w:rFonts w:hint="eastAsia" w:ascii="宋体" w:hAnsi="宋体" w:eastAsia="宋体" w:cs="宋体"/>
          <w:b/>
          <w:color w:val="auto"/>
          <w:sz w:val="24"/>
          <w:highlight w:val="none"/>
        </w:rPr>
        <w:t>中标后不以分包方式履行合同的，则不需要提供。</w:t>
      </w:r>
      <w:r>
        <w:rPr>
          <w:rFonts w:hint="eastAsia" w:ascii="宋体" w:hAnsi="宋体" w:eastAsia="宋体" w:cs="宋体"/>
          <w:color w:val="auto"/>
          <w:sz w:val="24"/>
          <w:highlight w:val="none"/>
        </w:rPr>
        <w:t>]</w:t>
      </w:r>
    </w:p>
    <w:p>
      <w:pPr>
        <w:jc w:val="center"/>
        <w:rPr>
          <w:rFonts w:hint="eastAsia" w:ascii="宋体" w:hAnsi="宋体" w:eastAsia="宋体" w:cs="宋体"/>
          <w:color w:val="auto"/>
          <w:sz w:val="24"/>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四、符合性审查资料</w:t>
      </w:r>
    </w:p>
    <w:p>
      <w:pPr>
        <w:jc w:val="center"/>
        <w:rPr>
          <w:rFonts w:hint="eastAsia" w:ascii="宋体" w:hAnsi="宋体" w:eastAsia="宋体" w:cs="宋体"/>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4991"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实质性要求</w:t>
            </w:r>
          </w:p>
        </w:tc>
        <w:tc>
          <w:tcPr>
            <w:tcW w:w="2551"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需要提供的符合性审查资料</w:t>
            </w:r>
          </w:p>
        </w:tc>
        <w:tc>
          <w:tcPr>
            <w:tcW w:w="1418"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投标文件中的</w:t>
            </w:r>
          </w:p>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4991"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投标文件按照招标文件要求签署、盖章。</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需要使用电子签名或者签字盖章的投标文件的组成部分</w:t>
            </w:r>
          </w:p>
        </w:tc>
        <w:tc>
          <w:tcPr>
            <w:tcW w:w="1418"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见投标文件</w:t>
            </w:r>
          </w:p>
          <w:p>
            <w:pPr>
              <w:rPr>
                <w:rFonts w:hint="eastAsia" w:ascii="宋体" w:hAnsi="宋体" w:eastAsia="宋体" w:cs="宋体"/>
                <w:color w:val="auto"/>
                <w:highlight w:val="none"/>
              </w:rPr>
            </w:pPr>
            <w:r>
              <w:rPr>
                <w:rFonts w:hint="eastAsia" w:ascii="宋体" w:hAnsi="宋体" w:eastAsia="宋体" w:cs="宋体"/>
                <w:color w:val="auto"/>
                <w:sz w:val="24"/>
                <w:highlight w:val="none"/>
              </w:rPr>
              <w:t>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4991"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投标文件中承诺的投标有效期不少于招标文件中载明的投标有效期。</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投标函</w:t>
            </w:r>
          </w:p>
        </w:tc>
        <w:tc>
          <w:tcPr>
            <w:tcW w:w="1418" w:type="dxa"/>
            <w:vAlign w:val="center"/>
          </w:tcPr>
          <w:p>
            <w:pPr>
              <w:rPr>
                <w:rFonts w:hint="eastAsia" w:ascii="宋体" w:hAnsi="宋体" w:eastAsia="宋体" w:cs="宋体"/>
                <w:color w:val="auto"/>
                <w:highlight w:val="none"/>
              </w:rPr>
            </w:pPr>
            <w:r>
              <w:rPr>
                <w:rFonts w:hint="eastAsia" w:ascii="宋体" w:hAnsi="宋体" w:eastAsia="宋体" w:cs="宋体"/>
                <w:color w:val="auto"/>
                <w:sz w:val="24"/>
                <w:highlight w:val="none"/>
              </w:rPr>
              <w:t>见投标文件第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4991"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投标文件满足招标文件的其它实质性要求。</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招标文件其它实质性要求相应的材料（“▲” 系指实质性要求条款，招标文件无其它实质性要求的，无需提供）</w:t>
            </w:r>
          </w:p>
        </w:tc>
        <w:tc>
          <w:tcPr>
            <w:tcW w:w="1418" w:type="dxa"/>
            <w:vAlign w:val="center"/>
          </w:tcPr>
          <w:p>
            <w:pPr>
              <w:rPr>
                <w:rFonts w:hint="eastAsia" w:ascii="宋体" w:hAnsi="宋体" w:eastAsia="宋体" w:cs="宋体"/>
                <w:color w:val="auto"/>
                <w:highlight w:val="none"/>
              </w:rPr>
            </w:pPr>
            <w:r>
              <w:rPr>
                <w:rFonts w:hint="eastAsia" w:ascii="宋体" w:hAnsi="宋体" w:eastAsia="宋体" w:cs="宋体"/>
                <w:color w:val="auto"/>
                <w:sz w:val="24"/>
                <w:highlight w:val="none"/>
              </w:rPr>
              <w:t>见投标文件第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bl>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jc w:val="center"/>
        <w:rPr>
          <w:rFonts w:hint="eastAsia" w:ascii="宋体" w:hAnsi="宋体" w:eastAsia="宋体" w:cs="宋体"/>
          <w:b/>
          <w:color w:val="auto"/>
          <w:kern w:val="0"/>
          <w:sz w:val="32"/>
          <w:szCs w:val="32"/>
          <w:highlight w:val="none"/>
        </w:rPr>
      </w:pPr>
    </w:p>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kern w:val="0"/>
          <w:sz w:val="32"/>
          <w:szCs w:val="32"/>
          <w:highlight w:val="none"/>
        </w:rPr>
        <w:t>五、招标文件第四部分-评标办法：评标办法前附表中要求提供的各项方案以及相关证明材料</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六、商务技术偏离表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3683"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招标文件章节及具体内容</w:t>
            </w:r>
          </w:p>
        </w:tc>
        <w:tc>
          <w:tcPr>
            <w:tcW w:w="3546"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投标文件章节及具体内容</w:t>
            </w:r>
          </w:p>
        </w:tc>
        <w:tc>
          <w:tcPr>
            <w:tcW w:w="1276"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是否存在偏离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3683" w:type="dxa"/>
          </w:tcPr>
          <w:p>
            <w:pPr>
              <w:jc w:val="center"/>
              <w:rPr>
                <w:rFonts w:hint="eastAsia" w:ascii="宋体" w:hAnsi="宋体" w:eastAsia="宋体" w:cs="宋体"/>
                <w:b/>
                <w:color w:val="auto"/>
                <w:kern w:val="0"/>
                <w:sz w:val="32"/>
                <w:szCs w:val="32"/>
                <w:highlight w:val="none"/>
              </w:rPr>
            </w:pPr>
          </w:p>
        </w:tc>
        <w:tc>
          <w:tcPr>
            <w:tcW w:w="3546" w:type="dxa"/>
          </w:tcPr>
          <w:p>
            <w:pPr>
              <w:jc w:val="center"/>
              <w:rPr>
                <w:rFonts w:hint="eastAsia" w:ascii="宋体" w:hAnsi="宋体" w:eastAsia="宋体" w:cs="宋体"/>
                <w:b/>
                <w:color w:val="auto"/>
                <w:kern w:val="0"/>
                <w:sz w:val="32"/>
                <w:szCs w:val="32"/>
                <w:highlight w:val="none"/>
              </w:rPr>
            </w:pPr>
          </w:p>
        </w:tc>
        <w:tc>
          <w:tcPr>
            <w:tcW w:w="1276" w:type="dxa"/>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p>
        </w:tc>
        <w:tc>
          <w:tcPr>
            <w:tcW w:w="3683" w:type="dxa"/>
          </w:tcPr>
          <w:p>
            <w:pPr>
              <w:jc w:val="center"/>
              <w:rPr>
                <w:rFonts w:hint="eastAsia" w:ascii="宋体" w:hAnsi="宋体" w:eastAsia="宋体" w:cs="宋体"/>
                <w:b/>
                <w:color w:val="auto"/>
                <w:kern w:val="0"/>
                <w:sz w:val="32"/>
                <w:szCs w:val="32"/>
                <w:highlight w:val="none"/>
              </w:rPr>
            </w:pPr>
          </w:p>
        </w:tc>
        <w:tc>
          <w:tcPr>
            <w:tcW w:w="3546" w:type="dxa"/>
          </w:tcPr>
          <w:p>
            <w:pPr>
              <w:jc w:val="center"/>
              <w:rPr>
                <w:rFonts w:hint="eastAsia" w:ascii="宋体" w:hAnsi="宋体" w:eastAsia="宋体" w:cs="宋体"/>
                <w:b/>
                <w:color w:val="auto"/>
                <w:kern w:val="0"/>
                <w:sz w:val="32"/>
                <w:szCs w:val="32"/>
                <w:highlight w:val="none"/>
              </w:rPr>
            </w:pPr>
          </w:p>
        </w:tc>
        <w:tc>
          <w:tcPr>
            <w:tcW w:w="1276" w:type="dxa"/>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w:t>
            </w:r>
          </w:p>
        </w:tc>
        <w:tc>
          <w:tcPr>
            <w:tcW w:w="3683" w:type="dxa"/>
          </w:tcPr>
          <w:p>
            <w:pPr>
              <w:jc w:val="center"/>
              <w:rPr>
                <w:rFonts w:hint="eastAsia" w:ascii="宋体" w:hAnsi="宋体" w:eastAsia="宋体" w:cs="宋体"/>
                <w:b/>
                <w:color w:val="auto"/>
                <w:kern w:val="0"/>
                <w:sz w:val="32"/>
                <w:szCs w:val="32"/>
                <w:highlight w:val="none"/>
              </w:rPr>
            </w:pPr>
          </w:p>
        </w:tc>
        <w:tc>
          <w:tcPr>
            <w:tcW w:w="3546" w:type="dxa"/>
          </w:tcPr>
          <w:p>
            <w:pPr>
              <w:jc w:val="center"/>
              <w:rPr>
                <w:rFonts w:hint="eastAsia" w:ascii="宋体" w:hAnsi="宋体" w:eastAsia="宋体" w:cs="宋体"/>
                <w:b/>
                <w:color w:val="auto"/>
                <w:kern w:val="0"/>
                <w:sz w:val="32"/>
                <w:szCs w:val="32"/>
                <w:highlight w:val="none"/>
              </w:rPr>
            </w:pPr>
          </w:p>
        </w:tc>
        <w:tc>
          <w:tcPr>
            <w:tcW w:w="1276" w:type="dxa"/>
          </w:tcPr>
          <w:p>
            <w:pPr>
              <w:jc w:val="center"/>
              <w:rPr>
                <w:rFonts w:hint="eastAsia" w:ascii="宋体" w:hAnsi="宋体" w:eastAsia="宋体" w:cs="宋体"/>
                <w:b/>
                <w:color w:val="auto"/>
                <w:kern w:val="0"/>
                <w:sz w:val="32"/>
                <w:szCs w:val="32"/>
                <w:highlight w:val="none"/>
              </w:rPr>
            </w:pPr>
          </w:p>
        </w:tc>
      </w:tr>
    </w:tbl>
    <w:p>
      <w:pPr>
        <w:ind w:firstLine="480" w:firstLineChars="200"/>
        <w:rPr>
          <w:rFonts w:hint="eastAsia" w:ascii="宋体" w:hAnsi="宋体" w:eastAsia="宋体" w:cs="宋体"/>
          <w:b/>
          <w:color w:val="auto"/>
          <w:kern w:val="0"/>
          <w:sz w:val="32"/>
          <w:szCs w:val="32"/>
          <w:highlight w:val="none"/>
          <w:lang w:eastAsia="zh-CN"/>
        </w:rPr>
      </w:pPr>
      <w:r>
        <w:rPr>
          <w:rFonts w:hint="eastAsia" w:ascii="宋体" w:hAnsi="宋体" w:eastAsia="宋体" w:cs="宋体"/>
          <w:color w:val="auto"/>
          <w:kern w:val="0"/>
          <w:sz w:val="24"/>
          <w:highlight w:val="none"/>
        </w:rPr>
        <w:t>招标文件章节及具体内容见：第三部分-采购需求：“一、重要商务要求一览表和二、招标需求”。</w:t>
      </w:r>
      <w:r>
        <w:rPr>
          <w:rFonts w:hint="eastAsia" w:ascii="宋体" w:hAnsi="宋体" w:cs="宋体"/>
          <w:color w:val="auto"/>
          <w:kern w:val="0"/>
          <w:sz w:val="24"/>
          <w:highlight w:val="none"/>
          <w:lang w:eastAsia="zh-CN"/>
        </w:rPr>
        <w:t>若完全符合的，可直接在本表第一行写明：“完全响应招标文件所有商务及招标需求，不存在任何负偏离”。</w:t>
      </w:r>
    </w:p>
    <w:p>
      <w:pPr>
        <w:spacing w:line="360" w:lineRule="auto"/>
        <w:ind w:right="420"/>
        <w:rPr>
          <w:rFonts w:hint="eastAsia" w:ascii="宋体" w:hAnsi="宋体" w:eastAsia="宋体" w:cs="宋体"/>
          <w:color w:val="auto"/>
          <w:sz w:val="24"/>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ind w:firstLine="1911" w:firstLineChars="595"/>
        <w:rPr>
          <w:rFonts w:hint="eastAsia" w:ascii="宋体" w:hAnsi="宋体" w:eastAsia="宋体" w:cs="宋体"/>
          <w:b/>
          <w:bCs/>
          <w:color w:val="auto"/>
          <w:sz w:val="32"/>
          <w:szCs w:val="32"/>
          <w:highlight w:val="none"/>
        </w:rPr>
      </w:pPr>
    </w:p>
    <w:p>
      <w:pPr>
        <w:widowControl/>
        <w:adjustRightInd/>
        <w:jc w:val="left"/>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br w:type="page"/>
      </w:r>
    </w:p>
    <w:p>
      <w:pPr>
        <w:jc w:val="center"/>
        <w:rPr>
          <w:rFonts w:hint="eastAsia" w:ascii="宋体" w:hAnsi="宋体" w:eastAsia="宋体" w:cs="宋体"/>
          <w:b/>
          <w:bCs/>
          <w:color w:val="auto"/>
          <w:sz w:val="32"/>
          <w:szCs w:val="32"/>
          <w:highlight w:val="none"/>
        </w:rPr>
      </w:pPr>
      <w:r>
        <w:rPr>
          <w:rFonts w:hint="eastAsia" w:ascii="宋体" w:hAnsi="宋体" w:eastAsia="宋体" w:cs="宋体"/>
          <w:b/>
          <w:color w:val="auto"/>
          <w:kern w:val="0"/>
          <w:sz w:val="32"/>
          <w:szCs w:val="32"/>
          <w:highlight w:val="none"/>
        </w:rPr>
        <w:t>七、业绩表</w:t>
      </w:r>
    </w:p>
    <w:p>
      <w:pPr>
        <w:ind w:firstLine="720" w:firstLineChars="300"/>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 xml:space="preserve">招标编号：                      项目名称：          </w:t>
      </w:r>
    </w:p>
    <w:tbl>
      <w:tblPr>
        <w:tblStyle w:val="62"/>
        <w:tblW w:w="0" w:type="auto"/>
        <w:tblInd w:w="-279"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554"/>
        <w:gridCol w:w="1591"/>
        <w:gridCol w:w="1596"/>
        <w:gridCol w:w="2019"/>
        <w:gridCol w:w="2018"/>
        <w:gridCol w:w="1746"/>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05" w:hRule="atLeast"/>
        </w:trPr>
        <w:tc>
          <w:tcPr>
            <w:tcW w:w="554" w:type="dxa"/>
            <w:tcBorders>
              <w:top w:val="single" w:color="auto" w:sz="4" w:space="0"/>
              <w:left w:val="single" w:color="auto" w:sz="4" w:space="0"/>
              <w:bottom w:val="single" w:color="auto" w:sz="4"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bidi="ar"/>
              </w:rPr>
              <w:t>序号</w:t>
            </w:r>
          </w:p>
        </w:tc>
        <w:tc>
          <w:tcPr>
            <w:tcW w:w="1591" w:type="dxa"/>
            <w:tcBorders>
              <w:top w:val="single" w:color="auto" w:sz="4" w:space="0"/>
              <w:left w:val="single" w:color="auto" w:sz="2" w:space="0"/>
              <w:bottom w:val="single" w:color="auto" w:sz="4"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bidi="ar"/>
              </w:rPr>
              <w:t>项目名称</w:t>
            </w:r>
          </w:p>
        </w:tc>
        <w:tc>
          <w:tcPr>
            <w:tcW w:w="1596" w:type="dxa"/>
            <w:tcBorders>
              <w:top w:val="single" w:color="auto" w:sz="4" w:space="0"/>
              <w:left w:val="single" w:color="auto" w:sz="2" w:space="0"/>
              <w:bottom w:val="single" w:color="auto" w:sz="4"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bidi="ar"/>
              </w:rPr>
              <w:t>合同金额及签订时间</w:t>
            </w:r>
          </w:p>
        </w:tc>
        <w:tc>
          <w:tcPr>
            <w:tcW w:w="2019" w:type="dxa"/>
            <w:tcBorders>
              <w:top w:val="single" w:color="auto" w:sz="4" w:space="0"/>
              <w:left w:val="single" w:color="auto" w:sz="2" w:space="0"/>
              <w:bottom w:val="single" w:color="auto" w:sz="4"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bidi="ar"/>
              </w:rPr>
              <w:t>甲方单位名称及联系人/电话</w:t>
            </w:r>
          </w:p>
        </w:tc>
        <w:tc>
          <w:tcPr>
            <w:tcW w:w="2018" w:type="dxa"/>
            <w:tcBorders>
              <w:top w:val="single" w:color="auto" w:sz="4" w:space="0"/>
              <w:left w:val="single" w:color="auto" w:sz="2" w:space="0"/>
              <w:bottom w:val="single" w:color="auto" w:sz="4"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乙方单位项目负责人信息</w:t>
            </w:r>
          </w:p>
        </w:tc>
        <w:tc>
          <w:tcPr>
            <w:tcW w:w="1746" w:type="dxa"/>
            <w:tcBorders>
              <w:top w:val="single" w:color="auto" w:sz="4" w:space="0"/>
              <w:left w:val="single" w:color="auto" w:sz="2" w:space="0"/>
              <w:bottom w:val="single" w:color="auto" w:sz="4" w:space="0"/>
              <w:right w:val="single" w:color="auto" w:sz="4" w:space="0"/>
            </w:tcBorders>
            <w:vAlign w:val="center"/>
          </w:tcPr>
          <w:p>
            <w:pPr>
              <w:spacing w:line="0" w:lineRule="atLeas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bidi="ar"/>
              </w:rPr>
              <w:t>项目情况简介</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554" w:type="dxa"/>
            <w:tcBorders>
              <w:top w:val="single" w:color="auto" w:sz="4" w:space="0"/>
              <w:left w:val="single" w:color="auto" w:sz="4"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1591" w:type="dxa"/>
            <w:tcBorders>
              <w:top w:val="single" w:color="auto" w:sz="4" w:space="0"/>
              <w:left w:val="single" w:color="auto" w:sz="2"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1596" w:type="dxa"/>
            <w:tcBorders>
              <w:top w:val="single" w:color="auto" w:sz="4" w:space="0"/>
              <w:left w:val="single" w:color="auto" w:sz="2"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2019" w:type="dxa"/>
            <w:tcBorders>
              <w:top w:val="single" w:color="auto" w:sz="4" w:space="0"/>
              <w:left w:val="single" w:color="auto" w:sz="2"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2018" w:type="dxa"/>
            <w:tcBorders>
              <w:top w:val="single" w:color="auto" w:sz="4" w:space="0"/>
              <w:left w:val="single" w:color="auto" w:sz="2"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1746" w:type="dxa"/>
            <w:tcBorders>
              <w:top w:val="single" w:color="auto" w:sz="4" w:space="0"/>
              <w:left w:val="single" w:color="auto" w:sz="2" w:space="0"/>
              <w:bottom w:val="single" w:color="auto" w:sz="2" w:space="0"/>
              <w:right w:val="single" w:color="auto" w:sz="4" w:space="0"/>
            </w:tcBorders>
          </w:tcPr>
          <w:p>
            <w:pPr>
              <w:spacing w:line="0" w:lineRule="atLeast"/>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89" w:hRule="atLeast"/>
        </w:trPr>
        <w:tc>
          <w:tcPr>
            <w:tcW w:w="554" w:type="dxa"/>
            <w:tcBorders>
              <w:top w:val="single" w:color="auto" w:sz="2" w:space="0"/>
              <w:left w:val="single" w:color="auto" w:sz="4"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1591" w:type="dxa"/>
            <w:tcBorders>
              <w:top w:val="single" w:color="auto" w:sz="2" w:space="0"/>
              <w:left w:val="single" w:color="auto" w:sz="2"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1596" w:type="dxa"/>
            <w:tcBorders>
              <w:top w:val="single" w:color="auto" w:sz="2" w:space="0"/>
              <w:left w:val="single" w:color="auto" w:sz="2"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2019" w:type="dxa"/>
            <w:tcBorders>
              <w:top w:val="single" w:color="auto" w:sz="2" w:space="0"/>
              <w:left w:val="single" w:color="auto" w:sz="2"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2018" w:type="dxa"/>
            <w:tcBorders>
              <w:top w:val="single" w:color="auto" w:sz="2" w:space="0"/>
              <w:left w:val="single" w:color="auto" w:sz="2"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1746" w:type="dxa"/>
            <w:tcBorders>
              <w:top w:val="single" w:color="auto" w:sz="2" w:space="0"/>
              <w:left w:val="single" w:color="auto" w:sz="2" w:space="0"/>
              <w:bottom w:val="single" w:color="auto" w:sz="2" w:space="0"/>
              <w:right w:val="single" w:color="auto" w:sz="4" w:space="0"/>
            </w:tcBorders>
          </w:tcPr>
          <w:p>
            <w:pPr>
              <w:spacing w:line="0" w:lineRule="atLeast"/>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554" w:type="dxa"/>
            <w:tcBorders>
              <w:top w:val="single" w:color="auto" w:sz="2" w:space="0"/>
              <w:left w:val="single" w:color="auto" w:sz="4"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1591" w:type="dxa"/>
            <w:tcBorders>
              <w:top w:val="single" w:color="auto" w:sz="2" w:space="0"/>
              <w:left w:val="single" w:color="auto" w:sz="2"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1596" w:type="dxa"/>
            <w:tcBorders>
              <w:top w:val="single" w:color="auto" w:sz="2" w:space="0"/>
              <w:left w:val="single" w:color="auto" w:sz="2"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2019" w:type="dxa"/>
            <w:tcBorders>
              <w:top w:val="single" w:color="auto" w:sz="2" w:space="0"/>
              <w:left w:val="single" w:color="auto" w:sz="2"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2018" w:type="dxa"/>
            <w:tcBorders>
              <w:top w:val="single" w:color="auto" w:sz="2" w:space="0"/>
              <w:left w:val="single" w:color="auto" w:sz="2"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1746" w:type="dxa"/>
            <w:tcBorders>
              <w:top w:val="single" w:color="auto" w:sz="2" w:space="0"/>
              <w:left w:val="single" w:color="auto" w:sz="2" w:space="0"/>
              <w:bottom w:val="single" w:color="auto" w:sz="2" w:space="0"/>
              <w:right w:val="single" w:color="auto" w:sz="4" w:space="0"/>
            </w:tcBorders>
          </w:tcPr>
          <w:p>
            <w:pPr>
              <w:spacing w:line="0" w:lineRule="atLeast"/>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554" w:type="dxa"/>
            <w:tcBorders>
              <w:top w:val="single" w:color="auto" w:sz="2" w:space="0"/>
              <w:left w:val="single" w:color="auto" w:sz="4"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1591" w:type="dxa"/>
            <w:tcBorders>
              <w:top w:val="single" w:color="auto" w:sz="2" w:space="0"/>
              <w:left w:val="single" w:color="auto" w:sz="2"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1596" w:type="dxa"/>
            <w:tcBorders>
              <w:top w:val="single" w:color="auto" w:sz="2" w:space="0"/>
              <w:left w:val="single" w:color="auto" w:sz="2"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2019" w:type="dxa"/>
            <w:tcBorders>
              <w:top w:val="single" w:color="auto" w:sz="2" w:space="0"/>
              <w:left w:val="single" w:color="auto" w:sz="2"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2018" w:type="dxa"/>
            <w:tcBorders>
              <w:top w:val="single" w:color="auto" w:sz="2" w:space="0"/>
              <w:left w:val="single" w:color="auto" w:sz="2"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1746" w:type="dxa"/>
            <w:tcBorders>
              <w:top w:val="single" w:color="auto" w:sz="2" w:space="0"/>
              <w:left w:val="single" w:color="auto" w:sz="2" w:space="0"/>
              <w:bottom w:val="single" w:color="auto" w:sz="2" w:space="0"/>
              <w:right w:val="single" w:color="auto" w:sz="4" w:space="0"/>
            </w:tcBorders>
          </w:tcPr>
          <w:p>
            <w:pPr>
              <w:spacing w:line="0" w:lineRule="atLeast"/>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554" w:type="dxa"/>
            <w:tcBorders>
              <w:top w:val="single" w:color="auto" w:sz="2" w:space="0"/>
              <w:left w:val="single" w:color="auto" w:sz="4"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1591" w:type="dxa"/>
            <w:tcBorders>
              <w:top w:val="single" w:color="auto" w:sz="2" w:space="0"/>
              <w:left w:val="single" w:color="auto" w:sz="2"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1596" w:type="dxa"/>
            <w:tcBorders>
              <w:top w:val="single" w:color="auto" w:sz="2" w:space="0"/>
              <w:left w:val="single" w:color="auto" w:sz="2"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2019" w:type="dxa"/>
            <w:tcBorders>
              <w:top w:val="single" w:color="auto" w:sz="2" w:space="0"/>
              <w:left w:val="single" w:color="auto" w:sz="2"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2018" w:type="dxa"/>
            <w:tcBorders>
              <w:top w:val="single" w:color="auto" w:sz="2" w:space="0"/>
              <w:left w:val="single" w:color="auto" w:sz="2"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1746" w:type="dxa"/>
            <w:tcBorders>
              <w:top w:val="single" w:color="auto" w:sz="2" w:space="0"/>
              <w:left w:val="single" w:color="auto" w:sz="2" w:space="0"/>
              <w:bottom w:val="single" w:color="auto" w:sz="2" w:space="0"/>
              <w:right w:val="single" w:color="auto" w:sz="4" w:space="0"/>
            </w:tcBorders>
          </w:tcPr>
          <w:p>
            <w:pPr>
              <w:spacing w:line="0" w:lineRule="atLeast"/>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554" w:type="dxa"/>
            <w:tcBorders>
              <w:top w:val="single" w:color="auto" w:sz="2" w:space="0"/>
              <w:left w:val="single" w:color="auto" w:sz="4"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1591" w:type="dxa"/>
            <w:tcBorders>
              <w:top w:val="single" w:color="auto" w:sz="2" w:space="0"/>
              <w:left w:val="single" w:color="auto" w:sz="2"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1596" w:type="dxa"/>
            <w:tcBorders>
              <w:top w:val="single" w:color="auto" w:sz="2" w:space="0"/>
              <w:left w:val="single" w:color="auto" w:sz="2"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2019" w:type="dxa"/>
            <w:tcBorders>
              <w:top w:val="single" w:color="auto" w:sz="2" w:space="0"/>
              <w:left w:val="single" w:color="auto" w:sz="2"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2018" w:type="dxa"/>
            <w:tcBorders>
              <w:top w:val="single" w:color="auto" w:sz="2" w:space="0"/>
              <w:left w:val="single" w:color="auto" w:sz="2"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1746" w:type="dxa"/>
            <w:tcBorders>
              <w:top w:val="single" w:color="auto" w:sz="2" w:space="0"/>
              <w:left w:val="single" w:color="auto" w:sz="2" w:space="0"/>
              <w:bottom w:val="single" w:color="auto" w:sz="2" w:space="0"/>
              <w:right w:val="single" w:color="auto" w:sz="4" w:space="0"/>
            </w:tcBorders>
          </w:tcPr>
          <w:p>
            <w:pPr>
              <w:spacing w:line="0" w:lineRule="atLeast"/>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554" w:type="dxa"/>
            <w:tcBorders>
              <w:top w:val="single" w:color="auto" w:sz="2" w:space="0"/>
              <w:left w:val="single" w:color="auto" w:sz="4"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1591" w:type="dxa"/>
            <w:tcBorders>
              <w:top w:val="single" w:color="auto" w:sz="2" w:space="0"/>
              <w:left w:val="single" w:color="auto" w:sz="2"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1596" w:type="dxa"/>
            <w:tcBorders>
              <w:top w:val="single" w:color="auto" w:sz="2" w:space="0"/>
              <w:left w:val="single" w:color="auto" w:sz="2"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2019" w:type="dxa"/>
            <w:tcBorders>
              <w:top w:val="single" w:color="auto" w:sz="2" w:space="0"/>
              <w:left w:val="single" w:color="auto" w:sz="2"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2018" w:type="dxa"/>
            <w:tcBorders>
              <w:top w:val="single" w:color="auto" w:sz="2" w:space="0"/>
              <w:left w:val="single" w:color="auto" w:sz="2"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1746" w:type="dxa"/>
            <w:tcBorders>
              <w:top w:val="single" w:color="auto" w:sz="2" w:space="0"/>
              <w:left w:val="single" w:color="auto" w:sz="2" w:space="0"/>
              <w:bottom w:val="single" w:color="auto" w:sz="2" w:space="0"/>
              <w:right w:val="single" w:color="auto" w:sz="4" w:space="0"/>
            </w:tcBorders>
          </w:tcPr>
          <w:p>
            <w:pPr>
              <w:spacing w:line="0" w:lineRule="atLeast"/>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554" w:type="dxa"/>
            <w:tcBorders>
              <w:top w:val="single" w:color="auto" w:sz="2" w:space="0"/>
              <w:left w:val="single" w:color="auto" w:sz="4"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1591" w:type="dxa"/>
            <w:tcBorders>
              <w:top w:val="single" w:color="auto" w:sz="2" w:space="0"/>
              <w:left w:val="single" w:color="auto" w:sz="2"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1596" w:type="dxa"/>
            <w:tcBorders>
              <w:top w:val="single" w:color="auto" w:sz="2" w:space="0"/>
              <w:left w:val="single" w:color="auto" w:sz="2"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2019" w:type="dxa"/>
            <w:tcBorders>
              <w:top w:val="single" w:color="auto" w:sz="2" w:space="0"/>
              <w:left w:val="single" w:color="auto" w:sz="2"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2018" w:type="dxa"/>
            <w:tcBorders>
              <w:top w:val="single" w:color="auto" w:sz="2" w:space="0"/>
              <w:left w:val="single" w:color="auto" w:sz="2"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1746" w:type="dxa"/>
            <w:tcBorders>
              <w:top w:val="single" w:color="auto" w:sz="2" w:space="0"/>
              <w:left w:val="single" w:color="auto" w:sz="2" w:space="0"/>
              <w:bottom w:val="single" w:color="auto" w:sz="2" w:space="0"/>
              <w:right w:val="single" w:color="auto" w:sz="4" w:space="0"/>
            </w:tcBorders>
          </w:tcPr>
          <w:p>
            <w:pPr>
              <w:spacing w:line="0" w:lineRule="atLeast"/>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554" w:type="dxa"/>
            <w:tcBorders>
              <w:top w:val="single" w:color="auto" w:sz="2" w:space="0"/>
              <w:left w:val="single" w:color="auto" w:sz="4"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1591" w:type="dxa"/>
            <w:tcBorders>
              <w:top w:val="single" w:color="auto" w:sz="2" w:space="0"/>
              <w:left w:val="single" w:color="auto" w:sz="2"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1596" w:type="dxa"/>
            <w:tcBorders>
              <w:top w:val="single" w:color="auto" w:sz="2" w:space="0"/>
              <w:left w:val="single" w:color="auto" w:sz="2"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2019" w:type="dxa"/>
            <w:tcBorders>
              <w:top w:val="single" w:color="auto" w:sz="2" w:space="0"/>
              <w:left w:val="single" w:color="auto" w:sz="2"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2018" w:type="dxa"/>
            <w:tcBorders>
              <w:top w:val="single" w:color="auto" w:sz="2" w:space="0"/>
              <w:left w:val="single" w:color="auto" w:sz="2"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1746" w:type="dxa"/>
            <w:tcBorders>
              <w:top w:val="single" w:color="auto" w:sz="2" w:space="0"/>
              <w:left w:val="single" w:color="auto" w:sz="2" w:space="0"/>
              <w:bottom w:val="single" w:color="auto" w:sz="2" w:space="0"/>
              <w:right w:val="single" w:color="auto" w:sz="4" w:space="0"/>
            </w:tcBorders>
          </w:tcPr>
          <w:p>
            <w:pPr>
              <w:spacing w:line="0" w:lineRule="atLeast"/>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554" w:type="dxa"/>
            <w:tcBorders>
              <w:top w:val="single" w:color="auto" w:sz="2" w:space="0"/>
              <w:left w:val="single" w:color="auto" w:sz="4"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1591" w:type="dxa"/>
            <w:tcBorders>
              <w:top w:val="single" w:color="auto" w:sz="2" w:space="0"/>
              <w:left w:val="single" w:color="auto" w:sz="2"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1596" w:type="dxa"/>
            <w:tcBorders>
              <w:top w:val="single" w:color="auto" w:sz="2" w:space="0"/>
              <w:left w:val="single" w:color="auto" w:sz="2"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2019" w:type="dxa"/>
            <w:tcBorders>
              <w:top w:val="single" w:color="auto" w:sz="2" w:space="0"/>
              <w:left w:val="single" w:color="auto" w:sz="2"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2018" w:type="dxa"/>
            <w:tcBorders>
              <w:top w:val="single" w:color="auto" w:sz="2" w:space="0"/>
              <w:left w:val="single" w:color="auto" w:sz="2" w:space="0"/>
              <w:bottom w:val="single" w:color="auto" w:sz="2"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1746" w:type="dxa"/>
            <w:tcBorders>
              <w:top w:val="single" w:color="auto" w:sz="2" w:space="0"/>
              <w:left w:val="single" w:color="auto" w:sz="2" w:space="0"/>
              <w:bottom w:val="single" w:color="auto" w:sz="2" w:space="0"/>
              <w:right w:val="single" w:color="auto" w:sz="4" w:space="0"/>
            </w:tcBorders>
          </w:tcPr>
          <w:p>
            <w:pPr>
              <w:spacing w:line="0" w:lineRule="atLeast"/>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554" w:type="dxa"/>
            <w:tcBorders>
              <w:top w:val="single" w:color="auto" w:sz="2" w:space="0"/>
              <w:left w:val="single" w:color="auto" w:sz="4" w:space="0"/>
              <w:bottom w:val="single" w:color="auto" w:sz="4"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1591" w:type="dxa"/>
            <w:tcBorders>
              <w:top w:val="single" w:color="auto" w:sz="2" w:space="0"/>
              <w:left w:val="single" w:color="auto" w:sz="2" w:space="0"/>
              <w:bottom w:val="single" w:color="auto" w:sz="4"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1596" w:type="dxa"/>
            <w:tcBorders>
              <w:top w:val="single" w:color="auto" w:sz="2" w:space="0"/>
              <w:left w:val="single" w:color="auto" w:sz="2" w:space="0"/>
              <w:bottom w:val="single" w:color="auto" w:sz="4"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2019" w:type="dxa"/>
            <w:tcBorders>
              <w:top w:val="single" w:color="auto" w:sz="2" w:space="0"/>
              <w:left w:val="single" w:color="auto" w:sz="2" w:space="0"/>
              <w:bottom w:val="single" w:color="auto" w:sz="4"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2018" w:type="dxa"/>
            <w:tcBorders>
              <w:top w:val="single" w:color="auto" w:sz="2" w:space="0"/>
              <w:left w:val="single" w:color="auto" w:sz="2" w:space="0"/>
              <w:bottom w:val="single" w:color="auto" w:sz="4" w:space="0"/>
              <w:right w:val="single" w:color="auto" w:sz="2" w:space="0"/>
            </w:tcBorders>
            <w:tcMar>
              <w:left w:w="0" w:type="dxa"/>
              <w:right w:w="0" w:type="dxa"/>
            </w:tcMar>
            <w:vAlign w:val="center"/>
          </w:tcPr>
          <w:p>
            <w:pPr>
              <w:spacing w:line="0" w:lineRule="atLeast"/>
              <w:jc w:val="center"/>
              <w:rPr>
                <w:rFonts w:hint="eastAsia" w:ascii="宋体" w:hAnsi="宋体" w:eastAsia="宋体" w:cs="宋体"/>
                <w:color w:val="auto"/>
                <w:sz w:val="24"/>
                <w:highlight w:val="none"/>
              </w:rPr>
            </w:pPr>
          </w:p>
        </w:tc>
        <w:tc>
          <w:tcPr>
            <w:tcW w:w="1746" w:type="dxa"/>
            <w:tcBorders>
              <w:top w:val="single" w:color="auto" w:sz="2" w:space="0"/>
              <w:left w:val="single" w:color="auto" w:sz="2" w:space="0"/>
              <w:bottom w:val="single" w:color="auto" w:sz="4" w:space="0"/>
              <w:right w:val="single" w:color="auto" w:sz="4" w:space="0"/>
            </w:tcBorders>
          </w:tcPr>
          <w:p>
            <w:pPr>
              <w:spacing w:line="0" w:lineRule="atLeast"/>
              <w:jc w:val="center"/>
              <w:rPr>
                <w:rFonts w:hint="eastAsia" w:ascii="宋体" w:hAnsi="宋体" w:eastAsia="宋体" w:cs="宋体"/>
                <w:color w:val="auto"/>
                <w:sz w:val="24"/>
                <w:highlight w:val="none"/>
              </w:rPr>
            </w:pPr>
          </w:p>
        </w:tc>
      </w:tr>
    </w:tbl>
    <w:p>
      <w:pPr>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备注：第四部分评标办法前附表中的打分要求，在表后提供相关证明材料。</w:t>
      </w:r>
    </w:p>
    <w:p>
      <w:pPr>
        <w:ind w:firstLine="1911" w:firstLineChars="595"/>
        <w:rPr>
          <w:rFonts w:hint="eastAsia" w:ascii="宋体" w:hAnsi="宋体" w:eastAsia="宋体" w:cs="宋体"/>
          <w:b/>
          <w:bCs/>
          <w:color w:val="auto"/>
          <w:sz w:val="32"/>
          <w:szCs w:val="32"/>
          <w:highlight w:val="none"/>
        </w:rPr>
      </w:pPr>
    </w:p>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rPr>
        <w:t xml:space="preserve">   </w:t>
      </w:r>
      <w:r>
        <w:rPr>
          <w:rFonts w:hint="eastAsia" w:ascii="宋体" w:hAnsi="宋体" w:cs="宋体"/>
          <w:color w:val="auto"/>
          <w:kern w:val="0"/>
          <w:sz w:val="24"/>
          <w:highlight w:val="none"/>
          <w:lang w:val="zh-CN"/>
        </w:rPr>
        <w:t>供应商</w:t>
      </w:r>
      <w:r>
        <w:rPr>
          <w:rFonts w:hint="eastAsia" w:ascii="宋体" w:hAnsi="宋体" w:eastAsia="宋体" w:cs="宋体"/>
          <w:color w:val="auto"/>
          <w:kern w:val="0"/>
          <w:sz w:val="24"/>
          <w:highlight w:val="none"/>
          <w:lang w:val="zh-CN"/>
        </w:rPr>
        <w:t xml:space="preserve">名称(电子签名)：                              </w:t>
      </w:r>
    </w:p>
    <w:p>
      <w:pPr>
        <w:ind w:firstLine="1428" w:firstLineChars="595"/>
        <w:rPr>
          <w:rFonts w:hint="eastAsia" w:ascii="宋体" w:hAnsi="宋体" w:eastAsia="宋体" w:cs="宋体"/>
          <w:b/>
          <w:bCs/>
          <w:color w:val="auto"/>
          <w:sz w:val="32"/>
          <w:szCs w:val="32"/>
          <w:highlight w:val="none"/>
        </w:rPr>
      </w:pPr>
      <w:r>
        <w:rPr>
          <w:rFonts w:hint="eastAsia" w:ascii="宋体" w:hAnsi="宋体" w:eastAsia="宋体" w:cs="宋体"/>
          <w:color w:val="auto"/>
          <w:kern w:val="0"/>
          <w:sz w:val="24"/>
          <w:highlight w:val="none"/>
          <w:lang w:val="zh-CN"/>
        </w:rPr>
        <w:t xml:space="preserve">                   日期：  年  月  日</w:t>
      </w:r>
    </w:p>
    <w:p>
      <w:pPr>
        <w:ind w:firstLine="1911" w:firstLineChars="595"/>
        <w:rPr>
          <w:rFonts w:hint="eastAsia" w:ascii="宋体" w:hAnsi="宋体" w:eastAsia="宋体" w:cs="宋体"/>
          <w:b/>
          <w:bCs/>
          <w:color w:val="auto"/>
          <w:sz w:val="32"/>
          <w:szCs w:val="32"/>
          <w:highlight w:val="none"/>
        </w:rPr>
      </w:pPr>
    </w:p>
    <w:p>
      <w:pP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br w:type="page"/>
      </w:r>
    </w:p>
    <w:p>
      <w:pPr>
        <w:jc w:val="center"/>
        <w:rPr>
          <w:rFonts w:hint="eastAsia" w:ascii="宋体" w:hAnsi="宋体" w:eastAsia="宋体" w:cs="宋体"/>
          <w:b/>
          <w:bCs/>
          <w:color w:val="auto"/>
          <w:sz w:val="32"/>
          <w:szCs w:val="32"/>
          <w:highlight w:val="none"/>
        </w:rPr>
      </w:pPr>
      <w:r>
        <w:rPr>
          <w:rFonts w:hint="eastAsia" w:ascii="宋体" w:hAnsi="宋体" w:eastAsia="宋体" w:cs="宋体"/>
          <w:b/>
          <w:color w:val="auto"/>
          <w:kern w:val="0"/>
          <w:sz w:val="32"/>
          <w:szCs w:val="32"/>
          <w:highlight w:val="none"/>
        </w:rPr>
        <w:t>八、拟投入本项目的实施团队人员一览表</w:t>
      </w:r>
    </w:p>
    <w:p>
      <w:pPr>
        <w:ind w:firstLine="720" w:firstLineChars="300"/>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 xml:space="preserve">招标编号：                      项目名称：          </w:t>
      </w:r>
    </w:p>
    <w:tbl>
      <w:tblPr>
        <w:tblStyle w:val="62"/>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233"/>
        <w:gridCol w:w="2815"/>
        <w:gridCol w:w="2641"/>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957" w:type="dxa"/>
            <w:vAlign w:val="center"/>
          </w:tcPr>
          <w:p>
            <w:pPr>
              <w:spacing w:line="360" w:lineRule="auto"/>
              <w:jc w:val="center"/>
              <w:rPr>
                <w:rFonts w:hint="eastAsia" w:ascii="宋体" w:hAnsi="宋体" w:eastAsia="宋体" w:cs="宋体"/>
                <w:color w:val="auto"/>
                <w:sz w:val="24"/>
                <w:highlight w:val="none"/>
                <w:lang w:bidi="ar"/>
              </w:rPr>
            </w:pPr>
            <w:r>
              <w:rPr>
                <w:rFonts w:hint="eastAsia" w:ascii="宋体" w:hAnsi="宋体" w:eastAsia="宋体" w:cs="宋体"/>
                <w:color w:val="auto"/>
                <w:sz w:val="24"/>
                <w:highlight w:val="none"/>
                <w:lang w:bidi="ar"/>
              </w:rPr>
              <w:t>序号</w:t>
            </w:r>
          </w:p>
        </w:tc>
        <w:tc>
          <w:tcPr>
            <w:tcW w:w="1233" w:type="dxa"/>
            <w:vAlign w:val="center"/>
          </w:tcPr>
          <w:p>
            <w:pPr>
              <w:spacing w:line="360" w:lineRule="auto"/>
              <w:jc w:val="center"/>
              <w:rPr>
                <w:rFonts w:hint="eastAsia" w:ascii="宋体" w:hAnsi="宋体" w:eastAsia="宋体" w:cs="宋体"/>
                <w:color w:val="auto"/>
                <w:sz w:val="24"/>
                <w:highlight w:val="none"/>
                <w:lang w:bidi="ar"/>
              </w:rPr>
            </w:pPr>
            <w:r>
              <w:rPr>
                <w:rFonts w:hint="eastAsia" w:ascii="宋体" w:hAnsi="宋体" w:eastAsia="宋体" w:cs="宋体"/>
                <w:color w:val="auto"/>
                <w:sz w:val="24"/>
                <w:highlight w:val="none"/>
                <w:lang w:bidi="ar"/>
              </w:rPr>
              <w:t>姓名</w:t>
            </w:r>
          </w:p>
        </w:tc>
        <w:tc>
          <w:tcPr>
            <w:tcW w:w="2815" w:type="dxa"/>
            <w:vAlign w:val="center"/>
          </w:tcPr>
          <w:p>
            <w:pPr>
              <w:spacing w:line="360" w:lineRule="auto"/>
              <w:jc w:val="center"/>
              <w:rPr>
                <w:rFonts w:hint="eastAsia" w:ascii="宋体" w:hAnsi="宋体" w:eastAsia="宋体" w:cs="宋体"/>
                <w:color w:val="auto"/>
                <w:sz w:val="24"/>
                <w:highlight w:val="none"/>
                <w:lang w:bidi="ar"/>
              </w:rPr>
            </w:pPr>
            <w:r>
              <w:rPr>
                <w:rFonts w:hint="eastAsia" w:ascii="宋体" w:hAnsi="宋体" w:eastAsia="宋体" w:cs="宋体"/>
                <w:color w:val="auto"/>
                <w:sz w:val="24"/>
                <w:highlight w:val="none"/>
                <w:lang w:bidi="ar"/>
              </w:rPr>
              <w:t>身份证号</w:t>
            </w:r>
          </w:p>
        </w:tc>
        <w:tc>
          <w:tcPr>
            <w:tcW w:w="2641" w:type="dxa"/>
            <w:vAlign w:val="center"/>
          </w:tcPr>
          <w:p>
            <w:pPr>
              <w:spacing w:line="360" w:lineRule="auto"/>
              <w:jc w:val="center"/>
              <w:rPr>
                <w:rFonts w:hint="eastAsia" w:ascii="宋体" w:hAnsi="宋体" w:eastAsia="宋体" w:cs="宋体"/>
                <w:color w:val="auto"/>
                <w:sz w:val="24"/>
                <w:highlight w:val="none"/>
                <w:lang w:bidi="ar"/>
              </w:rPr>
            </w:pPr>
            <w:r>
              <w:rPr>
                <w:rFonts w:hint="eastAsia" w:ascii="宋体" w:hAnsi="宋体" w:eastAsia="宋体" w:cs="宋体"/>
                <w:color w:val="auto"/>
                <w:sz w:val="24"/>
                <w:highlight w:val="none"/>
                <w:lang w:bidi="ar"/>
              </w:rPr>
              <w:t>在本项目中担任的岗位</w:t>
            </w:r>
          </w:p>
        </w:tc>
        <w:tc>
          <w:tcPr>
            <w:tcW w:w="1912" w:type="dxa"/>
            <w:vAlign w:val="center"/>
          </w:tcPr>
          <w:p>
            <w:pPr>
              <w:spacing w:line="360" w:lineRule="auto"/>
              <w:jc w:val="center"/>
              <w:rPr>
                <w:rFonts w:hint="eastAsia" w:ascii="宋体" w:hAnsi="宋体" w:eastAsia="宋体" w:cs="宋体"/>
                <w:color w:val="auto"/>
                <w:sz w:val="24"/>
                <w:highlight w:val="none"/>
                <w:lang w:bidi="ar"/>
              </w:rPr>
            </w:pPr>
            <w:r>
              <w:rPr>
                <w:rFonts w:hint="eastAsia" w:ascii="宋体" w:hAnsi="宋体" w:eastAsia="宋体" w:cs="宋体"/>
                <w:color w:val="auto"/>
                <w:sz w:val="24"/>
                <w:highlight w:val="none"/>
                <w:lang w:bidi="ar"/>
              </w:rPr>
              <w:t>具备何种证书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57" w:type="dxa"/>
            <w:vAlign w:val="center"/>
          </w:tcPr>
          <w:p>
            <w:pPr>
              <w:spacing w:line="360" w:lineRule="auto"/>
              <w:jc w:val="center"/>
              <w:rPr>
                <w:rFonts w:hint="eastAsia" w:ascii="宋体" w:hAnsi="宋体" w:eastAsia="宋体" w:cs="宋体"/>
                <w:color w:val="auto"/>
                <w:sz w:val="24"/>
                <w:highlight w:val="none"/>
                <w:lang w:bidi="ar"/>
              </w:rPr>
            </w:pPr>
          </w:p>
        </w:tc>
        <w:tc>
          <w:tcPr>
            <w:tcW w:w="1233" w:type="dxa"/>
            <w:vAlign w:val="center"/>
          </w:tcPr>
          <w:p>
            <w:pPr>
              <w:spacing w:line="360" w:lineRule="auto"/>
              <w:jc w:val="center"/>
              <w:rPr>
                <w:rFonts w:hint="eastAsia" w:ascii="宋体" w:hAnsi="宋体" w:eastAsia="宋体" w:cs="宋体"/>
                <w:color w:val="auto"/>
                <w:sz w:val="24"/>
                <w:highlight w:val="none"/>
                <w:lang w:bidi="ar"/>
              </w:rPr>
            </w:pPr>
          </w:p>
        </w:tc>
        <w:tc>
          <w:tcPr>
            <w:tcW w:w="2815" w:type="dxa"/>
            <w:vAlign w:val="center"/>
          </w:tcPr>
          <w:p>
            <w:pPr>
              <w:spacing w:line="360" w:lineRule="auto"/>
              <w:jc w:val="center"/>
              <w:rPr>
                <w:rFonts w:hint="eastAsia" w:ascii="宋体" w:hAnsi="宋体" w:eastAsia="宋体" w:cs="宋体"/>
                <w:color w:val="auto"/>
                <w:sz w:val="24"/>
                <w:highlight w:val="none"/>
                <w:lang w:bidi="ar"/>
              </w:rPr>
            </w:pPr>
          </w:p>
        </w:tc>
        <w:tc>
          <w:tcPr>
            <w:tcW w:w="2641" w:type="dxa"/>
            <w:vAlign w:val="center"/>
          </w:tcPr>
          <w:p>
            <w:pPr>
              <w:spacing w:line="360" w:lineRule="auto"/>
              <w:jc w:val="center"/>
              <w:rPr>
                <w:rFonts w:hint="eastAsia" w:ascii="宋体" w:hAnsi="宋体" w:eastAsia="宋体" w:cs="宋体"/>
                <w:color w:val="auto"/>
                <w:sz w:val="24"/>
                <w:highlight w:val="none"/>
                <w:lang w:bidi="ar"/>
              </w:rPr>
            </w:pPr>
          </w:p>
        </w:tc>
        <w:tc>
          <w:tcPr>
            <w:tcW w:w="1912" w:type="dxa"/>
            <w:vAlign w:val="center"/>
          </w:tcPr>
          <w:p>
            <w:pPr>
              <w:spacing w:line="360" w:lineRule="auto"/>
              <w:jc w:val="center"/>
              <w:rPr>
                <w:rFonts w:hint="eastAsia" w:ascii="宋体" w:hAnsi="宋体" w:eastAsia="宋体" w:cs="宋体"/>
                <w:color w:val="auto"/>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57" w:type="dxa"/>
            <w:vAlign w:val="center"/>
          </w:tcPr>
          <w:p>
            <w:pPr>
              <w:spacing w:line="360" w:lineRule="auto"/>
              <w:jc w:val="center"/>
              <w:rPr>
                <w:rFonts w:hint="eastAsia" w:ascii="宋体" w:hAnsi="宋体" w:eastAsia="宋体" w:cs="宋体"/>
                <w:color w:val="auto"/>
                <w:sz w:val="24"/>
                <w:highlight w:val="none"/>
                <w:lang w:bidi="ar"/>
              </w:rPr>
            </w:pPr>
          </w:p>
        </w:tc>
        <w:tc>
          <w:tcPr>
            <w:tcW w:w="1233" w:type="dxa"/>
            <w:vAlign w:val="center"/>
          </w:tcPr>
          <w:p>
            <w:pPr>
              <w:spacing w:line="360" w:lineRule="auto"/>
              <w:jc w:val="center"/>
              <w:rPr>
                <w:rFonts w:hint="eastAsia" w:ascii="宋体" w:hAnsi="宋体" w:eastAsia="宋体" w:cs="宋体"/>
                <w:color w:val="auto"/>
                <w:sz w:val="24"/>
                <w:highlight w:val="none"/>
                <w:lang w:bidi="ar"/>
              </w:rPr>
            </w:pPr>
          </w:p>
        </w:tc>
        <w:tc>
          <w:tcPr>
            <w:tcW w:w="2815" w:type="dxa"/>
            <w:vAlign w:val="center"/>
          </w:tcPr>
          <w:p>
            <w:pPr>
              <w:spacing w:line="360" w:lineRule="auto"/>
              <w:jc w:val="center"/>
              <w:rPr>
                <w:rFonts w:hint="eastAsia" w:ascii="宋体" w:hAnsi="宋体" w:eastAsia="宋体" w:cs="宋体"/>
                <w:color w:val="auto"/>
                <w:sz w:val="24"/>
                <w:highlight w:val="none"/>
                <w:lang w:bidi="ar"/>
              </w:rPr>
            </w:pPr>
          </w:p>
        </w:tc>
        <w:tc>
          <w:tcPr>
            <w:tcW w:w="2641" w:type="dxa"/>
            <w:vAlign w:val="center"/>
          </w:tcPr>
          <w:p>
            <w:pPr>
              <w:spacing w:line="360" w:lineRule="auto"/>
              <w:jc w:val="center"/>
              <w:rPr>
                <w:rFonts w:hint="eastAsia" w:ascii="宋体" w:hAnsi="宋体" w:eastAsia="宋体" w:cs="宋体"/>
                <w:color w:val="auto"/>
                <w:sz w:val="24"/>
                <w:highlight w:val="none"/>
                <w:lang w:bidi="ar"/>
              </w:rPr>
            </w:pPr>
          </w:p>
        </w:tc>
        <w:tc>
          <w:tcPr>
            <w:tcW w:w="1912" w:type="dxa"/>
            <w:vAlign w:val="center"/>
          </w:tcPr>
          <w:p>
            <w:pPr>
              <w:spacing w:line="360" w:lineRule="auto"/>
              <w:jc w:val="center"/>
              <w:rPr>
                <w:rFonts w:hint="eastAsia" w:ascii="宋体" w:hAnsi="宋体" w:eastAsia="宋体" w:cs="宋体"/>
                <w:color w:val="auto"/>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57" w:type="dxa"/>
            <w:vAlign w:val="center"/>
          </w:tcPr>
          <w:p>
            <w:pPr>
              <w:spacing w:line="360" w:lineRule="auto"/>
              <w:jc w:val="center"/>
              <w:rPr>
                <w:rFonts w:hint="eastAsia" w:ascii="宋体" w:hAnsi="宋体" w:eastAsia="宋体" w:cs="宋体"/>
                <w:color w:val="auto"/>
                <w:sz w:val="24"/>
                <w:highlight w:val="none"/>
                <w:lang w:bidi="ar"/>
              </w:rPr>
            </w:pPr>
          </w:p>
        </w:tc>
        <w:tc>
          <w:tcPr>
            <w:tcW w:w="1233" w:type="dxa"/>
            <w:vAlign w:val="center"/>
          </w:tcPr>
          <w:p>
            <w:pPr>
              <w:spacing w:line="360" w:lineRule="auto"/>
              <w:jc w:val="center"/>
              <w:rPr>
                <w:rFonts w:hint="eastAsia" w:ascii="宋体" w:hAnsi="宋体" w:eastAsia="宋体" w:cs="宋体"/>
                <w:color w:val="auto"/>
                <w:sz w:val="24"/>
                <w:highlight w:val="none"/>
                <w:lang w:bidi="ar"/>
              </w:rPr>
            </w:pPr>
          </w:p>
        </w:tc>
        <w:tc>
          <w:tcPr>
            <w:tcW w:w="2815" w:type="dxa"/>
            <w:vAlign w:val="center"/>
          </w:tcPr>
          <w:p>
            <w:pPr>
              <w:spacing w:line="360" w:lineRule="auto"/>
              <w:jc w:val="center"/>
              <w:rPr>
                <w:rFonts w:hint="eastAsia" w:ascii="宋体" w:hAnsi="宋体" w:eastAsia="宋体" w:cs="宋体"/>
                <w:color w:val="auto"/>
                <w:sz w:val="24"/>
                <w:highlight w:val="none"/>
                <w:lang w:bidi="ar"/>
              </w:rPr>
            </w:pPr>
          </w:p>
        </w:tc>
        <w:tc>
          <w:tcPr>
            <w:tcW w:w="2641" w:type="dxa"/>
            <w:vAlign w:val="center"/>
          </w:tcPr>
          <w:p>
            <w:pPr>
              <w:spacing w:line="360" w:lineRule="auto"/>
              <w:jc w:val="center"/>
              <w:rPr>
                <w:rFonts w:hint="eastAsia" w:ascii="宋体" w:hAnsi="宋体" w:eastAsia="宋体" w:cs="宋体"/>
                <w:color w:val="auto"/>
                <w:sz w:val="24"/>
                <w:highlight w:val="none"/>
                <w:lang w:bidi="ar"/>
              </w:rPr>
            </w:pPr>
          </w:p>
        </w:tc>
        <w:tc>
          <w:tcPr>
            <w:tcW w:w="1912" w:type="dxa"/>
            <w:vAlign w:val="center"/>
          </w:tcPr>
          <w:p>
            <w:pPr>
              <w:spacing w:line="360" w:lineRule="auto"/>
              <w:jc w:val="center"/>
              <w:rPr>
                <w:rFonts w:hint="eastAsia" w:ascii="宋体" w:hAnsi="宋体" w:eastAsia="宋体" w:cs="宋体"/>
                <w:color w:val="auto"/>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57" w:type="dxa"/>
            <w:vAlign w:val="center"/>
          </w:tcPr>
          <w:p>
            <w:pPr>
              <w:spacing w:line="360" w:lineRule="auto"/>
              <w:jc w:val="center"/>
              <w:rPr>
                <w:rFonts w:hint="eastAsia" w:ascii="宋体" w:hAnsi="宋体" w:eastAsia="宋体" w:cs="宋体"/>
                <w:color w:val="auto"/>
                <w:sz w:val="24"/>
                <w:highlight w:val="none"/>
                <w:lang w:bidi="ar"/>
              </w:rPr>
            </w:pPr>
          </w:p>
        </w:tc>
        <w:tc>
          <w:tcPr>
            <w:tcW w:w="1233" w:type="dxa"/>
            <w:vAlign w:val="center"/>
          </w:tcPr>
          <w:p>
            <w:pPr>
              <w:spacing w:line="360" w:lineRule="auto"/>
              <w:jc w:val="center"/>
              <w:rPr>
                <w:rFonts w:hint="eastAsia" w:ascii="宋体" w:hAnsi="宋体" w:eastAsia="宋体" w:cs="宋体"/>
                <w:color w:val="auto"/>
                <w:sz w:val="24"/>
                <w:highlight w:val="none"/>
                <w:lang w:bidi="ar"/>
              </w:rPr>
            </w:pPr>
          </w:p>
        </w:tc>
        <w:tc>
          <w:tcPr>
            <w:tcW w:w="2815" w:type="dxa"/>
            <w:vAlign w:val="center"/>
          </w:tcPr>
          <w:p>
            <w:pPr>
              <w:spacing w:line="360" w:lineRule="auto"/>
              <w:jc w:val="center"/>
              <w:rPr>
                <w:rFonts w:hint="eastAsia" w:ascii="宋体" w:hAnsi="宋体" w:eastAsia="宋体" w:cs="宋体"/>
                <w:color w:val="auto"/>
                <w:sz w:val="24"/>
                <w:highlight w:val="none"/>
                <w:lang w:bidi="ar"/>
              </w:rPr>
            </w:pPr>
          </w:p>
        </w:tc>
        <w:tc>
          <w:tcPr>
            <w:tcW w:w="2641" w:type="dxa"/>
            <w:vAlign w:val="center"/>
          </w:tcPr>
          <w:p>
            <w:pPr>
              <w:spacing w:line="360" w:lineRule="auto"/>
              <w:jc w:val="center"/>
              <w:rPr>
                <w:rFonts w:hint="eastAsia" w:ascii="宋体" w:hAnsi="宋体" w:eastAsia="宋体" w:cs="宋体"/>
                <w:color w:val="auto"/>
                <w:sz w:val="24"/>
                <w:highlight w:val="none"/>
                <w:lang w:bidi="ar"/>
              </w:rPr>
            </w:pPr>
          </w:p>
        </w:tc>
        <w:tc>
          <w:tcPr>
            <w:tcW w:w="1912" w:type="dxa"/>
            <w:vAlign w:val="center"/>
          </w:tcPr>
          <w:p>
            <w:pPr>
              <w:spacing w:line="360" w:lineRule="auto"/>
              <w:jc w:val="center"/>
              <w:rPr>
                <w:rFonts w:hint="eastAsia" w:ascii="宋体" w:hAnsi="宋体" w:eastAsia="宋体" w:cs="宋体"/>
                <w:color w:val="auto"/>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57" w:type="dxa"/>
            <w:vAlign w:val="center"/>
          </w:tcPr>
          <w:p>
            <w:pPr>
              <w:spacing w:line="360" w:lineRule="auto"/>
              <w:jc w:val="center"/>
              <w:rPr>
                <w:rFonts w:hint="eastAsia" w:ascii="宋体" w:hAnsi="宋体" w:eastAsia="宋体" w:cs="宋体"/>
                <w:color w:val="auto"/>
                <w:sz w:val="24"/>
                <w:highlight w:val="none"/>
                <w:lang w:bidi="ar"/>
              </w:rPr>
            </w:pPr>
          </w:p>
        </w:tc>
        <w:tc>
          <w:tcPr>
            <w:tcW w:w="1233" w:type="dxa"/>
            <w:vAlign w:val="center"/>
          </w:tcPr>
          <w:p>
            <w:pPr>
              <w:spacing w:line="360" w:lineRule="auto"/>
              <w:jc w:val="center"/>
              <w:rPr>
                <w:rFonts w:hint="eastAsia" w:ascii="宋体" w:hAnsi="宋体" w:eastAsia="宋体" w:cs="宋体"/>
                <w:color w:val="auto"/>
                <w:sz w:val="24"/>
                <w:highlight w:val="none"/>
                <w:lang w:bidi="ar"/>
              </w:rPr>
            </w:pPr>
          </w:p>
        </w:tc>
        <w:tc>
          <w:tcPr>
            <w:tcW w:w="2815" w:type="dxa"/>
            <w:vAlign w:val="center"/>
          </w:tcPr>
          <w:p>
            <w:pPr>
              <w:spacing w:line="360" w:lineRule="auto"/>
              <w:jc w:val="center"/>
              <w:rPr>
                <w:rFonts w:hint="eastAsia" w:ascii="宋体" w:hAnsi="宋体" w:eastAsia="宋体" w:cs="宋体"/>
                <w:color w:val="auto"/>
                <w:sz w:val="24"/>
                <w:highlight w:val="none"/>
                <w:lang w:bidi="ar"/>
              </w:rPr>
            </w:pPr>
          </w:p>
        </w:tc>
        <w:tc>
          <w:tcPr>
            <w:tcW w:w="2641" w:type="dxa"/>
            <w:vAlign w:val="center"/>
          </w:tcPr>
          <w:p>
            <w:pPr>
              <w:spacing w:line="360" w:lineRule="auto"/>
              <w:jc w:val="center"/>
              <w:rPr>
                <w:rFonts w:hint="eastAsia" w:ascii="宋体" w:hAnsi="宋体" w:eastAsia="宋体" w:cs="宋体"/>
                <w:color w:val="auto"/>
                <w:sz w:val="24"/>
                <w:highlight w:val="none"/>
                <w:lang w:bidi="ar"/>
              </w:rPr>
            </w:pPr>
          </w:p>
        </w:tc>
        <w:tc>
          <w:tcPr>
            <w:tcW w:w="1912" w:type="dxa"/>
            <w:vAlign w:val="center"/>
          </w:tcPr>
          <w:p>
            <w:pPr>
              <w:spacing w:line="360" w:lineRule="auto"/>
              <w:jc w:val="center"/>
              <w:rPr>
                <w:rFonts w:hint="eastAsia" w:ascii="宋体" w:hAnsi="宋体" w:eastAsia="宋体" w:cs="宋体"/>
                <w:color w:val="auto"/>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57" w:type="dxa"/>
            <w:vAlign w:val="center"/>
          </w:tcPr>
          <w:p>
            <w:pPr>
              <w:spacing w:line="360" w:lineRule="auto"/>
              <w:jc w:val="center"/>
              <w:rPr>
                <w:rFonts w:hint="eastAsia" w:ascii="宋体" w:hAnsi="宋体" w:eastAsia="宋体" w:cs="宋体"/>
                <w:color w:val="auto"/>
                <w:sz w:val="24"/>
                <w:highlight w:val="none"/>
                <w:lang w:bidi="ar"/>
              </w:rPr>
            </w:pPr>
          </w:p>
        </w:tc>
        <w:tc>
          <w:tcPr>
            <w:tcW w:w="1233" w:type="dxa"/>
            <w:vAlign w:val="center"/>
          </w:tcPr>
          <w:p>
            <w:pPr>
              <w:spacing w:line="360" w:lineRule="auto"/>
              <w:jc w:val="center"/>
              <w:rPr>
                <w:rFonts w:hint="eastAsia" w:ascii="宋体" w:hAnsi="宋体" w:eastAsia="宋体" w:cs="宋体"/>
                <w:color w:val="auto"/>
                <w:sz w:val="24"/>
                <w:highlight w:val="none"/>
                <w:lang w:bidi="ar"/>
              </w:rPr>
            </w:pPr>
          </w:p>
        </w:tc>
        <w:tc>
          <w:tcPr>
            <w:tcW w:w="2815" w:type="dxa"/>
            <w:vAlign w:val="center"/>
          </w:tcPr>
          <w:p>
            <w:pPr>
              <w:spacing w:line="360" w:lineRule="auto"/>
              <w:jc w:val="center"/>
              <w:rPr>
                <w:rFonts w:hint="eastAsia" w:ascii="宋体" w:hAnsi="宋体" w:eastAsia="宋体" w:cs="宋体"/>
                <w:color w:val="auto"/>
                <w:sz w:val="24"/>
                <w:highlight w:val="none"/>
                <w:lang w:bidi="ar"/>
              </w:rPr>
            </w:pPr>
          </w:p>
        </w:tc>
        <w:tc>
          <w:tcPr>
            <w:tcW w:w="2641" w:type="dxa"/>
            <w:vAlign w:val="center"/>
          </w:tcPr>
          <w:p>
            <w:pPr>
              <w:spacing w:line="360" w:lineRule="auto"/>
              <w:jc w:val="center"/>
              <w:rPr>
                <w:rFonts w:hint="eastAsia" w:ascii="宋体" w:hAnsi="宋体" w:eastAsia="宋体" w:cs="宋体"/>
                <w:color w:val="auto"/>
                <w:sz w:val="24"/>
                <w:highlight w:val="none"/>
                <w:lang w:bidi="ar"/>
              </w:rPr>
            </w:pPr>
          </w:p>
        </w:tc>
        <w:tc>
          <w:tcPr>
            <w:tcW w:w="1912" w:type="dxa"/>
            <w:vAlign w:val="center"/>
          </w:tcPr>
          <w:p>
            <w:pPr>
              <w:spacing w:line="360" w:lineRule="auto"/>
              <w:jc w:val="center"/>
              <w:rPr>
                <w:rFonts w:hint="eastAsia" w:ascii="宋体" w:hAnsi="宋体" w:eastAsia="宋体" w:cs="宋体"/>
                <w:color w:val="auto"/>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57" w:type="dxa"/>
            <w:vAlign w:val="center"/>
          </w:tcPr>
          <w:p>
            <w:pPr>
              <w:spacing w:line="360" w:lineRule="auto"/>
              <w:jc w:val="center"/>
              <w:rPr>
                <w:rFonts w:hint="eastAsia" w:ascii="宋体" w:hAnsi="宋体" w:eastAsia="宋体" w:cs="宋体"/>
                <w:color w:val="auto"/>
                <w:sz w:val="24"/>
                <w:highlight w:val="none"/>
                <w:lang w:bidi="ar"/>
              </w:rPr>
            </w:pPr>
          </w:p>
        </w:tc>
        <w:tc>
          <w:tcPr>
            <w:tcW w:w="1233" w:type="dxa"/>
            <w:vAlign w:val="center"/>
          </w:tcPr>
          <w:p>
            <w:pPr>
              <w:spacing w:line="360" w:lineRule="auto"/>
              <w:jc w:val="center"/>
              <w:rPr>
                <w:rFonts w:hint="eastAsia" w:ascii="宋体" w:hAnsi="宋体" w:eastAsia="宋体" w:cs="宋体"/>
                <w:color w:val="auto"/>
                <w:sz w:val="24"/>
                <w:highlight w:val="none"/>
                <w:lang w:bidi="ar"/>
              </w:rPr>
            </w:pPr>
          </w:p>
        </w:tc>
        <w:tc>
          <w:tcPr>
            <w:tcW w:w="2815" w:type="dxa"/>
            <w:vAlign w:val="center"/>
          </w:tcPr>
          <w:p>
            <w:pPr>
              <w:spacing w:line="360" w:lineRule="auto"/>
              <w:jc w:val="center"/>
              <w:rPr>
                <w:rFonts w:hint="eastAsia" w:ascii="宋体" w:hAnsi="宋体" w:eastAsia="宋体" w:cs="宋体"/>
                <w:color w:val="auto"/>
                <w:sz w:val="24"/>
                <w:highlight w:val="none"/>
                <w:lang w:bidi="ar"/>
              </w:rPr>
            </w:pPr>
          </w:p>
        </w:tc>
        <w:tc>
          <w:tcPr>
            <w:tcW w:w="2641" w:type="dxa"/>
            <w:vAlign w:val="center"/>
          </w:tcPr>
          <w:p>
            <w:pPr>
              <w:spacing w:line="360" w:lineRule="auto"/>
              <w:jc w:val="center"/>
              <w:rPr>
                <w:rFonts w:hint="eastAsia" w:ascii="宋体" w:hAnsi="宋体" w:eastAsia="宋体" w:cs="宋体"/>
                <w:color w:val="auto"/>
                <w:sz w:val="24"/>
                <w:highlight w:val="none"/>
                <w:lang w:bidi="ar"/>
              </w:rPr>
            </w:pPr>
          </w:p>
        </w:tc>
        <w:tc>
          <w:tcPr>
            <w:tcW w:w="1912" w:type="dxa"/>
            <w:vAlign w:val="center"/>
          </w:tcPr>
          <w:p>
            <w:pPr>
              <w:spacing w:line="360" w:lineRule="auto"/>
              <w:jc w:val="center"/>
              <w:rPr>
                <w:rFonts w:hint="eastAsia" w:ascii="宋体" w:hAnsi="宋体" w:eastAsia="宋体" w:cs="宋体"/>
                <w:color w:val="auto"/>
                <w:sz w:val="24"/>
                <w:highlight w:val="none"/>
                <w:lang w:bidi="ar"/>
              </w:rPr>
            </w:pPr>
          </w:p>
        </w:tc>
      </w:tr>
    </w:tbl>
    <w:p>
      <w:pPr>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备注：第四部分评标办法前附表中的打分要求，在表后提供相关证明材料。</w:t>
      </w:r>
    </w:p>
    <w:p>
      <w:pPr>
        <w:ind w:firstLine="1911" w:firstLineChars="595"/>
        <w:rPr>
          <w:rFonts w:hint="eastAsia" w:ascii="宋体" w:hAnsi="宋体" w:eastAsia="宋体" w:cs="宋体"/>
          <w:b/>
          <w:bCs/>
          <w:color w:val="auto"/>
          <w:sz w:val="32"/>
          <w:szCs w:val="32"/>
          <w:highlight w:val="none"/>
        </w:rPr>
      </w:pPr>
    </w:p>
    <w:p>
      <w:pPr>
        <w:snapToGrid w:val="0"/>
        <w:spacing w:line="360" w:lineRule="auto"/>
        <w:ind w:firstLine="576"/>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p>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rPr>
        <w:t xml:space="preserve"> </w:t>
      </w:r>
      <w:r>
        <w:rPr>
          <w:rFonts w:hint="eastAsia" w:ascii="宋体" w:hAnsi="宋体" w:cs="宋体"/>
          <w:color w:val="auto"/>
          <w:kern w:val="0"/>
          <w:sz w:val="24"/>
          <w:highlight w:val="none"/>
          <w:lang w:val="zh-CN"/>
        </w:rPr>
        <w:t>供应商</w:t>
      </w:r>
      <w:r>
        <w:rPr>
          <w:rFonts w:hint="eastAsia" w:ascii="宋体" w:hAnsi="宋体" w:eastAsia="宋体" w:cs="宋体"/>
          <w:color w:val="auto"/>
          <w:kern w:val="0"/>
          <w:sz w:val="24"/>
          <w:highlight w:val="none"/>
          <w:lang w:val="zh-CN"/>
        </w:rPr>
        <w:t xml:space="preserve">名称(电子签名)：                              </w:t>
      </w:r>
    </w:p>
    <w:p>
      <w:pPr>
        <w:ind w:firstLine="1428" w:firstLineChars="595"/>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br w:type="page"/>
      </w:r>
    </w:p>
    <w:p>
      <w:pPr>
        <w:ind w:firstLine="1911" w:firstLineChars="595"/>
        <w:rPr>
          <w:rFonts w:hint="eastAsia" w:ascii="宋体" w:hAnsi="宋体" w:eastAsia="宋体" w:cs="宋体"/>
          <w:b/>
          <w:color w:val="auto"/>
          <w:kern w:val="0"/>
          <w:sz w:val="32"/>
          <w:szCs w:val="32"/>
          <w:highlight w:val="none"/>
        </w:rPr>
      </w:pPr>
      <w:r>
        <w:rPr>
          <w:rFonts w:hint="eastAsia" w:ascii="宋体" w:hAnsi="宋体" w:eastAsia="宋体" w:cs="宋体"/>
          <w:b/>
          <w:bCs/>
          <w:color w:val="auto"/>
          <w:sz w:val="32"/>
          <w:szCs w:val="32"/>
          <w:highlight w:val="none"/>
        </w:rPr>
        <w:t>九</w:t>
      </w:r>
      <w:r>
        <w:rPr>
          <w:rFonts w:hint="eastAsia" w:ascii="宋体" w:hAnsi="宋体" w:eastAsia="宋体" w:cs="宋体"/>
          <w:b/>
          <w:color w:val="auto"/>
          <w:kern w:val="0"/>
          <w:sz w:val="32"/>
          <w:szCs w:val="32"/>
          <w:highlight w:val="none"/>
        </w:rPr>
        <w:t>、</w:t>
      </w:r>
      <w:r>
        <w:rPr>
          <w:rFonts w:hint="eastAsia" w:ascii="宋体" w:hAnsi="宋体" w:eastAsia="宋体" w:cs="宋体"/>
          <w:b/>
          <w:color w:val="auto"/>
          <w:kern w:val="0"/>
          <w:sz w:val="32"/>
          <w:szCs w:val="32"/>
          <w:highlight w:val="none"/>
          <w:lang w:val="zh-CN"/>
        </w:rPr>
        <w:t>政府采购供应商廉洁自律承诺书</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我单位响应你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好处；</w:t>
      </w:r>
    </w:p>
    <w:p>
      <w:pPr>
        <w:autoSpaceDE w:val="0"/>
        <w:autoSpaceDN w:val="0"/>
        <w:spacing w:line="360" w:lineRule="auto"/>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六、严格遵守《</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政府采购法》《</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招标投标</w:t>
      </w:r>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法》</w:t>
      </w:r>
      <w:r>
        <w:rPr>
          <w:rFonts w:hint="eastAsia" w:ascii="宋体" w:hAnsi="宋体" w:eastAsia="宋体" w:cs="宋体"/>
          <w:color w:val="auto"/>
          <w:sz w:val="24"/>
          <w:highlight w:val="none"/>
          <w:lang w:val="zh-CN"/>
        </w:rPr>
        <w:t>《中华人民共和国民法典》</w:t>
      </w:r>
      <w:r>
        <w:rPr>
          <w:rFonts w:hint="eastAsia" w:ascii="宋体" w:hAnsi="宋体" w:eastAsia="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如违反上述承诺，你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有权立即取消我单位投标、中标或在建项目的建设资格，有权拒绝我单位在一定时期内进入你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宋体" w:hAnsi="宋体" w:eastAsia="宋体" w:cs="宋体"/>
          <w:color w:val="auto"/>
          <w:kern w:val="0"/>
          <w:sz w:val="24"/>
          <w:highlight w:val="none"/>
          <w:lang w:val="zh-CN"/>
        </w:rPr>
      </w:pPr>
      <w:r>
        <w:rPr>
          <w:rFonts w:hint="eastAsia" w:ascii="宋体" w:hAnsi="宋体" w:cs="宋体"/>
          <w:color w:val="auto"/>
          <w:kern w:val="0"/>
          <w:sz w:val="24"/>
          <w:highlight w:val="none"/>
          <w:lang w:val="zh-CN"/>
        </w:rPr>
        <w:t>供应商</w:t>
      </w:r>
      <w:r>
        <w:rPr>
          <w:rFonts w:hint="eastAsia" w:ascii="宋体" w:hAnsi="宋体" w:eastAsia="宋体" w:cs="宋体"/>
          <w:color w:val="auto"/>
          <w:kern w:val="0"/>
          <w:sz w:val="24"/>
          <w:highlight w:val="none"/>
          <w:lang w:val="zh-CN"/>
        </w:rPr>
        <w:t>名称（</w:t>
      </w:r>
      <w:r>
        <w:rPr>
          <w:rFonts w:hint="eastAsia" w:ascii="宋体" w:hAnsi="宋体" w:eastAsia="宋体" w:cs="宋体"/>
          <w:color w:val="auto"/>
          <w:sz w:val="24"/>
          <w:highlight w:val="none"/>
        </w:rPr>
        <w:t>电子签名</w:t>
      </w:r>
      <w:r>
        <w:rPr>
          <w:rFonts w:hint="eastAsia" w:ascii="宋体" w:hAnsi="宋体" w:eastAsia="宋体" w:cs="宋体"/>
          <w:color w:val="auto"/>
          <w:kern w:val="0"/>
          <w:sz w:val="24"/>
          <w:highlight w:val="none"/>
          <w:lang w:val="zh-CN"/>
        </w:rPr>
        <w:t xml:space="preserve">）：                                                                                                                                                                                                               </w:t>
      </w:r>
    </w:p>
    <w:p>
      <w:pPr>
        <w:spacing w:line="360" w:lineRule="auto"/>
        <w:ind w:left="4620" w:leftChars="2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 xml:space="preserve">   年   月   日</w:t>
      </w:r>
    </w:p>
    <w:p>
      <w:pPr>
        <w:spacing w:line="360" w:lineRule="auto"/>
        <w:jc w:val="center"/>
        <w:rPr>
          <w:rFonts w:hint="eastAsia" w:ascii="宋体" w:hAnsi="宋体" w:eastAsia="宋体" w:cs="宋体"/>
          <w:b/>
          <w:bCs/>
          <w:color w:val="auto"/>
          <w:sz w:val="24"/>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pacing w:line="360" w:lineRule="auto"/>
        <w:jc w:val="center"/>
        <w:rPr>
          <w:rFonts w:hint="eastAsia" w:ascii="宋体" w:hAnsi="宋体" w:eastAsia="宋体" w:cs="宋体"/>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宋体" w:hAnsi="宋体" w:eastAsia="宋体" w:cs="宋体"/>
          <w:b/>
          <w:color w:val="auto"/>
          <w:kern w:val="0"/>
          <w:sz w:val="36"/>
          <w:szCs w:val="36"/>
          <w:highlight w:val="none"/>
        </w:rPr>
      </w:pP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报价文件部分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（1）开标一览表（报价表）………………………………………………………（页码）</w:t>
      </w:r>
    </w:p>
    <w:p>
      <w:pPr>
        <w:snapToGrid w:val="0"/>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eastAsia="zh-CN"/>
        </w:rPr>
        <w:t>）投标报价明细表………………………………………………………………（页码）</w:t>
      </w:r>
    </w:p>
    <w:p>
      <w:pPr>
        <w:snapToGrid w:val="0"/>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）中小企业声明函（如是，请提供）…………………………………………（页码）</w:t>
      </w:r>
    </w:p>
    <w:p>
      <w:pPr>
        <w:snapToGrid w:val="0"/>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供应商为监狱企业的证明文件：省级以上监狱管理局、戒毒管理局（含新疆生产建设兵团）出具（如是，请提供）…………………………………………………（页码）</w:t>
      </w:r>
    </w:p>
    <w:p>
      <w:pPr>
        <w:snapToGrid w:val="0"/>
        <w:spacing w:line="360" w:lineRule="auto"/>
        <w:rPr>
          <w:rFonts w:hint="eastAsia" w:ascii="宋体" w:hAnsi="宋体" w:eastAsia="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5</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残疾人福利性单位声明函（如是，请提供）…………………………………（页码）</w:t>
      </w:r>
    </w:p>
    <w:p>
      <w:pPr>
        <w:snapToGrid w:val="0"/>
        <w:spacing w:line="360" w:lineRule="auto"/>
        <w:rPr>
          <w:rFonts w:hint="eastAsia" w:ascii="宋体" w:hAnsi="宋体" w:eastAsia="宋体" w:cs="宋体"/>
          <w:color w:val="auto"/>
          <w:sz w:val="24"/>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before="120" w:after="120"/>
        <w:ind w:firstLine="643"/>
        <w:rPr>
          <w:rFonts w:hint="eastAsia" w:ascii="宋体" w:hAnsi="宋体" w:eastAsia="宋体" w:cs="宋体"/>
          <w:color w:val="auto"/>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snapToGrid w:val="0"/>
        <w:spacing w:before="120" w:after="120" w:line="360" w:lineRule="auto"/>
        <w:ind w:firstLine="643"/>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一、开标一览表（报价表）</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482"/>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eastAsia="宋体" w:cs="宋体"/>
          <w:color w:val="auto"/>
          <w:sz w:val="24"/>
          <w:highlight w:val="none"/>
        </w:rPr>
        <w:t>（项目名称）</w:t>
      </w:r>
      <w:r>
        <w:rPr>
          <w:rFonts w:hint="eastAsia" w:ascii="宋体" w:hAnsi="宋体" w:eastAsia="宋体" w:cs="宋体"/>
          <w:color w:val="auto"/>
          <w:kern w:val="0"/>
          <w:sz w:val="24"/>
          <w:highlight w:val="none"/>
          <w:lang w:val="zh-CN"/>
        </w:rPr>
        <w:t>【招标编号：</w:t>
      </w:r>
      <w:r>
        <w:rPr>
          <w:rFonts w:hint="eastAsia" w:ascii="宋体" w:hAnsi="宋体" w:eastAsia="宋体" w:cs="宋体"/>
          <w:color w:val="auto"/>
          <w:sz w:val="24"/>
          <w:highlight w:val="none"/>
        </w:rPr>
        <w:t>（采购编号）】的实施</w:t>
      </w:r>
      <w:r>
        <w:rPr>
          <w:rFonts w:hint="eastAsia" w:ascii="宋体" w:hAnsi="宋体" w:eastAsia="宋体" w:cs="宋体"/>
          <w:color w:val="auto"/>
          <w:kern w:val="0"/>
          <w:sz w:val="24"/>
          <w:highlight w:val="none"/>
          <w:lang w:val="zh-CN"/>
        </w:rPr>
        <w:t>。</w:t>
      </w:r>
    </w:p>
    <w:p>
      <w:pPr>
        <w:spacing w:line="360" w:lineRule="auto"/>
        <w:jc w:val="center"/>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开标一览表（报价表）</w:t>
      </w:r>
    </w:p>
    <w:tbl>
      <w:tblPr>
        <w:tblStyle w:val="62"/>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1991"/>
        <w:gridCol w:w="3288"/>
        <w:gridCol w:w="3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384" w:type="pct"/>
            <w:vAlign w:val="center"/>
          </w:tcPr>
          <w:p>
            <w:pPr>
              <w:snapToGrid w:val="0"/>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序号</w:t>
            </w:r>
          </w:p>
        </w:tc>
        <w:tc>
          <w:tcPr>
            <w:tcW w:w="1073" w:type="pct"/>
            <w:vAlign w:val="center"/>
          </w:tcPr>
          <w:p>
            <w:pPr>
              <w:snapToGrid w:val="0"/>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项目名称</w:t>
            </w:r>
          </w:p>
        </w:tc>
        <w:tc>
          <w:tcPr>
            <w:tcW w:w="1772" w:type="pct"/>
            <w:vAlign w:val="center"/>
          </w:tcPr>
          <w:p>
            <w:pPr>
              <w:snapToGrid w:val="0"/>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工作内容</w:t>
            </w:r>
          </w:p>
        </w:tc>
        <w:tc>
          <w:tcPr>
            <w:tcW w:w="1769" w:type="pct"/>
            <w:vAlign w:val="center"/>
          </w:tcPr>
          <w:p>
            <w:pPr>
              <w:snapToGrid w:val="0"/>
              <w:spacing w:line="360" w:lineRule="auto"/>
              <w:jc w:val="center"/>
              <w:rPr>
                <w:rFonts w:hint="eastAsia" w:ascii="宋体" w:hAnsi="宋体" w:eastAsia="宋体" w:cs="宋体"/>
                <w:b/>
                <w:bCs/>
                <w:color w:val="auto"/>
                <w:spacing w:val="-4"/>
                <w:szCs w:val="21"/>
                <w:highlight w:val="none"/>
                <w:lang w:bidi="ar"/>
              </w:rPr>
            </w:pPr>
            <w:r>
              <w:rPr>
                <w:rFonts w:hint="eastAsia" w:ascii="宋体" w:hAnsi="宋体" w:eastAsia="宋体" w:cs="宋体"/>
                <w:b/>
                <w:bCs/>
                <w:color w:val="auto"/>
                <w:spacing w:val="-4"/>
                <w:szCs w:val="21"/>
                <w:highlight w:val="none"/>
                <w:lang w:bidi="ar"/>
              </w:rPr>
              <w:t>投标价（人民币/元</w:t>
            </w:r>
            <w:r>
              <w:rPr>
                <w:rFonts w:hint="eastAsia" w:ascii="宋体" w:hAnsi="宋体" w:cs="宋体"/>
                <w:b/>
                <w:bCs/>
                <w:color w:val="auto"/>
                <w:spacing w:val="-4"/>
                <w:szCs w:val="21"/>
                <w:highlight w:val="none"/>
                <w:lang w:val="en-US" w:eastAsia="zh-CN" w:bidi="ar"/>
              </w:rPr>
              <w:t>/年</w:t>
            </w:r>
            <w:r>
              <w:rPr>
                <w:rFonts w:hint="eastAsia" w:ascii="宋体" w:hAnsi="宋体" w:eastAsia="宋体" w:cs="宋体"/>
                <w:b/>
                <w:bCs/>
                <w:color w:val="auto"/>
                <w:spacing w:val="-4"/>
                <w:szCs w:val="21"/>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384" w:type="pct"/>
            <w:vMerge w:val="restart"/>
            <w:vAlign w:val="center"/>
          </w:tcPr>
          <w:p>
            <w:pPr>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073" w:type="pct"/>
            <w:vMerge w:val="restart"/>
            <w:vAlign w:val="center"/>
          </w:tcPr>
          <w:p>
            <w:pPr>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慈溪市城镇住房综合保险加房屋安全动态监测项目</w:t>
            </w:r>
          </w:p>
        </w:tc>
        <w:tc>
          <w:tcPr>
            <w:tcW w:w="1772" w:type="pct"/>
            <w:vAlign w:val="center"/>
          </w:tcPr>
          <w:p>
            <w:pPr>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城镇住房综合保险（含外墙）</w:t>
            </w:r>
          </w:p>
        </w:tc>
        <w:tc>
          <w:tcPr>
            <w:tcW w:w="1769" w:type="pct"/>
            <w:vAlign w:val="center"/>
          </w:tcPr>
          <w:p>
            <w:pPr>
              <w:snapToGrid w:val="0"/>
              <w:spacing w:line="360" w:lineRule="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384" w:type="pct"/>
            <w:vMerge w:val="continue"/>
            <w:vAlign w:val="center"/>
          </w:tcPr>
          <w:p>
            <w:pPr>
              <w:snapToGrid w:val="0"/>
              <w:spacing w:line="360" w:lineRule="auto"/>
              <w:jc w:val="center"/>
              <w:rPr>
                <w:rFonts w:hint="eastAsia" w:ascii="宋体" w:hAnsi="宋体" w:eastAsia="宋体" w:cs="宋体"/>
                <w:color w:val="auto"/>
                <w:szCs w:val="21"/>
                <w:highlight w:val="none"/>
              </w:rPr>
            </w:pPr>
          </w:p>
        </w:tc>
        <w:tc>
          <w:tcPr>
            <w:tcW w:w="1073" w:type="pct"/>
            <w:vMerge w:val="continue"/>
            <w:vAlign w:val="center"/>
          </w:tcPr>
          <w:p>
            <w:pPr>
              <w:snapToGrid w:val="0"/>
              <w:spacing w:line="360" w:lineRule="auto"/>
              <w:jc w:val="center"/>
              <w:rPr>
                <w:rFonts w:hint="eastAsia" w:ascii="宋体" w:hAnsi="宋体" w:eastAsia="宋体" w:cs="宋体"/>
                <w:color w:val="auto"/>
                <w:szCs w:val="21"/>
                <w:highlight w:val="none"/>
              </w:rPr>
            </w:pPr>
          </w:p>
        </w:tc>
        <w:tc>
          <w:tcPr>
            <w:tcW w:w="1772" w:type="pct"/>
            <w:vAlign w:val="center"/>
          </w:tcPr>
          <w:p>
            <w:pPr>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房屋安全动态监测</w:t>
            </w:r>
          </w:p>
        </w:tc>
        <w:tc>
          <w:tcPr>
            <w:tcW w:w="1769" w:type="pct"/>
            <w:vAlign w:val="center"/>
          </w:tcPr>
          <w:p>
            <w:pPr>
              <w:snapToGrid w:val="0"/>
              <w:spacing w:line="360" w:lineRule="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5000" w:type="pct"/>
            <w:gridSpan w:val="4"/>
            <w:vAlign w:val="center"/>
          </w:tcPr>
          <w:p>
            <w:pPr>
              <w:snapToGrid w:val="0"/>
              <w:spacing w:line="360" w:lineRule="auto"/>
              <w:jc w:val="both"/>
              <w:rPr>
                <w:rFonts w:hint="eastAsia" w:ascii="宋体" w:hAnsi="宋体" w:eastAsia="宋体" w:cs="宋体"/>
                <w:color w:val="auto"/>
                <w:szCs w:val="21"/>
                <w:highlight w:val="none"/>
                <w:lang w:eastAsia="zh-CN"/>
              </w:rPr>
            </w:pPr>
            <w:r>
              <w:rPr>
                <w:rFonts w:hint="eastAsia" w:ascii="宋体" w:hAnsi="宋体" w:cs="宋体"/>
                <w:b/>
                <w:bCs/>
                <w:color w:val="auto"/>
                <w:szCs w:val="21"/>
                <w:highlight w:val="none"/>
                <w:lang w:eastAsia="zh-CN"/>
              </w:rPr>
              <w:t>投标总价（大写</w:t>
            </w:r>
            <w:r>
              <w:rPr>
                <w:rFonts w:hint="eastAsia" w:ascii="宋体" w:hAnsi="宋体" w:cs="宋体"/>
                <w:b/>
                <w:bCs/>
                <w:color w:val="auto"/>
                <w:szCs w:val="21"/>
                <w:highlight w:val="none"/>
                <w:lang w:val="en-US" w:eastAsia="zh-CN"/>
              </w:rPr>
              <w:t>/人民币/元/年</w:t>
            </w:r>
            <w:r>
              <w:rPr>
                <w:rFonts w:hint="eastAsia" w:ascii="宋体" w:hAnsi="宋体" w:cs="宋体"/>
                <w:b/>
                <w:bCs/>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5000" w:type="pct"/>
            <w:gridSpan w:val="4"/>
            <w:vAlign w:val="center"/>
          </w:tcPr>
          <w:p>
            <w:pPr>
              <w:snapToGrid w:val="0"/>
              <w:spacing w:line="360" w:lineRule="auto"/>
              <w:jc w:val="both"/>
              <w:rPr>
                <w:rFonts w:hint="eastAsia" w:ascii="宋体" w:hAnsi="宋体" w:eastAsia="宋体" w:cs="宋体"/>
                <w:color w:val="auto"/>
                <w:highlight w:val="none"/>
                <w:lang w:eastAsia="zh-CN"/>
              </w:rPr>
            </w:pPr>
            <w:r>
              <w:rPr>
                <w:rFonts w:hint="eastAsia" w:ascii="宋体" w:hAnsi="宋体" w:eastAsia="宋体" w:cs="宋体"/>
                <w:b/>
                <w:bCs/>
                <w:color w:val="auto"/>
                <w:highlight w:val="none"/>
              </w:rPr>
              <w:t>投标声明</w:t>
            </w:r>
            <w:r>
              <w:rPr>
                <w:rFonts w:hint="eastAsia" w:ascii="宋体" w:hAnsi="宋体" w:cs="宋体"/>
                <w:b/>
                <w:bCs/>
                <w:color w:val="auto"/>
                <w:highlight w:val="none"/>
                <w:lang w:eastAsia="zh-CN"/>
              </w:rPr>
              <w:t>（如有）：</w:t>
            </w:r>
          </w:p>
        </w:tc>
      </w:tr>
    </w:tbl>
    <w:p>
      <w:pPr>
        <w:snapToGrid w:val="0"/>
        <w:spacing w:line="360" w:lineRule="auto"/>
        <w:ind w:left="480"/>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注：</w:t>
      </w:r>
    </w:p>
    <w:p>
      <w:pPr>
        <w:spacing w:line="360" w:lineRule="auto"/>
        <w:ind w:left="-2" w:leftChars="-1"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w:t>
      </w:r>
      <w:r>
        <w:rPr>
          <w:rFonts w:hint="eastAsia" w:ascii="宋体" w:hAnsi="宋体" w:cs="宋体"/>
          <w:color w:val="auto"/>
          <w:kern w:val="0"/>
          <w:sz w:val="24"/>
          <w:highlight w:val="none"/>
          <w:lang w:val="zh-CN"/>
        </w:rPr>
        <w:t>供应商</w:t>
      </w:r>
      <w:r>
        <w:rPr>
          <w:rFonts w:hint="eastAsia" w:ascii="宋体" w:hAnsi="宋体" w:eastAsia="宋体" w:cs="宋体"/>
          <w:color w:val="auto"/>
          <w:kern w:val="0"/>
          <w:sz w:val="24"/>
          <w:highlight w:val="none"/>
          <w:lang w:val="zh-CN"/>
        </w:rPr>
        <w:t>需按本表格式填写</w:t>
      </w:r>
      <w:r>
        <w:rPr>
          <w:rFonts w:hint="eastAsia" w:ascii="宋体" w:hAnsi="宋体" w:eastAsia="宋体" w:cs="宋体"/>
          <w:b/>
          <w:color w:val="auto"/>
          <w:kern w:val="0"/>
          <w:sz w:val="24"/>
          <w:highlight w:val="none"/>
          <w:lang w:val="zh-CN"/>
        </w:rPr>
        <w:t>，</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rPr>
        <w:t>投标文件含有采购人不能接受的附加条件，投标无效</w:t>
      </w:r>
      <w:r>
        <w:rPr>
          <w:rFonts w:hint="eastAsia" w:ascii="宋体" w:hAnsi="宋体" w:eastAsia="宋体" w:cs="宋体"/>
          <w:b/>
          <w:color w:val="auto"/>
          <w:kern w:val="0"/>
          <w:sz w:val="24"/>
          <w:highlight w:val="none"/>
          <w:lang w:val="zh-CN"/>
        </w:rPr>
        <w:t>；</w:t>
      </w:r>
      <w:r>
        <w:rPr>
          <w:rFonts w:hint="eastAsia" w:ascii="宋体" w:hAnsi="宋体" w:eastAsia="宋体" w:cs="宋体"/>
          <w:color w:val="auto"/>
          <w:kern w:val="0"/>
          <w:sz w:val="24"/>
          <w:highlight w:val="none"/>
          <w:lang w:val="zh-CN"/>
        </w:rPr>
        <w:t>。</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2、有关本项目实施所涉及的一切费用均计入报价。</w:t>
      </w:r>
      <w:r>
        <w:rPr>
          <w:rFonts w:hint="eastAsia" w:ascii="宋体" w:hAnsi="宋体" w:eastAsia="宋体" w:cs="宋体"/>
          <w:b/>
          <w:color w:val="auto"/>
          <w:kern w:val="0"/>
          <w:sz w:val="24"/>
          <w:highlight w:val="none"/>
          <w:lang w:val="zh-CN"/>
        </w:rPr>
        <w:t>采购人将以合同形式有偿取得服务，不接受</w:t>
      </w:r>
      <w:r>
        <w:rPr>
          <w:rFonts w:hint="eastAsia" w:ascii="宋体" w:hAnsi="宋体" w:cs="宋体"/>
          <w:b/>
          <w:color w:val="auto"/>
          <w:kern w:val="0"/>
          <w:sz w:val="24"/>
          <w:highlight w:val="none"/>
          <w:lang w:val="zh-CN"/>
        </w:rPr>
        <w:t>供应商</w:t>
      </w:r>
      <w:r>
        <w:rPr>
          <w:rFonts w:hint="eastAsia" w:ascii="宋体" w:hAnsi="宋体" w:eastAsia="宋体" w:cs="宋体"/>
          <w:b/>
          <w:color w:val="auto"/>
          <w:kern w:val="0"/>
          <w:sz w:val="24"/>
          <w:highlight w:val="none"/>
          <w:lang w:val="zh-CN"/>
        </w:rPr>
        <w:t>给予的赠品、回扣或者与采购无关的其他服务</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不得出现“0元”“免费赠送”等形式的无偿报价，</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rPr>
        <w:t>投标文件含有采购人不能接受的附加条件，投标无效</w:t>
      </w:r>
      <w:r>
        <w:rPr>
          <w:rFonts w:hint="eastAsia" w:ascii="宋体" w:hAnsi="宋体" w:eastAsia="宋体" w:cs="宋体"/>
          <w:b/>
          <w:color w:val="auto"/>
          <w:kern w:val="0"/>
          <w:sz w:val="24"/>
          <w:highlight w:val="none"/>
          <w:lang w:val="zh-CN"/>
        </w:rPr>
        <w:t>；采购内容未包含在《开标一览表（报价表）》名称栏中，</w:t>
      </w:r>
      <w:r>
        <w:rPr>
          <w:rFonts w:hint="eastAsia" w:ascii="宋体" w:hAnsi="宋体" w:cs="宋体"/>
          <w:b/>
          <w:color w:val="auto"/>
          <w:kern w:val="0"/>
          <w:sz w:val="24"/>
          <w:highlight w:val="none"/>
          <w:lang w:val="zh-CN"/>
        </w:rPr>
        <w:t>供应商</w:t>
      </w:r>
      <w:r>
        <w:rPr>
          <w:rFonts w:hint="eastAsia" w:ascii="宋体" w:hAnsi="宋体" w:eastAsia="宋体" w:cs="宋体"/>
          <w:b/>
          <w:color w:val="auto"/>
          <w:kern w:val="0"/>
          <w:sz w:val="24"/>
          <w:highlight w:val="none"/>
          <w:lang w:val="zh-CN"/>
        </w:rPr>
        <w:t>不能作出合理解释的，</w:t>
      </w:r>
      <w:r>
        <w:rPr>
          <w:rFonts w:hint="eastAsia" w:ascii="宋体" w:hAnsi="宋体" w:eastAsia="宋体" w:cs="宋体"/>
          <w:b/>
          <w:color w:val="auto"/>
          <w:kern w:val="0"/>
          <w:sz w:val="24"/>
          <w:highlight w:val="none"/>
        </w:rPr>
        <w:t>视为</w:t>
      </w:r>
      <w:r>
        <w:rPr>
          <w:rFonts w:hint="eastAsia" w:ascii="宋体" w:hAnsi="宋体" w:eastAsia="宋体" w:cs="宋体"/>
          <w:b/>
          <w:color w:val="auto"/>
          <w:sz w:val="24"/>
          <w:highlight w:val="none"/>
        </w:rPr>
        <w:t>投标文件含有采购人不能接受的附加条件的，投标无效。</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rPr>
        <w:t>3、</w:t>
      </w:r>
      <w:r>
        <w:rPr>
          <w:rFonts w:hint="eastAsia" w:ascii="宋体" w:hAnsi="宋体" w:eastAsia="宋体" w:cs="宋体"/>
          <w:color w:val="auto"/>
          <w:kern w:val="0"/>
          <w:sz w:val="24"/>
          <w:highlight w:val="none"/>
          <w:lang w:val="zh-CN"/>
        </w:rPr>
        <w:t>特别提示：采购代理机构将对项目名称和项目编号，中标供应商名称、地址和中标金额，主要中标标的名称、服务范围、服务要求、服务时间、服务标准等予以公示。</w:t>
      </w:r>
    </w:p>
    <w:p>
      <w:pPr>
        <w:spacing w:after="120"/>
        <w:ind w:left="1140" w:leftChars="200" w:hanging="720" w:hangingChars="343"/>
        <w:rPr>
          <w:rFonts w:hint="eastAsia" w:ascii="宋体" w:hAnsi="宋体" w:eastAsia="宋体" w:cs="宋体"/>
          <w:color w:val="auto"/>
          <w:highlight w:val="none"/>
        </w:rPr>
      </w:pPr>
    </w:p>
    <w:p>
      <w:pPr>
        <w:widowControl/>
        <w:adjustRightInd/>
        <w:jc w:val="left"/>
        <w:rPr>
          <w:rFonts w:hint="eastAsia" w:ascii="宋体" w:hAnsi="宋体" w:eastAsia="宋体" w:cs="宋体"/>
          <w:color w:val="auto"/>
          <w:kern w:val="0"/>
          <w:szCs w:val="20"/>
          <w:highlight w:val="none"/>
        </w:rPr>
      </w:pPr>
    </w:p>
    <w:p>
      <w:pPr>
        <w:autoSpaceDE w:val="0"/>
        <w:autoSpaceDN w:val="0"/>
        <w:spacing w:line="360" w:lineRule="auto"/>
        <w:ind w:left="2" w:leftChars="1" w:right="1120" w:firstLine="4560" w:firstLineChars="1900"/>
        <w:jc w:val="left"/>
        <w:rPr>
          <w:rFonts w:hint="eastAsia" w:ascii="宋体" w:hAnsi="宋体" w:eastAsia="宋体" w:cs="宋体"/>
          <w:color w:val="auto"/>
          <w:kern w:val="0"/>
          <w:sz w:val="24"/>
          <w:highlight w:val="none"/>
          <w:lang w:val="zh-CN"/>
        </w:rPr>
      </w:pPr>
      <w:r>
        <w:rPr>
          <w:rFonts w:hint="eastAsia" w:ascii="宋体" w:hAnsi="宋体" w:cs="宋体"/>
          <w:color w:val="auto"/>
          <w:kern w:val="0"/>
          <w:sz w:val="24"/>
          <w:highlight w:val="none"/>
          <w:lang w:val="zh-CN"/>
        </w:rPr>
        <w:t>供应商</w:t>
      </w:r>
      <w:r>
        <w:rPr>
          <w:rFonts w:hint="eastAsia" w:ascii="宋体" w:hAnsi="宋体" w:eastAsia="宋体" w:cs="宋体"/>
          <w:color w:val="auto"/>
          <w:kern w:val="0"/>
          <w:sz w:val="24"/>
          <w:highlight w:val="none"/>
          <w:lang w:val="zh-CN"/>
        </w:rPr>
        <w:t>名称（</w:t>
      </w:r>
      <w:r>
        <w:rPr>
          <w:rFonts w:hint="eastAsia" w:ascii="宋体" w:hAnsi="宋体" w:eastAsia="宋体" w:cs="宋体"/>
          <w:color w:val="auto"/>
          <w:sz w:val="24"/>
          <w:highlight w:val="none"/>
        </w:rPr>
        <w:t>电子签名</w:t>
      </w:r>
      <w:r>
        <w:rPr>
          <w:rFonts w:hint="eastAsia" w:ascii="宋体" w:hAnsi="宋体" w:eastAsia="宋体" w:cs="宋体"/>
          <w:color w:val="auto"/>
          <w:kern w:val="0"/>
          <w:sz w:val="24"/>
          <w:highlight w:val="none"/>
          <w:lang w:val="zh-CN"/>
        </w:rPr>
        <w:t xml:space="preserve">）：                                                                                                                                                                                                               </w:t>
      </w:r>
    </w:p>
    <w:p>
      <w:pPr>
        <w:autoSpaceDE w:val="0"/>
        <w:autoSpaceDN w:val="0"/>
        <w:spacing w:line="360" w:lineRule="auto"/>
        <w:ind w:left="2" w:leftChars="1" w:right="1120" w:firstLine="4560" w:firstLineChars="19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 xml:space="preserve">   年   月   日</w:t>
      </w:r>
    </w:p>
    <w:p>
      <w:pPr>
        <w:pStyle w:val="3"/>
        <w:rPr>
          <w:rFonts w:hint="eastAsia" w:ascii="宋体" w:hAnsi="宋体" w:eastAsia="宋体" w:cs="宋体"/>
          <w:color w:val="auto"/>
          <w:highlight w:val="none"/>
          <w:lang w:val="en-US"/>
        </w:rPr>
      </w:pPr>
    </w:p>
    <w:p>
      <w:pPr>
        <w:snapToGrid w:val="0"/>
        <w:spacing w:before="120" w:after="120"/>
        <w:ind w:firstLine="643"/>
        <w:rPr>
          <w:rFonts w:hint="eastAsia" w:ascii="宋体" w:hAnsi="宋体" w:eastAsia="宋体" w:cs="宋体"/>
          <w:color w:val="auto"/>
          <w:sz w:val="32"/>
          <w:szCs w:val="32"/>
          <w:highlight w:val="none"/>
        </w:rPr>
        <w:sectPr>
          <w:pgSz w:w="11906" w:h="16838"/>
          <w:pgMar w:top="1247" w:right="1418" w:bottom="1276" w:left="1418" w:header="851" w:footer="992" w:gutter="0"/>
          <w:cols w:space="720" w:num="1"/>
          <w:titlePg/>
          <w:docGrid w:linePitch="312" w:charSpace="0"/>
        </w:sectPr>
      </w:pPr>
    </w:p>
    <w:p>
      <w:pPr>
        <w:spacing w:line="360" w:lineRule="auto"/>
        <w:jc w:val="center"/>
        <w:rPr>
          <w:rFonts w:hint="eastAsia" w:ascii="宋体" w:hAnsi="宋体" w:cs="宋体"/>
          <w:b/>
          <w:bCs/>
          <w:iCs/>
          <w:color w:val="auto"/>
          <w:spacing w:val="20"/>
          <w:sz w:val="28"/>
          <w:szCs w:val="32"/>
          <w:highlight w:val="none"/>
        </w:rPr>
      </w:pPr>
      <w:r>
        <w:rPr>
          <w:rFonts w:hint="eastAsia" w:ascii="宋体" w:hAnsi="宋体" w:cs="宋体"/>
          <w:b/>
          <w:bCs/>
          <w:iCs/>
          <w:color w:val="auto"/>
          <w:spacing w:val="20"/>
          <w:sz w:val="28"/>
          <w:szCs w:val="32"/>
          <w:highlight w:val="none"/>
          <w:lang w:eastAsia="zh-CN"/>
        </w:rPr>
        <w:t>二、</w:t>
      </w:r>
      <w:r>
        <w:rPr>
          <w:rFonts w:hint="eastAsia" w:ascii="宋体" w:hAnsi="宋体" w:cs="宋体"/>
          <w:b/>
          <w:bCs/>
          <w:iCs/>
          <w:color w:val="auto"/>
          <w:spacing w:val="20"/>
          <w:sz w:val="28"/>
          <w:szCs w:val="32"/>
          <w:highlight w:val="none"/>
        </w:rPr>
        <w:t>投标报价明细表-城镇住房综合保险（含外墙）</w:t>
      </w:r>
    </w:p>
    <w:p>
      <w:pPr>
        <w:widowControl w:val="0"/>
        <w:adjustRightInd/>
        <w:spacing w:after="120" w:line="240" w:lineRule="auto"/>
        <w:ind w:left="420" w:leftChars="200" w:firstLine="420" w:firstLineChars="200"/>
        <w:jc w:val="both"/>
        <w:rPr>
          <w:rFonts w:hint="eastAsia" w:ascii="宋体" w:hAnsi="宋体" w:eastAsia="宋体" w:cs="Times New Roman"/>
          <w:color w:val="auto"/>
          <w:kern w:val="2"/>
          <w:sz w:val="21"/>
          <w:szCs w:val="24"/>
          <w:highlight w:val="none"/>
          <w:lang w:val="en-US" w:eastAsia="zh-CN" w:bidi="ar-SA"/>
        </w:rPr>
      </w:pP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bidi="ar"/>
        </w:rPr>
        <w:t xml:space="preserve">招标编号：                      项目名称：    </w:t>
      </w:r>
    </w:p>
    <w:tbl>
      <w:tblPr>
        <w:tblStyle w:val="6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42"/>
        <w:gridCol w:w="2837"/>
        <w:gridCol w:w="3483"/>
        <w:gridCol w:w="20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4" w:hRule="atLeast"/>
        </w:trPr>
        <w:tc>
          <w:tcPr>
            <w:tcW w:w="1242" w:type="dxa"/>
            <w:tcBorders>
              <w:top w:val="single" w:color="auto" w:sz="12" w:space="0"/>
              <w:left w:val="single" w:color="auto" w:sz="12" w:space="0"/>
              <w:bottom w:val="single" w:color="auto" w:sz="6" w:space="0"/>
              <w:right w:val="single" w:color="auto" w:sz="6" w:space="0"/>
            </w:tcBorders>
            <w:noWrap w:val="0"/>
            <w:vAlign w:val="center"/>
          </w:tcPr>
          <w:p>
            <w:pPr>
              <w:spacing w:line="36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2837" w:type="dxa"/>
            <w:tcBorders>
              <w:top w:val="single" w:color="auto" w:sz="12"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rPr>
              <w:t>保险内容</w:t>
            </w:r>
          </w:p>
        </w:tc>
        <w:tc>
          <w:tcPr>
            <w:tcW w:w="3483" w:type="dxa"/>
            <w:tcBorders>
              <w:top w:val="single" w:color="auto" w:sz="12"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保险金额/赔偿限额</w:t>
            </w:r>
          </w:p>
        </w:tc>
        <w:tc>
          <w:tcPr>
            <w:tcW w:w="2038" w:type="dxa"/>
            <w:tcBorders>
              <w:top w:val="single" w:color="auto" w:sz="12" w:space="0"/>
              <w:left w:val="single" w:color="auto" w:sz="6" w:space="0"/>
              <w:bottom w:val="single" w:color="auto" w:sz="6" w:space="0"/>
              <w:right w:val="single" w:color="auto" w:sz="12" w:space="0"/>
            </w:tcBorders>
            <w:noWrap w:val="0"/>
            <w:vAlign w:val="center"/>
          </w:tcPr>
          <w:p>
            <w:pPr>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rPr>
              <w:t>年保费（元）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242" w:type="dxa"/>
            <w:tcBorders>
              <w:top w:val="single" w:color="auto" w:sz="6" w:space="0"/>
              <w:left w:val="single" w:color="auto" w:sz="12" w:space="0"/>
              <w:bottom w:val="single" w:color="auto" w:sz="6" w:space="0"/>
              <w:right w:val="single" w:color="auto" w:sz="6" w:space="0"/>
            </w:tcBorders>
            <w:noWrap w:val="0"/>
            <w:vAlign w:val="center"/>
          </w:tcPr>
          <w:p>
            <w:pPr>
              <w:spacing w:line="360" w:lineRule="exact"/>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w:t>
            </w:r>
          </w:p>
        </w:tc>
        <w:tc>
          <w:tcPr>
            <w:tcW w:w="2837"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val="0"/>
              <w:snapToGrid w:val="0"/>
              <w:spacing w:before="0" w:beforeAutospacing="0" w:after="0" w:afterAutospacing="0" w:line="360" w:lineRule="auto"/>
              <w:jc w:val="center"/>
              <w:rPr>
                <w:rFonts w:hint="eastAsia" w:ascii="宋体" w:hAnsi="宋体" w:eastAsia="宋体" w:cs="宋体"/>
                <w:b/>
                <w:color w:val="auto"/>
                <w:kern w:val="0"/>
                <w:sz w:val="24"/>
                <w:szCs w:val="24"/>
                <w:highlight w:val="none"/>
                <w:lang w:val="en-US" w:eastAsia="zh-CN" w:bidi="ar-SA"/>
              </w:rPr>
            </w:pPr>
          </w:p>
        </w:tc>
        <w:tc>
          <w:tcPr>
            <w:tcW w:w="3483"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val="0"/>
              <w:spacing w:before="0" w:beforeAutospacing="0" w:after="0" w:afterAutospacing="0" w:line="360" w:lineRule="auto"/>
              <w:ind w:firstLine="301"/>
              <w:jc w:val="center"/>
              <w:rPr>
                <w:rFonts w:hint="eastAsia" w:ascii="宋体" w:hAnsi="宋体" w:eastAsia="宋体" w:cs="宋体"/>
                <w:b/>
                <w:color w:val="auto"/>
                <w:kern w:val="0"/>
                <w:sz w:val="24"/>
                <w:szCs w:val="24"/>
                <w:highlight w:val="none"/>
                <w:lang w:val="en-US" w:eastAsia="zh-CN" w:bidi="ar-SA"/>
              </w:rPr>
            </w:pPr>
          </w:p>
        </w:tc>
        <w:tc>
          <w:tcPr>
            <w:tcW w:w="2038" w:type="dxa"/>
            <w:tcBorders>
              <w:top w:val="single" w:color="auto" w:sz="6" w:space="0"/>
              <w:left w:val="single" w:color="auto" w:sz="6" w:space="0"/>
              <w:bottom w:val="single" w:color="auto" w:sz="6" w:space="0"/>
              <w:right w:val="single" w:color="auto" w:sz="12" w:space="0"/>
            </w:tcBorders>
            <w:noWrap w:val="0"/>
            <w:vAlign w:val="center"/>
          </w:tcPr>
          <w:p>
            <w:pPr>
              <w:widowControl w:val="0"/>
              <w:adjustRightInd w:val="0"/>
              <w:spacing w:before="0" w:beforeAutospacing="0" w:after="0" w:afterAutospacing="0" w:line="360" w:lineRule="auto"/>
              <w:ind w:firstLine="301"/>
              <w:jc w:val="center"/>
              <w:rPr>
                <w:rFonts w:hint="eastAsia" w:ascii="宋体" w:hAnsi="宋体" w:eastAsia="宋体" w:cs="宋体"/>
                <w:b/>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242" w:type="dxa"/>
            <w:tcBorders>
              <w:top w:val="single" w:color="auto" w:sz="6" w:space="0"/>
              <w:left w:val="single" w:color="auto" w:sz="12" w:space="0"/>
              <w:bottom w:val="single" w:color="auto" w:sz="6" w:space="0"/>
              <w:right w:val="single" w:color="auto" w:sz="6" w:space="0"/>
            </w:tcBorders>
            <w:noWrap w:val="0"/>
            <w:vAlign w:val="center"/>
          </w:tcPr>
          <w:p>
            <w:pPr>
              <w:spacing w:line="360" w:lineRule="exact"/>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w:t>
            </w:r>
          </w:p>
        </w:tc>
        <w:tc>
          <w:tcPr>
            <w:tcW w:w="2837"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val="0"/>
              <w:snapToGrid w:val="0"/>
              <w:spacing w:before="0" w:beforeAutospacing="0" w:after="0" w:afterAutospacing="0" w:line="360" w:lineRule="auto"/>
              <w:jc w:val="center"/>
              <w:rPr>
                <w:rFonts w:hint="eastAsia" w:ascii="宋体" w:hAnsi="宋体" w:eastAsia="宋体" w:cs="宋体"/>
                <w:b/>
                <w:color w:val="auto"/>
                <w:kern w:val="0"/>
                <w:sz w:val="24"/>
                <w:szCs w:val="24"/>
                <w:highlight w:val="none"/>
                <w:lang w:val="en-US" w:eastAsia="zh-CN" w:bidi="ar-SA"/>
              </w:rPr>
            </w:pPr>
          </w:p>
        </w:tc>
        <w:tc>
          <w:tcPr>
            <w:tcW w:w="3483"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val="0"/>
              <w:spacing w:before="0" w:beforeAutospacing="0" w:after="0" w:afterAutospacing="0" w:line="360" w:lineRule="auto"/>
              <w:ind w:firstLine="301"/>
              <w:jc w:val="center"/>
              <w:rPr>
                <w:rFonts w:hint="eastAsia" w:ascii="宋体" w:hAnsi="宋体" w:eastAsia="宋体" w:cs="宋体"/>
                <w:b/>
                <w:color w:val="auto"/>
                <w:kern w:val="0"/>
                <w:sz w:val="24"/>
                <w:szCs w:val="24"/>
                <w:highlight w:val="none"/>
                <w:lang w:val="en-US" w:eastAsia="zh-CN" w:bidi="ar-SA"/>
              </w:rPr>
            </w:pPr>
          </w:p>
        </w:tc>
        <w:tc>
          <w:tcPr>
            <w:tcW w:w="2038" w:type="dxa"/>
            <w:tcBorders>
              <w:top w:val="single" w:color="auto" w:sz="6" w:space="0"/>
              <w:left w:val="single" w:color="auto" w:sz="6" w:space="0"/>
              <w:bottom w:val="single" w:color="auto" w:sz="6" w:space="0"/>
              <w:right w:val="single" w:color="auto" w:sz="12" w:space="0"/>
            </w:tcBorders>
            <w:noWrap w:val="0"/>
            <w:vAlign w:val="center"/>
          </w:tcPr>
          <w:p>
            <w:pPr>
              <w:widowControl w:val="0"/>
              <w:adjustRightInd w:val="0"/>
              <w:spacing w:before="0" w:beforeAutospacing="0" w:after="0" w:afterAutospacing="0" w:line="360" w:lineRule="auto"/>
              <w:ind w:firstLine="301"/>
              <w:jc w:val="center"/>
              <w:rPr>
                <w:rFonts w:hint="eastAsia" w:ascii="宋体" w:hAnsi="宋体" w:eastAsia="宋体" w:cs="宋体"/>
                <w:b/>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242" w:type="dxa"/>
            <w:tcBorders>
              <w:top w:val="single" w:color="auto" w:sz="6" w:space="0"/>
              <w:left w:val="single" w:color="auto" w:sz="12" w:space="0"/>
              <w:bottom w:val="single" w:color="auto" w:sz="6" w:space="0"/>
              <w:right w:val="single" w:color="auto" w:sz="6" w:space="0"/>
            </w:tcBorders>
            <w:noWrap w:val="0"/>
            <w:vAlign w:val="center"/>
          </w:tcPr>
          <w:p>
            <w:pPr>
              <w:spacing w:line="360" w:lineRule="exact"/>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w:t>
            </w:r>
          </w:p>
        </w:tc>
        <w:tc>
          <w:tcPr>
            <w:tcW w:w="2837"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val="0"/>
              <w:snapToGrid w:val="0"/>
              <w:spacing w:before="0" w:beforeAutospacing="0" w:after="0" w:afterAutospacing="0" w:line="360" w:lineRule="auto"/>
              <w:jc w:val="center"/>
              <w:rPr>
                <w:rFonts w:hint="eastAsia" w:ascii="宋体" w:hAnsi="宋体" w:eastAsia="宋体" w:cs="宋体"/>
                <w:b/>
                <w:color w:val="auto"/>
                <w:kern w:val="2"/>
                <w:sz w:val="24"/>
                <w:szCs w:val="24"/>
                <w:highlight w:val="none"/>
                <w:lang w:val="en-US" w:eastAsia="zh-CN" w:bidi="ar"/>
              </w:rPr>
            </w:pPr>
          </w:p>
        </w:tc>
        <w:tc>
          <w:tcPr>
            <w:tcW w:w="3483"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val="0"/>
              <w:spacing w:before="0" w:beforeAutospacing="0" w:after="0" w:afterAutospacing="0" w:line="360" w:lineRule="auto"/>
              <w:ind w:firstLine="301"/>
              <w:jc w:val="center"/>
              <w:rPr>
                <w:rFonts w:hint="eastAsia" w:ascii="宋体" w:hAnsi="宋体" w:eastAsia="宋体" w:cs="宋体"/>
                <w:b/>
                <w:color w:val="auto"/>
                <w:kern w:val="0"/>
                <w:sz w:val="24"/>
                <w:szCs w:val="24"/>
                <w:highlight w:val="none"/>
                <w:lang w:val="en-US" w:eastAsia="zh-CN" w:bidi="ar-SA"/>
              </w:rPr>
            </w:pPr>
          </w:p>
        </w:tc>
        <w:tc>
          <w:tcPr>
            <w:tcW w:w="2038" w:type="dxa"/>
            <w:tcBorders>
              <w:top w:val="single" w:color="auto" w:sz="6" w:space="0"/>
              <w:left w:val="single" w:color="auto" w:sz="6" w:space="0"/>
              <w:bottom w:val="single" w:color="auto" w:sz="6" w:space="0"/>
              <w:right w:val="single" w:color="auto" w:sz="12" w:space="0"/>
            </w:tcBorders>
            <w:noWrap w:val="0"/>
            <w:vAlign w:val="center"/>
          </w:tcPr>
          <w:p>
            <w:pPr>
              <w:widowControl w:val="0"/>
              <w:adjustRightInd w:val="0"/>
              <w:spacing w:before="0" w:beforeAutospacing="0" w:after="0" w:afterAutospacing="0" w:line="360" w:lineRule="auto"/>
              <w:ind w:firstLine="301"/>
              <w:jc w:val="center"/>
              <w:rPr>
                <w:rFonts w:hint="eastAsia" w:ascii="宋体" w:hAnsi="宋体" w:eastAsia="宋体" w:cs="宋体"/>
                <w:b/>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242" w:type="dxa"/>
            <w:tcBorders>
              <w:top w:val="single" w:color="auto" w:sz="6" w:space="0"/>
              <w:left w:val="single" w:color="auto" w:sz="12" w:space="0"/>
              <w:bottom w:val="single" w:color="auto" w:sz="6" w:space="0"/>
              <w:right w:val="single" w:color="auto" w:sz="6" w:space="0"/>
            </w:tcBorders>
            <w:noWrap w:val="0"/>
            <w:vAlign w:val="center"/>
          </w:tcPr>
          <w:p>
            <w:pPr>
              <w:spacing w:line="360" w:lineRule="exact"/>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4</w:t>
            </w:r>
          </w:p>
        </w:tc>
        <w:tc>
          <w:tcPr>
            <w:tcW w:w="2837"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val="0"/>
              <w:snapToGrid w:val="0"/>
              <w:spacing w:before="0" w:beforeAutospacing="0" w:after="0" w:afterAutospacing="0" w:line="360" w:lineRule="auto"/>
              <w:jc w:val="center"/>
              <w:rPr>
                <w:rFonts w:hint="eastAsia" w:ascii="宋体" w:hAnsi="宋体" w:eastAsia="宋体" w:cs="宋体"/>
                <w:b/>
                <w:color w:val="auto"/>
                <w:kern w:val="0"/>
                <w:sz w:val="24"/>
                <w:szCs w:val="24"/>
                <w:highlight w:val="none"/>
                <w:lang w:val="en-US" w:eastAsia="zh-CN" w:bidi="ar-SA"/>
              </w:rPr>
            </w:pPr>
          </w:p>
        </w:tc>
        <w:tc>
          <w:tcPr>
            <w:tcW w:w="3483"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val="0"/>
              <w:spacing w:before="0" w:beforeAutospacing="0" w:after="0" w:afterAutospacing="0" w:line="360" w:lineRule="auto"/>
              <w:ind w:firstLine="301"/>
              <w:jc w:val="center"/>
              <w:rPr>
                <w:rFonts w:hint="eastAsia" w:ascii="宋体" w:hAnsi="宋体" w:eastAsia="宋体" w:cs="宋体"/>
                <w:b/>
                <w:color w:val="auto"/>
                <w:kern w:val="0"/>
                <w:sz w:val="24"/>
                <w:szCs w:val="24"/>
                <w:highlight w:val="none"/>
                <w:lang w:val="en-US" w:eastAsia="zh-CN" w:bidi="ar-SA"/>
              </w:rPr>
            </w:pPr>
          </w:p>
        </w:tc>
        <w:tc>
          <w:tcPr>
            <w:tcW w:w="2038" w:type="dxa"/>
            <w:tcBorders>
              <w:top w:val="single" w:color="auto" w:sz="6" w:space="0"/>
              <w:left w:val="single" w:color="auto" w:sz="6" w:space="0"/>
              <w:bottom w:val="single" w:color="auto" w:sz="6" w:space="0"/>
              <w:right w:val="single" w:color="auto" w:sz="12" w:space="0"/>
            </w:tcBorders>
            <w:noWrap w:val="0"/>
            <w:vAlign w:val="center"/>
          </w:tcPr>
          <w:p>
            <w:pPr>
              <w:widowControl w:val="0"/>
              <w:adjustRightInd w:val="0"/>
              <w:spacing w:before="0" w:beforeAutospacing="0" w:after="0" w:afterAutospacing="0" w:line="360" w:lineRule="auto"/>
              <w:ind w:firstLine="301"/>
              <w:jc w:val="center"/>
              <w:rPr>
                <w:rFonts w:hint="eastAsia" w:ascii="宋体" w:hAnsi="宋体" w:eastAsia="宋体" w:cs="宋体"/>
                <w:b/>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242" w:type="dxa"/>
            <w:tcBorders>
              <w:top w:val="single" w:color="auto" w:sz="6" w:space="0"/>
              <w:left w:val="single" w:color="auto" w:sz="12" w:space="0"/>
              <w:bottom w:val="single" w:color="auto" w:sz="6" w:space="0"/>
              <w:right w:val="single" w:color="auto" w:sz="6" w:space="0"/>
            </w:tcBorders>
            <w:noWrap w:val="0"/>
            <w:vAlign w:val="center"/>
          </w:tcPr>
          <w:p>
            <w:pPr>
              <w:spacing w:line="360" w:lineRule="exact"/>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5</w:t>
            </w:r>
          </w:p>
        </w:tc>
        <w:tc>
          <w:tcPr>
            <w:tcW w:w="2837"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val="0"/>
              <w:snapToGrid w:val="0"/>
              <w:spacing w:before="0" w:beforeAutospacing="0" w:after="0" w:afterAutospacing="0" w:line="360" w:lineRule="auto"/>
              <w:jc w:val="center"/>
              <w:rPr>
                <w:rFonts w:hint="eastAsia" w:ascii="宋体" w:hAnsi="宋体" w:eastAsia="宋体" w:cs="宋体"/>
                <w:b/>
                <w:color w:val="auto"/>
                <w:kern w:val="0"/>
                <w:sz w:val="24"/>
                <w:szCs w:val="24"/>
                <w:highlight w:val="none"/>
                <w:lang w:val="en-US" w:eastAsia="zh-CN" w:bidi="ar-SA"/>
              </w:rPr>
            </w:pPr>
          </w:p>
        </w:tc>
        <w:tc>
          <w:tcPr>
            <w:tcW w:w="3483"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val="0"/>
              <w:spacing w:before="0" w:beforeAutospacing="0" w:after="0" w:afterAutospacing="0" w:line="360" w:lineRule="auto"/>
              <w:ind w:firstLine="301"/>
              <w:jc w:val="center"/>
              <w:rPr>
                <w:rFonts w:hint="eastAsia" w:ascii="宋体" w:hAnsi="宋体" w:eastAsia="宋体" w:cs="宋体"/>
                <w:b/>
                <w:color w:val="auto"/>
                <w:kern w:val="0"/>
                <w:sz w:val="24"/>
                <w:szCs w:val="24"/>
                <w:highlight w:val="none"/>
                <w:lang w:val="en-US" w:eastAsia="zh-CN" w:bidi="ar-SA"/>
              </w:rPr>
            </w:pPr>
          </w:p>
        </w:tc>
        <w:tc>
          <w:tcPr>
            <w:tcW w:w="2038" w:type="dxa"/>
            <w:tcBorders>
              <w:top w:val="single" w:color="auto" w:sz="6" w:space="0"/>
              <w:left w:val="single" w:color="auto" w:sz="6" w:space="0"/>
              <w:bottom w:val="single" w:color="auto" w:sz="6" w:space="0"/>
              <w:right w:val="single" w:color="auto" w:sz="12" w:space="0"/>
            </w:tcBorders>
            <w:noWrap w:val="0"/>
            <w:vAlign w:val="center"/>
          </w:tcPr>
          <w:p>
            <w:pPr>
              <w:widowControl w:val="0"/>
              <w:adjustRightInd w:val="0"/>
              <w:spacing w:before="0" w:beforeAutospacing="0" w:after="0" w:afterAutospacing="0" w:line="360" w:lineRule="auto"/>
              <w:ind w:firstLine="301"/>
              <w:jc w:val="both"/>
              <w:rPr>
                <w:rFonts w:hint="eastAsia" w:ascii="宋体" w:hAnsi="宋体" w:eastAsia="宋体" w:cs="宋体"/>
                <w:b/>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242" w:type="dxa"/>
            <w:tcBorders>
              <w:top w:val="single" w:color="auto" w:sz="6" w:space="0"/>
              <w:left w:val="single" w:color="auto" w:sz="12" w:space="0"/>
              <w:bottom w:val="single" w:color="auto" w:sz="6" w:space="0"/>
              <w:right w:val="single" w:color="auto" w:sz="6" w:space="0"/>
            </w:tcBorders>
            <w:noWrap w:val="0"/>
            <w:vAlign w:val="center"/>
          </w:tcPr>
          <w:p>
            <w:pPr>
              <w:widowControl w:val="0"/>
              <w:adjustRightInd w:val="0"/>
              <w:snapToGrid w:val="0"/>
              <w:spacing w:before="0" w:beforeAutospacing="0" w:after="0" w:afterAutospacing="0" w:line="360" w:lineRule="auto"/>
              <w:jc w:val="center"/>
              <w:rPr>
                <w:rFonts w:hint="default" w:ascii="宋体" w:hAnsi="宋体" w:eastAsia="宋体" w:cs="宋体"/>
                <w:b/>
                <w:color w:val="auto"/>
                <w:kern w:val="2"/>
                <w:sz w:val="24"/>
                <w:szCs w:val="24"/>
                <w:highlight w:val="none"/>
                <w:lang w:val="en-US" w:eastAsia="zh-CN" w:bidi="ar"/>
              </w:rPr>
            </w:pPr>
            <w:r>
              <w:rPr>
                <w:rFonts w:hint="eastAsia" w:ascii="宋体" w:hAnsi="宋体" w:eastAsia="宋体" w:cs="宋体"/>
                <w:b/>
                <w:color w:val="auto"/>
                <w:kern w:val="2"/>
                <w:sz w:val="24"/>
                <w:szCs w:val="24"/>
                <w:highlight w:val="none"/>
                <w:lang w:val="en-US" w:eastAsia="zh-CN" w:bidi="ar"/>
              </w:rPr>
              <w:t>... ...</w:t>
            </w:r>
          </w:p>
        </w:tc>
        <w:tc>
          <w:tcPr>
            <w:tcW w:w="2837"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val="0"/>
              <w:snapToGrid w:val="0"/>
              <w:spacing w:before="0" w:beforeAutospacing="0" w:after="0" w:afterAutospacing="0" w:line="360" w:lineRule="auto"/>
              <w:jc w:val="center"/>
              <w:rPr>
                <w:rFonts w:hint="eastAsia" w:ascii="宋体" w:hAnsi="宋体" w:eastAsia="宋体" w:cs="宋体"/>
                <w:b/>
                <w:color w:val="auto"/>
                <w:kern w:val="2"/>
                <w:sz w:val="24"/>
                <w:szCs w:val="24"/>
                <w:highlight w:val="none"/>
                <w:lang w:val="en-US" w:eastAsia="zh-CN" w:bidi="ar"/>
              </w:rPr>
            </w:pPr>
          </w:p>
        </w:tc>
        <w:tc>
          <w:tcPr>
            <w:tcW w:w="3483"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val="0"/>
              <w:spacing w:before="0" w:beforeAutospacing="0" w:after="0" w:afterAutospacing="0" w:line="360" w:lineRule="auto"/>
              <w:ind w:firstLine="301"/>
              <w:jc w:val="center"/>
              <w:rPr>
                <w:rFonts w:hint="eastAsia" w:ascii="宋体" w:hAnsi="宋体" w:eastAsia="宋体" w:cs="宋体"/>
                <w:b/>
                <w:color w:val="auto"/>
                <w:kern w:val="2"/>
                <w:sz w:val="24"/>
                <w:szCs w:val="24"/>
                <w:highlight w:val="none"/>
                <w:lang w:val="en-US" w:eastAsia="zh-CN" w:bidi="ar"/>
              </w:rPr>
            </w:pPr>
          </w:p>
        </w:tc>
        <w:tc>
          <w:tcPr>
            <w:tcW w:w="2038" w:type="dxa"/>
            <w:tcBorders>
              <w:top w:val="single" w:color="auto" w:sz="6" w:space="0"/>
              <w:left w:val="single" w:color="auto" w:sz="6" w:space="0"/>
              <w:bottom w:val="single" w:color="auto" w:sz="6" w:space="0"/>
              <w:right w:val="single" w:color="auto" w:sz="12" w:space="0"/>
            </w:tcBorders>
            <w:noWrap w:val="0"/>
            <w:vAlign w:val="center"/>
          </w:tcPr>
          <w:p>
            <w:pPr>
              <w:widowControl w:val="0"/>
              <w:adjustRightInd w:val="0"/>
              <w:spacing w:before="0" w:beforeAutospacing="0" w:after="0" w:afterAutospacing="0" w:line="360" w:lineRule="auto"/>
              <w:ind w:firstLine="301"/>
              <w:jc w:val="both"/>
              <w:rPr>
                <w:rFonts w:hint="eastAsia" w:ascii="宋体" w:hAnsi="宋体" w:eastAsia="宋体" w:cs="宋体"/>
                <w:b/>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242" w:type="dxa"/>
            <w:tcBorders>
              <w:top w:val="single" w:color="auto" w:sz="6" w:space="0"/>
              <w:left w:val="single" w:color="auto" w:sz="12" w:space="0"/>
              <w:bottom w:val="single" w:color="auto" w:sz="6" w:space="0"/>
              <w:right w:val="single" w:color="auto" w:sz="6" w:space="0"/>
            </w:tcBorders>
            <w:noWrap w:val="0"/>
            <w:vAlign w:val="center"/>
          </w:tcPr>
          <w:p>
            <w:pPr>
              <w:widowControl w:val="0"/>
              <w:adjustRightInd w:val="0"/>
              <w:snapToGrid w:val="0"/>
              <w:spacing w:before="0" w:beforeAutospacing="0" w:after="0" w:afterAutospacing="0" w:line="360" w:lineRule="auto"/>
              <w:ind w:firstLine="301"/>
              <w:jc w:val="center"/>
              <w:rPr>
                <w:rFonts w:hint="eastAsia" w:ascii="宋体" w:hAnsi="宋体" w:eastAsia="宋体" w:cs="宋体"/>
                <w:b/>
                <w:color w:val="auto"/>
                <w:kern w:val="0"/>
                <w:sz w:val="24"/>
                <w:szCs w:val="24"/>
                <w:highlight w:val="none"/>
                <w:lang w:val="en-US" w:eastAsia="zh-CN" w:bidi="ar-SA"/>
              </w:rPr>
            </w:pPr>
          </w:p>
        </w:tc>
        <w:tc>
          <w:tcPr>
            <w:tcW w:w="2837"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val="0"/>
              <w:snapToGrid w:val="0"/>
              <w:spacing w:before="0" w:beforeAutospacing="0" w:after="0" w:afterAutospacing="0" w:line="360" w:lineRule="auto"/>
              <w:jc w:val="center"/>
              <w:rPr>
                <w:rFonts w:hint="eastAsia" w:ascii="宋体" w:hAnsi="宋体" w:eastAsia="宋体" w:cs="宋体"/>
                <w:b/>
                <w:color w:val="auto"/>
                <w:kern w:val="0"/>
                <w:sz w:val="24"/>
                <w:szCs w:val="24"/>
                <w:highlight w:val="none"/>
                <w:lang w:val="en-US" w:eastAsia="zh-CN" w:bidi="ar-SA"/>
              </w:rPr>
            </w:pPr>
          </w:p>
        </w:tc>
        <w:tc>
          <w:tcPr>
            <w:tcW w:w="3483"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val="0"/>
              <w:spacing w:before="0" w:beforeAutospacing="0" w:after="0" w:afterAutospacing="0" w:line="360" w:lineRule="auto"/>
              <w:ind w:firstLine="301"/>
              <w:jc w:val="center"/>
              <w:rPr>
                <w:rFonts w:hint="eastAsia" w:ascii="宋体" w:hAnsi="宋体" w:eastAsia="宋体" w:cs="宋体"/>
                <w:b/>
                <w:color w:val="auto"/>
                <w:kern w:val="0"/>
                <w:sz w:val="24"/>
                <w:szCs w:val="24"/>
                <w:highlight w:val="none"/>
                <w:lang w:val="en-US" w:eastAsia="zh-CN" w:bidi="ar-SA"/>
              </w:rPr>
            </w:pPr>
          </w:p>
        </w:tc>
        <w:tc>
          <w:tcPr>
            <w:tcW w:w="2038" w:type="dxa"/>
            <w:tcBorders>
              <w:top w:val="single" w:color="auto" w:sz="6" w:space="0"/>
              <w:left w:val="single" w:color="auto" w:sz="6" w:space="0"/>
              <w:bottom w:val="single" w:color="auto" w:sz="6" w:space="0"/>
              <w:right w:val="single" w:color="auto" w:sz="12" w:space="0"/>
            </w:tcBorders>
            <w:noWrap w:val="0"/>
            <w:vAlign w:val="center"/>
          </w:tcPr>
          <w:p>
            <w:pPr>
              <w:widowControl w:val="0"/>
              <w:adjustRightInd w:val="0"/>
              <w:spacing w:before="0" w:beforeAutospacing="0" w:after="0" w:afterAutospacing="0" w:line="360" w:lineRule="auto"/>
              <w:ind w:firstLine="301"/>
              <w:jc w:val="center"/>
              <w:rPr>
                <w:rFonts w:hint="eastAsia" w:ascii="宋体" w:hAnsi="宋体" w:eastAsia="宋体" w:cs="宋体"/>
                <w:b/>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242" w:type="dxa"/>
            <w:tcBorders>
              <w:top w:val="single" w:color="auto" w:sz="6" w:space="0"/>
              <w:left w:val="single" w:color="auto" w:sz="12" w:space="0"/>
              <w:bottom w:val="single" w:color="auto" w:sz="6" w:space="0"/>
              <w:right w:val="single" w:color="auto" w:sz="6" w:space="0"/>
            </w:tcBorders>
            <w:noWrap w:val="0"/>
            <w:vAlign w:val="center"/>
          </w:tcPr>
          <w:p>
            <w:pPr>
              <w:widowControl w:val="0"/>
              <w:adjustRightInd w:val="0"/>
              <w:snapToGrid w:val="0"/>
              <w:spacing w:before="0" w:beforeAutospacing="0" w:after="0" w:afterAutospacing="0" w:line="360" w:lineRule="auto"/>
              <w:ind w:firstLine="301"/>
              <w:jc w:val="center"/>
              <w:rPr>
                <w:rFonts w:hint="eastAsia" w:ascii="宋体" w:hAnsi="宋体" w:eastAsia="宋体" w:cs="宋体"/>
                <w:b/>
                <w:color w:val="auto"/>
                <w:kern w:val="0"/>
                <w:sz w:val="24"/>
                <w:szCs w:val="24"/>
                <w:highlight w:val="none"/>
                <w:lang w:val="en-US" w:eastAsia="zh-CN" w:bidi="ar-SA"/>
              </w:rPr>
            </w:pPr>
          </w:p>
        </w:tc>
        <w:tc>
          <w:tcPr>
            <w:tcW w:w="2837"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val="0"/>
              <w:snapToGrid w:val="0"/>
              <w:spacing w:before="0" w:beforeAutospacing="0" w:after="0" w:afterAutospacing="0" w:line="360" w:lineRule="auto"/>
              <w:jc w:val="center"/>
              <w:rPr>
                <w:rFonts w:hint="eastAsia" w:ascii="宋体" w:hAnsi="宋体" w:eastAsia="宋体" w:cs="宋体"/>
                <w:b/>
                <w:color w:val="auto"/>
                <w:kern w:val="2"/>
                <w:sz w:val="24"/>
                <w:szCs w:val="24"/>
                <w:highlight w:val="none"/>
                <w:lang w:val="en-US" w:eastAsia="zh-CN" w:bidi="ar"/>
              </w:rPr>
            </w:pPr>
          </w:p>
        </w:tc>
        <w:tc>
          <w:tcPr>
            <w:tcW w:w="3483"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val="0"/>
              <w:spacing w:before="0" w:beforeAutospacing="0" w:after="0" w:afterAutospacing="0" w:line="360" w:lineRule="auto"/>
              <w:ind w:firstLine="301"/>
              <w:jc w:val="center"/>
              <w:rPr>
                <w:rFonts w:hint="eastAsia" w:ascii="宋体" w:hAnsi="宋体" w:eastAsia="宋体" w:cs="宋体"/>
                <w:b/>
                <w:color w:val="auto"/>
                <w:kern w:val="0"/>
                <w:sz w:val="24"/>
                <w:szCs w:val="24"/>
                <w:highlight w:val="none"/>
                <w:lang w:val="en-US" w:eastAsia="zh-CN" w:bidi="ar-SA"/>
              </w:rPr>
            </w:pPr>
          </w:p>
        </w:tc>
        <w:tc>
          <w:tcPr>
            <w:tcW w:w="2038" w:type="dxa"/>
            <w:tcBorders>
              <w:top w:val="single" w:color="auto" w:sz="6" w:space="0"/>
              <w:left w:val="single" w:color="auto" w:sz="6" w:space="0"/>
              <w:bottom w:val="single" w:color="auto" w:sz="6" w:space="0"/>
              <w:right w:val="single" w:color="auto" w:sz="12" w:space="0"/>
            </w:tcBorders>
            <w:noWrap w:val="0"/>
            <w:vAlign w:val="center"/>
          </w:tcPr>
          <w:p>
            <w:pPr>
              <w:widowControl w:val="0"/>
              <w:adjustRightInd w:val="0"/>
              <w:spacing w:before="0" w:beforeAutospacing="0" w:after="0" w:afterAutospacing="0" w:line="360" w:lineRule="auto"/>
              <w:ind w:firstLine="301"/>
              <w:jc w:val="center"/>
              <w:rPr>
                <w:rFonts w:hint="eastAsia" w:ascii="宋体" w:hAnsi="宋体" w:eastAsia="宋体" w:cs="宋体"/>
                <w:b/>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242" w:type="dxa"/>
            <w:tcBorders>
              <w:top w:val="single" w:color="auto" w:sz="6" w:space="0"/>
              <w:left w:val="single" w:color="auto" w:sz="12" w:space="0"/>
              <w:bottom w:val="single" w:color="auto" w:sz="6" w:space="0"/>
              <w:right w:val="single" w:color="auto" w:sz="6" w:space="0"/>
            </w:tcBorders>
            <w:noWrap w:val="0"/>
            <w:vAlign w:val="center"/>
          </w:tcPr>
          <w:p>
            <w:pPr>
              <w:widowControl w:val="0"/>
              <w:adjustRightInd w:val="0"/>
              <w:spacing w:before="0" w:beforeAutospacing="0" w:after="0" w:afterAutospacing="0" w:line="360" w:lineRule="auto"/>
              <w:ind w:firstLine="301"/>
              <w:jc w:val="center"/>
              <w:rPr>
                <w:rFonts w:hint="eastAsia" w:ascii="宋体" w:hAnsi="宋体" w:eastAsia="宋体" w:cs="宋体"/>
                <w:b/>
                <w:color w:val="auto"/>
                <w:kern w:val="0"/>
                <w:sz w:val="24"/>
                <w:szCs w:val="24"/>
                <w:highlight w:val="none"/>
                <w:lang w:val="en-US" w:eastAsia="zh-CN" w:bidi="ar-SA"/>
              </w:rPr>
            </w:pPr>
          </w:p>
        </w:tc>
        <w:tc>
          <w:tcPr>
            <w:tcW w:w="2837"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val="0"/>
              <w:spacing w:before="0" w:beforeAutospacing="0" w:after="0" w:afterAutospacing="0" w:line="360" w:lineRule="auto"/>
              <w:ind w:firstLine="301"/>
              <w:jc w:val="center"/>
              <w:rPr>
                <w:rFonts w:hint="eastAsia" w:ascii="宋体" w:hAnsi="宋体" w:eastAsia="宋体" w:cs="宋体"/>
                <w:b/>
                <w:color w:val="auto"/>
                <w:kern w:val="0"/>
                <w:sz w:val="24"/>
                <w:szCs w:val="24"/>
                <w:highlight w:val="none"/>
                <w:lang w:val="en-US" w:eastAsia="zh-CN" w:bidi="ar-SA"/>
              </w:rPr>
            </w:pPr>
          </w:p>
        </w:tc>
        <w:tc>
          <w:tcPr>
            <w:tcW w:w="3483" w:type="dxa"/>
            <w:tcBorders>
              <w:top w:val="single" w:color="auto" w:sz="6" w:space="0"/>
              <w:left w:val="single" w:color="auto" w:sz="6" w:space="0"/>
              <w:bottom w:val="single" w:color="auto" w:sz="6" w:space="0"/>
              <w:right w:val="single" w:color="auto" w:sz="6" w:space="0"/>
            </w:tcBorders>
            <w:noWrap w:val="0"/>
            <w:vAlign w:val="center"/>
          </w:tcPr>
          <w:p>
            <w:pPr>
              <w:widowControl w:val="0"/>
              <w:adjustRightInd w:val="0"/>
              <w:spacing w:before="0" w:beforeAutospacing="0" w:after="0" w:afterAutospacing="0" w:line="360" w:lineRule="auto"/>
              <w:ind w:firstLine="301"/>
              <w:jc w:val="center"/>
              <w:rPr>
                <w:rFonts w:hint="eastAsia" w:ascii="宋体" w:hAnsi="宋体" w:eastAsia="宋体" w:cs="宋体"/>
                <w:b/>
                <w:color w:val="auto"/>
                <w:kern w:val="0"/>
                <w:sz w:val="24"/>
                <w:szCs w:val="24"/>
                <w:highlight w:val="none"/>
                <w:lang w:val="en-US" w:eastAsia="zh-CN" w:bidi="ar-SA"/>
              </w:rPr>
            </w:pPr>
          </w:p>
        </w:tc>
        <w:tc>
          <w:tcPr>
            <w:tcW w:w="2038" w:type="dxa"/>
            <w:tcBorders>
              <w:top w:val="single" w:color="auto" w:sz="6" w:space="0"/>
              <w:left w:val="single" w:color="auto" w:sz="6" w:space="0"/>
              <w:bottom w:val="single" w:color="auto" w:sz="6" w:space="0"/>
              <w:right w:val="single" w:color="auto" w:sz="12" w:space="0"/>
            </w:tcBorders>
            <w:noWrap w:val="0"/>
            <w:vAlign w:val="center"/>
          </w:tcPr>
          <w:p>
            <w:pPr>
              <w:widowControl w:val="0"/>
              <w:adjustRightInd w:val="0"/>
              <w:spacing w:before="0" w:beforeAutospacing="0" w:after="0" w:afterAutospacing="0" w:line="360" w:lineRule="auto"/>
              <w:ind w:firstLine="301"/>
              <w:jc w:val="center"/>
              <w:rPr>
                <w:rFonts w:hint="eastAsia" w:ascii="宋体" w:hAnsi="宋体" w:eastAsia="宋体" w:cs="宋体"/>
                <w:b/>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4079" w:type="dxa"/>
            <w:gridSpan w:val="2"/>
            <w:tcBorders>
              <w:top w:val="single" w:color="auto" w:sz="6" w:space="0"/>
              <w:left w:val="single" w:color="auto" w:sz="12" w:space="0"/>
              <w:bottom w:val="single" w:color="auto" w:sz="12" w:space="0"/>
              <w:right w:val="single" w:color="auto" w:sz="6" w:space="0"/>
            </w:tcBorders>
            <w:noWrap w:val="0"/>
            <w:vAlign w:val="center"/>
          </w:tcPr>
          <w:p>
            <w:pPr>
              <w:widowControl w:val="0"/>
              <w:adjustRightInd w:val="0"/>
              <w:snapToGrid w:val="0"/>
              <w:spacing w:before="0" w:beforeAutospacing="0" w:after="0" w:afterAutospacing="0" w:line="360" w:lineRule="auto"/>
              <w:ind w:firstLine="301"/>
              <w:jc w:val="center"/>
              <w:rPr>
                <w:rFonts w:hint="eastAsia" w:ascii="宋体" w:hAnsi="宋体" w:eastAsia="宋体" w:cs="宋体"/>
                <w:b/>
                <w:color w:val="auto"/>
                <w:kern w:val="0"/>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
              </w:rPr>
              <w:t>投标报价（元/年）</w:t>
            </w:r>
          </w:p>
        </w:tc>
        <w:tc>
          <w:tcPr>
            <w:tcW w:w="5521" w:type="dxa"/>
            <w:gridSpan w:val="2"/>
            <w:tcBorders>
              <w:top w:val="single" w:color="auto" w:sz="6" w:space="0"/>
              <w:left w:val="single" w:color="auto" w:sz="6" w:space="0"/>
              <w:bottom w:val="single" w:color="auto" w:sz="12" w:space="0"/>
              <w:right w:val="single" w:color="auto" w:sz="12" w:space="0"/>
            </w:tcBorders>
            <w:noWrap w:val="0"/>
            <w:vAlign w:val="top"/>
          </w:tcPr>
          <w:p>
            <w:pPr>
              <w:widowControl w:val="0"/>
              <w:adjustRightInd w:val="0"/>
              <w:spacing w:before="0" w:beforeAutospacing="0" w:after="0" w:afterAutospacing="0" w:line="360" w:lineRule="auto"/>
              <w:ind w:firstLine="301"/>
              <w:jc w:val="center"/>
              <w:rPr>
                <w:rFonts w:hint="eastAsia" w:ascii="宋体" w:hAnsi="宋体" w:eastAsia="宋体" w:cs="宋体"/>
                <w:b/>
                <w:color w:val="auto"/>
                <w:kern w:val="0"/>
                <w:sz w:val="24"/>
                <w:szCs w:val="24"/>
                <w:highlight w:val="none"/>
                <w:lang w:val="en-US" w:eastAsia="zh-CN" w:bidi="ar-SA"/>
              </w:rPr>
            </w:pPr>
          </w:p>
        </w:tc>
      </w:tr>
    </w:tbl>
    <w:p>
      <w:pPr>
        <w:widowControl w:val="0"/>
        <w:adjustRightInd w:val="0"/>
        <w:spacing w:line="340" w:lineRule="exact"/>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注：本表中投标报价金额应与开标一览表（报价表）中城镇住房综合保险（含外墙）的投标价金额一致。</w:t>
      </w:r>
    </w:p>
    <w:p>
      <w:pPr>
        <w:widowControl w:val="0"/>
        <w:adjustRightInd w:val="0"/>
        <w:spacing w:line="340" w:lineRule="exact"/>
        <w:ind w:firstLine="480" w:firstLineChars="200"/>
        <w:jc w:val="both"/>
        <w:rPr>
          <w:rFonts w:hint="eastAsia" w:ascii="宋体" w:hAnsi="宋体" w:eastAsia="宋体" w:cs="宋体"/>
          <w:color w:val="auto"/>
          <w:kern w:val="2"/>
          <w:sz w:val="24"/>
          <w:szCs w:val="21"/>
          <w:highlight w:val="none"/>
          <w:lang w:val="en-US" w:eastAsia="zh-CN" w:bidi="ar-SA"/>
        </w:rPr>
      </w:pPr>
    </w:p>
    <w:p>
      <w:pPr>
        <w:widowControl w:val="0"/>
        <w:adjustRightInd w:val="0"/>
        <w:spacing w:line="340" w:lineRule="exact"/>
        <w:ind w:firstLine="480" w:firstLineChars="200"/>
        <w:jc w:val="both"/>
        <w:rPr>
          <w:rFonts w:hint="eastAsia" w:ascii="宋体" w:hAnsi="宋体" w:eastAsia="宋体" w:cs="宋体"/>
          <w:color w:val="auto"/>
          <w:kern w:val="2"/>
          <w:sz w:val="24"/>
          <w:szCs w:val="21"/>
          <w:highlight w:val="none"/>
          <w:lang w:val="en-US" w:eastAsia="zh-CN" w:bidi="ar-SA"/>
        </w:rPr>
      </w:pP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autoSpaceDE w:val="0"/>
        <w:autoSpaceDN w:val="0"/>
        <w:spacing w:line="360" w:lineRule="auto"/>
        <w:ind w:left="2" w:leftChars="1" w:right="1120" w:firstLine="4560" w:firstLineChars="1900"/>
        <w:jc w:val="left"/>
        <w:rPr>
          <w:rFonts w:hint="eastAsia" w:ascii="宋体" w:hAnsi="宋体" w:eastAsia="宋体" w:cs="宋体"/>
          <w:color w:val="auto"/>
          <w:kern w:val="0"/>
          <w:sz w:val="24"/>
          <w:highlight w:val="none"/>
          <w:lang w:val="zh-CN"/>
        </w:rPr>
      </w:pPr>
      <w:r>
        <w:rPr>
          <w:rFonts w:hint="eastAsia" w:ascii="宋体" w:hAnsi="宋体" w:cs="宋体"/>
          <w:color w:val="auto"/>
          <w:kern w:val="0"/>
          <w:sz w:val="24"/>
          <w:highlight w:val="none"/>
          <w:lang w:val="zh-CN"/>
        </w:rPr>
        <w:t>供应商</w:t>
      </w:r>
      <w:r>
        <w:rPr>
          <w:rFonts w:hint="eastAsia" w:ascii="宋体" w:hAnsi="宋体" w:eastAsia="宋体" w:cs="宋体"/>
          <w:color w:val="auto"/>
          <w:kern w:val="0"/>
          <w:sz w:val="24"/>
          <w:highlight w:val="none"/>
          <w:lang w:val="zh-CN"/>
        </w:rPr>
        <w:t>名称（</w:t>
      </w:r>
      <w:r>
        <w:rPr>
          <w:rFonts w:hint="eastAsia" w:ascii="宋体" w:hAnsi="宋体" w:eastAsia="宋体" w:cs="宋体"/>
          <w:color w:val="auto"/>
          <w:sz w:val="24"/>
          <w:highlight w:val="none"/>
        </w:rPr>
        <w:t>电子签名</w:t>
      </w:r>
      <w:r>
        <w:rPr>
          <w:rFonts w:hint="eastAsia" w:ascii="宋体" w:hAnsi="宋体" w:eastAsia="宋体" w:cs="宋体"/>
          <w:color w:val="auto"/>
          <w:kern w:val="0"/>
          <w:sz w:val="24"/>
          <w:highlight w:val="none"/>
          <w:lang w:val="zh-CN"/>
        </w:rPr>
        <w:t xml:space="preserve">）：                                                                                                                                                                                                               </w:t>
      </w:r>
    </w:p>
    <w:p>
      <w:pPr>
        <w:autoSpaceDE w:val="0"/>
        <w:autoSpaceDN w:val="0"/>
        <w:spacing w:line="360" w:lineRule="auto"/>
        <w:ind w:left="2" w:leftChars="1" w:right="1120" w:firstLine="4560" w:firstLineChars="19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 xml:space="preserve">   年   月   日</w:t>
      </w:r>
    </w:p>
    <w:p>
      <w:pPr>
        <w:spacing w:line="360" w:lineRule="auto"/>
        <w:jc w:val="center"/>
        <w:rPr>
          <w:rFonts w:hint="eastAsia" w:ascii="宋体" w:hAnsi="宋体" w:cs="宋体"/>
          <w:b/>
          <w:bCs/>
          <w:iCs/>
          <w:color w:val="auto"/>
          <w:spacing w:val="20"/>
          <w:sz w:val="28"/>
          <w:szCs w:val="32"/>
          <w:highlight w:val="none"/>
        </w:rPr>
      </w:pPr>
    </w:p>
    <w:p>
      <w:pPr>
        <w:spacing w:line="360" w:lineRule="auto"/>
        <w:jc w:val="center"/>
        <w:rPr>
          <w:rFonts w:hint="eastAsia" w:ascii="宋体" w:hAnsi="宋体" w:cs="宋体"/>
          <w:b/>
          <w:bCs/>
          <w:iCs/>
          <w:color w:val="auto"/>
          <w:spacing w:val="20"/>
          <w:sz w:val="28"/>
          <w:szCs w:val="32"/>
          <w:highlight w:val="none"/>
        </w:rPr>
      </w:pPr>
    </w:p>
    <w:p>
      <w:pPr>
        <w:spacing w:line="360" w:lineRule="auto"/>
        <w:jc w:val="center"/>
        <w:rPr>
          <w:rFonts w:hint="eastAsia" w:ascii="宋体" w:hAnsi="宋体" w:cs="宋体"/>
          <w:b/>
          <w:bCs/>
          <w:iCs/>
          <w:color w:val="auto"/>
          <w:spacing w:val="20"/>
          <w:sz w:val="28"/>
          <w:szCs w:val="32"/>
          <w:highlight w:val="none"/>
        </w:rPr>
      </w:pPr>
    </w:p>
    <w:p>
      <w:pPr>
        <w:spacing w:line="360" w:lineRule="auto"/>
        <w:jc w:val="center"/>
        <w:rPr>
          <w:rFonts w:hint="eastAsia" w:ascii="宋体" w:hAnsi="宋体" w:cs="宋体"/>
          <w:b/>
          <w:bCs/>
          <w:iCs/>
          <w:color w:val="auto"/>
          <w:spacing w:val="20"/>
          <w:sz w:val="28"/>
          <w:szCs w:val="32"/>
          <w:highlight w:val="none"/>
        </w:rPr>
      </w:pPr>
    </w:p>
    <w:p>
      <w:pPr>
        <w:pStyle w:val="23"/>
        <w:rPr>
          <w:rFonts w:hint="eastAsia" w:ascii="宋体" w:hAnsi="宋体" w:cs="宋体"/>
          <w:b/>
          <w:bCs/>
          <w:iCs/>
          <w:color w:val="auto"/>
          <w:spacing w:val="20"/>
          <w:sz w:val="28"/>
          <w:szCs w:val="32"/>
          <w:highlight w:val="none"/>
        </w:rPr>
      </w:pPr>
    </w:p>
    <w:p>
      <w:pPr>
        <w:rPr>
          <w:rFonts w:hint="eastAsia" w:ascii="宋体" w:hAnsi="宋体" w:cs="宋体"/>
          <w:b/>
          <w:bCs/>
          <w:iCs/>
          <w:color w:val="auto"/>
          <w:spacing w:val="20"/>
          <w:sz w:val="28"/>
          <w:szCs w:val="32"/>
          <w:highlight w:val="none"/>
        </w:rPr>
      </w:pPr>
    </w:p>
    <w:p>
      <w:pPr>
        <w:pStyle w:val="23"/>
        <w:rPr>
          <w:rFonts w:hint="eastAsia"/>
          <w:color w:val="auto"/>
          <w:highlight w:val="none"/>
        </w:rPr>
      </w:pPr>
    </w:p>
    <w:p>
      <w:pPr>
        <w:spacing w:line="360" w:lineRule="auto"/>
        <w:jc w:val="center"/>
        <w:rPr>
          <w:rFonts w:hint="eastAsia" w:ascii="宋体" w:hAnsi="宋体" w:cs="宋体"/>
          <w:b/>
          <w:bCs/>
          <w:iCs/>
          <w:color w:val="auto"/>
          <w:spacing w:val="20"/>
          <w:sz w:val="28"/>
          <w:szCs w:val="32"/>
          <w:highlight w:val="none"/>
        </w:rPr>
      </w:pPr>
    </w:p>
    <w:p>
      <w:pPr>
        <w:spacing w:line="360" w:lineRule="auto"/>
        <w:jc w:val="center"/>
        <w:rPr>
          <w:rFonts w:hint="eastAsia" w:ascii="宋体" w:hAnsi="宋体" w:cs="宋体"/>
          <w:b/>
          <w:bCs/>
          <w:iCs/>
          <w:color w:val="auto"/>
          <w:spacing w:val="20"/>
          <w:sz w:val="28"/>
          <w:szCs w:val="32"/>
          <w:highlight w:val="none"/>
        </w:rPr>
      </w:pPr>
      <w:r>
        <w:rPr>
          <w:rFonts w:hint="eastAsia" w:ascii="宋体" w:hAnsi="宋体" w:cs="宋体"/>
          <w:b/>
          <w:bCs/>
          <w:iCs/>
          <w:color w:val="auto"/>
          <w:spacing w:val="20"/>
          <w:sz w:val="28"/>
          <w:szCs w:val="32"/>
          <w:highlight w:val="none"/>
        </w:rPr>
        <w:t>投标报价明细表-房屋安全动态监测服务</w:t>
      </w:r>
    </w:p>
    <w:p>
      <w:pPr>
        <w:widowControl w:val="0"/>
        <w:adjustRightInd/>
        <w:spacing w:after="120" w:line="240" w:lineRule="auto"/>
        <w:ind w:left="420" w:leftChars="200" w:firstLine="420" w:firstLineChars="200"/>
        <w:jc w:val="both"/>
        <w:rPr>
          <w:rFonts w:hint="eastAsia" w:ascii="宋体" w:hAnsi="宋体" w:eastAsia="宋体" w:cs="Times New Roman"/>
          <w:color w:val="auto"/>
          <w:kern w:val="2"/>
          <w:sz w:val="21"/>
          <w:szCs w:val="24"/>
          <w:highlight w:val="none"/>
          <w:lang w:val="en-US" w:eastAsia="zh-CN" w:bidi="ar-SA"/>
        </w:rPr>
      </w:pPr>
    </w:p>
    <w:p>
      <w:pPr>
        <w:spacing w:line="360" w:lineRule="auto"/>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招标编号：                      项目名称：</w:t>
      </w:r>
    </w:p>
    <w:tbl>
      <w:tblPr>
        <w:tblStyle w:val="62"/>
        <w:tblW w:w="928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89"/>
        <w:gridCol w:w="3174"/>
        <w:gridCol w:w="1587"/>
        <w:gridCol w:w="31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0" w:hRule="atLeast"/>
        </w:trPr>
        <w:tc>
          <w:tcPr>
            <w:tcW w:w="1389" w:type="dxa"/>
            <w:noWrap w:val="0"/>
            <w:vAlign w:val="center"/>
          </w:tcPr>
          <w:p>
            <w:pPr>
              <w:spacing w:line="36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3174" w:type="dxa"/>
            <w:noWrap w:val="0"/>
            <w:vAlign w:val="center"/>
          </w:tcPr>
          <w:p>
            <w:pPr>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rPr>
              <w:t>内容</w:t>
            </w:r>
          </w:p>
        </w:tc>
        <w:tc>
          <w:tcPr>
            <w:tcW w:w="1587" w:type="dxa"/>
            <w:noWrap w:val="0"/>
            <w:vAlign w:val="center"/>
          </w:tcPr>
          <w:p>
            <w:pPr>
              <w:spacing w:line="360" w:lineRule="exact"/>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报价（元）</w:t>
            </w:r>
          </w:p>
        </w:tc>
        <w:tc>
          <w:tcPr>
            <w:tcW w:w="3135" w:type="dxa"/>
            <w:noWrap w:val="0"/>
            <w:vAlign w:val="center"/>
          </w:tcPr>
          <w:p>
            <w:pPr>
              <w:spacing w:line="360" w:lineRule="exact"/>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取费标准及费用计算说明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8" w:hRule="atLeast"/>
        </w:trPr>
        <w:tc>
          <w:tcPr>
            <w:tcW w:w="1389" w:type="dxa"/>
            <w:noWrap w:val="0"/>
            <w:vAlign w:val="center"/>
          </w:tcPr>
          <w:p>
            <w:pPr>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caps/>
                <w:color w:val="auto"/>
                <w:sz w:val="24"/>
                <w:szCs w:val="24"/>
                <w:highlight w:val="none"/>
              </w:rPr>
              <w:t>1</w:t>
            </w:r>
          </w:p>
        </w:tc>
        <w:tc>
          <w:tcPr>
            <w:tcW w:w="3174" w:type="dxa"/>
            <w:noWrap w:val="0"/>
            <w:vAlign w:val="center"/>
          </w:tcPr>
          <w:p>
            <w:pPr>
              <w:widowControl/>
              <w:spacing w:line="480" w:lineRule="exact"/>
              <w:ind w:right="45" w:firstLine="0" w:firstLineChars="0"/>
              <w:jc w:val="both"/>
              <w:rPr>
                <w:rFonts w:hint="eastAsia" w:ascii="宋体" w:hAnsi="宋体" w:eastAsia="宋体" w:cs="宋体"/>
                <w:b/>
                <w:color w:val="auto"/>
                <w:kern w:val="2"/>
                <w:sz w:val="24"/>
                <w:szCs w:val="24"/>
                <w:highlight w:val="none"/>
                <w:lang w:val="zh-CN" w:eastAsia="zh-CN" w:bidi="ar-SA"/>
              </w:rPr>
            </w:pPr>
            <w:r>
              <w:rPr>
                <w:rFonts w:hint="eastAsia" w:ascii="宋体" w:hAnsi="宋体" w:eastAsia="宋体" w:cs="宋体"/>
                <w:color w:val="auto"/>
                <w:kern w:val="0"/>
                <w:sz w:val="24"/>
                <w:szCs w:val="24"/>
                <w:highlight w:val="none"/>
                <w:lang w:val="zh-CN" w:eastAsia="zh-CN" w:bidi="ar-SA"/>
              </w:rPr>
              <w:t>房屋安全核查</w:t>
            </w:r>
          </w:p>
        </w:tc>
        <w:tc>
          <w:tcPr>
            <w:tcW w:w="1587" w:type="dxa"/>
            <w:noWrap w:val="0"/>
            <w:vAlign w:val="center"/>
          </w:tcPr>
          <w:p>
            <w:pPr>
              <w:widowControl/>
              <w:spacing w:line="480" w:lineRule="exact"/>
              <w:ind w:right="45" w:firstLine="0" w:firstLineChars="0"/>
              <w:jc w:val="left"/>
              <w:rPr>
                <w:rFonts w:hint="eastAsia" w:ascii="宋体" w:hAnsi="宋体" w:eastAsia="宋体" w:cs="宋体"/>
                <w:b/>
                <w:color w:val="auto"/>
                <w:kern w:val="2"/>
                <w:sz w:val="24"/>
                <w:szCs w:val="24"/>
                <w:highlight w:val="none"/>
                <w:lang w:val="zh-CN" w:eastAsia="zh-CN" w:bidi="ar-SA"/>
              </w:rPr>
            </w:pPr>
          </w:p>
        </w:tc>
        <w:tc>
          <w:tcPr>
            <w:tcW w:w="3135" w:type="dxa"/>
            <w:noWrap w:val="0"/>
            <w:vAlign w:val="top"/>
          </w:tcPr>
          <w:p>
            <w:pPr>
              <w:spacing w:line="360" w:lineRule="exact"/>
              <w:jc w:val="center"/>
              <w:rPr>
                <w:rFonts w:hint="eastAsia" w:ascii="宋体" w:hAnsi="宋体" w:eastAsia="宋体" w:cs="宋体"/>
                <w:b/>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8" w:hRule="atLeast"/>
        </w:trPr>
        <w:tc>
          <w:tcPr>
            <w:tcW w:w="1389" w:type="dxa"/>
            <w:noWrap w:val="0"/>
            <w:vAlign w:val="center"/>
          </w:tcPr>
          <w:p>
            <w:pPr>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2</w:t>
            </w:r>
          </w:p>
        </w:tc>
        <w:tc>
          <w:tcPr>
            <w:tcW w:w="3174" w:type="dxa"/>
            <w:noWrap w:val="0"/>
            <w:vAlign w:val="center"/>
          </w:tcPr>
          <w:p>
            <w:pPr>
              <w:widowControl/>
              <w:spacing w:line="480" w:lineRule="exact"/>
              <w:ind w:right="45" w:firstLine="0" w:firstLineChars="0"/>
              <w:jc w:val="both"/>
              <w:rPr>
                <w:rFonts w:hint="eastAsia" w:ascii="宋体" w:hAnsi="宋体" w:eastAsia="宋体" w:cs="宋体"/>
                <w:b/>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zh-CN" w:eastAsia="zh-CN" w:bidi="ar-SA"/>
              </w:rPr>
              <w:t>外观检查</w:t>
            </w:r>
          </w:p>
        </w:tc>
        <w:tc>
          <w:tcPr>
            <w:tcW w:w="1587" w:type="dxa"/>
            <w:noWrap w:val="0"/>
            <w:vAlign w:val="center"/>
          </w:tcPr>
          <w:p>
            <w:pPr>
              <w:widowControl/>
              <w:spacing w:line="480" w:lineRule="exact"/>
              <w:ind w:right="45" w:firstLine="0" w:firstLineChars="0"/>
              <w:jc w:val="left"/>
              <w:rPr>
                <w:rFonts w:hint="eastAsia" w:ascii="宋体" w:hAnsi="宋体" w:eastAsia="宋体" w:cs="宋体"/>
                <w:b/>
                <w:color w:val="auto"/>
                <w:kern w:val="2"/>
                <w:sz w:val="24"/>
                <w:szCs w:val="24"/>
                <w:highlight w:val="none"/>
                <w:lang w:val="zh-CN" w:eastAsia="zh-CN" w:bidi="ar-SA"/>
              </w:rPr>
            </w:pPr>
          </w:p>
        </w:tc>
        <w:tc>
          <w:tcPr>
            <w:tcW w:w="3135" w:type="dxa"/>
            <w:noWrap w:val="0"/>
            <w:vAlign w:val="top"/>
          </w:tcPr>
          <w:p>
            <w:pPr>
              <w:spacing w:line="360" w:lineRule="exact"/>
              <w:jc w:val="center"/>
              <w:rPr>
                <w:rFonts w:hint="eastAsia" w:ascii="宋体" w:hAnsi="宋体" w:eastAsia="宋体" w:cs="宋体"/>
                <w:b/>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8" w:hRule="atLeast"/>
        </w:trPr>
        <w:tc>
          <w:tcPr>
            <w:tcW w:w="1389" w:type="dxa"/>
            <w:noWrap w:val="0"/>
            <w:vAlign w:val="center"/>
          </w:tcPr>
          <w:p>
            <w:pPr>
              <w:spacing w:line="360" w:lineRule="exact"/>
              <w:jc w:val="center"/>
              <w:rPr>
                <w:rFonts w:hint="eastAsia" w:ascii="宋体" w:hAnsi="宋体" w:eastAsia="宋体" w:cs="宋体"/>
                <w:b/>
                <w:color w:val="auto"/>
                <w:sz w:val="24"/>
                <w:szCs w:val="24"/>
                <w:highlight w:val="none"/>
                <w:lang w:bidi="ar"/>
              </w:rPr>
            </w:pPr>
            <w:r>
              <w:rPr>
                <w:rFonts w:hint="eastAsia" w:ascii="宋体" w:hAnsi="宋体" w:eastAsia="宋体" w:cs="宋体"/>
                <w:color w:val="auto"/>
                <w:sz w:val="24"/>
                <w:szCs w:val="24"/>
                <w:highlight w:val="none"/>
              </w:rPr>
              <w:t>3</w:t>
            </w:r>
          </w:p>
        </w:tc>
        <w:tc>
          <w:tcPr>
            <w:tcW w:w="3174" w:type="dxa"/>
            <w:noWrap w:val="0"/>
            <w:vAlign w:val="center"/>
          </w:tcPr>
          <w:p>
            <w:pPr>
              <w:widowControl/>
              <w:spacing w:line="480" w:lineRule="exact"/>
              <w:ind w:right="45" w:firstLine="0" w:firstLineChars="0"/>
              <w:jc w:val="both"/>
              <w:rPr>
                <w:rFonts w:hint="eastAsia" w:ascii="宋体" w:hAnsi="宋体" w:eastAsia="宋体" w:cs="宋体"/>
                <w:b/>
                <w:color w:val="auto"/>
                <w:kern w:val="2"/>
                <w:sz w:val="24"/>
                <w:szCs w:val="24"/>
                <w:highlight w:val="none"/>
                <w:lang w:val="zh-CN" w:eastAsia="zh-CN" w:bidi="ar"/>
              </w:rPr>
            </w:pPr>
            <w:r>
              <w:rPr>
                <w:rFonts w:hint="eastAsia" w:ascii="宋体" w:hAnsi="宋体" w:eastAsia="宋体" w:cs="宋体"/>
                <w:color w:val="auto"/>
                <w:kern w:val="0"/>
                <w:sz w:val="24"/>
                <w:szCs w:val="24"/>
                <w:highlight w:val="none"/>
                <w:lang w:val="zh-CN" w:eastAsia="zh-CN" w:bidi="ar-SA"/>
              </w:rPr>
              <w:t>入户</w:t>
            </w:r>
            <w:r>
              <w:rPr>
                <w:rFonts w:hint="eastAsia" w:ascii="宋体" w:hAnsi="宋体" w:eastAsia="宋体" w:cs="宋体"/>
                <w:color w:val="auto"/>
                <w:kern w:val="0"/>
                <w:sz w:val="24"/>
                <w:szCs w:val="24"/>
                <w:highlight w:val="none"/>
                <w:lang w:val="en-US" w:eastAsia="zh-CN" w:bidi="ar-SA"/>
              </w:rPr>
              <w:t>检查</w:t>
            </w:r>
          </w:p>
        </w:tc>
        <w:tc>
          <w:tcPr>
            <w:tcW w:w="1587" w:type="dxa"/>
            <w:noWrap w:val="0"/>
            <w:vAlign w:val="center"/>
          </w:tcPr>
          <w:p>
            <w:pPr>
              <w:widowControl/>
              <w:spacing w:line="480" w:lineRule="exact"/>
              <w:ind w:right="45" w:firstLine="0" w:firstLineChars="0"/>
              <w:jc w:val="left"/>
              <w:rPr>
                <w:rFonts w:hint="eastAsia" w:ascii="宋体" w:hAnsi="宋体" w:eastAsia="宋体" w:cs="宋体"/>
                <w:b/>
                <w:color w:val="auto"/>
                <w:kern w:val="2"/>
                <w:sz w:val="24"/>
                <w:szCs w:val="24"/>
                <w:highlight w:val="none"/>
                <w:lang w:val="zh-CN" w:eastAsia="zh-CN" w:bidi="ar-SA"/>
              </w:rPr>
            </w:pPr>
          </w:p>
        </w:tc>
        <w:tc>
          <w:tcPr>
            <w:tcW w:w="3135" w:type="dxa"/>
            <w:noWrap w:val="0"/>
            <w:vAlign w:val="top"/>
          </w:tcPr>
          <w:p>
            <w:pPr>
              <w:spacing w:line="360" w:lineRule="exact"/>
              <w:jc w:val="center"/>
              <w:rPr>
                <w:rFonts w:hint="eastAsia" w:ascii="宋体" w:hAnsi="宋体" w:eastAsia="宋体" w:cs="宋体"/>
                <w:b/>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8" w:hRule="atLeast"/>
        </w:trPr>
        <w:tc>
          <w:tcPr>
            <w:tcW w:w="1389" w:type="dxa"/>
            <w:noWrap w:val="0"/>
            <w:vAlign w:val="center"/>
          </w:tcPr>
          <w:p>
            <w:pPr>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4</w:t>
            </w:r>
          </w:p>
        </w:tc>
        <w:tc>
          <w:tcPr>
            <w:tcW w:w="3174" w:type="dxa"/>
            <w:noWrap w:val="0"/>
            <w:vAlign w:val="center"/>
          </w:tcPr>
          <w:p>
            <w:pPr>
              <w:widowControl/>
              <w:spacing w:line="480" w:lineRule="exact"/>
              <w:ind w:right="45" w:firstLine="0" w:firstLineChars="0"/>
              <w:jc w:val="both"/>
              <w:rPr>
                <w:rFonts w:hint="eastAsia" w:ascii="宋体" w:hAnsi="宋体" w:eastAsia="宋体" w:cs="宋体"/>
                <w:b/>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zh-CN" w:eastAsia="zh-CN" w:bidi="ar-SA"/>
              </w:rPr>
              <w:t>专项装修巡查</w:t>
            </w:r>
          </w:p>
        </w:tc>
        <w:tc>
          <w:tcPr>
            <w:tcW w:w="1587" w:type="dxa"/>
            <w:noWrap w:val="0"/>
            <w:vAlign w:val="center"/>
          </w:tcPr>
          <w:p>
            <w:pPr>
              <w:widowControl/>
              <w:spacing w:line="480" w:lineRule="exact"/>
              <w:ind w:right="45" w:firstLine="0" w:firstLineChars="0"/>
              <w:jc w:val="left"/>
              <w:rPr>
                <w:rFonts w:hint="eastAsia" w:ascii="宋体" w:hAnsi="宋体" w:eastAsia="宋体" w:cs="宋体"/>
                <w:b/>
                <w:color w:val="auto"/>
                <w:kern w:val="2"/>
                <w:sz w:val="24"/>
                <w:szCs w:val="24"/>
                <w:highlight w:val="none"/>
                <w:lang w:val="zh-CN" w:eastAsia="zh-CN" w:bidi="ar-SA"/>
              </w:rPr>
            </w:pPr>
          </w:p>
        </w:tc>
        <w:tc>
          <w:tcPr>
            <w:tcW w:w="3135" w:type="dxa"/>
            <w:noWrap w:val="0"/>
            <w:vAlign w:val="top"/>
          </w:tcPr>
          <w:p>
            <w:pPr>
              <w:spacing w:line="360" w:lineRule="exact"/>
              <w:jc w:val="center"/>
              <w:rPr>
                <w:rFonts w:hint="eastAsia" w:ascii="宋体" w:hAnsi="宋体" w:eastAsia="宋体" w:cs="宋体"/>
                <w:b/>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8" w:hRule="atLeast"/>
        </w:trPr>
        <w:tc>
          <w:tcPr>
            <w:tcW w:w="1389" w:type="dxa"/>
            <w:noWrap w:val="0"/>
            <w:vAlign w:val="center"/>
          </w:tcPr>
          <w:p>
            <w:pPr>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5</w:t>
            </w:r>
          </w:p>
        </w:tc>
        <w:tc>
          <w:tcPr>
            <w:tcW w:w="3174" w:type="dxa"/>
            <w:noWrap w:val="0"/>
            <w:vAlign w:val="center"/>
          </w:tcPr>
          <w:p>
            <w:pPr>
              <w:widowControl/>
              <w:spacing w:line="480" w:lineRule="exact"/>
              <w:ind w:right="45" w:firstLine="0" w:firstLineChars="0"/>
              <w:jc w:val="both"/>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w:t>
            </w:r>
          </w:p>
        </w:tc>
        <w:tc>
          <w:tcPr>
            <w:tcW w:w="1587" w:type="dxa"/>
            <w:noWrap w:val="0"/>
            <w:vAlign w:val="center"/>
          </w:tcPr>
          <w:p>
            <w:pPr>
              <w:widowControl/>
              <w:spacing w:line="480" w:lineRule="exact"/>
              <w:ind w:right="45" w:firstLine="0" w:firstLineChars="0"/>
              <w:jc w:val="left"/>
              <w:rPr>
                <w:rFonts w:hint="eastAsia" w:ascii="宋体" w:hAnsi="宋体" w:eastAsia="宋体" w:cs="宋体"/>
                <w:b/>
                <w:color w:val="auto"/>
                <w:kern w:val="2"/>
                <w:sz w:val="24"/>
                <w:szCs w:val="24"/>
                <w:highlight w:val="none"/>
                <w:lang w:val="zh-CN" w:eastAsia="zh-CN" w:bidi="ar-SA"/>
              </w:rPr>
            </w:pPr>
          </w:p>
        </w:tc>
        <w:tc>
          <w:tcPr>
            <w:tcW w:w="3135" w:type="dxa"/>
            <w:noWrap w:val="0"/>
            <w:vAlign w:val="top"/>
          </w:tcPr>
          <w:p>
            <w:pPr>
              <w:spacing w:line="360" w:lineRule="exact"/>
              <w:jc w:val="center"/>
              <w:rPr>
                <w:rFonts w:hint="eastAsia" w:ascii="宋体" w:hAnsi="宋体" w:eastAsia="宋体" w:cs="宋体"/>
                <w:b/>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2" w:hRule="atLeast"/>
        </w:trPr>
        <w:tc>
          <w:tcPr>
            <w:tcW w:w="1389" w:type="dxa"/>
            <w:noWrap w:val="0"/>
            <w:vAlign w:val="center"/>
          </w:tcPr>
          <w:p>
            <w:pPr>
              <w:spacing w:line="360" w:lineRule="exact"/>
              <w:jc w:val="center"/>
              <w:rPr>
                <w:rFonts w:hint="eastAsia" w:ascii="宋体" w:hAnsi="宋体" w:eastAsia="宋体" w:cs="宋体"/>
                <w:b/>
                <w:color w:val="auto"/>
                <w:sz w:val="24"/>
                <w:szCs w:val="24"/>
                <w:highlight w:val="none"/>
                <w:lang w:bidi="ar"/>
              </w:rPr>
            </w:pPr>
            <w:r>
              <w:rPr>
                <w:rFonts w:hint="eastAsia" w:ascii="宋体" w:hAnsi="宋体" w:eastAsia="宋体" w:cs="宋体"/>
                <w:color w:val="auto"/>
                <w:sz w:val="24"/>
                <w:szCs w:val="24"/>
                <w:highlight w:val="none"/>
              </w:rPr>
              <w:t>6</w:t>
            </w:r>
          </w:p>
        </w:tc>
        <w:tc>
          <w:tcPr>
            <w:tcW w:w="3174" w:type="dxa"/>
            <w:noWrap w:val="0"/>
            <w:vAlign w:val="center"/>
          </w:tcPr>
          <w:p>
            <w:pPr>
              <w:widowControl/>
              <w:spacing w:line="480" w:lineRule="exact"/>
              <w:ind w:right="45" w:firstLine="0" w:firstLineChars="0"/>
              <w:jc w:val="both"/>
              <w:rPr>
                <w:rFonts w:hint="eastAsia" w:ascii="宋体" w:hAnsi="宋体" w:eastAsia="宋体" w:cs="宋体"/>
                <w:b/>
                <w:color w:val="auto"/>
                <w:kern w:val="2"/>
                <w:sz w:val="24"/>
                <w:szCs w:val="24"/>
                <w:highlight w:val="none"/>
                <w:lang w:val="zh-CN" w:eastAsia="zh-CN" w:bidi="ar"/>
              </w:rPr>
            </w:pPr>
          </w:p>
        </w:tc>
        <w:tc>
          <w:tcPr>
            <w:tcW w:w="1587" w:type="dxa"/>
            <w:noWrap w:val="0"/>
            <w:vAlign w:val="center"/>
          </w:tcPr>
          <w:p>
            <w:pPr>
              <w:widowControl/>
              <w:spacing w:line="480" w:lineRule="exact"/>
              <w:ind w:right="45" w:firstLine="0" w:firstLineChars="0"/>
              <w:jc w:val="left"/>
              <w:rPr>
                <w:rFonts w:hint="eastAsia" w:ascii="宋体" w:hAnsi="宋体" w:eastAsia="宋体" w:cs="宋体"/>
                <w:b/>
                <w:color w:val="auto"/>
                <w:kern w:val="2"/>
                <w:sz w:val="24"/>
                <w:szCs w:val="24"/>
                <w:highlight w:val="none"/>
                <w:lang w:val="zh-CN" w:eastAsia="zh-CN" w:bidi="ar"/>
              </w:rPr>
            </w:pPr>
          </w:p>
        </w:tc>
        <w:tc>
          <w:tcPr>
            <w:tcW w:w="3135" w:type="dxa"/>
            <w:noWrap w:val="0"/>
            <w:vAlign w:val="top"/>
          </w:tcPr>
          <w:p>
            <w:pPr>
              <w:spacing w:line="360" w:lineRule="exact"/>
              <w:jc w:val="center"/>
              <w:rPr>
                <w:rFonts w:hint="eastAsia" w:ascii="宋体" w:hAnsi="宋体" w:eastAsia="宋体" w:cs="宋体"/>
                <w:b/>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5" w:hRule="atLeast"/>
        </w:trPr>
        <w:tc>
          <w:tcPr>
            <w:tcW w:w="1389" w:type="dxa"/>
            <w:noWrap w:val="0"/>
            <w:vAlign w:val="center"/>
          </w:tcPr>
          <w:p>
            <w:pPr>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7</w:t>
            </w:r>
          </w:p>
        </w:tc>
        <w:tc>
          <w:tcPr>
            <w:tcW w:w="3174" w:type="dxa"/>
            <w:noWrap w:val="0"/>
            <w:vAlign w:val="center"/>
          </w:tcPr>
          <w:p>
            <w:pPr>
              <w:widowControl/>
              <w:spacing w:line="480" w:lineRule="exact"/>
              <w:ind w:right="45" w:firstLine="0" w:firstLineChars="0"/>
              <w:jc w:val="both"/>
              <w:rPr>
                <w:rFonts w:hint="eastAsia" w:ascii="宋体" w:hAnsi="宋体" w:eastAsia="宋体" w:cs="宋体"/>
                <w:b/>
                <w:color w:val="auto"/>
                <w:kern w:val="2"/>
                <w:sz w:val="24"/>
                <w:szCs w:val="24"/>
                <w:highlight w:val="none"/>
                <w:lang w:val="zh-CN" w:eastAsia="zh-CN" w:bidi="ar-SA"/>
              </w:rPr>
            </w:pPr>
          </w:p>
        </w:tc>
        <w:tc>
          <w:tcPr>
            <w:tcW w:w="1587" w:type="dxa"/>
            <w:noWrap w:val="0"/>
            <w:vAlign w:val="center"/>
          </w:tcPr>
          <w:p>
            <w:pPr>
              <w:widowControl/>
              <w:spacing w:line="480" w:lineRule="exact"/>
              <w:ind w:right="45" w:firstLine="0" w:firstLineChars="0"/>
              <w:jc w:val="left"/>
              <w:rPr>
                <w:rFonts w:hint="eastAsia" w:ascii="宋体" w:hAnsi="宋体" w:eastAsia="宋体" w:cs="宋体"/>
                <w:b/>
                <w:color w:val="auto"/>
                <w:kern w:val="2"/>
                <w:sz w:val="24"/>
                <w:szCs w:val="24"/>
                <w:highlight w:val="none"/>
                <w:lang w:val="zh-CN" w:eastAsia="zh-CN" w:bidi="ar-SA"/>
              </w:rPr>
            </w:pPr>
          </w:p>
        </w:tc>
        <w:tc>
          <w:tcPr>
            <w:tcW w:w="3135" w:type="dxa"/>
            <w:noWrap w:val="0"/>
            <w:vAlign w:val="top"/>
          </w:tcPr>
          <w:p>
            <w:pPr>
              <w:spacing w:line="360" w:lineRule="exact"/>
              <w:jc w:val="center"/>
              <w:rPr>
                <w:rFonts w:hint="eastAsia" w:ascii="宋体" w:hAnsi="宋体" w:eastAsia="宋体" w:cs="宋体"/>
                <w:b/>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8" w:hRule="atLeast"/>
        </w:trPr>
        <w:tc>
          <w:tcPr>
            <w:tcW w:w="1389" w:type="dxa"/>
            <w:noWrap w:val="0"/>
            <w:vAlign w:val="center"/>
          </w:tcPr>
          <w:p>
            <w:pPr>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8</w:t>
            </w:r>
          </w:p>
        </w:tc>
        <w:tc>
          <w:tcPr>
            <w:tcW w:w="3174" w:type="dxa"/>
            <w:noWrap w:val="0"/>
            <w:vAlign w:val="center"/>
          </w:tcPr>
          <w:p>
            <w:pPr>
              <w:widowControl/>
              <w:spacing w:line="480" w:lineRule="exact"/>
              <w:ind w:right="45" w:firstLine="0" w:firstLineChars="0"/>
              <w:jc w:val="both"/>
              <w:rPr>
                <w:rFonts w:hint="eastAsia" w:ascii="宋体" w:hAnsi="宋体" w:eastAsia="宋体" w:cs="宋体"/>
                <w:b/>
                <w:color w:val="auto"/>
                <w:kern w:val="2"/>
                <w:sz w:val="24"/>
                <w:szCs w:val="24"/>
                <w:highlight w:val="none"/>
                <w:lang w:val="zh-CN" w:eastAsia="zh-CN" w:bidi="ar"/>
              </w:rPr>
            </w:pPr>
          </w:p>
        </w:tc>
        <w:tc>
          <w:tcPr>
            <w:tcW w:w="1587" w:type="dxa"/>
            <w:noWrap w:val="0"/>
            <w:vAlign w:val="center"/>
          </w:tcPr>
          <w:p>
            <w:pPr>
              <w:widowControl/>
              <w:spacing w:line="480" w:lineRule="exact"/>
              <w:ind w:right="45" w:firstLine="0" w:firstLineChars="0"/>
              <w:jc w:val="left"/>
              <w:rPr>
                <w:rFonts w:hint="eastAsia" w:ascii="宋体" w:hAnsi="宋体" w:eastAsia="宋体" w:cs="宋体"/>
                <w:b/>
                <w:color w:val="auto"/>
                <w:kern w:val="2"/>
                <w:sz w:val="24"/>
                <w:szCs w:val="24"/>
                <w:highlight w:val="none"/>
                <w:lang w:val="zh-CN" w:eastAsia="zh-CN" w:bidi="ar-SA"/>
              </w:rPr>
            </w:pPr>
          </w:p>
        </w:tc>
        <w:tc>
          <w:tcPr>
            <w:tcW w:w="3135" w:type="dxa"/>
            <w:noWrap w:val="0"/>
            <w:vAlign w:val="top"/>
          </w:tcPr>
          <w:p>
            <w:pPr>
              <w:spacing w:line="360" w:lineRule="exact"/>
              <w:jc w:val="center"/>
              <w:rPr>
                <w:rFonts w:hint="eastAsia" w:ascii="宋体" w:hAnsi="宋体" w:eastAsia="宋体" w:cs="宋体"/>
                <w:b/>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3" w:hRule="atLeast"/>
        </w:trPr>
        <w:tc>
          <w:tcPr>
            <w:tcW w:w="4563" w:type="dxa"/>
            <w:gridSpan w:val="2"/>
            <w:noWrap w:val="0"/>
            <w:vAlign w:val="center"/>
          </w:tcPr>
          <w:p>
            <w:pPr>
              <w:widowControl/>
              <w:spacing w:line="480" w:lineRule="exact"/>
              <w:ind w:right="45" w:firstLine="0" w:firstLineChars="0"/>
              <w:jc w:val="center"/>
              <w:rPr>
                <w:rFonts w:hint="eastAsia" w:ascii="宋体" w:hAnsi="宋体" w:eastAsia="宋体" w:cs="宋体"/>
                <w:b/>
                <w:color w:val="auto"/>
                <w:kern w:val="2"/>
                <w:sz w:val="24"/>
                <w:szCs w:val="24"/>
                <w:highlight w:val="none"/>
                <w:lang w:val="zh-CN" w:eastAsia="zh-CN" w:bidi="ar-SA"/>
              </w:rPr>
            </w:pPr>
            <w:r>
              <w:rPr>
                <w:rFonts w:hint="eastAsia" w:ascii="宋体" w:hAnsi="宋体" w:eastAsia="宋体" w:cs="宋体"/>
                <w:b/>
                <w:color w:val="auto"/>
                <w:kern w:val="2"/>
                <w:sz w:val="24"/>
                <w:szCs w:val="24"/>
                <w:highlight w:val="none"/>
                <w:lang w:val="zh-CN" w:eastAsia="zh-CN" w:bidi="ar"/>
              </w:rPr>
              <w:t>投标报价（元</w:t>
            </w:r>
            <w:r>
              <w:rPr>
                <w:rFonts w:hint="eastAsia" w:ascii="宋体" w:hAnsi="宋体" w:eastAsia="宋体" w:cs="宋体"/>
                <w:b/>
                <w:color w:val="auto"/>
                <w:kern w:val="2"/>
                <w:sz w:val="24"/>
                <w:szCs w:val="24"/>
                <w:highlight w:val="none"/>
                <w:lang w:val="en-US" w:eastAsia="zh-CN" w:bidi="ar"/>
              </w:rPr>
              <w:t>/年</w:t>
            </w:r>
            <w:r>
              <w:rPr>
                <w:rFonts w:hint="eastAsia" w:ascii="宋体" w:hAnsi="宋体" w:eastAsia="宋体" w:cs="宋体"/>
                <w:b/>
                <w:color w:val="auto"/>
                <w:kern w:val="2"/>
                <w:sz w:val="24"/>
                <w:szCs w:val="24"/>
                <w:highlight w:val="none"/>
                <w:lang w:val="zh-CN" w:eastAsia="zh-CN" w:bidi="ar"/>
              </w:rPr>
              <w:t>）</w:t>
            </w:r>
          </w:p>
        </w:tc>
        <w:tc>
          <w:tcPr>
            <w:tcW w:w="4722" w:type="dxa"/>
            <w:gridSpan w:val="2"/>
            <w:noWrap w:val="0"/>
            <w:vAlign w:val="center"/>
          </w:tcPr>
          <w:p>
            <w:pPr>
              <w:spacing w:line="360" w:lineRule="exact"/>
              <w:jc w:val="center"/>
              <w:rPr>
                <w:rFonts w:hint="eastAsia" w:ascii="宋体" w:hAnsi="宋体" w:eastAsia="宋体" w:cs="宋体"/>
                <w:b/>
                <w:color w:val="auto"/>
                <w:sz w:val="24"/>
                <w:szCs w:val="24"/>
                <w:highlight w:val="none"/>
              </w:rPr>
            </w:pPr>
          </w:p>
        </w:tc>
      </w:tr>
    </w:tbl>
    <w:p>
      <w:pPr>
        <w:widowControl w:val="0"/>
        <w:adjustRightInd w:val="0"/>
        <w:spacing w:line="340" w:lineRule="exact"/>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注：本表中的投标报价金额应与开标一览表（报价表）中房屋安全动态监测的投标价金额一致</w:t>
      </w:r>
    </w:p>
    <w:p>
      <w:pPr>
        <w:rPr>
          <w:rFonts w:hint="eastAsia" w:ascii="宋体" w:hAnsi="宋体" w:eastAsia="宋体" w:cs="宋体"/>
          <w:color w:val="auto"/>
          <w:sz w:val="24"/>
          <w:szCs w:val="24"/>
          <w:highlight w:val="none"/>
        </w:rPr>
      </w:pPr>
    </w:p>
    <w:p>
      <w:pPr>
        <w:rPr>
          <w:rFonts w:hint="eastAsia" w:ascii="宋体" w:hAnsi="宋体" w:cs="宋体"/>
          <w:color w:val="auto"/>
          <w:highlight w:val="none"/>
        </w:rPr>
      </w:pPr>
    </w:p>
    <w:p>
      <w:pPr>
        <w:rPr>
          <w:rFonts w:hint="eastAsia" w:ascii="宋体" w:hAnsi="宋体" w:cs="宋体"/>
          <w:color w:val="auto"/>
          <w:highlight w:val="none"/>
        </w:rPr>
      </w:pPr>
    </w:p>
    <w:p>
      <w:pPr>
        <w:autoSpaceDE w:val="0"/>
        <w:autoSpaceDN w:val="0"/>
        <w:spacing w:line="360" w:lineRule="auto"/>
        <w:ind w:left="2" w:leftChars="1" w:right="1120" w:firstLine="4560" w:firstLineChars="1900"/>
        <w:jc w:val="left"/>
        <w:rPr>
          <w:rFonts w:hint="eastAsia" w:ascii="宋体" w:hAnsi="宋体" w:eastAsia="宋体" w:cs="宋体"/>
          <w:color w:val="auto"/>
          <w:kern w:val="0"/>
          <w:sz w:val="24"/>
          <w:highlight w:val="none"/>
          <w:lang w:val="zh-CN"/>
        </w:rPr>
      </w:pPr>
      <w:r>
        <w:rPr>
          <w:rFonts w:hint="eastAsia" w:ascii="宋体" w:hAnsi="宋体" w:cs="宋体"/>
          <w:color w:val="auto"/>
          <w:kern w:val="0"/>
          <w:sz w:val="24"/>
          <w:highlight w:val="none"/>
          <w:lang w:val="zh-CN"/>
        </w:rPr>
        <w:t>供应商</w:t>
      </w:r>
      <w:r>
        <w:rPr>
          <w:rFonts w:hint="eastAsia" w:ascii="宋体" w:hAnsi="宋体" w:eastAsia="宋体" w:cs="宋体"/>
          <w:color w:val="auto"/>
          <w:kern w:val="0"/>
          <w:sz w:val="24"/>
          <w:highlight w:val="none"/>
          <w:lang w:val="zh-CN"/>
        </w:rPr>
        <w:t>名称（</w:t>
      </w:r>
      <w:r>
        <w:rPr>
          <w:rFonts w:hint="eastAsia" w:ascii="宋体" w:hAnsi="宋体" w:eastAsia="宋体" w:cs="宋体"/>
          <w:color w:val="auto"/>
          <w:sz w:val="24"/>
          <w:highlight w:val="none"/>
        </w:rPr>
        <w:t>电子签名</w:t>
      </w:r>
      <w:r>
        <w:rPr>
          <w:rFonts w:hint="eastAsia" w:ascii="宋体" w:hAnsi="宋体" w:eastAsia="宋体" w:cs="宋体"/>
          <w:color w:val="auto"/>
          <w:kern w:val="0"/>
          <w:sz w:val="24"/>
          <w:highlight w:val="none"/>
          <w:lang w:val="zh-CN"/>
        </w:rPr>
        <w:t xml:space="preserve">）：                                                                                                                                                                                                               </w:t>
      </w:r>
    </w:p>
    <w:p>
      <w:pPr>
        <w:snapToGrid w:val="0"/>
        <w:spacing w:before="120" w:after="120" w:line="360" w:lineRule="auto"/>
        <w:jc w:val="center"/>
        <w:rPr>
          <w:rFonts w:hint="eastAsia" w:ascii="宋体" w:hAnsi="宋体" w:eastAsia="宋体" w:cs="宋体"/>
          <w:b/>
          <w:color w:val="auto"/>
          <w:sz w:val="32"/>
          <w:szCs w:val="32"/>
          <w:highlight w:val="none"/>
        </w:rPr>
      </w:pPr>
      <w:r>
        <w:rPr>
          <w:rFonts w:hint="eastAsia" w:ascii="宋体" w:hAnsi="宋体" w:cs="宋体"/>
          <w:color w:val="auto"/>
          <w:kern w:val="0"/>
          <w:sz w:val="24"/>
          <w:highlight w:val="none"/>
          <w:lang w:val="en-US" w:eastAsia="zh-CN"/>
        </w:rPr>
        <w:t xml:space="preserve">                      </w:t>
      </w: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 xml:space="preserve">   年   月   日</w:t>
      </w:r>
    </w:p>
    <w:p>
      <w:pPr>
        <w:snapToGrid w:val="0"/>
        <w:spacing w:before="120" w:after="120" w:line="360" w:lineRule="auto"/>
        <w:jc w:val="center"/>
        <w:rPr>
          <w:rFonts w:hint="eastAsia" w:ascii="宋体" w:hAnsi="宋体" w:eastAsia="宋体" w:cs="宋体"/>
          <w:b/>
          <w:color w:val="auto"/>
          <w:sz w:val="32"/>
          <w:szCs w:val="32"/>
          <w:highlight w:val="none"/>
        </w:rPr>
      </w:pPr>
    </w:p>
    <w:p>
      <w:pPr>
        <w:snapToGrid w:val="0"/>
        <w:spacing w:before="120" w:after="120" w:line="360" w:lineRule="auto"/>
        <w:jc w:val="center"/>
        <w:rPr>
          <w:rFonts w:hint="eastAsia" w:ascii="宋体" w:hAnsi="宋体" w:eastAsia="宋体" w:cs="宋体"/>
          <w:b/>
          <w:color w:val="auto"/>
          <w:sz w:val="32"/>
          <w:szCs w:val="32"/>
          <w:highlight w:val="none"/>
        </w:rPr>
      </w:pPr>
    </w:p>
    <w:p>
      <w:pPr>
        <w:snapToGrid w:val="0"/>
        <w:spacing w:before="120" w:after="120" w:line="360" w:lineRule="auto"/>
        <w:jc w:val="center"/>
        <w:rPr>
          <w:rFonts w:hint="eastAsia" w:ascii="宋体" w:hAnsi="宋体" w:eastAsia="宋体" w:cs="宋体"/>
          <w:b/>
          <w:color w:val="auto"/>
          <w:sz w:val="32"/>
          <w:szCs w:val="32"/>
          <w:highlight w:val="none"/>
        </w:rPr>
      </w:pPr>
    </w:p>
    <w:p>
      <w:pP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p>
    <w:p>
      <w:pPr>
        <w:snapToGrid w:val="0"/>
        <w:spacing w:before="120" w:after="120" w:line="360" w:lineRule="auto"/>
        <w:jc w:val="center"/>
        <w:rPr>
          <w:rFonts w:hint="eastAsia" w:ascii="宋体" w:hAnsi="宋体" w:eastAsia="宋体" w:cs="宋体"/>
          <w:color w:val="auto"/>
          <w:kern w:val="44"/>
          <w:sz w:val="32"/>
          <w:szCs w:val="32"/>
          <w:highlight w:val="none"/>
        </w:rPr>
      </w:pPr>
      <w:r>
        <w:rPr>
          <w:rFonts w:hint="eastAsia" w:ascii="宋体" w:hAnsi="宋体" w:cs="宋体"/>
          <w:b/>
          <w:color w:val="auto"/>
          <w:sz w:val="32"/>
          <w:szCs w:val="32"/>
          <w:highlight w:val="none"/>
          <w:lang w:eastAsia="zh-CN"/>
        </w:rPr>
        <w:t>三</w:t>
      </w:r>
      <w:r>
        <w:rPr>
          <w:rFonts w:hint="eastAsia" w:ascii="宋体" w:hAnsi="宋体" w:eastAsia="宋体" w:cs="宋体"/>
          <w:b/>
          <w:color w:val="auto"/>
          <w:sz w:val="32"/>
          <w:szCs w:val="32"/>
          <w:highlight w:val="none"/>
        </w:rPr>
        <w:t>、中小企业声明函</w:t>
      </w: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spacing w:line="360" w:lineRule="auto"/>
        <w:ind w:right="420"/>
        <w:jc w:val="center"/>
        <w:rPr>
          <w:rFonts w:hint="eastAsia" w:ascii="宋体" w:hAnsi="宋体" w:eastAsia="宋体" w:cs="宋体"/>
          <w:b/>
          <w:color w:val="auto"/>
          <w:kern w:val="0"/>
          <w:sz w:val="28"/>
          <w:szCs w:val="28"/>
          <w:highlight w:val="none"/>
        </w:rPr>
      </w:pPr>
    </w:p>
    <w:p>
      <w:pPr>
        <w:spacing w:line="360" w:lineRule="auto"/>
        <w:ind w:right="420"/>
        <w:rPr>
          <w:rFonts w:hint="eastAsia" w:ascii="宋体" w:hAnsi="宋体" w:eastAsia="宋体" w:cs="宋体"/>
          <w:b/>
          <w:color w:val="auto"/>
          <w:kern w:val="0"/>
          <w:sz w:val="36"/>
          <w:szCs w:val="36"/>
          <w:highlight w:val="none"/>
        </w:rPr>
      </w:pPr>
    </w:p>
    <w:p>
      <w:pPr>
        <w:spacing w:line="360" w:lineRule="auto"/>
        <w:ind w:right="420"/>
        <w:rPr>
          <w:rFonts w:hint="eastAsia" w:ascii="宋体" w:hAnsi="宋体" w:eastAsia="宋体" w:cs="宋体"/>
          <w:b/>
          <w:color w:val="auto"/>
          <w:kern w:val="0"/>
          <w:sz w:val="36"/>
          <w:szCs w:val="36"/>
          <w:highlight w:val="none"/>
        </w:rPr>
      </w:pPr>
    </w:p>
    <w:p>
      <w:pPr>
        <w:spacing w:line="360" w:lineRule="auto"/>
        <w:ind w:right="420"/>
        <w:rPr>
          <w:rFonts w:hint="eastAsia" w:ascii="宋体" w:hAnsi="宋体" w:eastAsia="宋体" w:cs="宋体"/>
          <w:b/>
          <w:color w:val="auto"/>
          <w:kern w:val="0"/>
          <w:sz w:val="36"/>
          <w:szCs w:val="36"/>
          <w:highlight w:val="none"/>
        </w:rPr>
      </w:pPr>
    </w:p>
    <w:p>
      <w:pPr>
        <w:spacing w:line="360" w:lineRule="auto"/>
        <w:ind w:right="42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 xml:space="preserve"> </w:t>
      </w: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5280" w:firstLineChars="2200"/>
        <w:rPr>
          <w:rFonts w:hint="eastAsia" w:ascii="宋体" w:hAnsi="宋体" w:eastAsia="宋体" w:cs="宋体"/>
          <w:color w:val="auto"/>
          <w:kern w:val="0"/>
          <w:sz w:val="24"/>
          <w:highlight w:val="none"/>
          <w:lang w:val="zh-CN"/>
        </w:rPr>
      </w:pPr>
    </w:p>
    <w:p>
      <w:pPr>
        <w:jc w:val="center"/>
        <w:rPr>
          <w:rFonts w:hint="eastAsia" w:ascii="宋体" w:hAnsi="宋体" w:eastAsia="宋体" w:cs="宋体"/>
          <w:b/>
          <w:bCs/>
          <w:color w:val="auto"/>
          <w:kern w:val="44"/>
          <w:sz w:val="44"/>
          <w:szCs w:val="44"/>
          <w:highlight w:val="none"/>
        </w:rPr>
      </w:pPr>
      <w:r>
        <w:rPr>
          <w:rFonts w:hint="eastAsia" w:ascii="宋体" w:hAnsi="宋体" w:eastAsia="宋体" w:cs="宋体"/>
          <w:color w:val="auto"/>
          <w:kern w:val="0"/>
          <w:sz w:val="24"/>
          <w:highlight w:val="none"/>
          <w:lang w:val="zh-CN"/>
        </w:rPr>
        <w:br w:type="page"/>
      </w:r>
      <w:r>
        <w:rPr>
          <w:rFonts w:hint="eastAsia" w:ascii="宋体" w:hAnsi="宋体" w:eastAsia="宋体" w:cs="宋体"/>
          <w:b/>
          <w:bCs/>
          <w:color w:val="auto"/>
          <w:kern w:val="44"/>
          <w:sz w:val="44"/>
          <w:szCs w:val="44"/>
          <w:highlight w:val="none"/>
        </w:rPr>
        <w:t>附件</w:t>
      </w:r>
    </w:p>
    <w:p>
      <w:pPr>
        <w:spacing w:line="360" w:lineRule="auto"/>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附件1：</w:t>
      </w:r>
    </w:p>
    <w:p>
      <w:pPr>
        <w:spacing w:line="360" w:lineRule="auto"/>
        <w:jc w:val="center"/>
        <w:rPr>
          <w:rFonts w:hint="eastAsia" w:ascii="宋体" w:hAnsi="宋体" w:eastAsia="宋体" w:cs="宋体"/>
          <w:b/>
          <w:color w:val="auto"/>
          <w:spacing w:val="6"/>
          <w:sz w:val="32"/>
          <w:szCs w:val="32"/>
          <w:highlight w:val="none"/>
        </w:rPr>
      </w:pPr>
      <w:bookmarkStart w:id="401" w:name="OLE_LINK13"/>
      <w:bookmarkStart w:id="402" w:name="OLE_LINK14"/>
      <w:r>
        <w:rPr>
          <w:rFonts w:hint="eastAsia" w:ascii="宋体" w:hAnsi="宋体" w:eastAsia="宋体" w:cs="宋体"/>
          <w:b/>
          <w:color w:val="auto"/>
          <w:spacing w:val="6"/>
          <w:sz w:val="32"/>
          <w:szCs w:val="32"/>
          <w:highlight w:val="none"/>
        </w:rPr>
        <w:t>残疾人福利性单位声明函</w:t>
      </w:r>
    </w:p>
    <w:bookmarkEnd w:id="401"/>
    <w:bookmarkEnd w:id="402"/>
    <w:p>
      <w:pPr>
        <w:spacing w:line="360" w:lineRule="auto"/>
        <w:rPr>
          <w:rFonts w:hint="eastAsia" w:ascii="宋体" w:hAnsi="宋体" w:eastAsia="宋体" w:cs="宋体"/>
          <w:b/>
          <w:color w:val="auto"/>
          <w:spacing w:val="6"/>
          <w:sz w:val="30"/>
          <w:szCs w:val="30"/>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eastAsia="宋体" w:cs="宋体"/>
          <w:color w:val="auto"/>
          <w:sz w:val="24"/>
          <w:highlight w:val="none"/>
          <w:u w:val="single"/>
        </w:rPr>
        <w:t>(采购人)</w:t>
      </w:r>
      <w:r>
        <w:rPr>
          <w:rFonts w:hint="eastAsia" w:ascii="宋体" w:hAnsi="宋体" w:eastAsia="宋体" w:cs="宋体"/>
          <w:color w:val="auto"/>
          <w:sz w:val="24"/>
          <w:highlight w:val="none"/>
        </w:rPr>
        <w:t>_单位的_</w:t>
      </w:r>
      <w:r>
        <w:rPr>
          <w:rFonts w:hint="eastAsia" w:ascii="宋体" w:hAnsi="宋体" w:eastAsia="宋体" w:cs="宋体"/>
          <w:color w:val="auto"/>
          <w:sz w:val="24"/>
          <w:highlight w:val="none"/>
          <w:u w:val="single"/>
        </w:rPr>
        <w:t>（项目名称）</w:t>
      </w:r>
      <w:r>
        <w:rPr>
          <w:rFonts w:hint="eastAsia" w:ascii="宋体" w:hAnsi="宋体" w:eastAsia="宋体" w:cs="宋体"/>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本单位对上述声明的真实性负责。如有虚假，将依法承担相应责任。</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cs="宋体"/>
          <w:color w:val="auto"/>
          <w:kern w:val="0"/>
          <w:sz w:val="24"/>
          <w:highlight w:val="none"/>
          <w:lang w:val="zh-CN"/>
        </w:rPr>
        <w:t>供应商</w:t>
      </w:r>
      <w:r>
        <w:rPr>
          <w:rFonts w:hint="eastAsia" w:ascii="宋体" w:hAnsi="宋体" w:eastAsia="宋体" w:cs="宋体"/>
          <w:color w:val="auto"/>
          <w:kern w:val="0"/>
          <w:sz w:val="24"/>
          <w:highlight w:val="none"/>
          <w:lang w:val="zh-CN"/>
        </w:rPr>
        <w:t>名称（电子签名）</w:t>
      </w:r>
      <w:r>
        <w:rPr>
          <w:rFonts w:hint="eastAsia" w:ascii="宋体" w:hAnsi="宋体" w:eastAsia="宋体" w:cs="宋体"/>
          <w:color w:val="auto"/>
          <w:sz w:val="24"/>
          <w:highlight w:val="none"/>
        </w:rPr>
        <w:t>：</w:t>
      </w: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  期：</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附件2：质疑函范本及制作说明</w:t>
      </w: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质疑函范本</w:t>
      </w:r>
    </w:p>
    <w:p>
      <w:pPr>
        <w:snapToGrid w:val="0"/>
        <w:spacing w:before="240" w:beforeLines="100"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一、质疑供应商基本信息</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质疑供应商：</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地址： </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二、质疑项目基本情况</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采购文件获取日期：</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三、质疑事项具体内容</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质疑事项1：</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质疑事项2</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四、与质疑事项相关的质疑请求</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jc w:val="center"/>
        <w:rPr>
          <w:rFonts w:hint="eastAsia" w:ascii="宋体" w:hAnsi="宋体" w:eastAsia="宋体" w:cs="宋体"/>
          <w:b/>
          <w:bCs/>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质疑函制作说明：</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1.供应商提出质疑时，应提交质疑函和必要的证明材料。</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2.质疑供应商若委托代理人进行质疑的，质疑函应按要求列明“授权代表”的有关内容，并在附件中提交由质疑</w:t>
      </w:r>
      <w:r>
        <w:rPr>
          <w:rFonts w:hint="eastAsia" w:ascii="宋体" w:hAnsi="宋体" w:eastAsia="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5.质疑函的质疑请求应与质疑事项相关。</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color w:val="auto"/>
          <w:sz w:val="30"/>
          <w:szCs w:val="30"/>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附件3：投诉书范本及制作说明</w:t>
      </w: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投诉书范本</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一、投诉相关主体基本情况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tabs>
          <w:tab w:val="left" w:pos="6510"/>
        </w:tabs>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法定代表人/主要负责人：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tabs>
          <w:tab w:val="left" w:pos="6510"/>
        </w:tabs>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被投诉人1：</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被投诉人2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相关供应商：</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二、投诉项目基本情况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采购项目名称：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采购项目编号：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代理机构名称：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采购文件公告: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采购结果公告: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三、质疑基本情况</w:t>
      </w:r>
    </w:p>
    <w:p>
      <w:pPr>
        <w:spacing w:line="360" w:lineRule="auto"/>
        <w:ind w:firstLine="480" w:firstLineChars="200"/>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日,向</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提出质疑，质疑事项为：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采购人/代理机构</w:t>
      </w:r>
      <w:r>
        <w:rPr>
          <w:rFonts w:hint="eastAsia" w:ascii="宋体" w:hAnsi="宋体" w:eastAsia="宋体" w:cs="宋体"/>
          <w:color w:val="auto"/>
          <w:sz w:val="24"/>
          <w:highlight w:val="none"/>
        </w:rPr>
        <w:t>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日,就质疑事项作出了答复/没有在法定期限内作出答复。</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四、投诉事项具体内容</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投诉事项 1：</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投诉事项2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五、与投诉事项相关的投诉请求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投诉书制作说明：</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2.投诉人若委托代理人进行投诉的，投诉书应按照要求列明“授权代表”的有关内容，并在附件中提交由</w:t>
      </w:r>
      <w:r>
        <w:rPr>
          <w:rFonts w:hint="eastAsia" w:ascii="宋体" w:hAnsi="宋体" w:eastAsia="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6.投诉书的投诉请求应与投诉事项相关。</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color w:val="auto"/>
          <w:sz w:val="24"/>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bCs/>
          <w:color w:val="auto"/>
          <w:sz w:val="32"/>
          <w:szCs w:val="32"/>
          <w:highlight w:val="none"/>
        </w:rPr>
      </w:pPr>
      <w:r>
        <w:rPr>
          <w:rFonts w:hint="eastAsia" w:ascii="宋体" w:hAnsi="宋体" w:eastAsia="宋体" w:cs="宋体"/>
          <w:b/>
          <w:color w:val="auto"/>
          <w:spacing w:val="6"/>
          <w:sz w:val="32"/>
          <w:szCs w:val="32"/>
          <w:highlight w:val="none"/>
        </w:rPr>
        <w:t>附件4：</w:t>
      </w:r>
      <w:r>
        <w:rPr>
          <w:rFonts w:hint="eastAsia" w:ascii="宋体" w:hAnsi="宋体" w:eastAsia="宋体" w:cs="宋体"/>
          <w:b/>
          <w:bCs/>
          <w:color w:val="auto"/>
          <w:sz w:val="32"/>
          <w:szCs w:val="32"/>
          <w:highlight w:val="none"/>
        </w:rPr>
        <w:t>业务专用章使用说明函</w:t>
      </w:r>
    </w:p>
    <w:p>
      <w:pPr>
        <w:spacing w:line="360" w:lineRule="auto"/>
        <w:rPr>
          <w:rFonts w:hint="eastAsia" w:ascii="宋体" w:hAnsi="宋体" w:eastAsia="宋体" w:cs="宋体"/>
          <w:color w:val="auto"/>
          <w:sz w:val="24"/>
          <w:highlight w:val="none"/>
          <w:u w:val="singl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（采购人）、（采购代理机构）：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我方</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供应商</w:t>
      </w:r>
      <w:r>
        <w:rPr>
          <w:rFonts w:hint="eastAsia" w:ascii="宋体" w:hAnsi="宋体" w:eastAsia="宋体" w:cs="宋体"/>
          <w:color w:val="auto"/>
          <w:sz w:val="24"/>
          <w:highlight w:val="none"/>
        </w:rPr>
        <w:t>全称)是中华人民共和国依法登记注册的合法企业，</w:t>
      </w:r>
      <w:r>
        <w:rPr>
          <w:rFonts w:hint="eastAsia" w:ascii="宋体" w:hAnsi="宋体" w:eastAsia="宋体" w:cs="宋体"/>
          <w:bCs/>
          <w:color w:val="auto"/>
          <w:sz w:val="24"/>
          <w:highlight w:val="none"/>
        </w:rPr>
        <w:t>在参加</w:t>
      </w:r>
      <w:r>
        <w:rPr>
          <w:rFonts w:hint="eastAsia" w:ascii="宋体" w:hAnsi="宋体" w:eastAsia="宋体" w:cs="宋体"/>
          <w:color w:val="auto"/>
          <w:sz w:val="24"/>
          <w:highlight w:val="none"/>
        </w:rPr>
        <w:t>你方组织的（项目名称）【招标编号：（采购编号）】</w:t>
      </w:r>
      <w:r>
        <w:rPr>
          <w:rFonts w:hint="eastAsia" w:ascii="宋体" w:hAnsi="宋体" w:eastAsia="宋体" w:cs="宋体"/>
          <w:bCs/>
          <w:color w:val="auto"/>
          <w:sz w:val="24"/>
          <w:highlight w:val="none"/>
        </w:rPr>
        <w:t>投标活动中作如下说明：</w:t>
      </w:r>
      <w:r>
        <w:rPr>
          <w:rFonts w:hint="eastAsia" w:ascii="宋体" w:hAnsi="宋体" w:eastAsia="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特此说明。</w:t>
      </w: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right="480" w:firstLine="4080" w:firstLineChars="17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投标单位（法定名称章）：</w:t>
      </w:r>
    </w:p>
    <w:p>
      <w:pPr>
        <w:ind w:right="1440" w:firstLine="494"/>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附：</w:t>
      </w:r>
    </w:p>
    <w:p>
      <w:pPr>
        <w:spacing w:line="360" w:lineRule="auto"/>
        <w:rPr>
          <w:rFonts w:hint="eastAsia" w:ascii="宋体" w:hAnsi="宋体" w:eastAsia="宋体" w:cs="宋体"/>
          <w:bCs/>
          <w:color w:val="auto"/>
          <w:sz w:val="24"/>
          <w:highlight w:val="none"/>
        </w:rPr>
      </w:pPr>
      <w:r>
        <w:rPr>
          <w:rFonts w:hint="eastAsia" w:ascii="宋体" w:hAnsi="宋体" w:eastAsia="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ILD+2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eastAsia="宋体" w:cs="宋体"/>
          <w:b/>
          <w:bCs/>
          <w:color w:val="auto"/>
          <w:sz w:val="24"/>
          <w:highlight w:val="none"/>
        </w:rPr>
        <mc:AlternateContent>
          <mc:Choice Requires="wps">
            <w:drawing>
              <wp:anchor distT="0" distB="0" distL="114300" distR="114300" simplePos="0" relativeHeight="251661312"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5168;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KL3uD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eastAsia="宋体" w:cs="宋体"/>
          <w:color w:val="auto"/>
          <w:sz w:val="24"/>
          <w:highlight w:val="none"/>
        </w:rPr>
        <w:t>投标单位法定名称章（印模）                投标单位“XX专用章”（印模）</w:t>
      </w: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spacing w:val="6"/>
          <w:sz w:val="32"/>
          <w:szCs w:val="32"/>
          <w:highlight w:val="none"/>
        </w:rPr>
        <w:t>附件5：</w:t>
      </w:r>
      <w:r>
        <w:rPr>
          <w:rFonts w:hint="eastAsia" w:ascii="宋体" w:hAnsi="宋体" w:eastAsia="宋体" w:cs="宋体"/>
          <w:b/>
          <w:color w:val="auto"/>
          <w:kern w:val="0"/>
          <w:sz w:val="32"/>
          <w:szCs w:val="32"/>
          <w:highlight w:val="none"/>
          <w:lang w:val="zh-CN"/>
        </w:rPr>
        <w:t>联合协议</w:t>
      </w:r>
    </w:p>
    <w:p>
      <w:pPr>
        <w:widowControl/>
        <w:spacing w:line="288"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（以联合体形式投标的，提供联合协议；本项目不接受联合体投标或者</w:t>
      </w:r>
      <w:r>
        <w:rPr>
          <w:rFonts w:hint="eastAsia" w:ascii="宋体" w:hAnsi="宋体" w:cs="宋体"/>
          <w:b/>
          <w:color w:val="auto"/>
          <w:sz w:val="24"/>
          <w:highlight w:val="none"/>
          <w:lang w:eastAsia="zh-CN"/>
        </w:rPr>
        <w:t>供应商</w:t>
      </w:r>
      <w:r>
        <w:rPr>
          <w:rFonts w:hint="eastAsia" w:ascii="宋体" w:hAnsi="宋体" w:eastAsia="宋体" w:cs="宋体"/>
          <w:b/>
          <w:color w:val="auto"/>
          <w:sz w:val="24"/>
          <w:highlight w:val="none"/>
        </w:rPr>
        <w:t>不以联合体形式投标的，则不需要提供）</w:t>
      </w:r>
    </w:p>
    <w:p>
      <w:pPr>
        <w:snapToGrid w:val="0"/>
        <w:spacing w:line="288"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（联合体所有成员名称）</w:t>
      </w:r>
      <w:r>
        <w:rPr>
          <w:rFonts w:hint="eastAsia" w:ascii="宋体" w:hAnsi="宋体" w:eastAsia="宋体" w:cs="宋体"/>
          <w:color w:val="auto"/>
          <w:kern w:val="0"/>
          <w:sz w:val="24"/>
          <w:highlight w:val="none"/>
        </w:rPr>
        <w:t>自愿</w:t>
      </w:r>
      <w:r>
        <w:rPr>
          <w:rFonts w:hint="eastAsia" w:ascii="宋体" w:hAnsi="宋体" w:eastAsia="宋体" w:cs="宋体"/>
          <w:color w:val="auto"/>
          <w:kern w:val="0"/>
          <w:sz w:val="24"/>
          <w:highlight w:val="none"/>
          <w:lang w:val="zh-CN"/>
        </w:rPr>
        <w:t>组成一个联合体，以一个</w:t>
      </w:r>
      <w:r>
        <w:rPr>
          <w:rFonts w:hint="eastAsia" w:ascii="宋体" w:hAnsi="宋体" w:cs="宋体"/>
          <w:color w:val="auto"/>
          <w:kern w:val="0"/>
          <w:sz w:val="24"/>
          <w:highlight w:val="none"/>
          <w:lang w:val="zh-CN"/>
        </w:rPr>
        <w:t>供应商</w:t>
      </w:r>
      <w:r>
        <w:rPr>
          <w:rFonts w:hint="eastAsia" w:ascii="宋体" w:hAnsi="宋体" w:eastAsia="宋体" w:cs="宋体"/>
          <w:color w:val="auto"/>
          <w:kern w:val="0"/>
          <w:sz w:val="24"/>
          <w:highlight w:val="none"/>
          <w:lang w:val="zh-CN"/>
        </w:rPr>
        <w:t>的身份</w:t>
      </w:r>
      <w:r>
        <w:rPr>
          <w:rFonts w:hint="eastAsia" w:ascii="宋体" w:hAnsi="宋体" w:eastAsia="宋体" w:cs="宋体"/>
          <w:color w:val="auto"/>
          <w:kern w:val="0"/>
          <w:sz w:val="24"/>
          <w:highlight w:val="none"/>
        </w:rPr>
        <w:t>参加</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 xml:space="preserve">投标。 </w:t>
      </w:r>
    </w:p>
    <w:p>
      <w:pPr>
        <w:snapToGrid w:val="0"/>
        <w:spacing w:line="288"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一、各方一致决定，</w:t>
      </w:r>
      <w:r>
        <w:rPr>
          <w:rFonts w:hint="eastAsia" w:ascii="宋体" w:hAnsi="宋体" w:eastAsia="宋体" w:cs="宋体"/>
          <w:color w:val="auto"/>
          <w:kern w:val="0"/>
          <w:sz w:val="24"/>
          <w:highlight w:val="none"/>
          <w:u w:val="single"/>
        </w:rPr>
        <w:t>（某联合体成员名称）</w:t>
      </w:r>
      <w:r>
        <w:rPr>
          <w:rFonts w:hint="eastAsia" w:ascii="宋体" w:hAnsi="宋体" w:eastAsia="宋体" w:cs="宋体"/>
          <w:color w:val="auto"/>
          <w:kern w:val="0"/>
          <w:sz w:val="24"/>
          <w:highlight w:val="none"/>
        </w:rPr>
        <w:t>为联合体</w:t>
      </w:r>
      <w:r>
        <w:rPr>
          <w:rFonts w:hint="eastAsia" w:ascii="宋体" w:hAnsi="宋体" w:eastAsia="宋体" w:cs="宋体"/>
          <w:color w:val="auto"/>
          <w:kern w:val="0"/>
          <w:sz w:val="24"/>
          <w:highlight w:val="none"/>
          <w:lang w:val="zh-CN"/>
        </w:rPr>
        <w:t>牵头人</w:t>
      </w:r>
      <w:r>
        <w:rPr>
          <w:rFonts w:hint="eastAsia" w:ascii="宋体" w:hAnsi="宋体" w:eastAsia="宋体" w:cs="宋体"/>
          <w:color w:val="auto"/>
          <w:sz w:val="24"/>
          <w:highlight w:val="none"/>
        </w:rPr>
        <w:t>，代表所有联合体成员负责投标和合同实施阶段的主办、协调工作</w:t>
      </w:r>
      <w:r>
        <w:rPr>
          <w:rFonts w:hint="eastAsia" w:ascii="宋体" w:hAnsi="宋体" w:eastAsia="宋体" w:cs="宋体"/>
          <w:color w:val="auto"/>
          <w:kern w:val="0"/>
          <w:sz w:val="24"/>
          <w:highlight w:val="none"/>
          <w:lang w:val="zh-CN"/>
        </w:rPr>
        <w:t>。</w:t>
      </w:r>
    </w:p>
    <w:p>
      <w:pPr>
        <w:snapToGrid w:val="0"/>
        <w:spacing w:line="288"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w:t>
      </w:r>
      <w:r>
        <w:rPr>
          <w:rFonts w:hint="eastAsia" w:ascii="宋体" w:hAnsi="宋体" w:eastAsia="宋体" w:cs="宋体"/>
          <w:color w:val="auto"/>
          <w:sz w:val="24"/>
          <w:highlight w:val="none"/>
        </w:rPr>
        <w:t>所有联合体成员各方签署授权书，授权书载明的</w:t>
      </w:r>
      <w:r>
        <w:rPr>
          <w:rFonts w:hint="eastAsia" w:ascii="宋体" w:hAnsi="宋体" w:eastAsia="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288"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三、本次联合投标中，分工如下：</w:t>
      </w:r>
    </w:p>
    <w:p>
      <w:pPr>
        <w:snapToGrid w:val="0"/>
        <w:spacing w:line="288"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（联合体成员1）</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w:t>
      </w:r>
    </w:p>
    <w:p>
      <w:pPr>
        <w:snapToGrid w:val="0"/>
        <w:spacing w:line="288"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（联合体成员2）</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w:t>
      </w:r>
    </w:p>
    <w:p>
      <w:pPr>
        <w:snapToGrid w:val="0"/>
        <w:spacing w:line="288"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w:t>
      </w:r>
    </w:p>
    <w:p>
      <w:pPr>
        <w:snapToGrid w:val="0"/>
        <w:spacing w:line="288"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四、联合体成员中小企业合同份额。</w:t>
      </w:r>
    </w:p>
    <w:p>
      <w:pPr>
        <w:snapToGrid w:val="0"/>
        <w:spacing w:line="288" w:lineRule="auto"/>
        <w:ind w:firstLine="576"/>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1、</w:t>
      </w:r>
      <w:r>
        <w:rPr>
          <w:rFonts w:hint="eastAsia" w:ascii="宋体" w:hAnsi="宋体" w:eastAsia="宋体" w:cs="宋体"/>
          <w:color w:val="auto"/>
          <w:kern w:val="0"/>
          <w:sz w:val="24"/>
          <w:highlight w:val="none"/>
          <w:u w:val="single"/>
        </w:rPr>
        <w:t>（</w:t>
      </w:r>
      <w:bookmarkStart w:id="403" w:name="_Hlk101131882"/>
      <w:r>
        <w:rPr>
          <w:rFonts w:hint="eastAsia" w:ascii="宋体" w:hAnsi="宋体" w:eastAsia="宋体" w:cs="宋体"/>
          <w:color w:val="auto"/>
          <w:kern w:val="0"/>
          <w:sz w:val="24"/>
          <w:highlight w:val="none"/>
          <w:u w:val="single"/>
        </w:rPr>
        <w:t>联合体成员X,……</w:t>
      </w:r>
      <w:bookmarkEnd w:id="403"/>
      <w:r>
        <w:rPr>
          <w:rFonts w:hint="eastAsia" w:ascii="宋体" w:hAnsi="宋体" w:eastAsia="宋体" w:cs="宋体"/>
          <w:color w:val="auto"/>
          <w:kern w:val="0"/>
          <w:sz w:val="24"/>
          <w:highlight w:val="none"/>
          <w:u w:val="single"/>
        </w:rPr>
        <w:t>）</w:t>
      </w:r>
      <w:r>
        <w:rPr>
          <w:rFonts w:hint="eastAsia" w:ascii="宋体" w:hAnsi="宋体" w:eastAsia="宋体" w:cs="宋体"/>
          <w:color w:val="auto"/>
          <w:kern w:val="0"/>
          <w:sz w:val="24"/>
          <w:highlight w:val="none"/>
        </w:rPr>
        <w:t>提供的服务由小微企业承接，其合同份额占到合同总金额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w:t>
      </w:r>
      <w:bookmarkStart w:id="404" w:name="_Hlk101133598"/>
      <w:r>
        <w:rPr>
          <w:rFonts w:hint="eastAsia" w:ascii="宋体" w:hAnsi="宋体" w:eastAsia="宋体" w:cs="宋体"/>
          <w:b/>
          <w:color w:val="auto"/>
          <w:kern w:val="0"/>
          <w:sz w:val="24"/>
          <w:highlight w:val="none"/>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eastAsia="宋体" w:cs="宋体"/>
          <w:b/>
          <w:color w:val="auto"/>
          <w:sz w:val="24"/>
          <w:highlight w:val="none"/>
        </w:rPr>
        <w:t>拟享受以上价格扣除政策的，填写有关内容。</w:t>
      </w:r>
      <w:bookmarkEnd w:id="404"/>
      <w:r>
        <w:rPr>
          <w:rFonts w:hint="eastAsia" w:ascii="宋体" w:hAnsi="宋体" w:eastAsia="宋体" w:cs="宋体"/>
          <w:b/>
          <w:color w:val="auto"/>
          <w:kern w:val="0"/>
          <w:sz w:val="24"/>
          <w:highlight w:val="none"/>
          <w:lang w:val="zh-CN"/>
        </w:rPr>
        <w:t>）</w:t>
      </w:r>
    </w:p>
    <w:p>
      <w:pPr>
        <w:spacing w:line="288" w:lineRule="auto"/>
        <w:ind w:firstLine="480" w:firstLineChars="200"/>
        <w:rPr>
          <w:rFonts w:hint="eastAsia" w:ascii="宋体" w:hAnsi="宋体" w:eastAsia="宋体" w:cs="宋体"/>
          <w:b/>
          <w:bCs/>
          <w:color w:val="auto"/>
          <w:kern w:val="0"/>
          <w:sz w:val="24"/>
          <w:highlight w:val="none"/>
          <w:lang w:val="zh-CN"/>
        </w:rPr>
      </w:pPr>
      <w:r>
        <w:rPr>
          <w:rFonts w:hint="eastAsia" w:ascii="宋体" w:hAnsi="宋体" w:eastAsia="宋体" w:cs="宋体"/>
          <w:color w:val="auto"/>
          <w:sz w:val="24"/>
          <w:highlight w:val="none"/>
        </w:rPr>
        <w:t>2、</w:t>
      </w:r>
      <w:bookmarkStart w:id="405" w:name="_Hlk101133173"/>
      <w:r>
        <w:rPr>
          <w:rFonts w:hint="eastAsia" w:ascii="宋体" w:hAnsi="宋体" w:eastAsia="宋体" w:cs="宋体"/>
          <w:color w:val="auto"/>
          <w:sz w:val="24"/>
          <w:highlight w:val="none"/>
        </w:rPr>
        <w:t>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w:t>
      </w:r>
      <w:r>
        <w:rPr>
          <w:rFonts w:hint="eastAsia" w:ascii="宋体" w:hAnsi="宋体" w:eastAsia="宋体" w:cs="宋体"/>
          <w:b/>
          <w:bCs/>
          <w:color w:val="auto"/>
          <w:kern w:val="0"/>
          <w:sz w:val="24"/>
          <w:highlight w:val="none"/>
          <w:lang w:val="zh-CN"/>
        </w:rPr>
        <w:t>（</w:t>
      </w:r>
      <w:r>
        <w:rPr>
          <w:rFonts w:hint="eastAsia" w:ascii="宋体" w:hAnsi="宋体" w:eastAsia="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eastAsia="宋体" w:cs="宋体"/>
          <w:b/>
          <w:bCs/>
          <w:color w:val="auto"/>
          <w:kern w:val="0"/>
          <w:sz w:val="24"/>
          <w:highlight w:val="none"/>
          <w:lang w:val="zh-CN"/>
        </w:rPr>
        <w:t>）</w:t>
      </w:r>
      <w:bookmarkEnd w:id="405"/>
    </w:p>
    <w:p>
      <w:pPr>
        <w:snapToGrid w:val="0"/>
        <w:spacing w:line="288"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五、如果中标，</w:t>
      </w:r>
      <w:r>
        <w:rPr>
          <w:rFonts w:hint="eastAsia" w:ascii="宋体" w:hAnsi="宋体" w:eastAsia="宋体" w:cs="宋体"/>
          <w:color w:val="auto"/>
          <w:sz w:val="24"/>
          <w:highlight w:val="none"/>
        </w:rPr>
        <w:t>联合体各成员方共同与采购人签订合同，并就采购合同约定的事项对采购人承担连带责任。</w:t>
      </w:r>
    </w:p>
    <w:p>
      <w:pPr>
        <w:snapToGrid w:val="0"/>
        <w:spacing w:line="288"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六、有关本次联合投标的其他事宜：</w:t>
      </w:r>
    </w:p>
    <w:p>
      <w:pPr>
        <w:snapToGrid w:val="0"/>
        <w:spacing w:line="288"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1、联合体各方不再单独参加或者与其他供应商另外组成联合体参加同一合同项下的政府采购活动。</w:t>
      </w:r>
    </w:p>
    <w:p>
      <w:pPr>
        <w:snapToGrid w:val="0"/>
        <w:spacing w:line="288"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288"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3、本协议提交采购人、采购代理机构后，联合体各方不得以任何形式对上述内容进行修改或撤销。</w:t>
      </w:r>
    </w:p>
    <w:p>
      <w:pPr>
        <w:snapToGrid w:val="0"/>
        <w:spacing w:line="288"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288"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288" w:lineRule="auto"/>
        <w:ind w:right="960"/>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snapToGrid w:val="0"/>
        <w:spacing w:line="288"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  年  月   日</w:t>
      </w:r>
    </w:p>
    <w:p>
      <w:pPr>
        <w:snapToGrid w:val="0"/>
        <w:spacing w:line="360" w:lineRule="auto"/>
        <w:rPr>
          <w:rFonts w:hint="eastAsia" w:ascii="宋体" w:hAnsi="宋体" w:eastAsia="宋体" w:cs="宋体"/>
          <w:b/>
          <w:color w:val="auto"/>
          <w:spacing w:val="6"/>
          <w:sz w:val="32"/>
          <w:szCs w:val="32"/>
          <w:highlight w:val="none"/>
        </w:rPr>
      </w:pPr>
      <w:r>
        <w:rPr>
          <w:rFonts w:hint="eastAsia" w:ascii="宋体" w:hAnsi="宋体" w:eastAsia="宋体" w:cs="宋体"/>
          <w:color w:val="auto"/>
          <w:sz w:val="24"/>
          <w:highlight w:val="none"/>
        </w:rPr>
        <w:t>注：按本格式和要求提供。</w:t>
      </w:r>
    </w:p>
    <w:p>
      <w:pPr>
        <w:widowControl/>
        <w:adjustRightInd/>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br w:type="page"/>
      </w:r>
    </w:p>
    <w:p>
      <w:pPr>
        <w:snapToGrid w:val="0"/>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spacing w:val="6"/>
          <w:sz w:val="32"/>
          <w:szCs w:val="32"/>
          <w:highlight w:val="none"/>
        </w:rPr>
        <w:t>附件6：</w:t>
      </w:r>
      <w:r>
        <w:rPr>
          <w:rFonts w:hint="eastAsia" w:ascii="宋体" w:hAnsi="宋体" w:eastAsia="宋体" w:cs="宋体"/>
          <w:b/>
          <w:color w:val="auto"/>
          <w:kern w:val="0"/>
          <w:sz w:val="32"/>
          <w:szCs w:val="32"/>
          <w:highlight w:val="none"/>
        </w:rPr>
        <w:t>分包意向协议</w:t>
      </w:r>
    </w:p>
    <w:p>
      <w:pPr>
        <w:widowControl/>
        <w:spacing w:line="288" w:lineRule="auto"/>
        <w:ind w:firstLine="120" w:firstLine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中标后以分包方式履行合同的，提供分包意向协议；采购人不同意分包或者</w:t>
      </w:r>
      <w:r>
        <w:rPr>
          <w:rFonts w:hint="eastAsia" w:ascii="宋体" w:hAnsi="宋体" w:cs="宋体"/>
          <w:b/>
          <w:color w:val="auto"/>
          <w:sz w:val="24"/>
          <w:highlight w:val="none"/>
          <w:lang w:eastAsia="zh-CN"/>
        </w:rPr>
        <w:t>供应商</w:t>
      </w:r>
      <w:r>
        <w:rPr>
          <w:rFonts w:hint="eastAsia" w:ascii="宋体" w:hAnsi="宋体" w:eastAsia="宋体" w:cs="宋体"/>
          <w:b/>
          <w:color w:val="auto"/>
          <w:sz w:val="24"/>
          <w:highlight w:val="none"/>
        </w:rPr>
        <w:t>中标后不以分包方式履行合同的，则不需要提供。</w:t>
      </w:r>
      <w:r>
        <w:rPr>
          <w:rFonts w:hint="eastAsia" w:ascii="宋体" w:hAnsi="宋体" w:eastAsia="宋体" w:cs="宋体"/>
          <w:color w:val="auto"/>
          <w:sz w:val="24"/>
          <w:highlight w:val="none"/>
        </w:rPr>
        <w:t>）</w:t>
      </w:r>
    </w:p>
    <w:p>
      <w:pPr>
        <w:snapToGrid w:val="0"/>
        <w:spacing w:line="288"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w:t>
      </w:r>
      <w:r>
        <w:rPr>
          <w:rFonts w:hint="eastAsia" w:ascii="宋体" w:hAnsi="宋体" w:cs="宋体"/>
          <w:color w:val="auto"/>
          <w:kern w:val="0"/>
          <w:sz w:val="24"/>
          <w:highlight w:val="none"/>
          <w:u w:val="single"/>
          <w:lang w:eastAsia="zh-CN"/>
        </w:rPr>
        <w:t>供应商</w:t>
      </w:r>
      <w:r>
        <w:rPr>
          <w:rFonts w:hint="eastAsia" w:ascii="宋体" w:hAnsi="宋体" w:eastAsia="宋体" w:cs="宋体"/>
          <w:color w:val="auto"/>
          <w:kern w:val="0"/>
          <w:sz w:val="24"/>
          <w:highlight w:val="none"/>
          <w:u w:val="single"/>
        </w:rPr>
        <w:t>名称）</w:t>
      </w:r>
      <w:r>
        <w:rPr>
          <w:rFonts w:hint="eastAsia" w:ascii="宋体" w:hAnsi="宋体" w:eastAsia="宋体" w:cs="宋体"/>
          <w:color w:val="auto"/>
          <w:kern w:val="0"/>
          <w:sz w:val="24"/>
          <w:highlight w:val="none"/>
          <w:lang w:val="zh-CN"/>
        </w:rPr>
        <w:t>若成为</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的中标供应商，将依法采取分包方式履行合同。</w:t>
      </w:r>
      <w:r>
        <w:rPr>
          <w:rFonts w:hint="eastAsia" w:ascii="宋体" w:hAnsi="宋体" w:eastAsia="宋体" w:cs="宋体"/>
          <w:color w:val="auto"/>
          <w:kern w:val="0"/>
          <w:sz w:val="24"/>
          <w:highlight w:val="none"/>
          <w:u w:val="single"/>
        </w:rPr>
        <w:t>（</w:t>
      </w:r>
      <w:r>
        <w:rPr>
          <w:rFonts w:hint="eastAsia" w:ascii="宋体" w:hAnsi="宋体" w:cs="宋体"/>
          <w:color w:val="auto"/>
          <w:kern w:val="0"/>
          <w:sz w:val="24"/>
          <w:highlight w:val="none"/>
          <w:u w:val="single"/>
          <w:lang w:eastAsia="zh-CN"/>
        </w:rPr>
        <w:t>供应商</w:t>
      </w:r>
      <w:r>
        <w:rPr>
          <w:rFonts w:hint="eastAsia" w:ascii="宋体" w:hAnsi="宋体" w:eastAsia="宋体" w:cs="宋体"/>
          <w:color w:val="auto"/>
          <w:kern w:val="0"/>
          <w:sz w:val="24"/>
          <w:highlight w:val="none"/>
          <w:u w:val="single"/>
        </w:rPr>
        <w:t>名称）</w:t>
      </w:r>
      <w:r>
        <w:rPr>
          <w:rFonts w:hint="eastAsia" w:ascii="宋体" w:hAnsi="宋体" w:eastAsia="宋体" w:cs="宋体"/>
          <w:color w:val="auto"/>
          <w:kern w:val="0"/>
          <w:sz w:val="24"/>
          <w:highlight w:val="none"/>
        </w:rPr>
        <w:t>与</w:t>
      </w:r>
      <w:r>
        <w:rPr>
          <w:rFonts w:hint="eastAsia" w:ascii="宋体" w:hAnsi="宋体" w:eastAsia="宋体" w:cs="宋体"/>
          <w:color w:val="auto"/>
          <w:kern w:val="0"/>
          <w:sz w:val="24"/>
          <w:highlight w:val="none"/>
          <w:u w:val="single"/>
        </w:rPr>
        <w:t>（所有分包供应商名称）</w:t>
      </w:r>
      <w:r>
        <w:rPr>
          <w:rFonts w:hint="eastAsia" w:ascii="宋体" w:hAnsi="宋体" w:eastAsia="宋体" w:cs="宋体"/>
          <w:color w:val="auto"/>
          <w:kern w:val="0"/>
          <w:sz w:val="24"/>
          <w:highlight w:val="none"/>
        </w:rPr>
        <w:t>达成分包意向协议</w:t>
      </w:r>
      <w:r>
        <w:rPr>
          <w:rFonts w:hint="eastAsia" w:ascii="宋体" w:hAnsi="宋体" w:eastAsia="宋体" w:cs="宋体"/>
          <w:color w:val="auto"/>
          <w:kern w:val="0"/>
          <w:sz w:val="24"/>
          <w:highlight w:val="none"/>
          <w:lang w:val="zh-CN"/>
        </w:rPr>
        <w:t xml:space="preserve">。 </w:t>
      </w:r>
    </w:p>
    <w:p>
      <w:pPr>
        <w:snapToGrid w:val="0"/>
        <w:spacing w:line="288"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一、分包标的及数量</w:t>
      </w:r>
    </w:p>
    <w:p>
      <w:pPr>
        <w:snapToGrid w:val="0"/>
        <w:spacing w:line="288"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w:t>
      </w:r>
      <w:r>
        <w:rPr>
          <w:rFonts w:hint="eastAsia" w:ascii="宋体" w:hAnsi="宋体" w:cs="宋体"/>
          <w:color w:val="auto"/>
          <w:kern w:val="0"/>
          <w:sz w:val="24"/>
          <w:highlight w:val="none"/>
          <w:u w:val="single"/>
          <w:lang w:eastAsia="zh-CN"/>
        </w:rPr>
        <w:t>供应商</w:t>
      </w:r>
      <w:r>
        <w:rPr>
          <w:rFonts w:hint="eastAsia" w:ascii="宋体" w:hAnsi="宋体" w:eastAsia="宋体" w:cs="宋体"/>
          <w:color w:val="auto"/>
          <w:kern w:val="0"/>
          <w:sz w:val="24"/>
          <w:highlight w:val="none"/>
          <w:u w:val="single"/>
        </w:rPr>
        <w:t>名称）</w:t>
      </w:r>
      <w:r>
        <w:rPr>
          <w:rFonts w:hint="eastAsia" w:ascii="宋体" w:hAnsi="宋体" w:eastAsia="宋体" w:cs="宋体"/>
          <w:color w:val="auto"/>
          <w:kern w:val="0"/>
          <w:sz w:val="24"/>
          <w:highlight w:val="none"/>
          <w:lang w:val="zh-CN"/>
        </w:rPr>
        <w:t>将</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u w:val="single"/>
        </w:rPr>
        <w:t xml:space="preserve"> XX工作内容   </w:t>
      </w:r>
      <w:r>
        <w:rPr>
          <w:rFonts w:hint="eastAsia" w:ascii="宋体" w:hAnsi="宋体" w:eastAsia="宋体" w:cs="宋体"/>
          <w:color w:val="auto"/>
          <w:sz w:val="24"/>
          <w:highlight w:val="none"/>
        </w:rPr>
        <w:t>分包给</w:t>
      </w:r>
      <w:r>
        <w:rPr>
          <w:rFonts w:hint="eastAsia" w:ascii="宋体" w:hAnsi="宋体" w:eastAsia="宋体" w:cs="宋体"/>
          <w:color w:val="auto"/>
          <w:kern w:val="0"/>
          <w:sz w:val="24"/>
          <w:highlight w:val="none"/>
          <w:u w:val="single"/>
        </w:rPr>
        <w:t>（分包供应商1名称）</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（分包供应商2名称），</w:t>
      </w:r>
      <w:r>
        <w:rPr>
          <w:rFonts w:hint="eastAsia" w:ascii="宋体" w:hAnsi="宋体" w:eastAsia="宋体" w:cs="宋体"/>
          <w:color w:val="auto"/>
          <w:kern w:val="0"/>
          <w:sz w:val="24"/>
          <w:highlight w:val="none"/>
          <w:lang w:val="zh-CN"/>
        </w:rPr>
        <w:t>具备承</w:t>
      </w:r>
      <w:r>
        <w:rPr>
          <w:rFonts w:hint="eastAsia" w:ascii="宋体" w:hAnsi="宋体" w:eastAsia="宋体" w:cs="宋体"/>
          <w:color w:val="auto"/>
          <w:kern w:val="0"/>
          <w:sz w:val="24"/>
          <w:highlight w:val="none"/>
        </w:rPr>
        <w:t>担</w:t>
      </w:r>
      <w:r>
        <w:rPr>
          <w:rFonts w:hint="eastAsia" w:ascii="宋体" w:hAnsi="宋体" w:eastAsia="宋体" w:cs="宋体"/>
          <w:color w:val="auto"/>
          <w:kern w:val="0"/>
          <w:sz w:val="24"/>
          <w:highlight w:val="none"/>
          <w:u w:val="single"/>
          <w:lang w:val="zh-CN"/>
        </w:rPr>
        <w:t>XX工作内容</w:t>
      </w:r>
      <w:r>
        <w:rPr>
          <w:rFonts w:hint="eastAsia" w:ascii="宋体" w:hAnsi="宋体" w:eastAsia="宋体" w:cs="宋体"/>
          <w:color w:val="auto"/>
          <w:kern w:val="0"/>
          <w:sz w:val="24"/>
          <w:highlight w:val="none"/>
          <w:lang w:val="zh-CN"/>
        </w:rPr>
        <w:t>相应资质条件且不得再次分包；</w:t>
      </w:r>
    </w:p>
    <w:p>
      <w:pPr>
        <w:keepNext/>
        <w:keepLines/>
        <w:adjustRightInd/>
        <w:spacing w:line="288" w:lineRule="auto"/>
        <w:ind w:left="664" w:leftChars="316" w:firstLine="229" w:firstLineChars="95"/>
        <w:jc w:val="left"/>
        <w:outlineLvl w:val="1"/>
        <w:rPr>
          <w:rFonts w:hint="eastAsia" w:ascii="宋体" w:hAnsi="宋体" w:eastAsia="宋体" w:cs="宋体"/>
          <w:b/>
          <w:bCs/>
          <w:color w:val="auto"/>
          <w:kern w:val="0"/>
          <w:sz w:val="24"/>
          <w:highlight w:val="none"/>
          <w:lang w:val="zh-CN"/>
        </w:rPr>
      </w:pPr>
      <w:r>
        <w:rPr>
          <w:rFonts w:hint="eastAsia" w:ascii="宋体" w:hAnsi="宋体" w:eastAsia="宋体" w:cs="宋体"/>
          <w:b/>
          <w:bCs/>
          <w:color w:val="auto"/>
          <w:kern w:val="0"/>
          <w:sz w:val="24"/>
          <w:highlight w:val="none"/>
          <w:lang w:val="zh-CN"/>
        </w:rPr>
        <w:t>……</w:t>
      </w:r>
    </w:p>
    <w:p>
      <w:pPr>
        <w:spacing w:line="288" w:lineRule="auto"/>
        <w:rPr>
          <w:rFonts w:hint="eastAsia" w:ascii="宋体" w:hAnsi="宋体" w:eastAsia="宋体" w:cs="宋体"/>
          <w:color w:val="auto"/>
          <w:highlight w:val="none"/>
        </w:rPr>
      </w:pPr>
      <w:r>
        <w:rPr>
          <w:rFonts w:hint="eastAsia" w:ascii="宋体" w:hAnsi="宋体" w:eastAsia="宋体" w:cs="宋体"/>
          <w:color w:val="auto"/>
          <w:highlight w:val="none"/>
          <w:lang w:val="zh-CN"/>
        </w:rPr>
        <w:t xml:space="preserve"> </w:t>
      </w:r>
    </w:p>
    <w:p>
      <w:pPr>
        <w:snapToGrid w:val="0"/>
        <w:spacing w:line="288"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二、分包供应商中小企业合同份额</w:t>
      </w:r>
    </w:p>
    <w:p>
      <w:pPr>
        <w:snapToGrid w:val="0"/>
        <w:spacing w:line="288" w:lineRule="auto"/>
        <w:ind w:firstLine="576"/>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rPr>
        <w:t>1、</w:t>
      </w:r>
      <w:r>
        <w:rPr>
          <w:rFonts w:hint="eastAsia" w:ascii="宋体" w:hAnsi="宋体" w:eastAsia="宋体" w:cs="宋体"/>
          <w:color w:val="auto"/>
          <w:kern w:val="0"/>
          <w:sz w:val="24"/>
          <w:highlight w:val="none"/>
          <w:u w:val="single"/>
        </w:rPr>
        <w:t>（分包供应商X,……）提供的服务全部由小微企业承接，</w:t>
      </w:r>
      <w:r>
        <w:rPr>
          <w:rFonts w:hint="eastAsia" w:ascii="宋体" w:hAnsi="宋体" w:eastAsia="宋体" w:cs="宋体"/>
          <w:color w:val="auto"/>
          <w:kern w:val="0"/>
          <w:sz w:val="24"/>
          <w:highlight w:val="none"/>
        </w:rPr>
        <w:t>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highlight w:val="none"/>
        </w:rPr>
        <w:t>。</w:t>
      </w:r>
      <w:r>
        <w:rPr>
          <w:rFonts w:hint="eastAsia" w:ascii="宋体" w:hAnsi="宋体" w:eastAsia="宋体" w:cs="宋体"/>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eastAsia="宋体" w:cs="宋体"/>
          <w:b/>
          <w:color w:val="auto"/>
          <w:sz w:val="24"/>
          <w:highlight w:val="none"/>
        </w:rPr>
        <w:t>拟享受以上价格扣除政策的，填写有关内容。</w:t>
      </w:r>
      <w:r>
        <w:rPr>
          <w:rFonts w:hint="eastAsia" w:ascii="宋体" w:hAnsi="宋体" w:eastAsia="宋体" w:cs="宋体"/>
          <w:b/>
          <w:color w:val="auto"/>
          <w:kern w:val="0"/>
          <w:sz w:val="24"/>
          <w:highlight w:val="none"/>
          <w:lang w:val="zh-CN"/>
        </w:rPr>
        <w:t>）</w:t>
      </w:r>
    </w:p>
    <w:p>
      <w:pPr>
        <w:spacing w:line="288" w:lineRule="auto"/>
        <w:ind w:firstLine="480" w:firstLineChars="200"/>
        <w:rPr>
          <w:rFonts w:hint="eastAsia" w:ascii="宋体" w:hAnsi="宋体" w:eastAsia="宋体" w:cs="宋体"/>
          <w:b/>
          <w:bCs/>
          <w:color w:val="auto"/>
          <w:kern w:val="0"/>
          <w:sz w:val="24"/>
          <w:highlight w:val="none"/>
          <w:lang w:val="zh-CN"/>
        </w:rPr>
      </w:pPr>
      <w:r>
        <w:rPr>
          <w:rFonts w:hint="eastAsia" w:ascii="宋体" w:hAnsi="宋体" w:eastAsia="宋体" w:cs="宋体"/>
          <w:color w:val="auto"/>
          <w:sz w:val="24"/>
          <w:highlight w:val="none"/>
        </w:rPr>
        <w:t>2、中小企业合同金额达到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w:t>
      </w:r>
      <w:r>
        <w:rPr>
          <w:rFonts w:hint="eastAsia" w:ascii="宋体" w:hAnsi="宋体" w:eastAsia="宋体" w:cs="宋体"/>
          <w:b/>
          <w:bCs/>
          <w:color w:val="auto"/>
          <w:kern w:val="0"/>
          <w:sz w:val="24"/>
          <w:highlight w:val="none"/>
          <w:lang w:val="zh-CN"/>
        </w:rPr>
        <w:t>（</w:t>
      </w:r>
      <w:r>
        <w:rPr>
          <w:rFonts w:hint="eastAsia" w:ascii="宋体" w:hAnsi="宋体" w:eastAsia="宋体" w:cs="宋体"/>
          <w:b/>
          <w:bCs/>
          <w:color w:val="auto"/>
          <w:sz w:val="24"/>
          <w:highlight w:val="none"/>
        </w:rPr>
        <w:t>要求合同分包形式参加的项目或采购包，供应商按招标文件第一部分招标公告申请人的资格要求中规定的</w:t>
      </w:r>
      <w:r>
        <w:rPr>
          <w:rFonts w:hint="eastAsia" w:ascii="宋体" w:hAnsi="宋体" w:eastAsia="宋体" w:cs="宋体"/>
          <w:b/>
          <w:color w:val="auto"/>
          <w:kern w:val="0"/>
          <w:sz w:val="24"/>
          <w:highlight w:val="none"/>
          <w:lang w:val="zh-CN"/>
        </w:rPr>
        <w:t>分包意向协议</w:t>
      </w:r>
      <w:r>
        <w:rPr>
          <w:rFonts w:hint="eastAsia" w:ascii="宋体" w:hAnsi="宋体" w:eastAsia="宋体" w:cs="宋体"/>
          <w:b/>
          <w:bCs/>
          <w:color w:val="auto"/>
          <w:sz w:val="24"/>
          <w:highlight w:val="none"/>
        </w:rPr>
        <w:t>中中小企业、小微企业合同金额应当达到的比例要求填写。</w:t>
      </w:r>
      <w:r>
        <w:rPr>
          <w:rFonts w:hint="eastAsia" w:ascii="宋体" w:hAnsi="宋体" w:eastAsia="宋体" w:cs="宋体"/>
          <w:b/>
          <w:bCs/>
          <w:color w:val="auto"/>
          <w:kern w:val="0"/>
          <w:sz w:val="24"/>
          <w:highlight w:val="none"/>
          <w:lang w:val="zh-CN"/>
        </w:rPr>
        <w:t>）</w:t>
      </w:r>
    </w:p>
    <w:p>
      <w:pPr>
        <w:snapToGrid w:val="0"/>
        <w:spacing w:line="288"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三、分包工作履行期限、地点、方式</w:t>
      </w:r>
    </w:p>
    <w:p>
      <w:pPr>
        <w:snapToGrid w:val="0"/>
        <w:spacing w:line="288" w:lineRule="auto"/>
        <w:ind w:firstLine="576"/>
        <w:rPr>
          <w:rFonts w:hint="eastAsia" w:ascii="宋体" w:hAnsi="宋体" w:eastAsia="宋体" w:cs="宋体"/>
          <w:color w:val="auto"/>
          <w:highlight w:val="none"/>
          <w:u w:val="single"/>
        </w:rPr>
      </w:pPr>
      <w:r>
        <w:rPr>
          <w:rFonts w:hint="eastAsia" w:ascii="宋体" w:hAnsi="宋体" w:eastAsia="宋体" w:cs="宋体"/>
          <w:color w:val="auto"/>
          <w:highlight w:val="none"/>
          <w:u w:val="single"/>
        </w:rPr>
        <w:t xml:space="preserve">                                                                                  </w:t>
      </w:r>
    </w:p>
    <w:p>
      <w:pPr>
        <w:snapToGrid w:val="0"/>
        <w:spacing w:line="288"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四、质量</w:t>
      </w:r>
    </w:p>
    <w:p>
      <w:pPr>
        <w:snapToGrid w:val="0"/>
        <w:spacing w:line="288"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288"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五、价款或者报酬</w:t>
      </w:r>
    </w:p>
    <w:p>
      <w:pPr>
        <w:snapToGrid w:val="0"/>
        <w:spacing w:line="288"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288"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六、违约责任</w:t>
      </w:r>
    </w:p>
    <w:p>
      <w:pPr>
        <w:snapToGrid w:val="0"/>
        <w:spacing w:line="288"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288"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七、争议解决的办法</w:t>
      </w:r>
    </w:p>
    <w:p>
      <w:pPr>
        <w:snapToGrid w:val="0"/>
        <w:spacing w:line="288"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288"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八、其他</w:t>
      </w:r>
    </w:p>
    <w:p>
      <w:pPr>
        <w:snapToGrid w:val="0"/>
        <w:spacing w:line="288" w:lineRule="auto"/>
        <w:ind w:left="5758" w:leftChars="342" w:hanging="5040" w:hangingChars="2100"/>
        <w:rPr>
          <w:rFonts w:hint="eastAsia" w:ascii="宋体" w:hAnsi="宋体" w:eastAsia="宋体" w:cs="宋体"/>
          <w:color w:val="auto"/>
          <w:kern w:val="0"/>
          <w:sz w:val="24"/>
          <w:highlight w:val="none"/>
          <w:lang w:val="zh-CN"/>
        </w:rPr>
      </w:pPr>
      <w:r>
        <w:rPr>
          <w:rFonts w:hint="eastAsia" w:ascii="宋体" w:hAnsi="宋体" w:eastAsia="宋体" w:cs="宋体"/>
          <w:color w:val="auto"/>
          <w:sz w:val="24"/>
          <w:highlight w:val="none"/>
        </w:rPr>
        <w:t>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 xml:space="preserve">  。                                           </w:t>
      </w:r>
      <w:r>
        <w:rPr>
          <w:rFonts w:hint="eastAsia" w:ascii="宋体" w:hAnsi="宋体" w:cs="宋体"/>
          <w:color w:val="auto"/>
          <w:kern w:val="0"/>
          <w:sz w:val="24"/>
          <w:highlight w:val="none"/>
          <w:lang w:val="zh-CN"/>
        </w:rPr>
        <w:t>供应商</w:t>
      </w:r>
      <w:r>
        <w:rPr>
          <w:rFonts w:hint="eastAsia" w:ascii="宋体" w:hAnsi="宋体" w:eastAsia="宋体" w:cs="宋体"/>
          <w:color w:val="auto"/>
          <w:kern w:val="0"/>
          <w:sz w:val="24"/>
          <w:highlight w:val="none"/>
          <w:lang w:val="zh-CN"/>
        </w:rPr>
        <w:t>名称(电子签名)：</w:t>
      </w:r>
    </w:p>
    <w:p>
      <w:pPr>
        <w:snapToGrid w:val="0"/>
        <w:spacing w:line="288"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分包供应商名称(电子签名/公章)：</w:t>
      </w:r>
    </w:p>
    <w:p>
      <w:pPr>
        <w:snapToGrid w:val="0"/>
        <w:spacing w:line="288"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napToGrid w:val="0"/>
        <w:spacing w:line="288" w:lineRule="auto"/>
        <w:ind w:left="5758" w:leftChars="342" w:hanging="5040" w:hanging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spacing w:line="360" w:lineRule="auto"/>
        <w:jc w:val="left"/>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p>
    <w:p>
      <w:pPr>
        <w:spacing w:line="360" w:lineRule="auto"/>
        <w:jc w:val="left"/>
        <w:outlineLvl w:val="0"/>
        <w:rPr>
          <w:rFonts w:hint="eastAsia" w:ascii="宋体" w:hAnsi="宋体" w:eastAsia="宋体" w:cs="宋体"/>
          <w:b/>
          <w:color w:val="auto"/>
          <w:sz w:val="36"/>
          <w:szCs w:val="20"/>
          <w:highlight w:val="none"/>
        </w:rPr>
      </w:pPr>
      <w:r>
        <w:rPr>
          <w:rFonts w:hint="eastAsia" w:ascii="宋体" w:hAnsi="宋体" w:eastAsia="宋体" w:cs="宋体"/>
          <w:b/>
          <w:color w:val="auto"/>
          <w:spacing w:val="6"/>
          <w:sz w:val="32"/>
          <w:szCs w:val="32"/>
          <w:highlight w:val="none"/>
        </w:rPr>
        <w:t>附件7</w:t>
      </w:r>
      <w:r>
        <w:rPr>
          <w:rFonts w:hint="eastAsia" w:ascii="宋体" w:hAnsi="宋体" w:eastAsia="宋体" w:cs="宋体"/>
          <w:b/>
          <w:color w:val="auto"/>
          <w:sz w:val="36"/>
          <w:szCs w:val="20"/>
          <w:highlight w:val="none"/>
        </w:rPr>
        <w:t>：中小企业声明函</w:t>
      </w:r>
    </w:p>
    <w:p>
      <w:pPr>
        <w:spacing w:line="288"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中小企业声明函（服务）</w:t>
      </w:r>
    </w:p>
    <w:p>
      <w:pPr>
        <w:spacing w:line="288" w:lineRule="auto"/>
        <w:ind w:firstLine="360" w:firstLineChars="1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eastAsia="宋体" w:cs="宋体"/>
          <w:color w:val="auto"/>
          <w:sz w:val="24"/>
          <w:highlight w:val="none"/>
          <w:u w:val="single"/>
        </w:rPr>
        <w:t xml:space="preserve">（采购人） </w:t>
      </w:r>
      <w:r>
        <w:rPr>
          <w:rFonts w:hint="eastAsia" w:ascii="宋体" w:hAnsi="宋体" w:eastAsia="宋体" w:cs="宋体"/>
          <w:color w:val="auto"/>
          <w:sz w:val="24"/>
          <w:highlight w:val="none"/>
        </w:rPr>
        <w:t>的</w:t>
      </w:r>
      <w:r>
        <w:rPr>
          <w:rFonts w:hint="eastAsia" w:ascii="宋体" w:hAnsi="宋体" w:eastAsia="宋体" w:cs="宋体"/>
          <w:color w:val="auto"/>
          <w:sz w:val="24"/>
          <w:highlight w:val="none"/>
          <w:u w:val="single"/>
        </w:rPr>
        <w:t xml:space="preserve"> （项目名称） </w:t>
      </w:r>
      <w:r>
        <w:rPr>
          <w:rFonts w:hint="eastAsia" w:ascii="宋体" w:hAnsi="宋体" w:eastAsia="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288"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u w:val="single"/>
        </w:rPr>
        <w:t>（城镇住房综合保险）</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rPr>
        <w:t xml:space="preserve"> （其他未列明行业）</w:t>
      </w:r>
      <w:r>
        <w:rPr>
          <w:rFonts w:hint="eastAsia" w:ascii="宋体" w:hAnsi="宋体" w:eastAsia="宋体" w:cs="宋体"/>
          <w:color w:val="auto"/>
          <w:sz w:val="24"/>
          <w:highlight w:val="none"/>
        </w:rPr>
        <w:t xml:space="preserve"> ；承建（承接）企业为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 </w:t>
      </w:r>
      <w:r>
        <w:rPr>
          <w:rFonts w:hint="eastAsia" w:ascii="宋体" w:hAnsi="宋体" w:eastAsia="宋体" w:cs="宋体"/>
          <w:color w:val="auto"/>
          <w:sz w:val="24"/>
          <w:highlight w:val="none"/>
        </w:rPr>
        <w:t>；</w:t>
      </w:r>
    </w:p>
    <w:p>
      <w:pPr>
        <w:spacing w:line="288"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u w:val="single"/>
        </w:rPr>
        <w:t>（城镇房屋安全动态监测）</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rPr>
        <w:t xml:space="preserve"> （其他未列明行业）</w:t>
      </w:r>
      <w:r>
        <w:rPr>
          <w:rFonts w:hint="eastAsia" w:ascii="宋体" w:hAnsi="宋体" w:eastAsia="宋体" w:cs="宋体"/>
          <w:color w:val="auto"/>
          <w:sz w:val="24"/>
          <w:highlight w:val="none"/>
        </w:rPr>
        <w:t xml:space="preserve"> ；承建（承接）企业为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 </w:t>
      </w:r>
      <w:r>
        <w:rPr>
          <w:rFonts w:hint="eastAsia" w:ascii="宋体" w:hAnsi="宋体" w:eastAsia="宋体" w:cs="宋体"/>
          <w:color w:val="auto"/>
          <w:sz w:val="24"/>
          <w:highlight w:val="none"/>
        </w:rPr>
        <w:t>；</w:t>
      </w:r>
    </w:p>
    <w:p>
      <w:pPr>
        <w:spacing w:line="288"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pacing w:line="288"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spacing w:line="288"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本企业对上述声明内容的真实性负责。如有虚假，将依法承担相应责任。</w:t>
      </w:r>
    </w:p>
    <w:p>
      <w:pPr>
        <w:spacing w:line="288" w:lineRule="auto"/>
        <w:ind w:right="1760"/>
        <w:jc w:val="right"/>
        <w:rPr>
          <w:rFonts w:hint="eastAsia" w:ascii="宋体" w:hAnsi="宋体" w:eastAsia="宋体" w:cs="宋体"/>
          <w:color w:val="auto"/>
          <w:sz w:val="24"/>
          <w:highlight w:val="none"/>
        </w:rPr>
      </w:pPr>
      <w:r>
        <w:rPr>
          <w:rFonts w:hint="eastAsia" w:ascii="宋体" w:hAnsi="宋体" w:cs="宋体"/>
          <w:color w:val="auto"/>
          <w:sz w:val="24"/>
          <w:highlight w:val="none"/>
          <w:lang w:eastAsia="zh-CN"/>
        </w:rPr>
        <w:t>供应商</w:t>
      </w:r>
      <w:r>
        <w:rPr>
          <w:rFonts w:hint="eastAsia" w:ascii="宋体" w:hAnsi="宋体" w:eastAsia="宋体" w:cs="宋体"/>
          <w:color w:val="auto"/>
          <w:sz w:val="24"/>
          <w:highlight w:val="none"/>
        </w:rPr>
        <w:t>名称（电子签名）：</w:t>
      </w:r>
    </w:p>
    <w:p>
      <w:pPr>
        <w:spacing w:line="288" w:lineRule="auto"/>
        <w:ind w:right="1120" w:firstLine="4680" w:firstLineChars="195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p>
    <w:p>
      <w:pPr>
        <w:spacing w:line="288" w:lineRule="auto"/>
        <w:ind w:firstLine="310" w:firstLineChars="147"/>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从业人员、营业收入、资产总额填报上一年度数据，无上一年度数据的新成立企业可不填报。</w:t>
      </w:r>
    </w:p>
    <w:p>
      <w:pPr>
        <w:spacing w:line="288"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w:t>
      </w:r>
    </w:p>
    <w:p>
      <w:pPr>
        <w:spacing w:line="288" w:lineRule="auto"/>
        <w:ind w:right="42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1、填写要求：①“标的名称”、“采购文件中明确的所属行业”依据招标文件第二部分</w:t>
      </w:r>
      <w:r>
        <w:rPr>
          <w:rFonts w:hint="eastAsia" w:ascii="宋体" w:hAnsi="宋体" w:cs="宋体"/>
          <w:color w:val="auto"/>
          <w:sz w:val="24"/>
          <w:highlight w:val="none"/>
          <w:lang w:eastAsia="zh-CN"/>
        </w:rPr>
        <w:t>供应商</w:t>
      </w:r>
      <w:r>
        <w:rPr>
          <w:rFonts w:hint="eastAsia" w:ascii="宋体" w:hAnsi="宋体" w:eastAsia="宋体" w:cs="宋体"/>
          <w:color w:val="auto"/>
          <w:sz w:val="24"/>
          <w:highlight w:val="none"/>
        </w:rPr>
        <w:t>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w:t>
      </w:r>
      <w:r>
        <w:rPr>
          <w:rFonts w:hint="eastAsia" w:ascii="宋体" w:hAnsi="宋体" w:cs="宋体"/>
          <w:color w:val="auto"/>
          <w:sz w:val="24"/>
          <w:highlight w:val="none"/>
          <w:lang w:eastAsia="zh-CN"/>
        </w:rPr>
        <w:t>供应商提供的《中小企业声明函》与实际情况不符的或者未按以上要求填写的，中小企业声明函无效，不享受中小企业扶持政策（其中：对于《中小企业声明函》填写如存在明显笔误、中小企业声明函同一内容前后不一致等情况，可要求供应商澄清修改，澄清修改后符合中小企业条件的供应商，可以享受中小企业扶持政策）。声明内容不实的，属于提供虚假材料谋取中标、成交的，依法承担法律责任</w:t>
      </w:r>
      <w:r>
        <w:rPr>
          <w:rFonts w:hint="eastAsia" w:ascii="宋体" w:hAnsi="宋体" w:eastAsia="宋体" w:cs="宋体"/>
          <w:color w:val="auto"/>
          <w:sz w:val="24"/>
          <w:highlight w:val="none"/>
        </w:rPr>
        <w:t>。</w:t>
      </w:r>
    </w:p>
    <w:p>
      <w:pPr>
        <w:spacing w:line="288" w:lineRule="auto"/>
        <w:ind w:right="42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w:t>
      </w:r>
      <w:r>
        <w:rPr>
          <w:rFonts w:hint="eastAsia" w:ascii="宋体" w:hAnsi="宋体" w:cs="宋体"/>
          <w:color w:val="auto"/>
          <w:sz w:val="24"/>
          <w:highlight w:val="none"/>
          <w:lang w:eastAsia="zh-CN"/>
        </w:rPr>
        <w:t>供应商</w:t>
      </w:r>
      <w:r>
        <w:rPr>
          <w:rFonts w:hint="eastAsia" w:ascii="宋体" w:hAnsi="宋体" w:eastAsia="宋体" w:cs="宋体"/>
          <w:color w:val="auto"/>
          <w:sz w:val="24"/>
          <w:highlight w:val="none"/>
        </w:rPr>
        <w:t>提供由省级以上监狱管理局、戒毒管理局（含新疆生产建设兵团）出具的属于监狱企业证明文件的，视同为小型和微型企业。</w:t>
      </w:r>
    </w:p>
    <w:p>
      <w:pPr>
        <w:spacing w:line="288" w:lineRule="auto"/>
        <w:ind w:right="420" w:firstLine="480" w:firstLineChars="200"/>
        <w:rPr>
          <w:rFonts w:hint="eastAsia" w:ascii="宋体" w:hAnsi="宋体" w:eastAsia="宋体" w:cs="宋体"/>
          <w:bCs/>
          <w:color w:val="auto"/>
          <w:sz w:val="24"/>
          <w:highlight w:val="none"/>
        </w:rPr>
      </w:pPr>
      <w:r>
        <w:rPr>
          <w:rFonts w:hint="eastAsia" w:ascii="宋体" w:hAnsi="宋体" w:eastAsia="宋体" w:cs="宋体"/>
          <w:color w:val="auto"/>
          <w:sz w:val="24"/>
          <w:highlight w:val="none"/>
        </w:rPr>
        <w:t>3、</w:t>
      </w:r>
      <w:r>
        <w:rPr>
          <w:rFonts w:hint="eastAsia" w:ascii="宋体" w:hAnsi="宋体" w:eastAsia="宋体" w:cs="宋体"/>
          <w:color w:val="auto"/>
          <w:sz w:val="24"/>
          <w:highlight w:val="none"/>
          <w:lang w:bidi="ar"/>
        </w:rPr>
        <w:t>本项目对应的中小企业划分标准所属行业：</w:t>
      </w:r>
      <w:r>
        <w:rPr>
          <w:rFonts w:hint="eastAsia" w:ascii="宋体" w:hAnsi="宋体" w:eastAsia="宋体" w:cs="宋体"/>
          <w:color w:val="auto"/>
          <w:sz w:val="24"/>
          <w:highlight w:val="none"/>
          <w:u w:val="single"/>
        </w:rPr>
        <w:t>其他未列明行业</w:t>
      </w:r>
      <w:r>
        <w:rPr>
          <w:rFonts w:hint="eastAsia" w:ascii="宋体" w:hAnsi="宋体" w:eastAsia="宋体" w:cs="宋体"/>
          <w:color w:val="auto"/>
          <w:sz w:val="24"/>
          <w:highlight w:val="none"/>
        </w:rPr>
        <w:t>。划分标准：从业人员300人以下的为中小微型企业。其中，从业人员100人及以上的为中型企业；从业人员10人及以上的为小型企业；从业人员10人以下的为微型企业</w:t>
      </w:r>
      <w:r>
        <w:rPr>
          <w:rFonts w:hint="eastAsia" w:ascii="宋体" w:hAnsi="宋体" w:eastAsia="宋体" w:cs="宋体"/>
          <w:color w:val="auto"/>
          <w:sz w:val="24"/>
          <w:highlight w:val="none"/>
          <w:lang w:bidi="ar"/>
        </w:rPr>
        <w:t>。</w:t>
      </w: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auto"/>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auto"/>
    <w:pitch w:val="default"/>
    <w:sig w:usb0="FFFFFFFF" w:usb1="E9FFFFFF" w:usb2="0000003F" w:usb3="00000000" w:csb0="603F01FF" w:csb1="FFFF0000"/>
  </w:font>
  <w:font w:name="Helvetica">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szCs w:val="24"/>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69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69</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68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68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ascii="仿宋_GB2312" w:eastAsia="仿宋_GB2312"/>
        <w:sz w:val="18"/>
        <w:szCs w:val="18"/>
      </w:rPr>
    </w:pPr>
    <w:r>
      <w:rPr>
        <w:rFonts w:hint="eastAsia" w:ascii="仿宋_GB2312" w:eastAsia="仿宋_GB2312"/>
        <w:kern w:val="0"/>
        <w:sz w:val="18"/>
        <w:szCs w:val="18"/>
      </w:rPr>
      <w:t xml:space="preserve">第 </w:t>
    </w:r>
    <w:r>
      <w:rPr>
        <w:rFonts w:hint="eastAsia" w:ascii="仿宋_GB2312" w:eastAsia="仿宋_GB2312"/>
        <w:kern w:val="0"/>
        <w:sz w:val="18"/>
        <w:szCs w:val="18"/>
      </w:rPr>
      <w:fldChar w:fldCharType="begin"/>
    </w:r>
    <w:r>
      <w:rPr>
        <w:rFonts w:hint="eastAsia" w:ascii="仿宋_GB2312" w:eastAsia="仿宋_GB2312"/>
        <w:kern w:val="0"/>
        <w:sz w:val="18"/>
        <w:szCs w:val="18"/>
      </w:rPr>
      <w:instrText xml:space="preserve"> PAGE </w:instrText>
    </w:r>
    <w:r>
      <w:rPr>
        <w:rFonts w:hint="eastAsia" w:ascii="仿宋_GB2312" w:eastAsia="仿宋_GB2312"/>
        <w:kern w:val="0"/>
        <w:sz w:val="18"/>
        <w:szCs w:val="18"/>
      </w:rPr>
      <w:fldChar w:fldCharType="separate"/>
    </w:r>
    <w:r>
      <w:rPr>
        <w:rFonts w:ascii="仿宋_GB2312" w:eastAsia="仿宋_GB2312"/>
        <w:kern w:val="0"/>
        <w:sz w:val="18"/>
        <w:szCs w:val="18"/>
      </w:rPr>
      <w:t>52</w:t>
    </w:r>
    <w:r>
      <w:rPr>
        <w:rFonts w:hint="eastAsia" w:ascii="仿宋_GB2312" w:eastAsia="仿宋_GB2312"/>
        <w:kern w:val="0"/>
        <w:sz w:val="18"/>
        <w:szCs w:val="18"/>
      </w:rPr>
      <w:fldChar w:fldCharType="end"/>
    </w:r>
    <w:r>
      <w:rPr>
        <w:rFonts w:hint="eastAsia" w:ascii="仿宋_GB2312" w:eastAsia="仿宋_GB2312"/>
        <w:kern w:val="0"/>
        <w:sz w:val="18"/>
        <w:szCs w:val="18"/>
      </w:rPr>
      <w:t xml:space="preserve"> 页 共 </w:t>
    </w:r>
    <w:r>
      <w:rPr>
        <w:rFonts w:hint="eastAsia" w:ascii="仿宋_GB2312" w:eastAsia="仿宋_GB2312"/>
        <w:kern w:val="0"/>
        <w:sz w:val="18"/>
        <w:szCs w:val="18"/>
      </w:rPr>
      <w:fldChar w:fldCharType="begin"/>
    </w:r>
    <w:r>
      <w:rPr>
        <w:rFonts w:hint="eastAsia" w:ascii="仿宋_GB2312" w:eastAsia="仿宋_GB2312"/>
        <w:kern w:val="0"/>
        <w:sz w:val="18"/>
        <w:szCs w:val="18"/>
      </w:rPr>
      <w:instrText xml:space="preserve"> NUMPAGES </w:instrText>
    </w:r>
    <w:r>
      <w:rPr>
        <w:rFonts w:hint="eastAsia" w:ascii="仿宋_GB2312" w:eastAsia="仿宋_GB2312"/>
        <w:kern w:val="0"/>
        <w:sz w:val="18"/>
        <w:szCs w:val="18"/>
      </w:rPr>
      <w:fldChar w:fldCharType="separate"/>
    </w:r>
    <w:r>
      <w:rPr>
        <w:rFonts w:ascii="仿宋_GB2312" w:eastAsia="仿宋_GB2312"/>
        <w:kern w:val="0"/>
        <w:sz w:val="18"/>
        <w:szCs w:val="18"/>
      </w:rPr>
      <w:t>71</w:t>
    </w:r>
    <w:r>
      <w:rPr>
        <w:rFonts w:hint="eastAsia" w:ascii="仿宋_GB2312" w:eastAsia="仿宋_GB2312"/>
        <w:kern w:val="0"/>
        <w:sz w:val="18"/>
        <w:szCs w:val="18"/>
      </w:rPr>
      <w:fldChar w:fldCharType="end"/>
    </w:r>
    <w:r>
      <w:rPr>
        <w:rFonts w:hint="eastAsia" w:ascii="仿宋_GB2312" w:eastAsia="仿宋_GB2312"/>
        <w:kern w:val="0"/>
        <w:sz w:val="18"/>
        <w:szCs w:val="18"/>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ascii="仿宋_GB2312" w:eastAsia="仿宋_GB2312"/>
        <w:sz w:val="18"/>
        <w:szCs w:val="18"/>
      </w:rPr>
    </w:pPr>
    <w:r>
      <w:rPr>
        <w:rFonts w:hint="eastAsia" w:ascii="仿宋_GB2312" w:eastAsia="仿宋_GB2312"/>
        <w:kern w:val="0"/>
        <w:sz w:val="18"/>
        <w:szCs w:val="18"/>
      </w:rPr>
      <w:t xml:space="preserve">第 </w:t>
    </w:r>
    <w:r>
      <w:rPr>
        <w:rFonts w:hint="eastAsia" w:ascii="仿宋_GB2312" w:eastAsia="仿宋_GB2312"/>
        <w:kern w:val="0"/>
        <w:sz w:val="18"/>
        <w:szCs w:val="18"/>
      </w:rPr>
      <w:fldChar w:fldCharType="begin"/>
    </w:r>
    <w:r>
      <w:rPr>
        <w:rFonts w:hint="eastAsia" w:ascii="仿宋_GB2312" w:eastAsia="仿宋_GB2312"/>
        <w:kern w:val="0"/>
        <w:sz w:val="18"/>
        <w:szCs w:val="18"/>
      </w:rPr>
      <w:instrText xml:space="preserve"> PAGE </w:instrText>
    </w:r>
    <w:r>
      <w:rPr>
        <w:rFonts w:hint="eastAsia" w:ascii="仿宋_GB2312" w:eastAsia="仿宋_GB2312"/>
        <w:kern w:val="0"/>
        <w:sz w:val="18"/>
        <w:szCs w:val="18"/>
      </w:rPr>
      <w:fldChar w:fldCharType="separate"/>
    </w:r>
    <w:r>
      <w:rPr>
        <w:rFonts w:ascii="仿宋_GB2312" w:eastAsia="仿宋_GB2312"/>
        <w:kern w:val="0"/>
        <w:sz w:val="18"/>
        <w:szCs w:val="18"/>
      </w:rPr>
      <w:t>33</w:t>
    </w:r>
    <w:r>
      <w:rPr>
        <w:rFonts w:hint="eastAsia" w:ascii="仿宋_GB2312" w:eastAsia="仿宋_GB2312"/>
        <w:kern w:val="0"/>
        <w:sz w:val="18"/>
        <w:szCs w:val="18"/>
      </w:rPr>
      <w:fldChar w:fldCharType="end"/>
    </w:r>
    <w:r>
      <w:rPr>
        <w:rFonts w:hint="eastAsia" w:ascii="仿宋_GB2312" w:eastAsia="仿宋_GB2312"/>
        <w:kern w:val="0"/>
        <w:sz w:val="18"/>
        <w:szCs w:val="18"/>
      </w:rPr>
      <w:t xml:space="preserve"> 页 共 </w:t>
    </w:r>
    <w:r>
      <w:rPr>
        <w:rFonts w:hint="eastAsia" w:ascii="仿宋_GB2312" w:eastAsia="仿宋_GB2312"/>
        <w:kern w:val="0"/>
        <w:sz w:val="18"/>
        <w:szCs w:val="18"/>
      </w:rPr>
      <w:fldChar w:fldCharType="begin"/>
    </w:r>
    <w:r>
      <w:rPr>
        <w:rFonts w:hint="eastAsia" w:ascii="仿宋_GB2312" w:eastAsia="仿宋_GB2312"/>
        <w:kern w:val="0"/>
        <w:sz w:val="18"/>
        <w:szCs w:val="18"/>
      </w:rPr>
      <w:instrText xml:space="preserve"> NUMPAGES </w:instrText>
    </w:r>
    <w:r>
      <w:rPr>
        <w:rFonts w:hint="eastAsia" w:ascii="仿宋_GB2312" w:eastAsia="仿宋_GB2312"/>
        <w:kern w:val="0"/>
        <w:sz w:val="18"/>
        <w:szCs w:val="18"/>
      </w:rPr>
      <w:fldChar w:fldCharType="separate"/>
    </w:r>
    <w:r>
      <w:rPr>
        <w:rFonts w:ascii="仿宋_GB2312" w:eastAsia="仿宋_GB2312"/>
        <w:kern w:val="0"/>
        <w:sz w:val="18"/>
        <w:szCs w:val="18"/>
      </w:rPr>
      <w:t>71</w:t>
    </w:r>
    <w:r>
      <w:rPr>
        <w:rFonts w:hint="eastAsia" w:ascii="仿宋_GB2312" w:eastAsia="仿宋_GB2312"/>
        <w:kern w:val="0"/>
        <w:sz w:val="18"/>
        <w:szCs w:val="18"/>
      </w:rPr>
      <w:fldChar w:fldCharType="end"/>
    </w:r>
    <w:r>
      <w:rPr>
        <w:rFonts w:hint="eastAsia" w:ascii="仿宋_GB2312" w:eastAsia="仿宋_GB2312"/>
        <w:kern w:val="0"/>
        <w:sz w:val="18"/>
        <w:szCs w:val="18"/>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ascii="仿宋_GB2312" w:eastAsia="仿宋_GB2312"/>
        <w:sz w:val="18"/>
        <w:szCs w:val="18"/>
      </w:rPr>
    </w:pPr>
    <w:r>
      <w:rPr>
        <w:rFonts w:hint="eastAsia" w:ascii="仿宋_GB2312" w:eastAsia="仿宋_GB2312"/>
        <w:kern w:val="0"/>
        <w:sz w:val="18"/>
        <w:szCs w:val="18"/>
      </w:rPr>
      <w:t xml:space="preserve">第 </w:t>
    </w:r>
    <w:r>
      <w:rPr>
        <w:rFonts w:hint="eastAsia" w:ascii="仿宋_GB2312" w:eastAsia="仿宋_GB2312"/>
        <w:kern w:val="0"/>
        <w:sz w:val="18"/>
        <w:szCs w:val="18"/>
      </w:rPr>
      <w:fldChar w:fldCharType="begin"/>
    </w:r>
    <w:r>
      <w:rPr>
        <w:rFonts w:hint="eastAsia" w:ascii="仿宋_GB2312" w:eastAsia="仿宋_GB2312"/>
        <w:kern w:val="0"/>
        <w:sz w:val="18"/>
        <w:szCs w:val="18"/>
      </w:rPr>
      <w:instrText xml:space="preserve"> PAGE </w:instrText>
    </w:r>
    <w:r>
      <w:rPr>
        <w:rFonts w:hint="eastAsia" w:ascii="仿宋_GB2312" w:eastAsia="仿宋_GB2312"/>
        <w:kern w:val="0"/>
        <w:sz w:val="18"/>
        <w:szCs w:val="18"/>
      </w:rPr>
      <w:fldChar w:fldCharType="separate"/>
    </w:r>
    <w:r>
      <w:rPr>
        <w:rFonts w:ascii="仿宋_GB2312" w:eastAsia="仿宋_GB2312"/>
        <w:kern w:val="0"/>
        <w:sz w:val="18"/>
        <w:szCs w:val="18"/>
      </w:rPr>
      <w:t>55</w:t>
    </w:r>
    <w:r>
      <w:rPr>
        <w:rFonts w:hint="eastAsia" w:ascii="仿宋_GB2312" w:eastAsia="仿宋_GB2312"/>
        <w:kern w:val="0"/>
        <w:sz w:val="18"/>
        <w:szCs w:val="18"/>
      </w:rPr>
      <w:fldChar w:fldCharType="end"/>
    </w:r>
    <w:r>
      <w:rPr>
        <w:rFonts w:hint="eastAsia" w:ascii="仿宋_GB2312" w:eastAsia="仿宋_GB2312"/>
        <w:kern w:val="0"/>
        <w:sz w:val="18"/>
        <w:szCs w:val="18"/>
      </w:rPr>
      <w:t xml:space="preserve"> 页 共 </w:t>
    </w:r>
    <w:r>
      <w:rPr>
        <w:rFonts w:hint="eastAsia" w:ascii="仿宋_GB2312" w:eastAsia="仿宋_GB2312"/>
        <w:kern w:val="0"/>
        <w:sz w:val="18"/>
        <w:szCs w:val="18"/>
      </w:rPr>
      <w:fldChar w:fldCharType="begin"/>
    </w:r>
    <w:r>
      <w:rPr>
        <w:rFonts w:hint="eastAsia" w:ascii="仿宋_GB2312" w:eastAsia="仿宋_GB2312"/>
        <w:kern w:val="0"/>
        <w:sz w:val="18"/>
        <w:szCs w:val="18"/>
      </w:rPr>
      <w:instrText xml:space="preserve"> NUMPAGES </w:instrText>
    </w:r>
    <w:r>
      <w:rPr>
        <w:rFonts w:hint="eastAsia" w:ascii="仿宋_GB2312" w:eastAsia="仿宋_GB2312"/>
        <w:kern w:val="0"/>
        <w:sz w:val="18"/>
        <w:szCs w:val="18"/>
      </w:rPr>
      <w:fldChar w:fldCharType="separate"/>
    </w:r>
    <w:r>
      <w:rPr>
        <w:rFonts w:ascii="仿宋_GB2312" w:eastAsia="仿宋_GB2312"/>
        <w:kern w:val="0"/>
        <w:sz w:val="18"/>
        <w:szCs w:val="18"/>
      </w:rPr>
      <w:t>71</w:t>
    </w:r>
    <w:r>
      <w:rPr>
        <w:rFonts w:hint="eastAsia" w:ascii="仿宋_GB2312" w:eastAsia="仿宋_GB2312"/>
        <w:kern w:val="0"/>
        <w:sz w:val="18"/>
        <w:szCs w:val="18"/>
      </w:rPr>
      <w:fldChar w:fldCharType="end"/>
    </w:r>
    <w:r>
      <w:rPr>
        <w:rFonts w:hint="eastAsia" w:ascii="仿宋_GB2312" w:eastAsia="仿宋_GB2312"/>
        <w:kern w:val="0"/>
        <w:sz w:val="18"/>
        <w:szCs w:val="18"/>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ascii="仿宋_GB2312" w:eastAsia="仿宋_GB2312"/>
        <w:sz w:val="18"/>
        <w:szCs w:val="18"/>
      </w:rPr>
    </w:pPr>
    <w:r>
      <w:rPr>
        <w:rFonts w:hint="eastAsia" w:ascii="仿宋_GB2312" w:eastAsia="仿宋_GB2312"/>
        <w:kern w:val="0"/>
        <w:sz w:val="18"/>
        <w:szCs w:val="18"/>
      </w:rPr>
      <w:t xml:space="preserve">第 </w:t>
    </w:r>
    <w:r>
      <w:rPr>
        <w:rFonts w:hint="eastAsia" w:ascii="仿宋_GB2312" w:eastAsia="仿宋_GB2312"/>
        <w:kern w:val="0"/>
        <w:sz w:val="18"/>
        <w:szCs w:val="18"/>
      </w:rPr>
      <w:fldChar w:fldCharType="begin"/>
    </w:r>
    <w:r>
      <w:rPr>
        <w:rFonts w:hint="eastAsia" w:ascii="仿宋_GB2312" w:eastAsia="仿宋_GB2312"/>
        <w:kern w:val="0"/>
        <w:sz w:val="18"/>
        <w:szCs w:val="18"/>
      </w:rPr>
      <w:instrText xml:space="preserve"> PAGE </w:instrText>
    </w:r>
    <w:r>
      <w:rPr>
        <w:rFonts w:hint="eastAsia" w:ascii="仿宋_GB2312" w:eastAsia="仿宋_GB2312"/>
        <w:kern w:val="0"/>
        <w:sz w:val="18"/>
        <w:szCs w:val="18"/>
      </w:rPr>
      <w:fldChar w:fldCharType="separate"/>
    </w:r>
    <w:r>
      <w:rPr>
        <w:rFonts w:ascii="仿宋_GB2312" w:eastAsia="仿宋_GB2312"/>
        <w:kern w:val="0"/>
        <w:sz w:val="18"/>
        <w:szCs w:val="18"/>
      </w:rPr>
      <w:t>53</w:t>
    </w:r>
    <w:r>
      <w:rPr>
        <w:rFonts w:hint="eastAsia" w:ascii="仿宋_GB2312" w:eastAsia="仿宋_GB2312"/>
        <w:kern w:val="0"/>
        <w:sz w:val="18"/>
        <w:szCs w:val="18"/>
      </w:rPr>
      <w:fldChar w:fldCharType="end"/>
    </w:r>
    <w:r>
      <w:rPr>
        <w:rFonts w:hint="eastAsia" w:ascii="仿宋_GB2312" w:eastAsia="仿宋_GB2312"/>
        <w:kern w:val="0"/>
        <w:sz w:val="18"/>
        <w:szCs w:val="18"/>
      </w:rPr>
      <w:t xml:space="preserve"> 页 共 </w:t>
    </w:r>
    <w:r>
      <w:rPr>
        <w:rFonts w:hint="eastAsia" w:ascii="仿宋_GB2312" w:eastAsia="仿宋_GB2312"/>
        <w:kern w:val="0"/>
        <w:sz w:val="18"/>
        <w:szCs w:val="18"/>
      </w:rPr>
      <w:fldChar w:fldCharType="begin"/>
    </w:r>
    <w:r>
      <w:rPr>
        <w:rFonts w:hint="eastAsia" w:ascii="仿宋_GB2312" w:eastAsia="仿宋_GB2312"/>
        <w:kern w:val="0"/>
        <w:sz w:val="18"/>
        <w:szCs w:val="18"/>
      </w:rPr>
      <w:instrText xml:space="preserve"> NUMPAGES </w:instrText>
    </w:r>
    <w:r>
      <w:rPr>
        <w:rFonts w:hint="eastAsia" w:ascii="仿宋_GB2312" w:eastAsia="仿宋_GB2312"/>
        <w:kern w:val="0"/>
        <w:sz w:val="18"/>
        <w:szCs w:val="18"/>
      </w:rPr>
      <w:fldChar w:fldCharType="separate"/>
    </w:r>
    <w:r>
      <w:rPr>
        <w:rFonts w:ascii="仿宋_GB2312" w:eastAsia="仿宋_GB2312"/>
        <w:kern w:val="0"/>
        <w:sz w:val="18"/>
        <w:szCs w:val="18"/>
      </w:rPr>
      <w:t>71</w:t>
    </w:r>
    <w:r>
      <w:rPr>
        <w:rFonts w:hint="eastAsia" w:ascii="仿宋_GB2312" w:eastAsia="仿宋_GB2312"/>
        <w:kern w:val="0"/>
        <w:sz w:val="18"/>
        <w:szCs w:val="18"/>
      </w:rPr>
      <w:fldChar w:fldCharType="end"/>
    </w:r>
    <w:r>
      <w:rPr>
        <w:rFonts w:hint="eastAsia" w:ascii="仿宋_GB2312" w:eastAsia="仿宋_GB2312"/>
        <w:kern w:val="0"/>
        <w:sz w:val="18"/>
        <w:szCs w:val="18"/>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ascii="仿宋_GB2312" w:eastAsia="仿宋_GB2312"/>
        <w:sz w:val="18"/>
        <w:szCs w:val="18"/>
      </w:rPr>
    </w:pPr>
    <w:r>
      <w:rPr>
        <w:rFonts w:hint="eastAsia" w:ascii="仿宋_GB2312" w:eastAsia="仿宋_GB2312"/>
        <w:kern w:val="0"/>
        <w:sz w:val="18"/>
        <w:szCs w:val="18"/>
      </w:rPr>
      <w:t xml:space="preserve">第 </w:t>
    </w:r>
    <w:r>
      <w:rPr>
        <w:rFonts w:hint="eastAsia" w:ascii="仿宋_GB2312" w:eastAsia="仿宋_GB2312"/>
        <w:kern w:val="0"/>
        <w:sz w:val="18"/>
        <w:szCs w:val="18"/>
      </w:rPr>
      <w:fldChar w:fldCharType="begin"/>
    </w:r>
    <w:r>
      <w:rPr>
        <w:rFonts w:hint="eastAsia" w:ascii="仿宋_GB2312" w:eastAsia="仿宋_GB2312"/>
        <w:kern w:val="0"/>
        <w:sz w:val="18"/>
        <w:szCs w:val="18"/>
      </w:rPr>
      <w:instrText xml:space="preserve"> PAGE </w:instrText>
    </w:r>
    <w:r>
      <w:rPr>
        <w:rFonts w:hint="eastAsia" w:ascii="仿宋_GB2312" w:eastAsia="仿宋_GB2312"/>
        <w:kern w:val="0"/>
        <w:sz w:val="18"/>
        <w:szCs w:val="18"/>
      </w:rPr>
      <w:fldChar w:fldCharType="separate"/>
    </w:r>
    <w:r>
      <w:rPr>
        <w:rFonts w:ascii="仿宋_GB2312" w:eastAsia="仿宋_GB2312"/>
        <w:kern w:val="0"/>
        <w:sz w:val="18"/>
        <w:szCs w:val="18"/>
      </w:rPr>
      <w:t>58</w:t>
    </w:r>
    <w:r>
      <w:rPr>
        <w:rFonts w:hint="eastAsia" w:ascii="仿宋_GB2312" w:eastAsia="仿宋_GB2312"/>
        <w:kern w:val="0"/>
        <w:sz w:val="18"/>
        <w:szCs w:val="18"/>
      </w:rPr>
      <w:fldChar w:fldCharType="end"/>
    </w:r>
    <w:r>
      <w:rPr>
        <w:rFonts w:hint="eastAsia" w:ascii="仿宋_GB2312" w:eastAsia="仿宋_GB2312"/>
        <w:kern w:val="0"/>
        <w:sz w:val="18"/>
        <w:szCs w:val="18"/>
      </w:rPr>
      <w:t xml:space="preserve"> 页 共 </w:t>
    </w:r>
    <w:r>
      <w:rPr>
        <w:rFonts w:hint="eastAsia" w:ascii="仿宋_GB2312" w:eastAsia="仿宋_GB2312"/>
        <w:kern w:val="0"/>
        <w:sz w:val="18"/>
        <w:szCs w:val="18"/>
      </w:rPr>
      <w:fldChar w:fldCharType="begin"/>
    </w:r>
    <w:r>
      <w:rPr>
        <w:rFonts w:hint="eastAsia" w:ascii="仿宋_GB2312" w:eastAsia="仿宋_GB2312"/>
        <w:kern w:val="0"/>
        <w:sz w:val="18"/>
        <w:szCs w:val="18"/>
      </w:rPr>
      <w:instrText xml:space="preserve"> NUMPAGES </w:instrText>
    </w:r>
    <w:r>
      <w:rPr>
        <w:rFonts w:hint="eastAsia" w:ascii="仿宋_GB2312" w:eastAsia="仿宋_GB2312"/>
        <w:kern w:val="0"/>
        <w:sz w:val="18"/>
        <w:szCs w:val="18"/>
      </w:rPr>
      <w:fldChar w:fldCharType="separate"/>
    </w:r>
    <w:r>
      <w:rPr>
        <w:rFonts w:ascii="仿宋_GB2312" w:eastAsia="仿宋_GB2312"/>
        <w:kern w:val="0"/>
        <w:sz w:val="18"/>
        <w:szCs w:val="18"/>
      </w:rPr>
      <w:t>71</w:t>
    </w:r>
    <w:r>
      <w:rPr>
        <w:rFonts w:hint="eastAsia" w:ascii="仿宋_GB2312" w:eastAsia="仿宋_GB2312"/>
        <w:kern w:val="0"/>
        <w:sz w:val="18"/>
        <w:szCs w:val="18"/>
      </w:rPr>
      <w:fldChar w:fldCharType="end"/>
    </w:r>
    <w:r>
      <w:rPr>
        <w:rFonts w:hint="eastAsia" w:ascii="仿宋_GB2312" w:eastAsia="仿宋_GB2312"/>
        <w:kern w:val="0"/>
        <w:sz w:val="18"/>
        <w:szCs w:val="18"/>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ascii="仿宋_GB2312" w:eastAsia="仿宋_GB2312"/>
        <w:sz w:val="18"/>
        <w:szCs w:val="18"/>
      </w:rPr>
    </w:pPr>
    <w:r>
      <w:rPr>
        <w:rFonts w:hint="eastAsia" w:ascii="仿宋_GB2312" w:eastAsia="仿宋_GB2312"/>
        <w:kern w:val="0"/>
        <w:sz w:val="18"/>
        <w:szCs w:val="18"/>
      </w:rPr>
      <w:t xml:space="preserve">第 </w:t>
    </w:r>
    <w:r>
      <w:rPr>
        <w:rFonts w:hint="eastAsia" w:ascii="仿宋_GB2312" w:eastAsia="仿宋_GB2312"/>
        <w:kern w:val="0"/>
        <w:sz w:val="18"/>
        <w:szCs w:val="18"/>
      </w:rPr>
      <w:fldChar w:fldCharType="begin"/>
    </w:r>
    <w:r>
      <w:rPr>
        <w:rFonts w:hint="eastAsia" w:ascii="仿宋_GB2312" w:eastAsia="仿宋_GB2312"/>
        <w:kern w:val="0"/>
        <w:sz w:val="18"/>
        <w:szCs w:val="18"/>
      </w:rPr>
      <w:instrText xml:space="preserve"> PAGE </w:instrText>
    </w:r>
    <w:r>
      <w:rPr>
        <w:rFonts w:hint="eastAsia" w:ascii="仿宋_GB2312" w:eastAsia="仿宋_GB2312"/>
        <w:kern w:val="0"/>
        <w:sz w:val="18"/>
        <w:szCs w:val="18"/>
      </w:rPr>
      <w:fldChar w:fldCharType="separate"/>
    </w:r>
    <w:r>
      <w:rPr>
        <w:rFonts w:ascii="仿宋_GB2312" w:eastAsia="仿宋_GB2312"/>
        <w:kern w:val="0"/>
        <w:sz w:val="18"/>
        <w:szCs w:val="18"/>
      </w:rPr>
      <w:t>57</w:t>
    </w:r>
    <w:r>
      <w:rPr>
        <w:rFonts w:hint="eastAsia" w:ascii="仿宋_GB2312" w:eastAsia="仿宋_GB2312"/>
        <w:kern w:val="0"/>
        <w:sz w:val="18"/>
        <w:szCs w:val="18"/>
      </w:rPr>
      <w:fldChar w:fldCharType="end"/>
    </w:r>
    <w:r>
      <w:rPr>
        <w:rFonts w:hint="eastAsia" w:ascii="仿宋_GB2312" w:eastAsia="仿宋_GB2312"/>
        <w:kern w:val="0"/>
        <w:sz w:val="18"/>
        <w:szCs w:val="18"/>
      </w:rPr>
      <w:t xml:space="preserve"> 页 共 </w:t>
    </w:r>
    <w:r>
      <w:rPr>
        <w:rFonts w:hint="eastAsia" w:ascii="仿宋_GB2312" w:eastAsia="仿宋_GB2312"/>
        <w:kern w:val="0"/>
        <w:sz w:val="18"/>
        <w:szCs w:val="18"/>
      </w:rPr>
      <w:fldChar w:fldCharType="begin"/>
    </w:r>
    <w:r>
      <w:rPr>
        <w:rFonts w:hint="eastAsia" w:ascii="仿宋_GB2312" w:eastAsia="仿宋_GB2312"/>
        <w:kern w:val="0"/>
        <w:sz w:val="18"/>
        <w:szCs w:val="18"/>
      </w:rPr>
      <w:instrText xml:space="preserve"> NUMPAGES </w:instrText>
    </w:r>
    <w:r>
      <w:rPr>
        <w:rFonts w:hint="eastAsia" w:ascii="仿宋_GB2312" w:eastAsia="仿宋_GB2312"/>
        <w:kern w:val="0"/>
        <w:sz w:val="18"/>
        <w:szCs w:val="18"/>
      </w:rPr>
      <w:fldChar w:fldCharType="separate"/>
    </w:r>
    <w:r>
      <w:rPr>
        <w:rFonts w:ascii="仿宋_GB2312" w:eastAsia="仿宋_GB2312"/>
        <w:kern w:val="0"/>
        <w:sz w:val="18"/>
        <w:szCs w:val="18"/>
      </w:rPr>
      <w:t>71</w:t>
    </w:r>
    <w:r>
      <w:rPr>
        <w:rFonts w:hint="eastAsia" w:ascii="仿宋_GB2312" w:eastAsia="仿宋_GB2312"/>
        <w:kern w:val="0"/>
        <w:sz w:val="18"/>
        <w:szCs w:val="18"/>
      </w:rPr>
      <w:fldChar w:fldCharType="end"/>
    </w:r>
    <w:r>
      <w:rPr>
        <w:rFonts w:hint="eastAsia" w:ascii="仿宋_GB2312" w:eastAsia="仿宋_GB2312"/>
        <w:kern w:val="0"/>
        <w:sz w:val="18"/>
        <w:szCs w:val="18"/>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jc w:val="center"/>
      <w:rPr>
        <w:rFonts w:ascii="仿宋_GB2312" w:eastAsia="仿宋_GB2312"/>
        <w:b/>
        <w:i/>
        <w:sz w:val="18"/>
        <w:szCs w:val="18"/>
        <w:u w:val="single"/>
      </w:rPr>
    </w:pPr>
    <w:r>
      <w:rPr>
        <w:sz w:val="18"/>
        <w:szCs w:val="18"/>
      </w:rPr>
      <w:t></w:t>
    </w:r>
    <w:r>
      <w:rPr>
        <w:rFonts w:hint="eastAsia"/>
        <w:sz w:val="18"/>
        <w:szCs w:val="18"/>
      </w:rPr>
      <w:t xml:space="preserve">                                                  </w:t>
    </w:r>
    <w:r>
      <w:rPr>
        <w:sz w:val="18"/>
        <w:szCs w:val="18"/>
      </w:rPr>
      <w:t xml:space="preserve">         </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jc w:val="center"/>
      <w:rPr>
        <w:sz w:val="18"/>
        <w:szCs w:val="18"/>
      </w:rPr>
    </w:pPr>
    <w:r>
      <w:rPr>
        <w:sz w:val="18"/>
        <w:szCs w:val="18"/>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jc w:val="center"/>
      <w:rPr>
        <w:rFonts w:ascii="仿宋_GB2312" w:eastAsia="仿宋_GB2312"/>
        <w:b/>
        <w:i/>
        <w:sz w:val="18"/>
        <w:szCs w:val="18"/>
        <w:u w:val="single"/>
      </w:rPr>
    </w:pPr>
    <w:r>
      <w:rPr>
        <w:sz w:val="18"/>
        <w:szCs w:val="18"/>
      </w:rPr>
      <w:t></w:t>
    </w:r>
    <w:r>
      <w:rPr>
        <w:rFonts w:hint="eastAsia"/>
        <w:sz w:val="18"/>
        <w:szCs w:val="18"/>
      </w:rPr>
      <w:t xml:space="preserve">                                            </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jc w:val="right"/>
      <w:rPr>
        <w:sz w:val="18"/>
        <w:szCs w:val="18"/>
      </w:rPr>
    </w:pPr>
    <w:r>
      <w:rPr>
        <w:sz w:val="18"/>
        <w:szCs w:val="18"/>
      </w:rPr>
      <w:t></w:t>
    </w:r>
    <w:r>
      <w:rPr>
        <w:rFonts w:hint="eastAsia"/>
        <w:sz w:val="18"/>
        <w:szCs w:val="18"/>
      </w:rPr>
      <w:t xml:space="preserve">                 </w:t>
    </w:r>
    <w:r>
      <w:rPr>
        <w:sz w:val="18"/>
        <w:szCs w:val="18"/>
      </w:rPr>
      <w:t xml:space="preserve">                                </w:t>
    </w:r>
    <w:r>
      <w:rPr>
        <w:rFonts w:hint="eastAsia"/>
        <w:sz w:val="18"/>
        <w:szCs w:val="18"/>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jc w:val="right"/>
      <w:rPr>
        <w:rFonts w:ascii="仿宋_GB2312" w:eastAsia="仿宋_GB2312"/>
        <w:b/>
        <w:i/>
        <w:sz w:val="18"/>
        <w:szCs w:val="18"/>
        <w:u w:val="single"/>
      </w:rPr>
    </w:pPr>
    <w:r>
      <w:rPr>
        <w:rFonts w:hint="eastAsia"/>
        <w:sz w:val="18"/>
        <w:szCs w:val="18"/>
      </w:rPr>
      <w:t xml:space="preserve">                                  </w:t>
    </w:r>
    <w:r>
      <w:rPr>
        <w:sz w:val="18"/>
        <w:szCs w:val="18"/>
      </w:rP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jc w:val="right"/>
      <w:rPr>
        <w:sz w:val="18"/>
        <w:szCs w:val="18"/>
      </w:rPr>
    </w:pPr>
    <w:r>
      <w:rPr>
        <w:rFonts w:hint="eastAsia"/>
        <w:sz w:val="18"/>
        <w:szCs w:val="18"/>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896F1F"/>
    <w:multiLevelType w:val="singleLevel"/>
    <w:tmpl w:val="E6896F1F"/>
    <w:lvl w:ilvl="0" w:tentative="0">
      <w:start w:val="5"/>
      <w:numFmt w:val="chineseCounting"/>
      <w:suff w:val="space"/>
      <w:lvlText w:val="第%1部分"/>
      <w:lvlJc w:val="left"/>
      <w:rPr>
        <w:rFonts w:hint="eastAsia"/>
      </w:rPr>
    </w:lvl>
  </w:abstractNum>
  <w:abstractNum w:abstractNumId="1">
    <w:nsid w:val="FAC70A72"/>
    <w:multiLevelType w:val="singleLevel"/>
    <w:tmpl w:val="FAC70A72"/>
    <w:lvl w:ilvl="0" w:tentative="0">
      <w:start w:val="2"/>
      <w:numFmt w:val="chineseCounting"/>
      <w:suff w:val="nothing"/>
      <w:lvlText w:val="%1、"/>
      <w:lvlJc w:val="left"/>
      <w:rPr>
        <w:rFonts w:hint="eastAsia"/>
      </w:rPr>
    </w:lvl>
  </w:abstractNum>
  <w:abstractNum w:abstractNumId="2">
    <w:nsid w:val="378255C4"/>
    <w:multiLevelType w:val="singleLevel"/>
    <w:tmpl w:val="378255C4"/>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E5MGY2NGQ1Njc1NmU4Y2IxMDZkMzhjYzM2NzNkN2UifQ=="/>
    <w:docVar w:name="KSO_WPS_MARK_KEY" w:val="2caabb78-dd7d-4915-b9aa-db80bf10b0a9"/>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86"/>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E8F"/>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EAA"/>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097"/>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2EAC"/>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C54"/>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B9C"/>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5B1E"/>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172"/>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025"/>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8BF"/>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163D"/>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37B"/>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0F3"/>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A0A"/>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0BDE"/>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1F7E"/>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961"/>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1E43"/>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1B31"/>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009"/>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4129"/>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C7AE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026"/>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6DEE"/>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8D7"/>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3FA"/>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4AB4"/>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90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23D1"/>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5F64"/>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1EC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695955"/>
    <w:rsid w:val="017716F4"/>
    <w:rsid w:val="019B4639"/>
    <w:rsid w:val="019F7441"/>
    <w:rsid w:val="01B37585"/>
    <w:rsid w:val="01D34903"/>
    <w:rsid w:val="01D55165"/>
    <w:rsid w:val="01DF6BF8"/>
    <w:rsid w:val="01EC2C57"/>
    <w:rsid w:val="021E507F"/>
    <w:rsid w:val="025F0711"/>
    <w:rsid w:val="026B2E25"/>
    <w:rsid w:val="02824D4D"/>
    <w:rsid w:val="028E4F47"/>
    <w:rsid w:val="028F7CB8"/>
    <w:rsid w:val="02DC4B10"/>
    <w:rsid w:val="02DD76CE"/>
    <w:rsid w:val="02F36323"/>
    <w:rsid w:val="02F5619C"/>
    <w:rsid w:val="0326446A"/>
    <w:rsid w:val="032D5555"/>
    <w:rsid w:val="036634D2"/>
    <w:rsid w:val="039F6D77"/>
    <w:rsid w:val="03B6588A"/>
    <w:rsid w:val="03D746CC"/>
    <w:rsid w:val="03DD35E4"/>
    <w:rsid w:val="0407220A"/>
    <w:rsid w:val="04076900"/>
    <w:rsid w:val="04153FDE"/>
    <w:rsid w:val="041A5A3B"/>
    <w:rsid w:val="041F054D"/>
    <w:rsid w:val="042311BA"/>
    <w:rsid w:val="042B157A"/>
    <w:rsid w:val="043B1FC0"/>
    <w:rsid w:val="047A1540"/>
    <w:rsid w:val="047D34C5"/>
    <w:rsid w:val="048F763B"/>
    <w:rsid w:val="049F330E"/>
    <w:rsid w:val="04AA775C"/>
    <w:rsid w:val="04AF1889"/>
    <w:rsid w:val="04D27F09"/>
    <w:rsid w:val="04DA4FB0"/>
    <w:rsid w:val="04F66F48"/>
    <w:rsid w:val="05251E14"/>
    <w:rsid w:val="052E6005"/>
    <w:rsid w:val="05746101"/>
    <w:rsid w:val="058E1CCF"/>
    <w:rsid w:val="059E2063"/>
    <w:rsid w:val="05A16594"/>
    <w:rsid w:val="05A7762D"/>
    <w:rsid w:val="05C13151"/>
    <w:rsid w:val="060B66D9"/>
    <w:rsid w:val="060E5941"/>
    <w:rsid w:val="06110FAF"/>
    <w:rsid w:val="06331B3C"/>
    <w:rsid w:val="06493CA7"/>
    <w:rsid w:val="065338B0"/>
    <w:rsid w:val="065A6178"/>
    <w:rsid w:val="066F1CF3"/>
    <w:rsid w:val="06930BB8"/>
    <w:rsid w:val="069B5030"/>
    <w:rsid w:val="06EC048E"/>
    <w:rsid w:val="06F723B4"/>
    <w:rsid w:val="07245D42"/>
    <w:rsid w:val="07264C62"/>
    <w:rsid w:val="0779354C"/>
    <w:rsid w:val="07832BA1"/>
    <w:rsid w:val="08061376"/>
    <w:rsid w:val="08452D77"/>
    <w:rsid w:val="086401F8"/>
    <w:rsid w:val="08751CAA"/>
    <w:rsid w:val="087E4C40"/>
    <w:rsid w:val="08A2799E"/>
    <w:rsid w:val="08A871D0"/>
    <w:rsid w:val="08C4174F"/>
    <w:rsid w:val="08D66AD6"/>
    <w:rsid w:val="08DA33A3"/>
    <w:rsid w:val="08DA36C2"/>
    <w:rsid w:val="08E80F13"/>
    <w:rsid w:val="09335624"/>
    <w:rsid w:val="093F0D49"/>
    <w:rsid w:val="0944690F"/>
    <w:rsid w:val="09535675"/>
    <w:rsid w:val="095F057D"/>
    <w:rsid w:val="09642282"/>
    <w:rsid w:val="09733572"/>
    <w:rsid w:val="09772C16"/>
    <w:rsid w:val="098353B5"/>
    <w:rsid w:val="09A92330"/>
    <w:rsid w:val="09B06B87"/>
    <w:rsid w:val="09C13146"/>
    <w:rsid w:val="09E04166"/>
    <w:rsid w:val="0A1C0718"/>
    <w:rsid w:val="0A3E7710"/>
    <w:rsid w:val="0A5B7E63"/>
    <w:rsid w:val="0A6D18E6"/>
    <w:rsid w:val="0AA374A5"/>
    <w:rsid w:val="0AAB7649"/>
    <w:rsid w:val="0AB670E0"/>
    <w:rsid w:val="0ABC5606"/>
    <w:rsid w:val="0AE2616B"/>
    <w:rsid w:val="0AE95C58"/>
    <w:rsid w:val="0AF66A0C"/>
    <w:rsid w:val="0B30404E"/>
    <w:rsid w:val="0B384AAD"/>
    <w:rsid w:val="0B4C6C14"/>
    <w:rsid w:val="0B534F80"/>
    <w:rsid w:val="0B547599"/>
    <w:rsid w:val="0B631A88"/>
    <w:rsid w:val="0B683D45"/>
    <w:rsid w:val="0B7F3F11"/>
    <w:rsid w:val="0B884417"/>
    <w:rsid w:val="0B8E7D66"/>
    <w:rsid w:val="0BD236A4"/>
    <w:rsid w:val="0BF00C83"/>
    <w:rsid w:val="0BF6188C"/>
    <w:rsid w:val="0BF73C91"/>
    <w:rsid w:val="0C170175"/>
    <w:rsid w:val="0C4F1BEB"/>
    <w:rsid w:val="0C571A41"/>
    <w:rsid w:val="0C5C1171"/>
    <w:rsid w:val="0C5E1CBC"/>
    <w:rsid w:val="0C615B50"/>
    <w:rsid w:val="0C8445DA"/>
    <w:rsid w:val="0C87121B"/>
    <w:rsid w:val="0CC007F7"/>
    <w:rsid w:val="0CC617AC"/>
    <w:rsid w:val="0CE618DF"/>
    <w:rsid w:val="0CFD16EE"/>
    <w:rsid w:val="0CFE707A"/>
    <w:rsid w:val="0D063BDA"/>
    <w:rsid w:val="0D08375F"/>
    <w:rsid w:val="0D184CFB"/>
    <w:rsid w:val="0D4A7419"/>
    <w:rsid w:val="0D7C6A10"/>
    <w:rsid w:val="0D827401"/>
    <w:rsid w:val="0D84094E"/>
    <w:rsid w:val="0D8A00E9"/>
    <w:rsid w:val="0D8D589E"/>
    <w:rsid w:val="0DA01C73"/>
    <w:rsid w:val="0DBE2B84"/>
    <w:rsid w:val="0DD63300"/>
    <w:rsid w:val="0DDC125D"/>
    <w:rsid w:val="0DE7203A"/>
    <w:rsid w:val="0DF50604"/>
    <w:rsid w:val="0DF702FE"/>
    <w:rsid w:val="0E060E51"/>
    <w:rsid w:val="0E5604B2"/>
    <w:rsid w:val="0E624109"/>
    <w:rsid w:val="0E6D5D79"/>
    <w:rsid w:val="0E715E49"/>
    <w:rsid w:val="0E9D0089"/>
    <w:rsid w:val="0EB0630A"/>
    <w:rsid w:val="0EB803EE"/>
    <w:rsid w:val="0EC046DA"/>
    <w:rsid w:val="0EF94D4B"/>
    <w:rsid w:val="0F0E7B3C"/>
    <w:rsid w:val="0F102810"/>
    <w:rsid w:val="0F16321A"/>
    <w:rsid w:val="0F392184"/>
    <w:rsid w:val="0F4958DC"/>
    <w:rsid w:val="0F515DF7"/>
    <w:rsid w:val="0F596BA8"/>
    <w:rsid w:val="0F5B4403"/>
    <w:rsid w:val="0F6248D2"/>
    <w:rsid w:val="0F693536"/>
    <w:rsid w:val="0F7B0511"/>
    <w:rsid w:val="0F7B76D9"/>
    <w:rsid w:val="0F816ACD"/>
    <w:rsid w:val="0F917E25"/>
    <w:rsid w:val="0F9832DB"/>
    <w:rsid w:val="0FA9345E"/>
    <w:rsid w:val="0FB82636"/>
    <w:rsid w:val="0FBF3FD2"/>
    <w:rsid w:val="0FBF7FF3"/>
    <w:rsid w:val="0FC469FD"/>
    <w:rsid w:val="0FE54F10"/>
    <w:rsid w:val="0FF5240F"/>
    <w:rsid w:val="10646583"/>
    <w:rsid w:val="107D4B15"/>
    <w:rsid w:val="108A3C80"/>
    <w:rsid w:val="10AE3B69"/>
    <w:rsid w:val="10C26171"/>
    <w:rsid w:val="10C85595"/>
    <w:rsid w:val="10F33360"/>
    <w:rsid w:val="10FC16EA"/>
    <w:rsid w:val="11002D49"/>
    <w:rsid w:val="110F1D40"/>
    <w:rsid w:val="111E46A3"/>
    <w:rsid w:val="11266F33"/>
    <w:rsid w:val="118963A1"/>
    <w:rsid w:val="11AF4817"/>
    <w:rsid w:val="11C6522A"/>
    <w:rsid w:val="11D66FC6"/>
    <w:rsid w:val="11D87F8D"/>
    <w:rsid w:val="11DE625D"/>
    <w:rsid w:val="11E104CC"/>
    <w:rsid w:val="11E20309"/>
    <w:rsid w:val="12056A7E"/>
    <w:rsid w:val="12113625"/>
    <w:rsid w:val="1220362F"/>
    <w:rsid w:val="12255233"/>
    <w:rsid w:val="124D4121"/>
    <w:rsid w:val="12530213"/>
    <w:rsid w:val="127723A9"/>
    <w:rsid w:val="12862074"/>
    <w:rsid w:val="12883966"/>
    <w:rsid w:val="129E45B4"/>
    <w:rsid w:val="12A460C1"/>
    <w:rsid w:val="12B97DBE"/>
    <w:rsid w:val="12C7072D"/>
    <w:rsid w:val="12D81596"/>
    <w:rsid w:val="12ED5CBA"/>
    <w:rsid w:val="13072A44"/>
    <w:rsid w:val="131A7F5A"/>
    <w:rsid w:val="132A0CBC"/>
    <w:rsid w:val="13345697"/>
    <w:rsid w:val="13511DA5"/>
    <w:rsid w:val="135F4BE2"/>
    <w:rsid w:val="139B1A0A"/>
    <w:rsid w:val="139D25C7"/>
    <w:rsid w:val="13BF3CE4"/>
    <w:rsid w:val="13D90D3A"/>
    <w:rsid w:val="140125B1"/>
    <w:rsid w:val="141008D8"/>
    <w:rsid w:val="14125FE6"/>
    <w:rsid w:val="144F7F64"/>
    <w:rsid w:val="14634031"/>
    <w:rsid w:val="146D271E"/>
    <w:rsid w:val="149407EF"/>
    <w:rsid w:val="14982588"/>
    <w:rsid w:val="149A5AD9"/>
    <w:rsid w:val="14A7619D"/>
    <w:rsid w:val="14EE33E6"/>
    <w:rsid w:val="150536C3"/>
    <w:rsid w:val="150C1963"/>
    <w:rsid w:val="151447A0"/>
    <w:rsid w:val="152A6ABC"/>
    <w:rsid w:val="152E393F"/>
    <w:rsid w:val="15305474"/>
    <w:rsid w:val="154A6454"/>
    <w:rsid w:val="15762120"/>
    <w:rsid w:val="15772D84"/>
    <w:rsid w:val="15AB6DC0"/>
    <w:rsid w:val="15B26E35"/>
    <w:rsid w:val="15E2587E"/>
    <w:rsid w:val="15E6647B"/>
    <w:rsid w:val="16230E0A"/>
    <w:rsid w:val="16322361"/>
    <w:rsid w:val="163960A1"/>
    <w:rsid w:val="16941265"/>
    <w:rsid w:val="16A8729C"/>
    <w:rsid w:val="16B33777"/>
    <w:rsid w:val="16BC70A7"/>
    <w:rsid w:val="16C6339E"/>
    <w:rsid w:val="172F2D79"/>
    <w:rsid w:val="17557BEF"/>
    <w:rsid w:val="17D349C1"/>
    <w:rsid w:val="17D62037"/>
    <w:rsid w:val="17EB1B87"/>
    <w:rsid w:val="1830729E"/>
    <w:rsid w:val="183B1275"/>
    <w:rsid w:val="1870062C"/>
    <w:rsid w:val="18817102"/>
    <w:rsid w:val="18830A15"/>
    <w:rsid w:val="18852B28"/>
    <w:rsid w:val="188B5321"/>
    <w:rsid w:val="189B6B07"/>
    <w:rsid w:val="18D86AC4"/>
    <w:rsid w:val="18DE24C9"/>
    <w:rsid w:val="19091F95"/>
    <w:rsid w:val="19502AFF"/>
    <w:rsid w:val="19932372"/>
    <w:rsid w:val="199A71E9"/>
    <w:rsid w:val="19A20DD5"/>
    <w:rsid w:val="19AE03F1"/>
    <w:rsid w:val="1A071A03"/>
    <w:rsid w:val="1A1F16AE"/>
    <w:rsid w:val="1A3B5C77"/>
    <w:rsid w:val="1A676352"/>
    <w:rsid w:val="1A984BAD"/>
    <w:rsid w:val="1A9F5AEC"/>
    <w:rsid w:val="1AB8220E"/>
    <w:rsid w:val="1AE4166C"/>
    <w:rsid w:val="1AF06CFB"/>
    <w:rsid w:val="1AF11B8D"/>
    <w:rsid w:val="1B11359C"/>
    <w:rsid w:val="1B2A271F"/>
    <w:rsid w:val="1B530544"/>
    <w:rsid w:val="1B713184"/>
    <w:rsid w:val="1BA209CF"/>
    <w:rsid w:val="1BAA5D70"/>
    <w:rsid w:val="1BB4777D"/>
    <w:rsid w:val="1BD75AB8"/>
    <w:rsid w:val="1BDA4AC3"/>
    <w:rsid w:val="1C0459C2"/>
    <w:rsid w:val="1C0A4746"/>
    <w:rsid w:val="1C185B56"/>
    <w:rsid w:val="1C1B3B4A"/>
    <w:rsid w:val="1C3F1562"/>
    <w:rsid w:val="1C88086E"/>
    <w:rsid w:val="1CBD494F"/>
    <w:rsid w:val="1CD7789E"/>
    <w:rsid w:val="1CE84555"/>
    <w:rsid w:val="1CFE1560"/>
    <w:rsid w:val="1D032B43"/>
    <w:rsid w:val="1D266CE1"/>
    <w:rsid w:val="1D3963AF"/>
    <w:rsid w:val="1D6A673C"/>
    <w:rsid w:val="1D70376F"/>
    <w:rsid w:val="1D9247AE"/>
    <w:rsid w:val="1DAD53DF"/>
    <w:rsid w:val="1DB567EC"/>
    <w:rsid w:val="1DF51A98"/>
    <w:rsid w:val="1E1D56A5"/>
    <w:rsid w:val="1E3D060F"/>
    <w:rsid w:val="1E3F7D2E"/>
    <w:rsid w:val="1E4134E4"/>
    <w:rsid w:val="1E5062B3"/>
    <w:rsid w:val="1E5124DA"/>
    <w:rsid w:val="1E523514"/>
    <w:rsid w:val="1E5F3B8E"/>
    <w:rsid w:val="1E6E4153"/>
    <w:rsid w:val="1E6F3A27"/>
    <w:rsid w:val="1E714A66"/>
    <w:rsid w:val="1E802593"/>
    <w:rsid w:val="1E8B6156"/>
    <w:rsid w:val="1EA519FE"/>
    <w:rsid w:val="1EA703CC"/>
    <w:rsid w:val="1EB7330C"/>
    <w:rsid w:val="1F0A0FF3"/>
    <w:rsid w:val="1F2C2F7A"/>
    <w:rsid w:val="1F5771FF"/>
    <w:rsid w:val="1FC35DD8"/>
    <w:rsid w:val="1FD52DD5"/>
    <w:rsid w:val="1FE27D89"/>
    <w:rsid w:val="1FE868A9"/>
    <w:rsid w:val="1FFE1CDD"/>
    <w:rsid w:val="20034907"/>
    <w:rsid w:val="20173E4B"/>
    <w:rsid w:val="2043516B"/>
    <w:rsid w:val="204E48BC"/>
    <w:rsid w:val="205071A5"/>
    <w:rsid w:val="208921B3"/>
    <w:rsid w:val="20965F7A"/>
    <w:rsid w:val="20973DEB"/>
    <w:rsid w:val="20B17A78"/>
    <w:rsid w:val="20B26522"/>
    <w:rsid w:val="20B44310"/>
    <w:rsid w:val="20EE50D7"/>
    <w:rsid w:val="211116EB"/>
    <w:rsid w:val="2141109D"/>
    <w:rsid w:val="21582E98"/>
    <w:rsid w:val="216133FC"/>
    <w:rsid w:val="21695393"/>
    <w:rsid w:val="217952E8"/>
    <w:rsid w:val="21870BA1"/>
    <w:rsid w:val="219F4623"/>
    <w:rsid w:val="21AB2FC8"/>
    <w:rsid w:val="21C64FA1"/>
    <w:rsid w:val="21CC7AB7"/>
    <w:rsid w:val="21D56769"/>
    <w:rsid w:val="21E52EF3"/>
    <w:rsid w:val="21EE1107"/>
    <w:rsid w:val="21FB5D7B"/>
    <w:rsid w:val="22015E94"/>
    <w:rsid w:val="220B1C3D"/>
    <w:rsid w:val="221D1D20"/>
    <w:rsid w:val="22334A87"/>
    <w:rsid w:val="22BE6801"/>
    <w:rsid w:val="22D67857"/>
    <w:rsid w:val="22F4274D"/>
    <w:rsid w:val="233500BF"/>
    <w:rsid w:val="23377FF7"/>
    <w:rsid w:val="236B425F"/>
    <w:rsid w:val="23836192"/>
    <w:rsid w:val="23901F29"/>
    <w:rsid w:val="239C0061"/>
    <w:rsid w:val="23A2644A"/>
    <w:rsid w:val="23A423C5"/>
    <w:rsid w:val="23A61C99"/>
    <w:rsid w:val="23AB3753"/>
    <w:rsid w:val="23B908A4"/>
    <w:rsid w:val="23BF0FAD"/>
    <w:rsid w:val="23E95BEF"/>
    <w:rsid w:val="23FD0064"/>
    <w:rsid w:val="245375B0"/>
    <w:rsid w:val="245A2A83"/>
    <w:rsid w:val="24642C0A"/>
    <w:rsid w:val="249064A5"/>
    <w:rsid w:val="24912949"/>
    <w:rsid w:val="24B22173"/>
    <w:rsid w:val="24B95AD9"/>
    <w:rsid w:val="24BE24DA"/>
    <w:rsid w:val="24CF5825"/>
    <w:rsid w:val="24D26ABE"/>
    <w:rsid w:val="24D663E6"/>
    <w:rsid w:val="24D77F2B"/>
    <w:rsid w:val="250C616B"/>
    <w:rsid w:val="25437D28"/>
    <w:rsid w:val="258B00E2"/>
    <w:rsid w:val="259C511F"/>
    <w:rsid w:val="25A917A6"/>
    <w:rsid w:val="25BE27CC"/>
    <w:rsid w:val="25C32FD6"/>
    <w:rsid w:val="25F74A5C"/>
    <w:rsid w:val="2628662C"/>
    <w:rsid w:val="262D45DE"/>
    <w:rsid w:val="263C4B36"/>
    <w:rsid w:val="26764E9E"/>
    <w:rsid w:val="26871DC8"/>
    <w:rsid w:val="26A53EF9"/>
    <w:rsid w:val="26A94201"/>
    <w:rsid w:val="26AC274F"/>
    <w:rsid w:val="26AE7DCC"/>
    <w:rsid w:val="26D1527F"/>
    <w:rsid w:val="27043360"/>
    <w:rsid w:val="27044A29"/>
    <w:rsid w:val="271D34C8"/>
    <w:rsid w:val="276142BF"/>
    <w:rsid w:val="27783712"/>
    <w:rsid w:val="27907362"/>
    <w:rsid w:val="27C616D2"/>
    <w:rsid w:val="27D17500"/>
    <w:rsid w:val="281E2337"/>
    <w:rsid w:val="281F026C"/>
    <w:rsid w:val="28333E1D"/>
    <w:rsid w:val="28454BD6"/>
    <w:rsid w:val="28455253"/>
    <w:rsid w:val="28551971"/>
    <w:rsid w:val="285B1C53"/>
    <w:rsid w:val="286839C1"/>
    <w:rsid w:val="289F7086"/>
    <w:rsid w:val="28A32C4B"/>
    <w:rsid w:val="28C32028"/>
    <w:rsid w:val="28CC490F"/>
    <w:rsid w:val="28DE40AA"/>
    <w:rsid w:val="28E15521"/>
    <w:rsid w:val="291B6CD4"/>
    <w:rsid w:val="29345E77"/>
    <w:rsid w:val="294C65AD"/>
    <w:rsid w:val="29806583"/>
    <w:rsid w:val="298B3C4C"/>
    <w:rsid w:val="29B17460"/>
    <w:rsid w:val="29BD7D3C"/>
    <w:rsid w:val="29F26D24"/>
    <w:rsid w:val="2A15033F"/>
    <w:rsid w:val="2A1662C1"/>
    <w:rsid w:val="2A1C7367"/>
    <w:rsid w:val="2A2815FA"/>
    <w:rsid w:val="2A2B739C"/>
    <w:rsid w:val="2A661BA4"/>
    <w:rsid w:val="2A6D6092"/>
    <w:rsid w:val="2A7D76B4"/>
    <w:rsid w:val="2A9B138E"/>
    <w:rsid w:val="2AB23356"/>
    <w:rsid w:val="2AFB7CEE"/>
    <w:rsid w:val="2B084FE7"/>
    <w:rsid w:val="2B223791"/>
    <w:rsid w:val="2B437463"/>
    <w:rsid w:val="2B7807EE"/>
    <w:rsid w:val="2BA50BF7"/>
    <w:rsid w:val="2BBF00EC"/>
    <w:rsid w:val="2BC37CFD"/>
    <w:rsid w:val="2BD5237F"/>
    <w:rsid w:val="2BD554F0"/>
    <w:rsid w:val="2BDA2CCB"/>
    <w:rsid w:val="2BE536CE"/>
    <w:rsid w:val="2BE758D9"/>
    <w:rsid w:val="2C09049E"/>
    <w:rsid w:val="2C0A653C"/>
    <w:rsid w:val="2C0F23A5"/>
    <w:rsid w:val="2C191F85"/>
    <w:rsid w:val="2C275941"/>
    <w:rsid w:val="2CBC077F"/>
    <w:rsid w:val="2CE82D6F"/>
    <w:rsid w:val="2CF021D7"/>
    <w:rsid w:val="2D2550B1"/>
    <w:rsid w:val="2D343236"/>
    <w:rsid w:val="2D4F15F3"/>
    <w:rsid w:val="2D551DE5"/>
    <w:rsid w:val="2D5C23F2"/>
    <w:rsid w:val="2DD15014"/>
    <w:rsid w:val="2DF43617"/>
    <w:rsid w:val="2DF72DE4"/>
    <w:rsid w:val="2E0220AF"/>
    <w:rsid w:val="2E4B082A"/>
    <w:rsid w:val="2E554FB6"/>
    <w:rsid w:val="2E5D4E86"/>
    <w:rsid w:val="2E5D790B"/>
    <w:rsid w:val="2E625047"/>
    <w:rsid w:val="2E952E89"/>
    <w:rsid w:val="2E9A3C18"/>
    <w:rsid w:val="2EBB0FEE"/>
    <w:rsid w:val="2EC63002"/>
    <w:rsid w:val="2ECF6A3D"/>
    <w:rsid w:val="2F0A6B38"/>
    <w:rsid w:val="2F417A4A"/>
    <w:rsid w:val="2F5922B5"/>
    <w:rsid w:val="2F946CCB"/>
    <w:rsid w:val="2F992086"/>
    <w:rsid w:val="2FA8676C"/>
    <w:rsid w:val="2FAA537B"/>
    <w:rsid w:val="2FBD326C"/>
    <w:rsid w:val="2FD25781"/>
    <w:rsid w:val="2FDB2CE0"/>
    <w:rsid w:val="2FDC745C"/>
    <w:rsid w:val="2FFD7934"/>
    <w:rsid w:val="30071129"/>
    <w:rsid w:val="30452EE5"/>
    <w:rsid w:val="30733ACD"/>
    <w:rsid w:val="308C3862"/>
    <w:rsid w:val="309379D8"/>
    <w:rsid w:val="30A270F7"/>
    <w:rsid w:val="30DF1478"/>
    <w:rsid w:val="30EC586F"/>
    <w:rsid w:val="314550B7"/>
    <w:rsid w:val="315C608D"/>
    <w:rsid w:val="31634B44"/>
    <w:rsid w:val="316E7B6E"/>
    <w:rsid w:val="31932A9B"/>
    <w:rsid w:val="31951BC2"/>
    <w:rsid w:val="319C6071"/>
    <w:rsid w:val="31AC537E"/>
    <w:rsid w:val="31B92777"/>
    <w:rsid w:val="31BC6397"/>
    <w:rsid w:val="31E3679B"/>
    <w:rsid w:val="31E732FD"/>
    <w:rsid w:val="321B1AA4"/>
    <w:rsid w:val="321F369F"/>
    <w:rsid w:val="322522AB"/>
    <w:rsid w:val="32517576"/>
    <w:rsid w:val="32BE5C2C"/>
    <w:rsid w:val="32FB6478"/>
    <w:rsid w:val="330D5C27"/>
    <w:rsid w:val="331C777C"/>
    <w:rsid w:val="33263B3F"/>
    <w:rsid w:val="332826CA"/>
    <w:rsid w:val="333D0C40"/>
    <w:rsid w:val="33576B0C"/>
    <w:rsid w:val="336963EB"/>
    <w:rsid w:val="33816EEB"/>
    <w:rsid w:val="33BF67AD"/>
    <w:rsid w:val="33D348B5"/>
    <w:rsid w:val="33D47A42"/>
    <w:rsid w:val="33D55B50"/>
    <w:rsid w:val="33EB55CD"/>
    <w:rsid w:val="33EC4C02"/>
    <w:rsid w:val="340D2360"/>
    <w:rsid w:val="3410665D"/>
    <w:rsid w:val="34211214"/>
    <w:rsid w:val="342E63AB"/>
    <w:rsid w:val="348203CC"/>
    <w:rsid w:val="34843F9E"/>
    <w:rsid w:val="34950E68"/>
    <w:rsid w:val="3497447F"/>
    <w:rsid w:val="34986E94"/>
    <w:rsid w:val="34AF62C9"/>
    <w:rsid w:val="34CB4388"/>
    <w:rsid w:val="34D7310F"/>
    <w:rsid w:val="34FA6E12"/>
    <w:rsid w:val="353F1630"/>
    <w:rsid w:val="35457E70"/>
    <w:rsid w:val="354D7158"/>
    <w:rsid w:val="358362DE"/>
    <w:rsid w:val="358D5588"/>
    <w:rsid w:val="359C2EFC"/>
    <w:rsid w:val="35DF5B3B"/>
    <w:rsid w:val="35F5260C"/>
    <w:rsid w:val="362829E1"/>
    <w:rsid w:val="362A4FC0"/>
    <w:rsid w:val="363A3B40"/>
    <w:rsid w:val="365302AE"/>
    <w:rsid w:val="365431B7"/>
    <w:rsid w:val="36607A0A"/>
    <w:rsid w:val="366E227C"/>
    <w:rsid w:val="366F2E0D"/>
    <w:rsid w:val="367B6A5C"/>
    <w:rsid w:val="36835E6A"/>
    <w:rsid w:val="36A74ADA"/>
    <w:rsid w:val="36AD60D5"/>
    <w:rsid w:val="36B224F9"/>
    <w:rsid w:val="36D7418C"/>
    <w:rsid w:val="36EC0CC9"/>
    <w:rsid w:val="36F6277F"/>
    <w:rsid w:val="373F410B"/>
    <w:rsid w:val="37735CDB"/>
    <w:rsid w:val="37AD62D0"/>
    <w:rsid w:val="37BD59B6"/>
    <w:rsid w:val="37E1553E"/>
    <w:rsid w:val="37EE7094"/>
    <w:rsid w:val="38296C89"/>
    <w:rsid w:val="383002EB"/>
    <w:rsid w:val="38561A88"/>
    <w:rsid w:val="38586797"/>
    <w:rsid w:val="386B2E9C"/>
    <w:rsid w:val="388F0ED9"/>
    <w:rsid w:val="38BC0149"/>
    <w:rsid w:val="38D87D1C"/>
    <w:rsid w:val="39636459"/>
    <w:rsid w:val="396B7F6C"/>
    <w:rsid w:val="39860D4F"/>
    <w:rsid w:val="39B417A9"/>
    <w:rsid w:val="39DE57A9"/>
    <w:rsid w:val="39FC5695"/>
    <w:rsid w:val="3A006D8E"/>
    <w:rsid w:val="3A30455A"/>
    <w:rsid w:val="3A3651E5"/>
    <w:rsid w:val="3A6C2B18"/>
    <w:rsid w:val="3A700F15"/>
    <w:rsid w:val="3A744481"/>
    <w:rsid w:val="3A8C7BEF"/>
    <w:rsid w:val="3A906246"/>
    <w:rsid w:val="3AA36ADA"/>
    <w:rsid w:val="3AAD7959"/>
    <w:rsid w:val="3B084D70"/>
    <w:rsid w:val="3B2349B7"/>
    <w:rsid w:val="3B345984"/>
    <w:rsid w:val="3B5206E1"/>
    <w:rsid w:val="3B616CFF"/>
    <w:rsid w:val="3B6259F6"/>
    <w:rsid w:val="3B935AE9"/>
    <w:rsid w:val="3B976654"/>
    <w:rsid w:val="3BC01EFC"/>
    <w:rsid w:val="3BCA786A"/>
    <w:rsid w:val="3BD31E2F"/>
    <w:rsid w:val="3BDC6748"/>
    <w:rsid w:val="3BE71B25"/>
    <w:rsid w:val="3BF15831"/>
    <w:rsid w:val="3C0B4937"/>
    <w:rsid w:val="3C105946"/>
    <w:rsid w:val="3C471448"/>
    <w:rsid w:val="3C5F759A"/>
    <w:rsid w:val="3C6C525A"/>
    <w:rsid w:val="3CC7320B"/>
    <w:rsid w:val="3CCE23CB"/>
    <w:rsid w:val="3CD17D17"/>
    <w:rsid w:val="3D3C7F39"/>
    <w:rsid w:val="3D440F09"/>
    <w:rsid w:val="3D4504A0"/>
    <w:rsid w:val="3D4C4490"/>
    <w:rsid w:val="3D762A39"/>
    <w:rsid w:val="3D7C4DB1"/>
    <w:rsid w:val="3D8734BB"/>
    <w:rsid w:val="3D9A11D4"/>
    <w:rsid w:val="3DA16D89"/>
    <w:rsid w:val="3DA364BE"/>
    <w:rsid w:val="3DBB75D3"/>
    <w:rsid w:val="3DE041CB"/>
    <w:rsid w:val="3DE17B39"/>
    <w:rsid w:val="3E0D48F6"/>
    <w:rsid w:val="3E1868B4"/>
    <w:rsid w:val="3E2D328B"/>
    <w:rsid w:val="3E377251"/>
    <w:rsid w:val="3E42664B"/>
    <w:rsid w:val="3E5A7334"/>
    <w:rsid w:val="3E663DC7"/>
    <w:rsid w:val="3E7B5D6B"/>
    <w:rsid w:val="3E843E66"/>
    <w:rsid w:val="3E8F51FE"/>
    <w:rsid w:val="3E926F87"/>
    <w:rsid w:val="3E9A59DE"/>
    <w:rsid w:val="3EAF4836"/>
    <w:rsid w:val="3EBB7211"/>
    <w:rsid w:val="3EBE5372"/>
    <w:rsid w:val="3EC05EAD"/>
    <w:rsid w:val="3EC33DFA"/>
    <w:rsid w:val="3F060E16"/>
    <w:rsid w:val="3F195883"/>
    <w:rsid w:val="3F1D1096"/>
    <w:rsid w:val="3F2F0234"/>
    <w:rsid w:val="3F6363FE"/>
    <w:rsid w:val="3F756B8F"/>
    <w:rsid w:val="3F80563C"/>
    <w:rsid w:val="3F95482B"/>
    <w:rsid w:val="4019356B"/>
    <w:rsid w:val="40592157"/>
    <w:rsid w:val="406E1CAE"/>
    <w:rsid w:val="40860A30"/>
    <w:rsid w:val="40A0133A"/>
    <w:rsid w:val="40AF2F08"/>
    <w:rsid w:val="40B25CC9"/>
    <w:rsid w:val="40C31A53"/>
    <w:rsid w:val="40C81049"/>
    <w:rsid w:val="40EA5463"/>
    <w:rsid w:val="40FF545D"/>
    <w:rsid w:val="410067C8"/>
    <w:rsid w:val="418F0D2A"/>
    <w:rsid w:val="41AA69A0"/>
    <w:rsid w:val="41D01505"/>
    <w:rsid w:val="42474939"/>
    <w:rsid w:val="424C3C57"/>
    <w:rsid w:val="42613FF3"/>
    <w:rsid w:val="42660D96"/>
    <w:rsid w:val="428667D2"/>
    <w:rsid w:val="42CD1CE0"/>
    <w:rsid w:val="42E1381E"/>
    <w:rsid w:val="42ED6459"/>
    <w:rsid w:val="42FE58DD"/>
    <w:rsid w:val="43174B3D"/>
    <w:rsid w:val="432D1637"/>
    <w:rsid w:val="434B790E"/>
    <w:rsid w:val="434F0A01"/>
    <w:rsid w:val="4357180A"/>
    <w:rsid w:val="4360274F"/>
    <w:rsid w:val="438A6A89"/>
    <w:rsid w:val="43977AB6"/>
    <w:rsid w:val="43A3342B"/>
    <w:rsid w:val="43B92ECB"/>
    <w:rsid w:val="43C77C27"/>
    <w:rsid w:val="43DE09EE"/>
    <w:rsid w:val="43FC23B9"/>
    <w:rsid w:val="44002FAD"/>
    <w:rsid w:val="440A3726"/>
    <w:rsid w:val="4424262B"/>
    <w:rsid w:val="44427FB5"/>
    <w:rsid w:val="448B0D0B"/>
    <w:rsid w:val="449101DD"/>
    <w:rsid w:val="44B4221A"/>
    <w:rsid w:val="44C67D3C"/>
    <w:rsid w:val="44DE1391"/>
    <w:rsid w:val="44E75FF4"/>
    <w:rsid w:val="45101210"/>
    <w:rsid w:val="451B225C"/>
    <w:rsid w:val="452410C9"/>
    <w:rsid w:val="45317DFB"/>
    <w:rsid w:val="454113CA"/>
    <w:rsid w:val="4545122F"/>
    <w:rsid w:val="456D3CE4"/>
    <w:rsid w:val="4571133C"/>
    <w:rsid w:val="45725EC6"/>
    <w:rsid w:val="4579042C"/>
    <w:rsid w:val="457A1327"/>
    <w:rsid w:val="457F0571"/>
    <w:rsid w:val="45851176"/>
    <w:rsid w:val="45A372A4"/>
    <w:rsid w:val="45C63B94"/>
    <w:rsid w:val="460E7DA5"/>
    <w:rsid w:val="46422483"/>
    <w:rsid w:val="46431172"/>
    <w:rsid w:val="464354AC"/>
    <w:rsid w:val="46456C98"/>
    <w:rsid w:val="46502C68"/>
    <w:rsid w:val="4659254A"/>
    <w:rsid w:val="465B0637"/>
    <w:rsid w:val="465E3F0D"/>
    <w:rsid w:val="466061AD"/>
    <w:rsid w:val="466A16E6"/>
    <w:rsid w:val="46893F2B"/>
    <w:rsid w:val="46C4686E"/>
    <w:rsid w:val="46DD51CC"/>
    <w:rsid w:val="47634850"/>
    <w:rsid w:val="47793E00"/>
    <w:rsid w:val="477B778F"/>
    <w:rsid w:val="478203EC"/>
    <w:rsid w:val="47B025FA"/>
    <w:rsid w:val="4809698F"/>
    <w:rsid w:val="480F1C53"/>
    <w:rsid w:val="4811697D"/>
    <w:rsid w:val="487A3E25"/>
    <w:rsid w:val="488B5503"/>
    <w:rsid w:val="48937E21"/>
    <w:rsid w:val="489A0361"/>
    <w:rsid w:val="48B94FF3"/>
    <w:rsid w:val="48E37AAB"/>
    <w:rsid w:val="48FD4B4C"/>
    <w:rsid w:val="490A68E0"/>
    <w:rsid w:val="490B4844"/>
    <w:rsid w:val="491055FE"/>
    <w:rsid w:val="492178D9"/>
    <w:rsid w:val="49284D7B"/>
    <w:rsid w:val="495A0CAC"/>
    <w:rsid w:val="495F5B3E"/>
    <w:rsid w:val="496F77D7"/>
    <w:rsid w:val="497654FD"/>
    <w:rsid w:val="49B64211"/>
    <w:rsid w:val="49BB3719"/>
    <w:rsid w:val="49BE748D"/>
    <w:rsid w:val="49CB00B7"/>
    <w:rsid w:val="49E56AF9"/>
    <w:rsid w:val="49F6167F"/>
    <w:rsid w:val="4A064FA0"/>
    <w:rsid w:val="4A16615C"/>
    <w:rsid w:val="4A4424D7"/>
    <w:rsid w:val="4AAC3789"/>
    <w:rsid w:val="4AB82D0F"/>
    <w:rsid w:val="4AC72371"/>
    <w:rsid w:val="4AEB7664"/>
    <w:rsid w:val="4AFD7C19"/>
    <w:rsid w:val="4B0567D1"/>
    <w:rsid w:val="4B0E61F2"/>
    <w:rsid w:val="4B236AAE"/>
    <w:rsid w:val="4B707271"/>
    <w:rsid w:val="4B8E167A"/>
    <w:rsid w:val="4B9739F7"/>
    <w:rsid w:val="4BA821A3"/>
    <w:rsid w:val="4BCA1FA1"/>
    <w:rsid w:val="4BD60C47"/>
    <w:rsid w:val="4BEE2503"/>
    <w:rsid w:val="4C0B4E1C"/>
    <w:rsid w:val="4C245A30"/>
    <w:rsid w:val="4C460902"/>
    <w:rsid w:val="4C612351"/>
    <w:rsid w:val="4CB4113B"/>
    <w:rsid w:val="4CB6685F"/>
    <w:rsid w:val="4CC132CB"/>
    <w:rsid w:val="4CC367FE"/>
    <w:rsid w:val="4D0231E4"/>
    <w:rsid w:val="4D077F3C"/>
    <w:rsid w:val="4D123355"/>
    <w:rsid w:val="4D241CFD"/>
    <w:rsid w:val="4D285609"/>
    <w:rsid w:val="4D2A3B31"/>
    <w:rsid w:val="4D312C52"/>
    <w:rsid w:val="4D905305"/>
    <w:rsid w:val="4D964A72"/>
    <w:rsid w:val="4D9C1254"/>
    <w:rsid w:val="4DF96CE5"/>
    <w:rsid w:val="4E2C72DB"/>
    <w:rsid w:val="4E597784"/>
    <w:rsid w:val="4E793892"/>
    <w:rsid w:val="4E800872"/>
    <w:rsid w:val="4EB175C0"/>
    <w:rsid w:val="4EBE3F66"/>
    <w:rsid w:val="4EC569ED"/>
    <w:rsid w:val="4ED50EA1"/>
    <w:rsid w:val="4EDD03B5"/>
    <w:rsid w:val="4EDE6CC4"/>
    <w:rsid w:val="4EEC050C"/>
    <w:rsid w:val="4F104EC3"/>
    <w:rsid w:val="4F3F6422"/>
    <w:rsid w:val="4F47354A"/>
    <w:rsid w:val="4F557598"/>
    <w:rsid w:val="4F685B32"/>
    <w:rsid w:val="4F8C5EB6"/>
    <w:rsid w:val="4F911C54"/>
    <w:rsid w:val="4F9273F2"/>
    <w:rsid w:val="4FB20412"/>
    <w:rsid w:val="4FE625E0"/>
    <w:rsid w:val="501047BA"/>
    <w:rsid w:val="5021480F"/>
    <w:rsid w:val="50897B3B"/>
    <w:rsid w:val="508A00C9"/>
    <w:rsid w:val="50962ECB"/>
    <w:rsid w:val="50A42E38"/>
    <w:rsid w:val="50A4577F"/>
    <w:rsid w:val="50B73D1F"/>
    <w:rsid w:val="50BD5BC9"/>
    <w:rsid w:val="50C11EEE"/>
    <w:rsid w:val="50D2029B"/>
    <w:rsid w:val="50D85DC3"/>
    <w:rsid w:val="50E97CFC"/>
    <w:rsid w:val="50FA4028"/>
    <w:rsid w:val="510D65B7"/>
    <w:rsid w:val="511157AB"/>
    <w:rsid w:val="51145BE4"/>
    <w:rsid w:val="51340035"/>
    <w:rsid w:val="5142540C"/>
    <w:rsid w:val="5176689F"/>
    <w:rsid w:val="517949D7"/>
    <w:rsid w:val="518832C8"/>
    <w:rsid w:val="519D3C50"/>
    <w:rsid w:val="51A0432A"/>
    <w:rsid w:val="51A86090"/>
    <w:rsid w:val="51B7396D"/>
    <w:rsid w:val="51C413B8"/>
    <w:rsid w:val="51D35A9F"/>
    <w:rsid w:val="522E4CC3"/>
    <w:rsid w:val="5244713B"/>
    <w:rsid w:val="52604C60"/>
    <w:rsid w:val="52615633"/>
    <w:rsid w:val="526F4DE4"/>
    <w:rsid w:val="52977FD4"/>
    <w:rsid w:val="52A25790"/>
    <w:rsid w:val="52A96B6F"/>
    <w:rsid w:val="52B45975"/>
    <w:rsid w:val="52CE7B7D"/>
    <w:rsid w:val="52D3353B"/>
    <w:rsid w:val="52D715BF"/>
    <w:rsid w:val="52D94AA4"/>
    <w:rsid w:val="52EA3A62"/>
    <w:rsid w:val="52F50BB8"/>
    <w:rsid w:val="53097272"/>
    <w:rsid w:val="531D5224"/>
    <w:rsid w:val="532B1A01"/>
    <w:rsid w:val="53544462"/>
    <w:rsid w:val="5397158E"/>
    <w:rsid w:val="54013861"/>
    <w:rsid w:val="54086BA2"/>
    <w:rsid w:val="5429409D"/>
    <w:rsid w:val="54372E20"/>
    <w:rsid w:val="54455CD4"/>
    <w:rsid w:val="54487265"/>
    <w:rsid w:val="544D6070"/>
    <w:rsid w:val="54605E1E"/>
    <w:rsid w:val="547921AA"/>
    <w:rsid w:val="54A0435F"/>
    <w:rsid w:val="54B3506A"/>
    <w:rsid w:val="54CA0D16"/>
    <w:rsid w:val="54DD4057"/>
    <w:rsid w:val="54E7490F"/>
    <w:rsid w:val="550764A4"/>
    <w:rsid w:val="550B2BF6"/>
    <w:rsid w:val="550C49A4"/>
    <w:rsid w:val="55214EB5"/>
    <w:rsid w:val="55364EFD"/>
    <w:rsid w:val="555A342C"/>
    <w:rsid w:val="555D4828"/>
    <w:rsid w:val="557A4C8B"/>
    <w:rsid w:val="558931E1"/>
    <w:rsid w:val="55923347"/>
    <w:rsid w:val="55925180"/>
    <w:rsid w:val="55983B1B"/>
    <w:rsid w:val="55992B5C"/>
    <w:rsid w:val="55A34E57"/>
    <w:rsid w:val="55A8376B"/>
    <w:rsid w:val="55DC29B6"/>
    <w:rsid w:val="55DD4241"/>
    <w:rsid w:val="56116E44"/>
    <w:rsid w:val="56336B0D"/>
    <w:rsid w:val="56416C3F"/>
    <w:rsid w:val="566273F2"/>
    <w:rsid w:val="566B6D1E"/>
    <w:rsid w:val="5700392F"/>
    <w:rsid w:val="57032A2C"/>
    <w:rsid w:val="570F5219"/>
    <w:rsid w:val="57432BD9"/>
    <w:rsid w:val="575D12B5"/>
    <w:rsid w:val="57610A87"/>
    <w:rsid w:val="5765537C"/>
    <w:rsid w:val="577B1140"/>
    <w:rsid w:val="577B7F21"/>
    <w:rsid w:val="577F181B"/>
    <w:rsid w:val="57921984"/>
    <w:rsid w:val="579737F0"/>
    <w:rsid w:val="57982319"/>
    <w:rsid w:val="57AB7B30"/>
    <w:rsid w:val="57AF5251"/>
    <w:rsid w:val="57B117B2"/>
    <w:rsid w:val="57B26373"/>
    <w:rsid w:val="57B63F04"/>
    <w:rsid w:val="57CD20C2"/>
    <w:rsid w:val="57CD5FFC"/>
    <w:rsid w:val="57D675AB"/>
    <w:rsid w:val="57D95FDD"/>
    <w:rsid w:val="581F792F"/>
    <w:rsid w:val="58670CF0"/>
    <w:rsid w:val="58713A09"/>
    <w:rsid w:val="587A4EC7"/>
    <w:rsid w:val="588731B6"/>
    <w:rsid w:val="58917D2F"/>
    <w:rsid w:val="5894085C"/>
    <w:rsid w:val="58AE4F0C"/>
    <w:rsid w:val="58B73A25"/>
    <w:rsid w:val="58B800B2"/>
    <w:rsid w:val="58B85899"/>
    <w:rsid w:val="58DC7F4D"/>
    <w:rsid w:val="58E363A9"/>
    <w:rsid w:val="595E1678"/>
    <w:rsid w:val="596D5BD4"/>
    <w:rsid w:val="597E3DD8"/>
    <w:rsid w:val="599E6993"/>
    <w:rsid w:val="59C4289D"/>
    <w:rsid w:val="59D525E5"/>
    <w:rsid w:val="59E7033A"/>
    <w:rsid w:val="59F80043"/>
    <w:rsid w:val="5A09252F"/>
    <w:rsid w:val="5A0B2778"/>
    <w:rsid w:val="5A2A7C7B"/>
    <w:rsid w:val="5A3E2560"/>
    <w:rsid w:val="5A5D3B6E"/>
    <w:rsid w:val="5A637A76"/>
    <w:rsid w:val="5A6D33BA"/>
    <w:rsid w:val="5A792B1F"/>
    <w:rsid w:val="5A874767"/>
    <w:rsid w:val="5A8E508B"/>
    <w:rsid w:val="5AA85BE2"/>
    <w:rsid w:val="5AAD6F28"/>
    <w:rsid w:val="5AD63A24"/>
    <w:rsid w:val="5B086B2B"/>
    <w:rsid w:val="5B2E1A1D"/>
    <w:rsid w:val="5B7B471F"/>
    <w:rsid w:val="5B7E4CCE"/>
    <w:rsid w:val="5B843A1C"/>
    <w:rsid w:val="5B873E3F"/>
    <w:rsid w:val="5B8C24F8"/>
    <w:rsid w:val="5B9C6F02"/>
    <w:rsid w:val="5BC151D0"/>
    <w:rsid w:val="5BD65097"/>
    <w:rsid w:val="5BEB7115"/>
    <w:rsid w:val="5C02690E"/>
    <w:rsid w:val="5C196DA7"/>
    <w:rsid w:val="5C2A048C"/>
    <w:rsid w:val="5C80234E"/>
    <w:rsid w:val="5C8A680C"/>
    <w:rsid w:val="5D0A5F01"/>
    <w:rsid w:val="5D0C4701"/>
    <w:rsid w:val="5D0F0395"/>
    <w:rsid w:val="5D1F0697"/>
    <w:rsid w:val="5D221076"/>
    <w:rsid w:val="5D397964"/>
    <w:rsid w:val="5D5A391C"/>
    <w:rsid w:val="5D5D7A9C"/>
    <w:rsid w:val="5D5F10C0"/>
    <w:rsid w:val="5D706225"/>
    <w:rsid w:val="5D891B7B"/>
    <w:rsid w:val="5DAD38EE"/>
    <w:rsid w:val="5DBD7E3A"/>
    <w:rsid w:val="5DC745AD"/>
    <w:rsid w:val="5E006862"/>
    <w:rsid w:val="5E0207B9"/>
    <w:rsid w:val="5E162F9C"/>
    <w:rsid w:val="5E1834A1"/>
    <w:rsid w:val="5E261785"/>
    <w:rsid w:val="5E323B4E"/>
    <w:rsid w:val="5E4A7017"/>
    <w:rsid w:val="5E552BBA"/>
    <w:rsid w:val="5E611C10"/>
    <w:rsid w:val="5E7A0F3F"/>
    <w:rsid w:val="5EE46D6C"/>
    <w:rsid w:val="5EED0393"/>
    <w:rsid w:val="5EFC7377"/>
    <w:rsid w:val="5F06174D"/>
    <w:rsid w:val="5F061AD7"/>
    <w:rsid w:val="5F223BC2"/>
    <w:rsid w:val="5F2A7F10"/>
    <w:rsid w:val="5F3A3602"/>
    <w:rsid w:val="5F426012"/>
    <w:rsid w:val="5F45733B"/>
    <w:rsid w:val="5F5C5326"/>
    <w:rsid w:val="5F6277C6"/>
    <w:rsid w:val="5F6D0B1D"/>
    <w:rsid w:val="5F7A57AC"/>
    <w:rsid w:val="5F8D0B82"/>
    <w:rsid w:val="5F9C7BE4"/>
    <w:rsid w:val="5FA40A7B"/>
    <w:rsid w:val="5FCC5339"/>
    <w:rsid w:val="5FDE300B"/>
    <w:rsid w:val="5FE34A5B"/>
    <w:rsid w:val="5FEF219F"/>
    <w:rsid w:val="5FFE1E36"/>
    <w:rsid w:val="60232584"/>
    <w:rsid w:val="602332D2"/>
    <w:rsid w:val="606F72DB"/>
    <w:rsid w:val="607330CE"/>
    <w:rsid w:val="60825176"/>
    <w:rsid w:val="609D6F6D"/>
    <w:rsid w:val="609F2AC4"/>
    <w:rsid w:val="60AE7E03"/>
    <w:rsid w:val="60FA2EE8"/>
    <w:rsid w:val="61054A27"/>
    <w:rsid w:val="610A52BC"/>
    <w:rsid w:val="611D2366"/>
    <w:rsid w:val="61412A26"/>
    <w:rsid w:val="61421856"/>
    <w:rsid w:val="614C4F26"/>
    <w:rsid w:val="615227C4"/>
    <w:rsid w:val="61654E3F"/>
    <w:rsid w:val="61691F7C"/>
    <w:rsid w:val="6182292A"/>
    <w:rsid w:val="619F7F92"/>
    <w:rsid w:val="61F94C26"/>
    <w:rsid w:val="62000E56"/>
    <w:rsid w:val="624B51DE"/>
    <w:rsid w:val="624F3E49"/>
    <w:rsid w:val="62632286"/>
    <w:rsid w:val="62816E52"/>
    <w:rsid w:val="62885958"/>
    <w:rsid w:val="62C236F2"/>
    <w:rsid w:val="62F40B65"/>
    <w:rsid w:val="62FC2CFE"/>
    <w:rsid w:val="63024505"/>
    <w:rsid w:val="635600A5"/>
    <w:rsid w:val="635B1DB5"/>
    <w:rsid w:val="636A5214"/>
    <w:rsid w:val="63711FED"/>
    <w:rsid w:val="6372336A"/>
    <w:rsid w:val="637B40B0"/>
    <w:rsid w:val="63880DDC"/>
    <w:rsid w:val="638D750D"/>
    <w:rsid w:val="63AC6CC0"/>
    <w:rsid w:val="63B50A1C"/>
    <w:rsid w:val="63C02DCD"/>
    <w:rsid w:val="63C93DED"/>
    <w:rsid w:val="63F80FFE"/>
    <w:rsid w:val="64055776"/>
    <w:rsid w:val="64240056"/>
    <w:rsid w:val="64275098"/>
    <w:rsid w:val="643E143A"/>
    <w:rsid w:val="64491666"/>
    <w:rsid w:val="648B6EEF"/>
    <w:rsid w:val="648F1CFA"/>
    <w:rsid w:val="64C158BF"/>
    <w:rsid w:val="64CE2EAA"/>
    <w:rsid w:val="64E014FC"/>
    <w:rsid w:val="64F46B4F"/>
    <w:rsid w:val="65393A14"/>
    <w:rsid w:val="653C3090"/>
    <w:rsid w:val="65525F8C"/>
    <w:rsid w:val="655B398A"/>
    <w:rsid w:val="65854376"/>
    <w:rsid w:val="658767BE"/>
    <w:rsid w:val="65892531"/>
    <w:rsid w:val="658D4B94"/>
    <w:rsid w:val="65D5373C"/>
    <w:rsid w:val="65EE2A50"/>
    <w:rsid w:val="65F00576"/>
    <w:rsid w:val="66065FEC"/>
    <w:rsid w:val="66195831"/>
    <w:rsid w:val="661C4AA7"/>
    <w:rsid w:val="66214BD4"/>
    <w:rsid w:val="662E75B1"/>
    <w:rsid w:val="66342C2E"/>
    <w:rsid w:val="663E784C"/>
    <w:rsid w:val="666920D7"/>
    <w:rsid w:val="668B6A45"/>
    <w:rsid w:val="66E225B5"/>
    <w:rsid w:val="67011F07"/>
    <w:rsid w:val="67220C03"/>
    <w:rsid w:val="672F3F24"/>
    <w:rsid w:val="673E055F"/>
    <w:rsid w:val="67551CE3"/>
    <w:rsid w:val="67566AFF"/>
    <w:rsid w:val="67A07071"/>
    <w:rsid w:val="67A22552"/>
    <w:rsid w:val="67B22DCC"/>
    <w:rsid w:val="67BE71AA"/>
    <w:rsid w:val="67C1041C"/>
    <w:rsid w:val="67D90273"/>
    <w:rsid w:val="67DE5875"/>
    <w:rsid w:val="67E55852"/>
    <w:rsid w:val="67EB1AB4"/>
    <w:rsid w:val="67FA1285"/>
    <w:rsid w:val="681A18DB"/>
    <w:rsid w:val="682269E1"/>
    <w:rsid w:val="68551F4F"/>
    <w:rsid w:val="687C10C9"/>
    <w:rsid w:val="687E5C3A"/>
    <w:rsid w:val="68840C16"/>
    <w:rsid w:val="68872541"/>
    <w:rsid w:val="68876EFB"/>
    <w:rsid w:val="68884654"/>
    <w:rsid w:val="688C611E"/>
    <w:rsid w:val="689F444F"/>
    <w:rsid w:val="68B96DBB"/>
    <w:rsid w:val="68CA2805"/>
    <w:rsid w:val="68E937A3"/>
    <w:rsid w:val="691664E5"/>
    <w:rsid w:val="693E15D3"/>
    <w:rsid w:val="69515C90"/>
    <w:rsid w:val="69627681"/>
    <w:rsid w:val="696848C8"/>
    <w:rsid w:val="696B23FB"/>
    <w:rsid w:val="6977531D"/>
    <w:rsid w:val="698F62F8"/>
    <w:rsid w:val="69C11987"/>
    <w:rsid w:val="69CC2BFF"/>
    <w:rsid w:val="69FD55B8"/>
    <w:rsid w:val="6A024D1C"/>
    <w:rsid w:val="6A0B1C62"/>
    <w:rsid w:val="6A2406C8"/>
    <w:rsid w:val="6A3B5F49"/>
    <w:rsid w:val="6A710D40"/>
    <w:rsid w:val="6A907CB8"/>
    <w:rsid w:val="6ADE0BD1"/>
    <w:rsid w:val="6AE565F6"/>
    <w:rsid w:val="6AE96859"/>
    <w:rsid w:val="6AF37F38"/>
    <w:rsid w:val="6B147746"/>
    <w:rsid w:val="6B24787C"/>
    <w:rsid w:val="6B573233"/>
    <w:rsid w:val="6B5B6274"/>
    <w:rsid w:val="6B935D53"/>
    <w:rsid w:val="6BB14B21"/>
    <w:rsid w:val="6BBE6A5E"/>
    <w:rsid w:val="6C136D6D"/>
    <w:rsid w:val="6C196F71"/>
    <w:rsid w:val="6C226FCB"/>
    <w:rsid w:val="6C31226F"/>
    <w:rsid w:val="6C53684F"/>
    <w:rsid w:val="6C552F0B"/>
    <w:rsid w:val="6C5C6966"/>
    <w:rsid w:val="6C8C67B7"/>
    <w:rsid w:val="6C97174C"/>
    <w:rsid w:val="6C9D744C"/>
    <w:rsid w:val="6CB87914"/>
    <w:rsid w:val="6CC12C6C"/>
    <w:rsid w:val="6CC308DF"/>
    <w:rsid w:val="6D140FEE"/>
    <w:rsid w:val="6D167928"/>
    <w:rsid w:val="6D26299B"/>
    <w:rsid w:val="6D4772EC"/>
    <w:rsid w:val="6D4A4A10"/>
    <w:rsid w:val="6D9078AF"/>
    <w:rsid w:val="6DAA3FEF"/>
    <w:rsid w:val="6DB27FAC"/>
    <w:rsid w:val="6DC0172B"/>
    <w:rsid w:val="6DCB690C"/>
    <w:rsid w:val="6DD41A5B"/>
    <w:rsid w:val="6DD95D94"/>
    <w:rsid w:val="6DE53E47"/>
    <w:rsid w:val="6DEE5CE3"/>
    <w:rsid w:val="6DF43C2E"/>
    <w:rsid w:val="6DF51CA3"/>
    <w:rsid w:val="6E14501E"/>
    <w:rsid w:val="6E1E7D0A"/>
    <w:rsid w:val="6E3D27C7"/>
    <w:rsid w:val="6E5D69C5"/>
    <w:rsid w:val="6E797CB0"/>
    <w:rsid w:val="6E821B12"/>
    <w:rsid w:val="6E8335BD"/>
    <w:rsid w:val="6E8E12EF"/>
    <w:rsid w:val="6E972936"/>
    <w:rsid w:val="6EC72090"/>
    <w:rsid w:val="6ED446C5"/>
    <w:rsid w:val="6F0230C8"/>
    <w:rsid w:val="6F13621D"/>
    <w:rsid w:val="6F226FD3"/>
    <w:rsid w:val="6F2A7D94"/>
    <w:rsid w:val="6F3C69CA"/>
    <w:rsid w:val="6F44210B"/>
    <w:rsid w:val="6F8331F1"/>
    <w:rsid w:val="6FAE1A09"/>
    <w:rsid w:val="6FD75BF8"/>
    <w:rsid w:val="707723D0"/>
    <w:rsid w:val="70B2584A"/>
    <w:rsid w:val="70D94A29"/>
    <w:rsid w:val="70F5661B"/>
    <w:rsid w:val="70FF6986"/>
    <w:rsid w:val="71297032"/>
    <w:rsid w:val="71360107"/>
    <w:rsid w:val="713B688E"/>
    <w:rsid w:val="713D7817"/>
    <w:rsid w:val="717B1673"/>
    <w:rsid w:val="718129CA"/>
    <w:rsid w:val="71D43752"/>
    <w:rsid w:val="71F1796A"/>
    <w:rsid w:val="72154626"/>
    <w:rsid w:val="721B468E"/>
    <w:rsid w:val="72262B5D"/>
    <w:rsid w:val="72283FF7"/>
    <w:rsid w:val="722E7212"/>
    <w:rsid w:val="723A0474"/>
    <w:rsid w:val="725923E4"/>
    <w:rsid w:val="72864BF7"/>
    <w:rsid w:val="729023FC"/>
    <w:rsid w:val="72AA278E"/>
    <w:rsid w:val="72BB09A6"/>
    <w:rsid w:val="72D65F7C"/>
    <w:rsid w:val="7318735E"/>
    <w:rsid w:val="73740AB0"/>
    <w:rsid w:val="739A71BA"/>
    <w:rsid w:val="73C0646E"/>
    <w:rsid w:val="73CC55DE"/>
    <w:rsid w:val="73E6120B"/>
    <w:rsid w:val="742222F5"/>
    <w:rsid w:val="74381E7B"/>
    <w:rsid w:val="74476126"/>
    <w:rsid w:val="74706664"/>
    <w:rsid w:val="747D56CB"/>
    <w:rsid w:val="747F3682"/>
    <w:rsid w:val="749C4185"/>
    <w:rsid w:val="75067759"/>
    <w:rsid w:val="752E6DCD"/>
    <w:rsid w:val="7551380D"/>
    <w:rsid w:val="75600BE5"/>
    <w:rsid w:val="7564475C"/>
    <w:rsid w:val="7583797F"/>
    <w:rsid w:val="758D7B90"/>
    <w:rsid w:val="75B5673F"/>
    <w:rsid w:val="75D20F1D"/>
    <w:rsid w:val="75DA2C18"/>
    <w:rsid w:val="75F54412"/>
    <w:rsid w:val="761D08E0"/>
    <w:rsid w:val="762B5982"/>
    <w:rsid w:val="76562678"/>
    <w:rsid w:val="765D347C"/>
    <w:rsid w:val="766308F1"/>
    <w:rsid w:val="76826699"/>
    <w:rsid w:val="76C87133"/>
    <w:rsid w:val="76CD08D5"/>
    <w:rsid w:val="76DB4B92"/>
    <w:rsid w:val="76FD013A"/>
    <w:rsid w:val="77052AA4"/>
    <w:rsid w:val="77136511"/>
    <w:rsid w:val="7720673D"/>
    <w:rsid w:val="77340A39"/>
    <w:rsid w:val="77351FD0"/>
    <w:rsid w:val="77472422"/>
    <w:rsid w:val="774C382B"/>
    <w:rsid w:val="774F4B39"/>
    <w:rsid w:val="777F31F2"/>
    <w:rsid w:val="779C67B0"/>
    <w:rsid w:val="77D1700D"/>
    <w:rsid w:val="77D3258C"/>
    <w:rsid w:val="77D74D30"/>
    <w:rsid w:val="77EC04CC"/>
    <w:rsid w:val="78100953"/>
    <w:rsid w:val="781C344D"/>
    <w:rsid w:val="78370287"/>
    <w:rsid w:val="78775729"/>
    <w:rsid w:val="78A42DB0"/>
    <w:rsid w:val="78A656AB"/>
    <w:rsid w:val="78B2245C"/>
    <w:rsid w:val="78D16DFF"/>
    <w:rsid w:val="78E172CC"/>
    <w:rsid w:val="78EA1D1F"/>
    <w:rsid w:val="7904172F"/>
    <w:rsid w:val="790F7E27"/>
    <w:rsid w:val="792A231A"/>
    <w:rsid w:val="79316829"/>
    <w:rsid w:val="797E66A9"/>
    <w:rsid w:val="798518A4"/>
    <w:rsid w:val="79986B03"/>
    <w:rsid w:val="79A379C0"/>
    <w:rsid w:val="79A97383"/>
    <w:rsid w:val="79CF0A0F"/>
    <w:rsid w:val="79E1494E"/>
    <w:rsid w:val="79E27E8B"/>
    <w:rsid w:val="79F850CE"/>
    <w:rsid w:val="79FD443C"/>
    <w:rsid w:val="7A1D1975"/>
    <w:rsid w:val="7A3E5150"/>
    <w:rsid w:val="7A4670D6"/>
    <w:rsid w:val="7A4720D1"/>
    <w:rsid w:val="7A534B63"/>
    <w:rsid w:val="7A615382"/>
    <w:rsid w:val="7A67303B"/>
    <w:rsid w:val="7AAB1D04"/>
    <w:rsid w:val="7AB1798F"/>
    <w:rsid w:val="7ABA4368"/>
    <w:rsid w:val="7AC1355A"/>
    <w:rsid w:val="7AD05746"/>
    <w:rsid w:val="7B257FFD"/>
    <w:rsid w:val="7B273D20"/>
    <w:rsid w:val="7B343476"/>
    <w:rsid w:val="7B3D3E06"/>
    <w:rsid w:val="7B5A2978"/>
    <w:rsid w:val="7B5A7E4C"/>
    <w:rsid w:val="7B667AF9"/>
    <w:rsid w:val="7B6D11C8"/>
    <w:rsid w:val="7B6E500B"/>
    <w:rsid w:val="7B707D38"/>
    <w:rsid w:val="7B7468F8"/>
    <w:rsid w:val="7B9A4DB4"/>
    <w:rsid w:val="7BB71C17"/>
    <w:rsid w:val="7BBD1CA9"/>
    <w:rsid w:val="7BEE0103"/>
    <w:rsid w:val="7BF57DB0"/>
    <w:rsid w:val="7C0A0FE4"/>
    <w:rsid w:val="7C10151B"/>
    <w:rsid w:val="7C254906"/>
    <w:rsid w:val="7C2D5C29"/>
    <w:rsid w:val="7C590818"/>
    <w:rsid w:val="7C7C10F6"/>
    <w:rsid w:val="7C853BEA"/>
    <w:rsid w:val="7C856AC2"/>
    <w:rsid w:val="7C881368"/>
    <w:rsid w:val="7CE27788"/>
    <w:rsid w:val="7D0C32F1"/>
    <w:rsid w:val="7D0F408D"/>
    <w:rsid w:val="7D491C6C"/>
    <w:rsid w:val="7D5429C0"/>
    <w:rsid w:val="7D6E6D43"/>
    <w:rsid w:val="7DB57A34"/>
    <w:rsid w:val="7DC82A8C"/>
    <w:rsid w:val="7DE60973"/>
    <w:rsid w:val="7DEF0916"/>
    <w:rsid w:val="7E1E5218"/>
    <w:rsid w:val="7E4575AB"/>
    <w:rsid w:val="7E6E2CB9"/>
    <w:rsid w:val="7E7933A7"/>
    <w:rsid w:val="7E955D07"/>
    <w:rsid w:val="7E964D3C"/>
    <w:rsid w:val="7E9A4E1F"/>
    <w:rsid w:val="7EA7723A"/>
    <w:rsid w:val="7EC30AC6"/>
    <w:rsid w:val="7EF56FBB"/>
    <w:rsid w:val="7F0768EB"/>
    <w:rsid w:val="7F143BEC"/>
    <w:rsid w:val="7F17496E"/>
    <w:rsid w:val="7F24432E"/>
    <w:rsid w:val="7F6D27E0"/>
    <w:rsid w:val="7F715AF2"/>
    <w:rsid w:val="7F886E69"/>
    <w:rsid w:val="7F9E2999"/>
    <w:rsid w:val="7FAA17D3"/>
    <w:rsid w:val="7FC248DA"/>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3"/>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3"/>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7"/>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2"/>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3"/>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9"/>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2"/>
    <w:qFormat/>
    <w:uiPriority w:val="0"/>
    <w:pPr>
      <w:shd w:val="clear" w:color="auto" w:fill="000080"/>
    </w:pPr>
  </w:style>
  <w:style w:type="paragraph" w:styleId="19">
    <w:name w:val="annotation text"/>
    <w:basedOn w:val="1"/>
    <w:link w:val="344"/>
    <w:qFormat/>
    <w:uiPriority w:val="99"/>
    <w:pPr>
      <w:jc w:val="left"/>
    </w:pPr>
  </w:style>
  <w:style w:type="paragraph" w:styleId="20">
    <w:name w:val="Salutation"/>
    <w:basedOn w:val="1"/>
    <w:next w:val="1"/>
    <w:link w:val="298"/>
    <w:qFormat/>
    <w:uiPriority w:val="0"/>
    <w:rPr>
      <w:rFonts w:ascii="仿宋_GB2312" w:eastAsia="仿宋_GB2312"/>
      <w:sz w:val="28"/>
      <w:szCs w:val="20"/>
    </w:rPr>
  </w:style>
  <w:style w:type="paragraph" w:styleId="21">
    <w:name w:val="Body Text 3"/>
    <w:basedOn w:val="1"/>
    <w:link w:val="330"/>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1"/>
    <w:link w:val="430"/>
    <w:qFormat/>
    <w:uiPriority w:val="99"/>
    <w:pPr>
      <w:autoSpaceDE w:val="0"/>
      <w:autoSpaceDN w:val="0"/>
      <w:spacing w:line="360" w:lineRule="auto"/>
    </w:pPr>
    <w:rPr>
      <w:rFonts w:ascii="宋体" w:hAnsi="Arial" w:cs="Arial"/>
      <w:snapToGrid w:val="0"/>
      <w:sz w:val="24"/>
      <w:szCs w:val="21"/>
      <w:lang w:val="zh-CN"/>
    </w:rPr>
  </w:style>
  <w:style w:type="paragraph" w:styleId="24">
    <w:name w:val="Body Text Indent"/>
    <w:basedOn w:val="1"/>
    <w:next w:val="1"/>
    <w:link w:val="265"/>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9"/>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next w:val="1"/>
    <w:link w:val="125"/>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81"/>
    <w:qFormat/>
    <w:uiPriority w:val="0"/>
    <w:pPr>
      <w:ind w:left="100" w:leftChars="2500"/>
    </w:pPr>
    <w:rPr>
      <w:rFonts w:ascii="宋体"/>
      <w:sz w:val="24"/>
      <w:szCs w:val="21"/>
      <w:lang w:val="zh-CN"/>
    </w:rPr>
  </w:style>
  <w:style w:type="paragraph" w:styleId="36">
    <w:name w:val="Body Text Indent 2"/>
    <w:basedOn w:val="1"/>
    <w:link w:val="308"/>
    <w:qFormat/>
    <w:uiPriority w:val="0"/>
    <w:pPr>
      <w:spacing w:line="360" w:lineRule="auto"/>
      <w:ind w:firstLine="601"/>
      <w:textAlignment w:val="baseline"/>
    </w:pPr>
    <w:rPr>
      <w:rFonts w:ascii="宋体"/>
      <w:kern w:val="0"/>
      <w:sz w:val="28"/>
      <w:szCs w:val="20"/>
    </w:rPr>
  </w:style>
  <w:style w:type="paragraph" w:styleId="37">
    <w:name w:val="endnote text"/>
    <w:basedOn w:val="1"/>
    <w:link w:val="931"/>
    <w:qFormat/>
    <w:uiPriority w:val="0"/>
    <w:rPr>
      <w:lang w:val="zh-CN"/>
    </w:rPr>
  </w:style>
  <w:style w:type="paragraph" w:styleId="38">
    <w:name w:val="Balloon Text"/>
    <w:basedOn w:val="1"/>
    <w:link w:val="188"/>
    <w:qFormat/>
    <w:uiPriority w:val="0"/>
    <w:rPr>
      <w:sz w:val="18"/>
      <w:szCs w:val="18"/>
    </w:rPr>
  </w:style>
  <w:style w:type="paragraph" w:styleId="39">
    <w:name w:val="footer"/>
    <w:basedOn w:val="1"/>
    <w:link w:val="383"/>
    <w:qFormat/>
    <w:uiPriority w:val="99"/>
    <w:pPr>
      <w:tabs>
        <w:tab w:val="center" w:pos="4153"/>
        <w:tab w:val="right" w:pos="8306"/>
      </w:tabs>
      <w:snapToGrid w:val="0"/>
      <w:jc w:val="left"/>
    </w:pPr>
    <w:rPr>
      <w:sz w:val="18"/>
      <w:szCs w:val="18"/>
    </w:rPr>
  </w:style>
  <w:style w:type="paragraph" w:styleId="40">
    <w:name w:val="header"/>
    <w:basedOn w:val="1"/>
    <w:link w:val="392"/>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5"/>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310"/>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5"/>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302"/>
    <w:qFormat/>
    <w:uiPriority w:val="0"/>
    <w:pPr>
      <w:spacing w:after="120" w:line="480" w:lineRule="auto"/>
    </w:pPr>
  </w:style>
  <w:style w:type="paragraph" w:styleId="56">
    <w:name w:val="HTML Preformatted"/>
    <w:basedOn w:val="1"/>
    <w:link w:val="30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next w:val="1"/>
    <w:link w:val="286"/>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6"/>
    <w:qFormat/>
    <w:uiPriority w:val="0"/>
    <w:rPr>
      <w:b/>
      <w:bCs/>
    </w:rPr>
  </w:style>
  <w:style w:type="paragraph" w:styleId="60">
    <w:name w:val="Body Text First Indent"/>
    <w:basedOn w:val="23"/>
    <w:next w:val="1"/>
    <w:link w:val="321"/>
    <w:qFormat/>
    <w:uiPriority w:val="0"/>
    <w:pPr>
      <w:ind w:firstLine="420"/>
    </w:pPr>
    <w:rPr>
      <w:rFonts w:hAnsi="Calibri" w:cs="Times New Roman"/>
      <w:snapToGrid/>
      <w:szCs w:val="20"/>
    </w:rPr>
  </w:style>
  <w:style w:type="paragraph" w:styleId="61">
    <w:name w:val="Body Text First Indent 2"/>
    <w:basedOn w:val="24"/>
    <w:next w:val="1"/>
    <w:link w:val="121"/>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样式3"/>
    <w:basedOn w:val="32"/>
    <w:next w:val="1"/>
    <w:qFormat/>
    <w:uiPriority w:val="0"/>
    <w:pPr>
      <w:tabs>
        <w:tab w:val="left" w:pos="2790"/>
        <w:tab w:val="left" w:pos="4230"/>
      </w:tabs>
      <w:spacing w:before="312" w:beforeLines="100"/>
      <w:jc w:val="left"/>
    </w:pPr>
  </w:style>
  <w:style w:type="paragraph" w:customStyle="1" w:styleId="80">
    <w:name w:val="Body Text First Indent 21"/>
    <w:basedOn w:val="81"/>
    <w:qFormat/>
    <w:uiPriority w:val="0"/>
    <w:pPr>
      <w:ind w:firstLine="420"/>
    </w:pPr>
    <w:rPr>
      <w:rFonts w:cs="宋体"/>
    </w:rPr>
  </w:style>
  <w:style w:type="paragraph" w:customStyle="1" w:styleId="81">
    <w:name w:val="Body Text Indent1"/>
    <w:basedOn w:val="1"/>
    <w:next w:val="1"/>
    <w:qFormat/>
    <w:uiPriority w:val="0"/>
    <w:pPr>
      <w:spacing w:after="120"/>
      <w:ind w:left="420" w:leftChars="200"/>
    </w:pPr>
    <w:rPr>
      <w:color w:val="000000"/>
      <w:szCs w:val="21"/>
    </w:rPr>
  </w:style>
  <w:style w:type="character" w:customStyle="1" w:styleId="82">
    <w:name w:val="表格非标题文字 Char"/>
    <w:link w:val="83"/>
    <w:qFormat/>
    <w:uiPriority w:val="0"/>
    <w:rPr>
      <w:rFonts w:ascii="Futura Bk" w:hAnsi="Futura Bk"/>
      <w:kern w:val="2"/>
      <w:sz w:val="18"/>
      <w:szCs w:val="21"/>
      <w:lang w:val="en-US" w:eastAsia="zh-CN" w:bidi="ar-SA"/>
    </w:rPr>
  </w:style>
  <w:style w:type="paragraph" w:customStyle="1" w:styleId="83">
    <w:name w:val="表格非标题文字"/>
    <w:link w:val="82"/>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qFormat/>
    <w:locked/>
    <w:uiPriority w:val="0"/>
    <w:rPr>
      <w:rFonts w:ascii="宋体" w:hAnsi="宋体"/>
      <w:sz w:val="24"/>
    </w:rPr>
  </w:style>
  <w:style w:type="paragraph" w:customStyle="1" w:styleId="85">
    <w:name w:val="*正文"/>
    <w:basedOn w:val="1"/>
    <w:link w:val="84"/>
    <w:qFormat/>
    <w:uiPriority w:val="0"/>
    <w:pPr>
      <w:snapToGrid w:val="0"/>
      <w:spacing w:line="360" w:lineRule="auto"/>
      <w:ind w:firstLine="482"/>
      <w:jc w:val="left"/>
    </w:pPr>
    <w:rPr>
      <w:rFonts w:ascii="宋体" w:hAnsi="宋体"/>
      <w:kern w:val="0"/>
      <w:sz w:val="24"/>
      <w:szCs w:val="20"/>
    </w:rPr>
  </w:style>
  <w:style w:type="character" w:customStyle="1" w:styleId="86">
    <w:name w:val="Char Char71"/>
    <w:semiHidden/>
    <w:qFormat/>
    <w:uiPriority w:val="0"/>
    <w:rPr>
      <w:rFonts w:eastAsia="宋体"/>
      <w:kern w:val="2"/>
      <w:sz w:val="21"/>
      <w:szCs w:val="24"/>
      <w:lang w:val="en-US" w:eastAsia="zh-CN" w:bidi="ar-SA"/>
    </w:rPr>
  </w:style>
  <w:style w:type="character" w:customStyle="1" w:styleId="87">
    <w:name w:val="Char Char6"/>
    <w:qFormat/>
    <w:uiPriority w:val="0"/>
    <w:rPr>
      <w:rFonts w:eastAsia="宋体"/>
      <w:kern w:val="2"/>
      <w:sz w:val="21"/>
      <w:szCs w:val="24"/>
      <w:lang w:val="en-US" w:eastAsia="zh-CN" w:bidi="ar-SA"/>
    </w:rPr>
  </w:style>
  <w:style w:type="character" w:customStyle="1" w:styleId="88">
    <w:name w:val="正文缩进 Char"/>
    <w:qFormat/>
    <w:uiPriority w:val="0"/>
    <w:rPr>
      <w:rFonts w:eastAsia="宋体"/>
      <w:kern w:val="2"/>
      <w:sz w:val="21"/>
      <w:lang w:val="en-US" w:eastAsia="zh-CN"/>
    </w:rPr>
  </w:style>
  <w:style w:type="character" w:customStyle="1" w:styleId="89">
    <w:name w:val="正文首行缩进 Char1"/>
    <w:qFormat/>
    <w:uiPriority w:val="0"/>
    <w:rPr>
      <w:rFonts w:ascii="宋体" w:hAnsi="Times New Roman" w:eastAsia="宋体" w:cs="Times New Roman"/>
      <w:snapToGrid w:val="0"/>
      <w:kern w:val="2"/>
      <w:sz w:val="24"/>
      <w:szCs w:val="21"/>
      <w:lang w:val="zh-CN"/>
    </w:rPr>
  </w:style>
  <w:style w:type="character" w:customStyle="1" w:styleId="90">
    <w:name w:val="Char Char28"/>
    <w:qFormat/>
    <w:uiPriority w:val="6"/>
    <w:rPr>
      <w:rFonts w:ascii="仿宋_GB2312" w:hAnsi="仿宋_GB2312" w:eastAsia="仿宋_GB2312"/>
      <w:kern w:val="1"/>
      <w:sz w:val="28"/>
    </w:rPr>
  </w:style>
  <w:style w:type="character" w:customStyle="1" w:styleId="91">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qFormat/>
    <w:uiPriority w:val="6"/>
    <w:rPr>
      <w:rFonts w:ascii="Times New Roman" w:hAnsi="Times New Roman" w:eastAsia="黑体" w:cs="Times New Roman"/>
      <w:b/>
      <w:kern w:val="0"/>
      <w:sz w:val="24"/>
      <w:szCs w:val="24"/>
    </w:rPr>
  </w:style>
  <w:style w:type="character" w:customStyle="1" w:styleId="93">
    <w:name w:val="U_正文 Char"/>
    <w:link w:val="94"/>
    <w:qFormat/>
    <w:uiPriority w:val="0"/>
    <w:rPr>
      <w:sz w:val="24"/>
      <w:szCs w:val="24"/>
    </w:rPr>
  </w:style>
  <w:style w:type="paragraph" w:customStyle="1" w:styleId="94">
    <w:name w:val="U_正文"/>
    <w:basedOn w:val="1"/>
    <w:link w:val="93"/>
    <w:qFormat/>
    <w:uiPriority w:val="0"/>
    <w:pPr>
      <w:adjustRightInd/>
      <w:spacing w:beforeLines="20" w:afterLines="20" w:line="300" w:lineRule="auto"/>
      <w:ind w:firstLine="200" w:firstLineChars="200"/>
    </w:pPr>
    <w:rPr>
      <w:kern w:val="0"/>
      <w:sz w:val="24"/>
    </w:rPr>
  </w:style>
  <w:style w:type="character" w:customStyle="1" w:styleId="95">
    <w:name w:val="HTML 地址 Char1"/>
    <w:qFormat/>
    <w:uiPriority w:val="0"/>
    <w:rPr>
      <w:rFonts w:ascii="Times New Roman" w:hAnsi="Times New Roman" w:eastAsia="宋体" w:cs="Times New Roman"/>
      <w:i/>
      <w:iCs/>
      <w:szCs w:val="24"/>
    </w:rPr>
  </w:style>
  <w:style w:type="character" w:customStyle="1" w:styleId="96">
    <w:name w:val="批注主题 字符"/>
    <w:link w:val="59"/>
    <w:qFormat/>
    <w:uiPriority w:val="0"/>
    <w:rPr>
      <w:b/>
      <w:bCs/>
      <w:kern w:val="2"/>
      <w:sz w:val="21"/>
      <w:szCs w:val="24"/>
    </w:rPr>
  </w:style>
  <w:style w:type="character" w:customStyle="1" w:styleId="97">
    <w:name w:val="Char Char51"/>
    <w:qFormat/>
    <w:uiPriority w:val="0"/>
    <w:rPr>
      <w:rFonts w:ascii="宋体" w:hAnsi="Courier New" w:eastAsia="宋体"/>
      <w:kern w:val="2"/>
      <w:sz w:val="21"/>
      <w:lang w:val="en-US" w:eastAsia="zh-CN"/>
    </w:rPr>
  </w:style>
  <w:style w:type="character" w:customStyle="1" w:styleId="98">
    <w:name w:val="表正文 Char"/>
    <w:qFormat/>
    <w:uiPriority w:val="0"/>
    <w:rPr>
      <w:rFonts w:ascii="宋体" w:eastAsia="宋体"/>
      <w:snapToGrid w:val="0"/>
      <w:color w:val="000000"/>
      <w:kern w:val="28"/>
      <w:sz w:val="28"/>
      <w:lang w:val="en-US" w:eastAsia="zh-CN" w:bidi="ar-SA"/>
    </w:rPr>
  </w:style>
  <w:style w:type="character" w:customStyle="1" w:styleId="99">
    <w:name w:val="Char Char34"/>
    <w:qFormat/>
    <w:uiPriority w:val="6"/>
    <w:rPr>
      <w:b/>
      <w:kern w:val="1"/>
      <w:sz w:val="28"/>
      <w:szCs w:val="28"/>
    </w:rPr>
  </w:style>
  <w:style w:type="character" w:customStyle="1" w:styleId="100">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qFormat/>
    <w:uiPriority w:val="0"/>
    <w:rPr>
      <w:rFonts w:ascii="宋体" w:hAnsi="宋体" w:eastAsia="宋体"/>
      <w:kern w:val="2"/>
      <w:sz w:val="24"/>
      <w:lang w:bidi="ar-SA"/>
    </w:rPr>
  </w:style>
  <w:style w:type="paragraph" w:customStyle="1" w:styleId="102">
    <w:name w:val="哈哈正文"/>
    <w:basedOn w:val="1"/>
    <w:link w:val="101"/>
    <w:qFormat/>
    <w:uiPriority w:val="0"/>
    <w:pPr>
      <w:adjustRightInd/>
      <w:spacing w:line="360" w:lineRule="auto"/>
      <w:ind w:firstLine="200" w:firstLineChars="200"/>
    </w:pPr>
    <w:rPr>
      <w:rFonts w:ascii="宋体" w:hAnsi="宋体"/>
      <w:sz w:val="24"/>
      <w:szCs w:val="20"/>
    </w:rPr>
  </w:style>
  <w:style w:type="character" w:customStyle="1" w:styleId="103">
    <w:name w:val="未处理的提及1"/>
    <w:qFormat/>
    <w:uiPriority w:val="0"/>
    <w:rPr>
      <w:color w:val="808080"/>
      <w:shd w:val="clear" w:color="auto" w:fill="E6E6E6"/>
    </w:rPr>
  </w:style>
  <w:style w:type="character" w:customStyle="1" w:styleId="104">
    <w:name w:val="txt"/>
    <w:qFormat/>
    <w:uiPriority w:val="0"/>
    <w:rPr>
      <w:rFonts w:ascii="仿宋_GB2312" w:eastAsia="微软雅黑"/>
      <w:b/>
      <w:kern w:val="2"/>
      <w:sz w:val="32"/>
      <w:szCs w:val="32"/>
      <w:lang w:val="en-US" w:eastAsia="zh-CN" w:bidi="ar-SA"/>
    </w:rPr>
  </w:style>
  <w:style w:type="character" w:customStyle="1" w:styleId="105">
    <w:name w:val="二级标题 Char Char"/>
    <w:qFormat/>
    <w:uiPriority w:val="0"/>
    <w:rPr>
      <w:rFonts w:ascii="宋体" w:hAnsi="宋体" w:eastAsia="宋体"/>
      <w:b/>
      <w:snapToGrid w:val="0"/>
      <w:kern w:val="2"/>
      <w:sz w:val="24"/>
      <w:szCs w:val="24"/>
      <w:lang w:val="en-US" w:eastAsia="zh-CN" w:bidi="ar-SA"/>
    </w:rPr>
  </w:style>
  <w:style w:type="character" w:customStyle="1" w:styleId="106">
    <w:name w:val="Char Char32"/>
    <w:qFormat/>
    <w:uiPriority w:val="6"/>
    <w:rPr>
      <w:b/>
      <w:kern w:val="1"/>
      <w:sz w:val="24"/>
      <w:szCs w:val="24"/>
    </w:rPr>
  </w:style>
  <w:style w:type="character" w:customStyle="1" w:styleId="107">
    <w:name w:val="PI Char1"/>
    <w:qFormat/>
    <w:uiPriority w:val="0"/>
    <w:rPr>
      <w:rFonts w:ascii="宋体" w:hAnsi="宋体"/>
      <w:kern w:val="2"/>
      <w:sz w:val="24"/>
      <w:szCs w:val="24"/>
    </w:rPr>
  </w:style>
  <w:style w:type="character" w:customStyle="1" w:styleId="108">
    <w:name w:val="tw4winTerm"/>
    <w:qFormat/>
    <w:uiPriority w:val="0"/>
    <w:rPr>
      <w:color w:val="0000FF"/>
    </w:rPr>
  </w:style>
  <w:style w:type="character" w:customStyle="1" w:styleId="109">
    <w:name w:val="Footer Char"/>
    <w:qFormat/>
    <w:locked/>
    <w:uiPriority w:val="0"/>
    <w:rPr>
      <w:rFonts w:eastAsia="宋体"/>
      <w:kern w:val="2"/>
      <w:sz w:val="18"/>
      <w:lang w:val="en-US" w:eastAsia="zh-CN" w:bidi="ar-SA"/>
    </w:rPr>
  </w:style>
  <w:style w:type="character" w:customStyle="1" w:styleId="110">
    <w:name w:val="普通文字 Char Char1"/>
    <w:qFormat/>
    <w:uiPriority w:val="0"/>
    <w:rPr>
      <w:rFonts w:ascii="宋体" w:hAnsi="Courier New"/>
      <w:kern w:val="2"/>
      <w:sz w:val="21"/>
    </w:rPr>
  </w:style>
  <w:style w:type="character" w:customStyle="1" w:styleId="111">
    <w:name w:val="Char Char101"/>
    <w:qFormat/>
    <w:uiPriority w:val="6"/>
    <w:rPr>
      <w:rFonts w:ascii="宋体" w:hAnsi="宋体"/>
      <w:kern w:val="2"/>
      <w:sz w:val="21"/>
      <w:szCs w:val="24"/>
      <w:lang w:val="en-US" w:eastAsia="zh-CN"/>
    </w:rPr>
  </w:style>
  <w:style w:type="character" w:customStyle="1" w:styleId="112">
    <w:name w:val="标题 4 Char"/>
    <w:qFormat/>
    <w:uiPriority w:val="0"/>
    <w:rPr>
      <w:rFonts w:ascii="Arial" w:hAnsi="Arial" w:eastAsia="黑体"/>
      <w:b/>
      <w:kern w:val="2"/>
      <w:sz w:val="28"/>
    </w:rPr>
  </w:style>
  <w:style w:type="character" w:customStyle="1" w:styleId="113">
    <w:name w:val="链接"/>
    <w:qFormat/>
    <w:uiPriority w:val="0"/>
    <w:rPr>
      <w:color w:val="0000FF"/>
      <w:sz w:val="21"/>
      <w:szCs w:val="21"/>
      <w:u w:val="single"/>
    </w:rPr>
  </w:style>
  <w:style w:type="character" w:customStyle="1" w:styleId="114">
    <w:name w:val="h4 Char"/>
    <w:qFormat/>
    <w:uiPriority w:val="0"/>
    <w:rPr>
      <w:rFonts w:ascii="Arial" w:hAnsi="Arial" w:eastAsia="黑体"/>
      <w:b/>
      <w:bCs/>
      <w:kern w:val="2"/>
      <w:sz w:val="28"/>
      <w:szCs w:val="28"/>
      <w:lang w:val="zh-CN" w:eastAsia="zh-CN" w:bidi="ar-SA"/>
    </w:rPr>
  </w:style>
  <w:style w:type="character" w:customStyle="1" w:styleId="115">
    <w:name w:val="5正文 Char"/>
    <w:link w:val="116"/>
    <w:qFormat/>
    <w:uiPriority w:val="0"/>
    <w:rPr>
      <w:rFonts w:ascii="仿宋_GB2312" w:hAnsi="微软雅黑" w:eastAsia="仿宋_GB2312"/>
      <w:sz w:val="28"/>
      <w:szCs w:val="21"/>
    </w:rPr>
  </w:style>
  <w:style w:type="paragraph" w:customStyle="1" w:styleId="116">
    <w:name w:val="5正文"/>
    <w:basedOn w:val="1"/>
    <w:link w:val="115"/>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qFormat/>
    <w:uiPriority w:val="9"/>
    <w:rPr>
      <w:b/>
      <w:bCs/>
      <w:kern w:val="2"/>
      <w:sz w:val="32"/>
      <w:szCs w:val="32"/>
    </w:rPr>
  </w:style>
  <w:style w:type="character" w:customStyle="1" w:styleId="118">
    <w:name w:val="样式6 Char"/>
    <w:qFormat/>
    <w:uiPriority w:val="0"/>
    <w:rPr>
      <w:rFonts w:ascii="仿宋_GB2312" w:hAnsi="宋体" w:eastAsia="仿宋_GB2312"/>
      <w:b/>
      <w:bCs/>
      <w:kern w:val="2"/>
      <w:sz w:val="24"/>
      <w:szCs w:val="24"/>
      <w:lang w:val="en-US" w:eastAsia="zh-CN" w:bidi="ar-SA"/>
    </w:rPr>
  </w:style>
  <w:style w:type="character" w:customStyle="1" w:styleId="119">
    <w:name w:val="Char Char14"/>
    <w:qFormat/>
    <w:uiPriority w:val="6"/>
    <w:rPr>
      <w:rFonts w:ascii="黑体" w:hAnsi="黑体" w:eastAsia="黑体"/>
    </w:rPr>
  </w:style>
  <w:style w:type="character" w:customStyle="1" w:styleId="120">
    <w:name w:val="Heading 2 Hidden Char"/>
    <w:qFormat/>
    <w:uiPriority w:val="0"/>
    <w:rPr>
      <w:rFonts w:ascii="仿宋_GB2312" w:eastAsia="仿宋_GB2312"/>
      <w:b/>
      <w:bCs/>
      <w:kern w:val="2"/>
      <w:sz w:val="24"/>
      <w:szCs w:val="24"/>
      <w:lang w:val="zh-CN" w:eastAsia="zh-CN" w:bidi="ar-SA"/>
    </w:rPr>
  </w:style>
  <w:style w:type="character" w:customStyle="1" w:styleId="121">
    <w:name w:val="正文文本首行缩进 2 字符"/>
    <w:link w:val="61"/>
    <w:qFormat/>
    <w:uiPriority w:val="0"/>
    <w:rPr>
      <w:rFonts w:ascii="宋体" w:hAnsi="宋体"/>
      <w:kern w:val="2"/>
      <w:sz w:val="21"/>
      <w:szCs w:val="24"/>
    </w:rPr>
  </w:style>
  <w:style w:type="character" w:customStyle="1" w:styleId="122">
    <w:name w:val="font11"/>
    <w:qFormat/>
    <w:uiPriority w:val="0"/>
    <w:rPr>
      <w:rFonts w:hint="default" w:ascii="Times New Roman" w:hAnsi="Times New Roman" w:cs="Times New Roman"/>
      <w:color w:val="000000"/>
      <w:sz w:val="22"/>
      <w:szCs w:val="22"/>
      <w:u w:val="none"/>
    </w:rPr>
  </w:style>
  <w:style w:type="character" w:customStyle="1" w:styleId="123">
    <w:name w:val="表正文 Char1"/>
    <w:qFormat/>
    <w:uiPriority w:val="0"/>
    <w:rPr>
      <w:rFonts w:ascii="宋体" w:eastAsia="宋体"/>
      <w:snapToGrid w:val="0"/>
      <w:color w:val="000000"/>
      <w:kern w:val="28"/>
      <w:sz w:val="28"/>
    </w:rPr>
  </w:style>
  <w:style w:type="character" w:customStyle="1" w:styleId="124">
    <w:name w:val="blue1"/>
    <w:basedOn w:val="69"/>
    <w:qFormat/>
    <w:uiPriority w:val="0"/>
    <w:rPr>
      <w:rFonts w:ascii="Arial" w:hAnsi="Arial" w:eastAsia="黑体" w:cs="Arial"/>
      <w:snapToGrid w:val="0"/>
      <w:kern w:val="0"/>
      <w:szCs w:val="21"/>
    </w:rPr>
  </w:style>
  <w:style w:type="character" w:customStyle="1" w:styleId="125">
    <w:name w:val="纯文本 字符1"/>
    <w:link w:val="32"/>
    <w:qFormat/>
    <w:uiPriority w:val="0"/>
    <w:rPr>
      <w:rFonts w:ascii="宋体" w:hAnsi="Courier New" w:eastAsia="宋体" w:cs="Arial"/>
      <w:snapToGrid w:val="0"/>
      <w:kern w:val="2"/>
      <w:sz w:val="21"/>
      <w:szCs w:val="21"/>
      <w:lang w:val="en-US" w:eastAsia="zh-CN" w:bidi="ar-SA"/>
    </w:rPr>
  </w:style>
  <w:style w:type="character" w:customStyle="1" w:styleId="126">
    <w:name w:val="标书1 Char"/>
    <w:qFormat/>
    <w:uiPriority w:val="0"/>
    <w:rPr>
      <w:rFonts w:eastAsia="宋体"/>
      <w:b/>
      <w:bCs/>
      <w:kern w:val="44"/>
      <w:sz w:val="44"/>
      <w:szCs w:val="44"/>
      <w:lang w:val="en-US" w:eastAsia="zh-CN" w:bidi="ar-SA"/>
    </w:rPr>
  </w:style>
  <w:style w:type="character" w:customStyle="1" w:styleId="127">
    <w:name w:val="样式5 Char"/>
    <w:qFormat/>
    <w:uiPriority w:val="0"/>
    <w:rPr>
      <w:rFonts w:ascii="仿宋_GB2312" w:hAnsi="仿宋" w:eastAsia="仿宋_GB2312"/>
      <w:kern w:val="2"/>
      <w:sz w:val="24"/>
      <w:szCs w:val="24"/>
    </w:rPr>
  </w:style>
  <w:style w:type="character" w:customStyle="1" w:styleId="128">
    <w:name w:val="样式4 Char"/>
    <w:qFormat/>
    <w:uiPriority w:val="0"/>
    <w:rPr>
      <w:rFonts w:ascii="仿宋_GB2312" w:hAnsi="仿宋" w:eastAsia="仿宋_GB2312"/>
      <w:b/>
      <w:kern w:val="2"/>
      <w:sz w:val="32"/>
      <w:szCs w:val="32"/>
      <w:lang w:bidi="ar-SA"/>
    </w:rPr>
  </w:style>
  <w:style w:type="character" w:customStyle="1" w:styleId="129">
    <w:name w:val="插图说明 Char"/>
    <w:qFormat/>
    <w:uiPriority w:val="0"/>
    <w:rPr>
      <w:rFonts w:eastAsia="黑体"/>
      <w:sz w:val="24"/>
      <w:lang w:val="en-US" w:eastAsia="zh-CN"/>
    </w:rPr>
  </w:style>
  <w:style w:type="character" w:customStyle="1" w:styleId="130">
    <w:name w:val="正文2 Char Char"/>
    <w:link w:val="131"/>
    <w:qFormat/>
    <w:uiPriority w:val="0"/>
    <w:rPr>
      <w:rFonts w:eastAsia="宋体"/>
      <w:kern w:val="2"/>
      <w:sz w:val="24"/>
      <w:lang w:val="en-US" w:eastAsia="zh-CN" w:bidi="ar-SA"/>
    </w:rPr>
  </w:style>
  <w:style w:type="paragraph" w:customStyle="1" w:styleId="131">
    <w:name w:val="正文2"/>
    <w:basedOn w:val="1"/>
    <w:link w:val="130"/>
    <w:qFormat/>
    <w:uiPriority w:val="0"/>
    <w:pPr>
      <w:spacing w:before="156" w:line="360" w:lineRule="auto"/>
      <w:ind w:firstLine="510" w:firstLineChars="200"/>
    </w:pPr>
    <w:rPr>
      <w:sz w:val="24"/>
      <w:szCs w:val="20"/>
    </w:rPr>
  </w:style>
  <w:style w:type="character" w:customStyle="1" w:styleId="132">
    <w:name w:val="Char Char24"/>
    <w:qFormat/>
    <w:uiPriority w:val="6"/>
    <w:rPr>
      <w:kern w:val="1"/>
      <w:sz w:val="21"/>
    </w:rPr>
  </w:style>
  <w:style w:type="character" w:customStyle="1" w:styleId="133">
    <w:name w:val="副标题 字符"/>
    <w:link w:val="46"/>
    <w:qFormat/>
    <w:uiPriority w:val="0"/>
    <w:rPr>
      <w:rFonts w:ascii="Arial" w:hAnsi="Arial" w:eastAsia="隶书"/>
      <w:b/>
      <w:bCs/>
      <w:kern w:val="28"/>
      <w:sz w:val="44"/>
      <w:szCs w:val="32"/>
      <w:lang w:val="en-US" w:eastAsia="zh-CN" w:bidi="ar-SA"/>
    </w:rPr>
  </w:style>
  <w:style w:type="character" w:customStyle="1" w:styleId="134">
    <w:name w:val="普通文字 Char1 Char"/>
    <w:qFormat/>
    <w:uiPriority w:val="0"/>
    <w:rPr>
      <w:rFonts w:ascii="宋体" w:hAnsi="Courier New" w:eastAsia="宋体"/>
      <w:kern w:val="2"/>
      <w:sz w:val="21"/>
      <w:szCs w:val="24"/>
      <w:lang w:val="en-US" w:eastAsia="zh-CN" w:bidi="ar-SA"/>
    </w:rPr>
  </w:style>
  <w:style w:type="character" w:customStyle="1" w:styleId="135">
    <w:name w:val="h3 Char1"/>
    <w:qFormat/>
    <w:uiPriority w:val="0"/>
    <w:rPr>
      <w:rFonts w:eastAsia="宋体"/>
      <w:b/>
      <w:bCs/>
      <w:kern w:val="2"/>
      <w:sz w:val="32"/>
      <w:szCs w:val="32"/>
      <w:lang w:bidi="ar-SA"/>
    </w:rPr>
  </w:style>
  <w:style w:type="character" w:customStyle="1" w:styleId="136">
    <w:name w:val="标题 Char1"/>
    <w:qFormat/>
    <w:uiPriority w:val="0"/>
    <w:rPr>
      <w:rFonts w:ascii="Cambria" w:hAnsi="Cambria" w:eastAsia="宋体" w:cs="Times New Roman"/>
      <w:b/>
      <w:bCs/>
      <w:sz w:val="32"/>
      <w:szCs w:val="32"/>
      <w:lang w:bidi="ar-SA"/>
    </w:rPr>
  </w:style>
  <w:style w:type="character" w:customStyle="1" w:styleId="137">
    <w:name w:val="gf正文1 Char"/>
    <w:qFormat/>
    <w:uiPriority w:val="0"/>
    <w:rPr>
      <w:rFonts w:ascii="宋体" w:hAnsi="宋体" w:eastAsia="宋体" w:cs="宋体"/>
      <w:kern w:val="2"/>
      <w:sz w:val="24"/>
      <w:szCs w:val="24"/>
      <w:lang w:val="en-US" w:eastAsia="zh-CN" w:bidi="ar-SA"/>
    </w:rPr>
  </w:style>
  <w:style w:type="character" w:customStyle="1" w:styleId="138">
    <w:name w:val="正文文本缩进 Char1"/>
    <w:qFormat/>
    <w:uiPriority w:val="0"/>
    <w:rPr>
      <w:rFonts w:ascii="Calibri" w:hAnsi="Calibri"/>
      <w:sz w:val="28"/>
    </w:rPr>
  </w:style>
  <w:style w:type="character" w:customStyle="1" w:styleId="139">
    <w:name w:val="No Spacing Char"/>
    <w:link w:val="140"/>
    <w:qFormat/>
    <w:uiPriority w:val="1"/>
    <w:rPr>
      <w:sz w:val="22"/>
      <w:szCs w:val="22"/>
      <w:lang w:val="en-US" w:eastAsia="zh-CN" w:bidi="ar-SA"/>
    </w:rPr>
  </w:style>
  <w:style w:type="paragraph" w:customStyle="1" w:styleId="140">
    <w:name w:val="无间隔1"/>
    <w:link w:val="139"/>
    <w:qFormat/>
    <w:uiPriority w:val="1"/>
    <w:rPr>
      <w:rFonts w:ascii="Times New Roman" w:hAnsi="Times New Roman" w:eastAsia="宋体" w:cs="Times New Roman"/>
      <w:sz w:val="22"/>
      <w:szCs w:val="22"/>
      <w:lang w:val="en-US" w:eastAsia="zh-CN" w:bidi="ar-SA"/>
    </w:rPr>
  </w:style>
  <w:style w:type="character" w:customStyle="1" w:styleId="141">
    <w:name w:val="样式7 Char"/>
    <w:qFormat/>
    <w:uiPriority w:val="0"/>
    <w:rPr>
      <w:rFonts w:ascii="仿宋_GB2312" w:hAnsi="仿宋" w:eastAsia="仿宋_GB2312"/>
      <w:b/>
      <w:kern w:val="2"/>
      <w:sz w:val="24"/>
      <w:szCs w:val="24"/>
    </w:rPr>
  </w:style>
  <w:style w:type="character" w:customStyle="1" w:styleId="142">
    <w:name w:val="font12gray1"/>
    <w:qFormat/>
    <w:uiPriority w:val="0"/>
    <w:rPr>
      <w:rFonts w:ascii="仿宋_GB2312" w:eastAsia="微软雅黑"/>
      <w:b/>
      <w:spacing w:val="300"/>
      <w:kern w:val="2"/>
      <w:sz w:val="18"/>
      <w:szCs w:val="18"/>
      <w:lang w:val="en-US" w:eastAsia="zh-CN" w:bidi="ar-SA"/>
    </w:rPr>
  </w:style>
  <w:style w:type="character" w:customStyle="1" w:styleId="143">
    <w:name w:val="Char Char7"/>
    <w:semiHidden/>
    <w:qFormat/>
    <w:uiPriority w:val="0"/>
    <w:rPr>
      <w:rFonts w:eastAsia="宋体"/>
      <w:kern w:val="2"/>
      <w:sz w:val="21"/>
      <w:szCs w:val="24"/>
      <w:lang w:val="en-US" w:eastAsia="zh-CN" w:bidi="ar-SA"/>
    </w:rPr>
  </w:style>
  <w:style w:type="character" w:customStyle="1" w:styleId="144">
    <w:name w:val="表名 Char"/>
    <w:qFormat/>
    <w:uiPriority w:val="0"/>
    <w:rPr>
      <w:rFonts w:eastAsia="宋体"/>
      <w:b/>
      <w:bCs/>
      <w:kern w:val="2"/>
      <w:sz w:val="24"/>
      <w:szCs w:val="24"/>
      <w:lang w:val="en-US" w:eastAsia="zh-CN" w:bidi="ar-SA"/>
    </w:rPr>
  </w:style>
  <w:style w:type="character" w:customStyle="1" w:styleId="145">
    <w:name w:val="Document Map Char"/>
    <w:qFormat/>
    <w:locked/>
    <w:uiPriority w:val="0"/>
    <w:rPr>
      <w:rFonts w:eastAsia="宋体"/>
      <w:kern w:val="2"/>
      <w:sz w:val="21"/>
      <w:szCs w:val="24"/>
      <w:lang w:val="en-US" w:eastAsia="zh-CN" w:bidi="ar-SA"/>
    </w:rPr>
  </w:style>
  <w:style w:type="character" w:customStyle="1" w:styleId="146">
    <w:name w:val="font41"/>
    <w:qFormat/>
    <w:uiPriority w:val="0"/>
    <w:rPr>
      <w:rFonts w:hint="eastAsia" w:ascii="仿宋_GB2312" w:eastAsia="仿宋_GB2312" w:cs="仿宋_GB2312"/>
      <w:color w:val="000000"/>
      <w:sz w:val="22"/>
      <w:szCs w:val="22"/>
      <w:u w:val="none"/>
    </w:rPr>
  </w:style>
  <w:style w:type="character" w:customStyle="1" w:styleId="147">
    <w:name w:val="标题 6 字符"/>
    <w:link w:val="8"/>
    <w:qFormat/>
    <w:uiPriority w:val="0"/>
    <w:rPr>
      <w:rFonts w:ascii="Arial" w:hAnsi="Arial" w:eastAsia="黑体"/>
      <w:b/>
      <w:bCs/>
      <w:kern w:val="2"/>
      <w:sz w:val="24"/>
      <w:szCs w:val="24"/>
    </w:rPr>
  </w:style>
  <w:style w:type="character" w:customStyle="1" w:styleId="148">
    <w:name w:val="纯文本 Char_0"/>
    <w:link w:val="149"/>
    <w:qFormat/>
    <w:uiPriority w:val="0"/>
    <w:rPr>
      <w:rFonts w:ascii="宋体" w:hAnsi="Courier New"/>
      <w:kern w:val="2"/>
      <w:sz w:val="21"/>
      <w:szCs w:val="21"/>
      <w:lang w:val="en-US" w:eastAsia="zh-CN"/>
    </w:rPr>
  </w:style>
  <w:style w:type="paragraph" w:customStyle="1" w:styleId="149">
    <w:name w:val="纯文本_0_0"/>
    <w:basedOn w:val="150"/>
    <w:link w:val="148"/>
    <w:qFormat/>
    <w:uiPriority w:val="0"/>
    <w:rPr>
      <w:rFonts w:ascii="宋体" w:hAnsi="Courier New"/>
      <w:szCs w:val="21"/>
    </w:rPr>
  </w:style>
  <w:style w:type="paragraph" w:customStyle="1" w:styleId="15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qFormat/>
    <w:locked/>
    <w:uiPriority w:val="0"/>
    <w:rPr>
      <w:rFonts w:eastAsia="宋体"/>
      <w:kern w:val="2"/>
      <w:sz w:val="18"/>
      <w:szCs w:val="18"/>
      <w:lang w:val="en-US" w:eastAsia="zh-CN" w:bidi="ar-SA"/>
    </w:rPr>
  </w:style>
  <w:style w:type="character" w:customStyle="1" w:styleId="152">
    <w:name w:val="正文 项目2 Char"/>
    <w:basedOn w:val="153"/>
    <w:qFormat/>
    <w:uiPriority w:val="0"/>
    <w:rPr>
      <w:rFonts w:ascii="仿宋_GB2312" w:hAnsi="仿宋_GB2312" w:eastAsia="仿宋_GB2312"/>
      <w:kern w:val="2"/>
      <w:sz w:val="24"/>
      <w:lang w:bidi="ar-SA"/>
    </w:rPr>
  </w:style>
  <w:style w:type="character" w:customStyle="1" w:styleId="153">
    <w:name w:val="正文 项目 Char"/>
    <w:qFormat/>
    <w:uiPriority w:val="0"/>
    <w:rPr>
      <w:rFonts w:ascii="仿宋_GB2312" w:hAnsi="仿宋_GB2312" w:eastAsia="仿宋_GB2312"/>
      <w:kern w:val="2"/>
      <w:sz w:val="24"/>
      <w:lang w:bidi="ar-SA"/>
    </w:rPr>
  </w:style>
  <w:style w:type="character" w:customStyle="1" w:styleId="154">
    <w:name w:val="h Char Char1"/>
    <w:qFormat/>
    <w:uiPriority w:val="0"/>
    <w:rPr>
      <w:rFonts w:eastAsia="宋体"/>
      <w:kern w:val="2"/>
      <w:sz w:val="18"/>
      <w:szCs w:val="18"/>
      <w:lang w:val="en-US" w:eastAsia="zh-CN" w:bidi="ar-SA"/>
    </w:rPr>
  </w:style>
  <w:style w:type="character" w:customStyle="1" w:styleId="155">
    <w:name w:val="Char Char27"/>
    <w:qFormat/>
    <w:uiPriority w:val="6"/>
    <w:rPr>
      <w:rFonts w:ascii="宋体" w:hAnsi="宋体" w:eastAsia="宋体"/>
      <w:color w:val="000000"/>
      <w:kern w:val="1"/>
      <w:sz w:val="28"/>
      <w:lang w:val="en-US" w:eastAsia="zh-CN" w:bidi="ar-SA"/>
    </w:rPr>
  </w:style>
  <w:style w:type="character" w:customStyle="1" w:styleId="156">
    <w:name w:val="px14"/>
    <w:qFormat/>
    <w:uiPriority w:val="0"/>
    <w:rPr>
      <w:rFonts w:ascii="仿宋_GB2312" w:eastAsia="微软雅黑" w:cs="Times New Roman"/>
      <w:b/>
      <w:kern w:val="2"/>
      <w:sz w:val="32"/>
      <w:szCs w:val="32"/>
      <w:lang w:val="en-US" w:eastAsia="zh-CN" w:bidi="ar-SA"/>
    </w:rPr>
  </w:style>
  <w:style w:type="character" w:customStyle="1" w:styleId="157">
    <w:name w:val="HTML 预设格式 Char1"/>
    <w:qFormat/>
    <w:uiPriority w:val="0"/>
    <w:rPr>
      <w:rFonts w:ascii="Courier New" w:hAnsi="Courier New" w:eastAsia="宋体" w:cs="Courier New"/>
      <w:sz w:val="20"/>
      <w:szCs w:val="20"/>
    </w:rPr>
  </w:style>
  <w:style w:type="character" w:customStyle="1" w:styleId="158">
    <w:name w:val="普通文字 Char1"/>
    <w:qFormat/>
    <w:uiPriority w:val="0"/>
    <w:rPr>
      <w:rFonts w:ascii="宋体" w:hAnsi="Courier New" w:eastAsia="宋体"/>
      <w:kern w:val="2"/>
      <w:sz w:val="21"/>
      <w:lang w:val="en-US" w:eastAsia="zh-CN"/>
    </w:rPr>
  </w:style>
  <w:style w:type="character" w:customStyle="1" w:styleId="159">
    <w:name w:val="hei16b1"/>
    <w:qFormat/>
    <w:uiPriority w:val="0"/>
    <w:rPr>
      <w:rFonts w:hint="default" w:ascii="Arial" w:hAnsi="Arial" w:cs="Arial"/>
      <w:b/>
      <w:bCs/>
      <w:color w:val="000000"/>
      <w:sz w:val="24"/>
      <w:szCs w:val="24"/>
    </w:rPr>
  </w:style>
  <w:style w:type="character" w:customStyle="1" w:styleId="160">
    <w:name w:val="正文（绿盟科技） Char"/>
    <w:link w:val="161"/>
    <w:qFormat/>
    <w:uiPriority w:val="0"/>
    <w:rPr>
      <w:rFonts w:ascii="Arial" w:hAnsi="Arial"/>
      <w:sz w:val="21"/>
      <w:szCs w:val="21"/>
    </w:rPr>
  </w:style>
  <w:style w:type="paragraph" w:customStyle="1" w:styleId="161">
    <w:name w:val="正文（绿盟科技）"/>
    <w:link w:val="160"/>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qFormat/>
    <w:uiPriority w:val="6"/>
    <w:rPr>
      <w:rFonts w:ascii="宋体" w:hAnsi="宋体"/>
      <w:i/>
      <w:sz w:val="24"/>
      <w:szCs w:val="24"/>
    </w:rPr>
  </w:style>
  <w:style w:type="character" w:customStyle="1" w:styleId="163">
    <w:name w:val="页脚 Char"/>
    <w:qFormat/>
    <w:uiPriority w:val="0"/>
    <w:rPr>
      <w:rFonts w:eastAsia="仿宋_GB2312"/>
      <w:kern w:val="2"/>
      <w:sz w:val="18"/>
      <w:lang w:val="en-US" w:eastAsia="zh-CN"/>
    </w:rPr>
  </w:style>
  <w:style w:type="character" w:customStyle="1" w:styleId="164">
    <w:name w:val="批注主题 Char"/>
    <w:qFormat/>
    <w:uiPriority w:val="0"/>
    <w:rPr>
      <w:rFonts w:eastAsia="宋体"/>
      <w:b/>
      <w:bCs/>
      <w:kern w:val="2"/>
      <w:sz w:val="21"/>
      <w:szCs w:val="24"/>
      <w:lang w:val="en-US" w:eastAsia="zh-CN" w:bidi="ar-SA"/>
    </w:rPr>
  </w:style>
  <w:style w:type="character" w:customStyle="1" w:styleId="165">
    <w:name w:val="Comment Text Char"/>
    <w:qFormat/>
    <w:locked/>
    <w:uiPriority w:val="0"/>
    <w:rPr>
      <w:rFonts w:ascii="宋体" w:hAnsi="宋体" w:eastAsia="宋体"/>
      <w:kern w:val="2"/>
      <w:sz w:val="24"/>
      <w:lang w:val="en-US" w:eastAsia="zh-CN" w:bidi="ar-SA"/>
    </w:rPr>
  </w:style>
  <w:style w:type="character" w:customStyle="1" w:styleId="166">
    <w:name w:val="标题 2 字符"/>
    <w:qFormat/>
    <w:uiPriority w:val="1"/>
    <w:rPr>
      <w:rFonts w:ascii="仿宋_GB2312" w:hAnsi="Times New Roman" w:eastAsia="仿宋_GB2312" w:cs="Times New Roman"/>
      <w:b/>
      <w:kern w:val="2"/>
      <w:sz w:val="24"/>
      <w:lang w:val="zh-CN"/>
    </w:rPr>
  </w:style>
  <w:style w:type="character" w:customStyle="1" w:styleId="167">
    <w:name w:val="Char Char72"/>
    <w:qFormat/>
    <w:uiPriority w:val="0"/>
    <w:rPr>
      <w:rFonts w:eastAsia="宋体"/>
      <w:kern w:val="2"/>
      <w:sz w:val="21"/>
      <w:szCs w:val="24"/>
      <w:lang w:val="en-US" w:eastAsia="zh-CN" w:bidi="ar-SA"/>
    </w:rPr>
  </w:style>
  <w:style w:type="character" w:customStyle="1" w:styleId="168">
    <w:name w:val="正文文本缩进 Char2"/>
    <w:qFormat/>
    <w:uiPriority w:val="0"/>
    <w:rPr>
      <w:rFonts w:ascii="Times New Roman" w:hAnsi="Times New Roman" w:eastAsia="宋体" w:cs="Times New Roman"/>
      <w:snapToGrid w:val="0"/>
      <w:kern w:val="0"/>
      <w:szCs w:val="24"/>
    </w:rPr>
  </w:style>
  <w:style w:type="character" w:customStyle="1" w:styleId="169">
    <w:name w:val="样式2 Char"/>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qFormat/>
    <w:uiPriority w:val="0"/>
    <w:rPr>
      <w:sz w:val="32"/>
    </w:rPr>
  </w:style>
  <w:style w:type="paragraph" w:customStyle="1" w:styleId="171">
    <w:name w:val="表格名称"/>
    <w:basedOn w:val="3"/>
    <w:link w:val="170"/>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qFormat/>
    <w:uiPriority w:val="0"/>
    <w:rPr>
      <w:rFonts w:eastAsia="宋体"/>
      <w:b/>
      <w:sz w:val="24"/>
      <w:lang w:val="en-GB" w:eastAsia="zh-CN" w:bidi="ar-SA"/>
    </w:rPr>
  </w:style>
  <w:style w:type="character" w:customStyle="1" w:styleId="173">
    <w:name w:val="c7 style3"/>
    <w:qFormat/>
    <w:uiPriority w:val="0"/>
  </w:style>
  <w:style w:type="character" w:customStyle="1" w:styleId="174">
    <w:name w:val="正文文本 3 Char1"/>
    <w:semiHidden/>
    <w:qFormat/>
    <w:uiPriority w:val="99"/>
    <w:rPr>
      <w:rFonts w:ascii="Times New Roman" w:hAnsi="Times New Roman" w:eastAsia="宋体" w:cs="Times New Roman"/>
      <w:sz w:val="16"/>
      <w:szCs w:val="16"/>
    </w:rPr>
  </w:style>
  <w:style w:type="character" w:customStyle="1" w:styleId="175">
    <w:name w:val="tw4winInternal"/>
    <w:qFormat/>
    <w:uiPriority w:val="0"/>
    <w:rPr>
      <w:rFonts w:ascii="Courier New" w:hAnsi="Courier New" w:cs="Courier New"/>
      <w:color w:val="FF0000"/>
      <w:lang w:val="en-US" w:eastAsia="zh-CN"/>
    </w:rPr>
  </w:style>
  <w:style w:type="character" w:customStyle="1" w:styleId="176">
    <w:name w:val="Char Char10"/>
    <w:semiHidden/>
    <w:qFormat/>
    <w:uiPriority w:val="0"/>
    <w:rPr>
      <w:rFonts w:ascii="宋体" w:hAnsi="宋体"/>
      <w:kern w:val="2"/>
      <w:sz w:val="21"/>
      <w:szCs w:val="24"/>
      <w:lang w:val="en-US" w:eastAsia="zh-CN"/>
    </w:rPr>
  </w:style>
  <w:style w:type="character" w:customStyle="1" w:styleId="177">
    <w:name w:val="shadow11"/>
    <w:qFormat/>
    <w:uiPriority w:val="0"/>
    <w:rPr>
      <w:color w:val="000000"/>
      <w:sz w:val="21"/>
    </w:rPr>
  </w:style>
  <w:style w:type="character" w:customStyle="1" w:styleId="178">
    <w:name w:val="正文非缩进 Char3"/>
    <w:qFormat/>
    <w:uiPriority w:val="0"/>
    <w:rPr>
      <w:rFonts w:ascii="宋体" w:eastAsia="宋体"/>
      <w:snapToGrid w:val="0"/>
      <w:color w:val="000000"/>
      <w:kern w:val="28"/>
      <w:sz w:val="28"/>
      <w:lang w:val="en-US" w:eastAsia="zh-CN" w:bidi="ar-SA"/>
    </w:rPr>
  </w:style>
  <w:style w:type="character" w:customStyle="1" w:styleId="179">
    <w:name w:val="Char Char"/>
    <w:qFormat/>
    <w:uiPriority w:val="0"/>
    <w:rPr>
      <w:rFonts w:ascii="宋体" w:hAnsi="Courier New" w:eastAsia="宋体"/>
      <w:kern w:val="2"/>
      <w:sz w:val="21"/>
      <w:lang w:val="en-US" w:eastAsia="zh-CN" w:bidi="ar-SA"/>
    </w:rPr>
  </w:style>
  <w:style w:type="character" w:customStyle="1" w:styleId="180">
    <w:name w:val="签名 Char1"/>
    <w:qFormat/>
    <w:uiPriority w:val="0"/>
    <w:rPr>
      <w:rFonts w:ascii="Times New Roman" w:hAnsi="Times New Roman" w:eastAsia="宋体" w:cs="Times New Roman"/>
      <w:szCs w:val="24"/>
    </w:rPr>
  </w:style>
  <w:style w:type="character" w:customStyle="1" w:styleId="181">
    <w:name w:val="日期 字符"/>
    <w:link w:val="35"/>
    <w:qFormat/>
    <w:uiPriority w:val="0"/>
    <w:rPr>
      <w:rFonts w:ascii="宋体"/>
      <w:kern w:val="2"/>
      <w:sz w:val="24"/>
      <w:szCs w:val="21"/>
      <w:lang w:val="zh-CN"/>
    </w:rPr>
  </w:style>
  <w:style w:type="character" w:customStyle="1" w:styleId="182">
    <w:name w:val="标题 9 字符"/>
    <w:link w:val="11"/>
    <w:qFormat/>
    <w:uiPriority w:val="0"/>
    <w:rPr>
      <w:rFonts w:ascii="Arial" w:hAnsi="Arial" w:eastAsia="黑体"/>
      <w:kern w:val="2"/>
      <w:sz w:val="21"/>
      <w:szCs w:val="21"/>
    </w:rPr>
  </w:style>
  <w:style w:type="character" w:customStyle="1" w:styleId="183">
    <w:name w:val="Char Char18"/>
    <w:qFormat/>
    <w:uiPriority w:val="6"/>
    <w:rPr>
      <w:rFonts w:ascii="宋体" w:hAnsi="宋体"/>
      <w:sz w:val="28"/>
    </w:rPr>
  </w:style>
  <w:style w:type="character" w:customStyle="1" w:styleId="184">
    <w:name w:val="批注文字 Char"/>
    <w:qFormat/>
    <w:uiPriority w:val="99"/>
    <w:rPr>
      <w:kern w:val="2"/>
      <w:sz w:val="21"/>
      <w:szCs w:val="24"/>
    </w:rPr>
  </w:style>
  <w:style w:type="character" w:customStyle="1" w:styleId="185">
    <w:name w:val="Char Char22"/>
    <w:qFormat/>
    <w:uiPriority w:val="6"/>
    <w:rPr>
      <w:rFonts w:ascii="宋体" w:hAnsi="宋体"/>
      <w:kern w:val="1"/>
      <w:sz w:val="24"/>
      <w:szCs w:val="24"/>
    </w:rPr>
  </w:style>
  <w:style w:type="character" w:customStyle="1" w:styleId="186">
    <w:name w:val="pt141"/>
    <w:qFormat/>
    <w:uiPriority w:val="0"/>
    <w:rPr>
      <w:color w:val="330066"/>
      <w:sz w:val="22"/>
      <w:szCs w:val="22"/>
    </w:rPr>
  </w:style>
  <w:style w:type="character" w:customStyle="1" w:styleId="187">
    <w:name w:val="正文文本缩进 2 Char1"/>
    <w:semiHidden/>
    <w:qFormat/>
    <w:uiPriority w:val="99"/>
    <w:rPr>
      <w:rFonts w:ascii="Times New Roman" w:hAnsi="Times New Roman" w:eastAsia="宋体" w:cs="Times New Roman"/>
      <w:szCs w:val="24"/>
    </w:rPr>
  </w:style>
  <w:style w:type="character" w:customStyle="1" w:styleId="188">
    <w:name w:val="批注框文本 字符1"/>
    <w:link w:val="38"/>
    <w:qFormat/>
    <w:uiPriority w:val="0"/>
    <w:rPr>
      <w:kern w:val="2"/>
      <w:sz w:val="18"/>
      <w:szCs w:val="18"/>
    </w:rPr>
  </w:style>
  <w:style w:type="character" w:customStyle="1" w:styleId="189">
    <w:name w:val="Char Char611"/>
    <w:qFormat/>
    <w:uiPriority w:val="0"/>
    <w:rPr>
      <w:rFonts w:eastAsia="宋体"/>
      <w:kern w:val="2"/>
      <w:sz w:val="21"/>
      <w:szCs w:val="24"/>
      <w:lang w:val="en-US" w:eastAsia="zh-CN" w:bidi="ar-SA"/>
    </w:rPr>
  </w:style>
  <w:style w:type="character" w:customStyle="1" w:styleId="190">
    <w:name w:val="highlight1"/>
    <w:qFormat/>
    <w:uiPriority w:val="0"/>
    <w:rPr>
      <w:rFonts w:ascii="仿宋_GB2312" w:eastAsia="微软雅黑"/>
      <w:b/>
      <w:kern w:val="2"/>
      <w:sz w:val="23"/>
      <w:szCs w:val="23"/>
      <w:lang w:val="en-US" w:eastAsia="zh-CN" w:bidi="ar-SA"/>
    </w:rPr>
  </w:style>
  <w:style w:type="character" w:customStyle="1" w:styleId="191">
    <w:name w:val="my正文 Char"/>
    <w:link w:val="192"/>
    <w:qFormat/>
    <w:locked/>
    <w:uiPriority w:val="0"/>
    <w:rPr>
      <w:rFonts w:ascii="Tahoma" w:hAnsi="Tahoma"/>
      <w:sz w:val="24"/>
      <w:szCs w:val="24"/>
    </w:rPr>
  </w:style>
  <w:style w:type="paragraph" w:customStyle="1" w:styleId="192">
    <w:name w:val="my正文"/>
    <w:basedOn w:val="1"/>
    <w:link w:val="191"/>
    <w:qFormat/>
    <w:uiPriority w:val="0"/>
    <w:pPr>
      <w:adjustRightInd/>
      <w:spacing w:line="360" w:lineRule="auto"/>
      <w:ind w:firstLine="480" w:firstLineChars="200"/>
    </w:pPr>
    <w:rPr>
      <w:rFonts w:ascii="Tahoma" w:hAnsi="Tahoma"/>
      <w:kern w:val="0"/>
      <w:sz w:val="24"/>
    </w:rPr>
  </w:style>
  <w:style w:type="character" w:customStyle="1" w:styleId="193">
    <w:name w:val="正文缩进 字符2"/>
    <w:link w:val="5"/>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qFormat/>
    <w:uiPriority w:val="0"/>
    <w:rPr>
      <w:color w:val="0000FF"/>
      <w:sz w:val="21"/>
    </w:rPr>
  </w:style>
  <w:style w:type="character" w:customStyle="1" w:styleId="195">
    <w:name w:val="页眉 Char"/>
    <w:qFormat/>
    <w:uiPriority w:val="0"/>
    <w:rPr>
      <w:rFonts w:eastAsia="仿宋_GB2312"/>
      <w:kern w:val="2"/>
      <w:sz w:val="18"/>
      <w:lang w:val="en-US" w:eastAsia="zh-CN"/>
    </w:rPr>
  </w:style>
  <w:style w:type="character" w:customStyle="1" w:styleId="196">
    <w:name w:val="FA正文 Char Char"/>
    <w:qFormat/>
    <w:uiPriority w:val="0"/>
    <w:rPr>
      <w:rFonts w:hAnsi="宋体"/>
      <w:kern w:val="2"/>
      <w:sz w:val="24"/>
      <w:lang w:bidi="ar-SA"/>
    </w:rPr>
  </w:style>
  <w:style w:type="character" w:customStyle="1" w:styleId="197">
    <w:name w:val="纯文本 字符"/>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qFormat/>
    <w:uiPriority w:val="0"/>
    <w:rPr>
      <w:rFonts w:ascii="宋体" w:hAnsi="宋体"/>
      <w:b/>
      <w:bCs/>
      <w:snapToGrid/>
      <w:sz w:val="28"/>
    </w:rPr>
  </w:style>
  <w:style w:type="paragraph" w:customStyle="1" w:styleId="199">
    <w:name w:val="3级"/>
    <w:basedOn w:val="200"/>
    <w:link w:val="198"/>
    <w:qFormat/>
    <w:uiPriority w:val="0"/>
    <w:pPr>
      <w:ind w:left="0" w:right="466" w:firstLine="288"/>
    </w:pPr>
    <w:rPr>
      <w:rFonts w:hAnsi="宋体"/>
      <w:snapToGrid/>
    </w:rPr>
  </w:style>
  <w:style w:type="paragraph" w:customStyle="1" w:styleId="200">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qFormat/>
    <w:uiPriority w:val="0"/>
    <w:rPr>
      <w:rFonts w:ascii="仿宋_GB2312" w:eastAsia="微软雅黑"/>
      <w:b/>
      <w:kern w:val="2"/>
      <w:sz w:val="32"/>
      <w:szCs w:val="32"/>
      <w:lang w:val="en-US" w:eastAsia="zh-CN" w:bidi="ar-SA"/>
    </w:rPr>
  </w:style>
  <w:style w:type="character" w:customStyle="1" w:styleId="202">
    <w:name w:val="文档结构图 字符"/>
    <w:link w:val="18"/>
    <w:qFormat/>
    <w:uiPriority w:val="0"/>
    <w:rPr>
      <w:kern w:val="2"/>
      <w:sz w:val="21"/>
      <w:szCs w:val="24"/>
      <w:shd w:val="clear" w:color="auto" w:fill="000080"/>
    </w:rPr>
  </w:style>
  <w:style w:type="character" w:customStyle="1" w:styleId="203">
    <w:name w:val="H6 Char"/>
    <w:qFormat/>
    <w:uiPriority w:val="0"/>
    <w:rPr>
      <w:rFonts w:ascii="Arial" w:hAnsi="Arial" w:eastAsia="黑体"/>
      <w:b/>
      <w:bCs/>
      <w:kern w:val="2"/>
      <w:sz w:val="24"/>
      <w:szCs w:val="24"/>
    </w:rPr>
  </w:style>
  <w:style w:type="character" w:customStyle="1" w:styleId="204">
    <w:name w:val="Char Char91"/>
    <w:qFormat/>
    <w:uiPriority w:val="0"/>
    <w:rPr>
      <w:rFonts w:eastAsia="宋体"/>
      <w:kern w:val="2"/>
      <w:sz w:val="18"/>
      <w:szCs w:val="18"/>
      <w:lang w:val="en-US" w:eastAsia="zh-CN" w:bidi="ar-SA"/>
    </w:rPr>
  </w:style>
  <w:style w:type="character" w:customStyle="1" w:styleId="205">
    <w:name w:val="副标题 Char1"/>
    <w:qFormat/>
    <w:uiPriority w:val="0"/>
    <w:rPr>
      <w:rFonts w:ascii="Cambria" w:hAnsi="Cambria" w:eastAsia="宋体" w:cs="Times New Roman"/>
      <w:b/>
      <w:bCs/>
      <w:snapToGrid w:val="0"/>
      <w:kern w:val="28"/>
      <w:sz w:val="32"/>
      <w:szCs w:val="32"/>
    </w:rPr>
  </w:style>
  <w:style w:type="character" w:customStyle="1" w:styleId="206">
    <w:name w:val="font61"/>
    <w:qFormat/>
    <w:uiPriority w:val="0"/>
    <w:rPr>
      <w:rFonts w:hint="eastAsia" w:ascii="仿宋" w:hAnsi="仿宋" w:eastAsia="仿宋" w:cs="仿宋"/>
      <w:color w:val="000000"/>
      <w:sz w:val="20"/>
      <w:szCs w:val="20"/>
      <w:u w:val="none"/>
    </w:rPr>
  </w:style>
  <w:style w:type="character" w:customStyle="1" w:styleId="207">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qFormat/>
    <w:uiPriority w:val="0"/>
    <w:rPr>
      <w:rFonts w:eastAsia="宋体"/>
      <w:b/>
      <w:bCs/>
      <w:kern w:val="2"/>
      <w:sz w:val="21"/>
      <w:szCs w:val="24"/>
      <w:lang w:val="en-US" w:eastAsia="zh-CN" w:bidi="ar-SA"/>
    </w:rPr>
  </w:style>
  <w:style w:type="character" w:customStyle="1" w:styleId="209">
    <w:name w:val="标题 2 Char"/>
    <w:qFormat/>
    <w:uiPriority w:val="0"/>
    <w:rPr>
      <w:rFonts w:ascii="Arial" w:hAnsi="Arial" w:eastAsia="黑体"/>
      <w:b/>
      <w:kern w:val="2"/>
      <w:sz w:val="32"/>
      <w:lang w:val="en-US" w:eastAsia="zh-CN"/>
    </w:rPr>
  </w:style>
  <w:style w:type="character" w:customStyle="1" w:styleId="210">
    <w:name w:val="maywed421"/>
    <w:qFormat/>
    <w:uiPriority w:val="0"/>
    <w:rPr>
      <w:color w:val="366FB6"/>
      <w:u w:val="none"/>
    </w:rPr>
  </w:style>
  <w:style w:type="character" w:customStyle="1" w:styleId="211">
    <w:name w:val="正文文本缩进 Char"/>
    <w:qFormat/>
    <w:uiPriority w:val="0"/>
    <w:rPr>
      <w:rFonts w:ascii="宋体" w:hAnsi="宋体"/>
      <w:kern w:val="2"/>
      <w:sz w:val="24"/>
      <w:szCs w:val="24"/>
    </w:rPr>
  </w:style>
  <w:style w:type="character" w:customStyle="1" w:styleId="212">
    <w:name w:val="Char Char102"/>
    <w:semiHidden/>
    <w:qFormat/>
    <w:uiPriority w:val="0"/>
    <w:rPr>
      <w:rFonts w:ascii="宋体" w:hAnsi="宋体"/>
      <w:kern w:val="2"/>
      <w:sz w:val="21"/>
      <w:szCs w:val="24"/>
      <w:lang w:val="en-US" w:eastAsia="zh-CN"/>
    </w:rPr>
  </w:style>
  <w:style w:type="character" w:customStyle="1" w:styleId="213">
    <w:name w:val="页眉 Char1"/>
    <w:qFormat/>
    <w:uiPriority w:val="0"/>
    <w:rPr>
      <w:rFonts w:eastAsia="宋体"/>
      <w:kern w:val="2"/>
      <w:sz w:val="18"/>
      <w:szCs w:val="18"/>
      <w:lang w:val="en-US" w:eastAsia="zh-CN" w:bidi="ar-SA"/>
    </w:rPr>
  </w:style>
  <w:style w:type="character" w:customStyle="1" w:styleId="214">
    <w:name w:val="md"/>
    <w:basedOn w:val="69"/>
    <w:qFormat/>
    <w:uiPriority w:val="0"/>
    <w:rPr>
      <w:rFonts w:ascii="Arial" w:hAnsi="Arial" w:eastAsia="黑体" w:cs="Arial"/>
      <w:snapToGrid w:val="0"/>
      <w:kern w:val="0"/>
      <w:szCs w:val="21"/>
    </w:rPr>
  </w:style>
  <w:style w:type="character" w:customStyle="1" w:styleId="215">
    <w:name w:val="big1"/>
    <w:qFormat/>
    <w:uiPriority w:val="0"/>
    <w:rPr>
      <w:rFonts w:hint="eastAsia" w:ascii="宋体" w:hAnsi="宋体" w:eastAsia="宋体"/>
      <w:color w:val="333333"/>
      <w:sz w:val="22"/>
      <w:szCs w:val="22"/>
    </w:rPr>
  </w:style>
  <w:style w:type="character" w:customStyle="1" w:styleId="216">
    <w:name w:val="Char Char311"/>
    <w:qFormat/>
    <w:uiPriority w:val="0"/>
    <w:rPr>
      <w:rFonts w:eastAsia="宋体"/>
      <w:kern w:val="2"/>
      <w:sz w:val="21"/>
      <w:szCs w:val="24"/>
      <w:lang w:val="en-US" w:eastAsia="zh-CN" w:bidi="ar-SA"/>
    </w:rPr>
  </w:style>
  <w:style w:type="character" w:customStyle="1" w:styleId="217">
    <w:name w:val="Char Char81"/>
    <w:qFormat/>
    <w:uiPriority w:val="6"/>
    <w:rPr>
      <w:rFonts w:eastAsia="宋体"/>
      <w:b/>
      <w:sz w:val="24"/>
      <w:lang w:val="en-GB" w:eastAsia="zh-CN"/>
    </w:rPr>
  </w:style>
  <w:style w:type="character" w:customStyle="1" w:styleId="218">
    <w:name w:val="样式3 Char"/>
    <w:basedOn w:val="169"/>
    <w:qFormat/>
    <w:uiPriority w:val="0"/>
    <w:rPr>
      <w:rFonts w:ascii="仿宋_GB2312" w:hAnsi="仿宋" w:eastAsia="仿宋_GB2312" w:cs="仿宋_GB2312"/>
      <w:sz w:val="32"/>
      <w:szCs w:val="30"/>
      <w:lang w:val="zh-CN"/>
    </w:rPr>
  </w:style>
  <w:style w:type="character" w:customStyle="1" w:styleId="219">
    <w:name w:val="HTML 地址 字符"/>
    <w:link w:val="29"/>
    <w:qFormat/>
    <w:uiPriority w:val="0"/>
    <w:rPr>
      <w:rFonts w:ascii="宋体" w:hAnsi="宋体"/>
      <w:i/>
      <w:iCs/>
      <w:sz w:val="24"/>
      <w:szCs w:val="24"/>
    </w:rPr>
  </w:style>
  <w:style w:type="character" w:customStyle="1" w:styleId="220">
    <w:name w:val="正文首行缩进 2 Char1"/>
    <w:qFormat/>
    <w:uiPriority w:val="0"/>
    <w:rPr>
      <w:rFonts w:ascii="Times New Roman" w:hAnsi="Times New Roman" w:eastAsia="宋体" w:cs="Times New Roman"/>
      <w:kern w:val="2"/>
      <w:sz w:val="24"/>
      <w:szCs w:val="24"/>
    </w:rPr>
  </w:style>
  <w:style w:type="character" w:customStyle="1" w:styleId="221">
    <w:name w:val="副标题 Char2"/>
    <w:qFormat/>
    <w:uiPriority w:val="0"/>
    <w:rPr>
      <w:rFonts w:ascii="Cambria" w:hAnsi="Cambria" w:eastAsia="宋体" w:cs="Times New Roman"/>
      <w:b/>
      <w:bCs/>
      <w:snapToGrid w:val="0"/>
      <w:kern w:val="28"/>
      <w:sz w:val="32"/>
      <w:szCs w:val="32"/>
    </w:rPr>
  </w:style>
  <w:style w:type="character" w:customStyle="1" w:styleId="222">
    <w:name w:val="标题4-dyf Char"/>
    <w:link w:val="223"/>
    <w:qFormat/>
    <w:uiPriority w:val="0"/>
    <w:rPr>
      <w:rFonts w:ascii="Cambria" w:hAnsi="Cambria"/>
      <w:b/>
      <w:bCs/>
      <w:color w:val="000000"/>
      <w:kern w:val="2"/>
      <w:sz w:val="21"/>
      <w:szCs w:val="21"/>
    </w:rPr>
  </w:style>
  <w:style w:type="paragraph" w:customStyle="1" w:styleId="223">
    <w:name w:val="标题4-dyf"/>
    <w:basedOn w:val="6"/>
    <w:link w:val="222"/>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qFormat/>
    <w:uiPriority w:val="0"/>
    <w:rPr>
      <w:rFonts w:ascii="宋体" w:hAnsi="宋体" w:eastAsia="宋体"/>
      <w:color w:val="333333"/>
      <w:sz w:val="21"/>
      <w:szCs w:val="21"/>
      <w:u w:val="none"/>
    </w:rPr>
  </w:style>
  <w:style w:type="character" w:customStyle="1" w:styleId="225">
    <w:name w:val="冯 Char"/>
    <w:link w:val="226"/>
    <w:qFormat/>
    <w:uiPriority w:val="0"/>
    <w:rPr>
      <w:rFonts w:ascii="宋体" w:hAnsi="宋体"/>
      <w:color w:val="000000"/>
      <w:sz w:val="24"/>
      <w:szCs w:val="24"/>
    </w:rPr>
  </w:style>
  <w:style w:type="paragraph" w:customStyle="1" w:styleId="226">
    <w:name w:val="冯"/>
    <w:basedOn w:val="1"/>
    <w:link w:val="225"/>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qFormat/>
    <w:locked/>
    <w:uiPriority w:val="0"/>
    <w:rPr>
      <w:rFonts w:eastAsia="宋体"/>
      <w:kern w:val="2"/>
      <w:sz w:val="18"/>
      <w:szCs w:val="18"/>
      <w:lang w:val="en-US" w:eastAsia="zh-CN" w:bidi="ar-SA"/>
    </w:rPr>
  </w:style>
  <w:style w:type="character" w:customStyle="1" w:styleId="228">
    <w:name w:val="Char Char12"/>
    <w:qFormat/>
    <w:uiPriority w:val="0"/>
    <w:rPr>
      <w:rFonts w:ascii="仿宋_GB2312" w:eastAsia="仿宋_GB2312"/>
      <w:b/>
      <w:bCs/>
      <w:kern w:val="2"/>
      <w:sz w:val="24"/>
      <w:szCs w:val="24"/>
      <w:lang w:val="zh-CN" w:eastAsia="zh-CN" w:bidi="ar-SA"/>
    </w:rPr>
  </w:style>
  <w:style w:type="character" w:customStyle="1" w:styleId="229">
    <w:name w:val="题注 字符"/>
    <w:link w:val="16"/>
    <w:qFormat/>
    <w:uiPriority w:val="0"/>
    <w:rPr>
      <w:b/>
      <w:kern w:val="2"/>
      <w:sz w:val="28"/>
    </w:rPr>
  </w:style>
  <w:style w:type="character" w:customStyle="1" w:styleId="230">
    <w:name w:val="普通文字 Char3"/>
    <w:qFormat/>
    <w:uiPriority w:val="0"/>
    <w:rPr>
      <w:rFonts w:ascii="宋体" w:hAnsi="Courier New" w:eastAsia="宋体"/>
      <w:kern w:val="2"/>
      <w:sz w:val="21"/>
      <w:lang w:val="en-US" w:eastAsia="zh-CN" w:bidi="ar-SA"/>
    </w:rPr>
  </w:style>
  <w:style w:type="character" w:customStyle="1" w:styleId="231">
    <w:name w:val="公文正文 Char"/>
    <w:qFormat/>
    <w:uiPriority w:val="0"/>
    <w:rPr>
      <w:rFonts w:ascii="仿宋_GB2312" w:eastAsia="仿宋_GB2312"/>
      <w:kern w:val="2"/>
      <w:sz w:val="24"/>
      <w:szCs w:val="24"/>
      <w:lang w:val="en-US" w:eastAsia="zh-CN" w:bidi="ar-SA"/>
    </w:rPr>
  </w:style>
  <w:style w:type="character" w:customStyle="1" w:styleId="232">
    <w:name w:val="正文首行缩进 Char Char Char Char Char"/>
    <w:qFormat/>
    <w:uiPriority w:val="0"/>
    <w:rPr>
      <w:rFonts w:ascii="宋体"/>
      <w:kern w:val="2"/>
      <w:sz w:val="24"/>
      <w:lang w:val="zh-CN"/>
    </w:rPr>
  </w:style>
  <w:style w:type="character" w:customStyle="1" w:styleId="233">
    <w:name w:val="PI Char"/>
    <w:qFormat/>
    <w:uiPriority w:val="0"/>
    <w:rPr>
      <w:rFonts w:ascii="宋体" w:hAnsi="宋体" w:eastAsia="宋体"/>
      <w:kern w:val="2"/>
      <w:sz w:val="24"/>
      <w:szCs w:val="24"/>
      <w:lang w:val="en-US" w:eastAsia="zh-CN" w:bidi="ar-SA"/>
    </w:rPr>
  </w:style>
  <w:style w:type="character" w:customStyle="1" w:styleId="234">
    <w:name w:val="Default Char"/>
    <w:link w:val="235"/>
    <w:qFormat/>
    <w:uiPriority w:val="0"/>
    <w:rPr>
      <w:rFonts w:ascii="仿宋_GB2312" w:eastAsia="仿宋_GB2312" w:cs="仿宋_GB2312"/>
      <w:color w:val="000000"/>
      <w:sz w:val="24"/>
      <w:szCs w:val="24"/>
      <w:lang w:val="en-US" w:eastAsia="zh-CN" w:bidi="ar-SA"/>
    </w:rPr>
  </w:style>
  <w:style w:type="paragraph" w:customStyle="1" w:styleId="235">
    <w:name w:val="Default"/>
    <w:link w:val="23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6">
    <w:name w:val="style91"/>
    <w:qFormat/>
    <w:uiPriority w:val="0"/>
    <w:rPr>
      <w:color w:val="333333"/>
    </w:rPr>
  </w:style>
  <w:style w:type="character" w:customStyle="1" w:styleId="237">
    <w:name w:val="列出段落 Char2"/>
    <w:qFormat/>
    <w:uiPriority w:val="34"/>
    <w:rPr>
      <w:rFonts w:ascii="Calibri" w:hAnsi="Calibri"/>
      <w:kern w:val="2"/>
      <w:sz w:val="28"/>
    </w:rPr>
  </w:style>
  <w:style w:type="character" w:customStyle="1" w:styleId="238">
    <w:name w:val="mdeck"/>
    <w:qFormat/>
    <w:uiPriority w:val="0"/>
    <w:rPr>
      <w:rFonts w:ascii="仿宋_GB2312" w:eastAsia="微软雅黑"/>
      <w:b/>
      <w:kern w:val="2"/>
      <w:sz w:val="32"/>
      <w:szCs w:val="32"/>
      <w:lang w:val="en-US" w:eastAsia="zh-CN" w:bidi="ar-SA"/>
    </w:rPr>
  </w:style>
  <w:style w:type="character" w:customStyle="1" w:styleId="239">
    <w:name w:val="unnamed11"/>
    <w:qFormat/>
    <w:uiPriority w:val="0"/>
    <w:rPr>
      <w:sz w:val="20"/>
      <w:szCs w:val="20"/>
    </w:rPr>
  </w:style>
  <w:style w:type="character" w:customStyle="1" w:styleId="240">
    <w:name w:val="正文文本 Char2"/>
    <w:semiHidden/>
    <w:qFormat/>
    <w:uiPriority w:val="99"/>
    <w:rPr>
      <w:rFonts w:ascii="Times New Roman" w:hAnsi="Times New Roman" w:eastAsia="宋体" w:cs="Times New Roman"/>
      <w:snapToGrid w:val="0"/>
      <w:kern w:val="0"/>
      <w:szCs w:val="24"/>
    </w:rPr>
  </w:style>
  <w:style w:type="character" w:customStyle="1" w:styleId="241">
    <w:name w:val="标书正文格式 Char"/>
    <w:qFormat/>
    <w:uiPriority w:val="0"/>
    <w:rPr>
      <w:rFonts w:eastAsia="楷体_GB2312"/>
      <w:kern w:val="2"/>
      <w:sz w:val="24"/>
      <w:szCs w:val="24"/>
      <w:lang w:bidi="ar-SA"/>
    </w:rPr>
  </w:style>
  <w:style w:type="character" w:customStyle="1" w:styleId="242">
    <w:name w:val="Char Char11"/>
    <w:qFormat/>
    <w:locked/>
    <w:uiPriority w:val="0"/>
    <w:rPr>
      <w:rFonts w:ascii="宋体" w:hAnsi="宋体" w:eastAsia="宋体"/>
      <w:b/>
      <w:kern w:val="2"/>
      <w:sz w:val="24"/>
      <w:szCs w:val="24"/>
      <w:lang w:val="en-US" w:eastAsia="zh-CN" w:bidi="ar-SA"/>
    </w:rPr>
  </w:style>
  <w:style w:type="character" w:customStyle="1" w:styleId="243">
    <w:name w:val="ca-131"/>
    <w:qFormat/>
    <w:uiPriority w:val="0"/>
    <w:rPr>
      <w:rFonts w:hint="eastAsia" w:ascii="仿宋_GB2312" w:eastAsia="仿宋_GB2312"/>
      <w:b/>
      <w:bCs/>
      <w:color w:val="000000"/>
      <w:spacing w:val="-20"/>
      <w:sz w:val="24"/>
      <w:szCs w:val="24"/>
    </w:rPr>
  </w:style>
  <w:style w:type="character" w:customStyle="1" w:styleId="244">
    <w:name w:val="tw4winMark"/>
    <w:qFormat/>
    <w:uiPriority w:val="0"/>
    <w:rPr>
      <w:rFonts w:ascii="Courier New" w:hAnsi="Courier New" w:cs="Courier New"/>
      <w:vanish/>
      <w:color w:val="800080"/>
      <w:sz w:val="24"/>
      <w:szCs w:val="24"/>
      <w:vertAlign w:val="subscript"/>
    </w:rPr>
  </w:style>
  <w:style w:type="character" w:customStyle="1" w:styleId="245">
    <w:name w:val="正文样式 Char"/>
    <w:link w:val="246"/>
    <w:qFormat/>
    <w:uiPriority w:val="0"/>
    <w:rPr>
      <w:rFonts w:ascii="Calibri" w:hAnsi="Calibri"/>
      <w:sz w:val="24"/>
      <w:szCs w:val="24"/>
    </w:rPr>
  </w:style>
  <w:style w:type="paragraph" w:customStyle="1" w:styleId="246">
    <w:name w:val="正文样式"/>
    <w:basedOn w:val="1"/>
    <w:link w:val="245"/>
    <w:qFormat/>
    <w:uiPriority w:val="0"/>
    <w:pPr>
      <w:adjustRightInd/>
      <w:spacing w:line="360" w:lineRule="auto"/>
      <w:ind w:firstLine="480" w:firstLineChars="200"/>
    </w:pPr>
    <w:rPr>
      <w:kern w:val="0"/>
      <w:sz w:val="24"/>
    </w:rPr>
  </w:style>
  <w:style w:type="character" w:customStyle="1" w:styleId="247">
    <w:name w:val="表正文 Char3"/>
    <w:qFormat/>
    <w:uiPriority w:val="0"/>
    <w:rPr>
      <w:rFonts w:eastAsia="宋体"/>
    </w:rPr>
  </w:style>
  <w:style w:type="character" w:customStyle="1" w:styleId="248">
    <w:name w:val="H5 Char"/>
    <w:qFormat/>
    <w:uiPriority w:val="0"/>
    <w:rPr>
      <w:b/>
      <w:bCs/>
      <w:kern w:val="2"/>
      <w:sz w:val="28"/>
      <w:szCs w:val="28"/>
    </w:rPr>
  </w:style>
  <w:style w:type="character" w:customStyle="1" w:styleId="249">
    <w:name w:val="Char Char3"/>
    <w:qFormat/>
    <w:uiPriority w:val="0"/>
    <w:rPr>
      <w:rFonts w:eastAsia="宋体"/>
      <w:kern w:val="2"/>
      <w:sz w:val="21"/>
      <w:szCs w:val="24"/>
      <w:lang w:val="en-US" w:eastAsia="zh-CN" w:bidi="ar-SA"/>
    </w:rPr>
  </w:style>
  <w:style w:type="character" w:customStyle="1" w:styleId="250">
    <w:name w:val="正文 编号 Char"/>
    <w:qFormat/>
    <w:uiPriority w:val="0"/>
    <w:rPr>
      <w:rFonts w:ascii="仿宋_GB2312" w:hAnsi="仿宋_GB2312" w:eastAsia="仿宋_GB2312"/>
      <w:kern w:val="2"/>
      <w:sz w:val="24"/>
      <w:lang w:bidi="ar-SA"/>
    </w:rPr>
  </w:style>
  <w:style w:type="character" w:customStyle="1" w:styleId="251">
    <w:name w:val="question-title2"/>
    <w:qFormat/>
    <w:uiPriority w:val="6"/>
    <w:rPr>
      <w:rFonts w:ascii="Arial" w:hAnsi="Arial" w:eastAsia="黑体" w:cs="Arial"/>
      <w:snapToGrid w:val="0"/>
      <w:kern w:val="0"/>
      <w:szCs w:val="21"/>
    </w:rPr>
  </w:style>
  <w:style w:type="character" w:customStyle="1" w:styleId="252">
    <w:name w:val="gf正文1 Char Char"/>
    <w:link w:val="253"/>
    <w:qFormat/>
    <w:uiPriority w:val="0"/>
    <w:rPr>
      <w:rFonts w:ascii="宋体" w:hAnsi="宋体" w:cs="宋体"/>
      <w:kern w:val="2"/>
      <w:sz w:val="24"/>
      <w:szCs w:val="24"/>
    </w:rPr>
  </w:style>
  <w:style w:type="paragraph" w:customStyle="1" w:styleId="253">
    <w:name w:val="gf正文1"/>
    <w:basedOn w:val="1"/>
    <w:link w:val="252"/>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4">
    <w:name w:val="Char Char15"/>
    <w:qFormat/>
    <w:uiPriority w:val="6"/>
    <w:rPr>
      <w:rFonts w:ascii="宋体" w:hAnsi="宋体"/>
      <w:kern w:val="1"/>
      <w:sz w:val="21"/>
    </w:rPr>
  </w:style>
  <w:style w:type="character" w:customStyle="1" w:styleId="255">
    <w:name w:val="正文缩进 Char3"/>
    <w:qFormat/>
    <w:uiPriority w:val="0"/>
    <w:rPr>
      <w:rFonts w:ascii="宋体" w:eastAsia="宋体"/>
      <w:snapToGrid w:val="0"/>
      <w:color w:val="000000"/>
      <w:kern w:val="28"/>
      <w:sz w:val="28"/>
      <w:lang w:val="en-US" w:eastAsia="zh-CN" w:bidi="ar-SA"/>
    </w:rPr>
  </w:style>
  <w:style w:type="character" w:customStyle="1" w:styleId="256">
    <w:name w:val="列出段落 Char1"/>
    <w:link w:val="257"/>
    <w:qFormat/>
    <w:uiPriority w:val="0"/>
    <w:rPr>
      <w:rFonts w:ascii="Calibri" w:hAnsi="Calibri"/>
      <w:sz w:val="24"/>
      <w:lang w:eastAsia="en-US"/>
    </w:rPr>
  </w:style>
  <w:style w:type="paragraph" w:customStyle="1" w:styleId="257">
    <w:name w:val="列表1"/>
    <w:basedOn w:val="1"/>
    <w:next w:val="258"/>
    <w:link w:val="256"/>
    <w:qFormat/>
    <w:uiPriority w:val="0"/>
    <w:pPr>
      <w:widowControl/>
      <w:adjustRightInd/>
      <w:spacing w:after="200" w:line="360" w:lineRule="auto"/>
      <w:ind w:left="720" w:firstLine="200" w:firstLineChars="200"/>
      <w:jc w:val="left"/>
    </w:pPr>
    <w:rPr>
      <w:kern w:val="0"/>
      <w:sz w:val="24"/>
      <w:szCs w:val="20"/>
      <w:lang w:eastAsia="en-US"/>
    </w:rPr>
  </w:style>
  <w:style w:type="paragraph" w:styleId="258">
    <w:name w:val="List Paragraph"/>
    <w:basedOn w:val="1"/>
    <w:qFormat/>
    <w:uiPriority w:val="34"/>
    <w:pPr>
      <w:spacing w:line="360" w:lineRule="auto"/>
      <w:ind w:firstLine="200" w:firstLineChars="200"/>
    </w:pPr>
    <w:rPr>
      <w:rFonts w:eastAsia="楷体_GB2312" w:cs="Lucida Sans"/>
      <w:sz w:val="24"/>
    </w:rPr>
  </w:style>
  <w:style w:type="character" w:customStyle="1" w:styleId="259">
    <w:name w:val="Char Char8"/>
    <w:qFormat/>
    <w:uiPriority w:val="0"/>
    <w:rPr>
      <w:rFonts w:eastAsia="宋体"/>
      <w:b/>
      <w:sz w:val="24"/>
      <w:lang w:val="en-GB" w:eastAsia="zh-CN"/>
    </w:rPr>
  </w:style>
  <w:style w:type="character" w:customStyle="1" w:styleId="260">
    <w:name w:val="Normal Indent Char Char"/>
    <w:qFormat/>
    <w:uiPriority w:val="0"/>
    <w:rPr>
      <w:rFonts w:eastAsia="宋体"/>
      <w:kern w:val="2"/>
      <w:sz w:val="21"/>
      <w:lang w:val="en-US" w:eastAsia="zh-CN" w:bidi="ar-SA"/>
    </w:rPr>
  </w:style>
  <w:style w:type="character" w:customStyle="1" w:styleId="261">
    <w:name w:val="列表段落 字符"/>
    <w:qFormat/>
    <w:uiPriority w:val="99"/>
  </w:style>
  <w:style w:type="character" w:customStyle="1" w:styleId="262">
    <w:name w:val="Ò³Ã¼ Char Char1"/>
    <w:qFormat/>
    <w:uiPriority w:val="0"/>
    <w:rPr>
      <w:rFonts w:eastAsia="宋体"/>
      <w:kern w:val="2"/>
      <w:sz w:val="18"/>
      <w:szCs w:val="18"/>
      <w:lang w:val="en-US" w:eastAsia="zh-CN" w:bidi="ar-SA"/>
    </w:rPr>
  </w:style>
  <w:style w:type="character" w:customStyle="1" w:styleId="263">
    <w:name w:val="方案正文 Char"/>
    <w:qFormat/>
    <w:uiPriority w:val="0"/>
    <w:rPr>
      <w:rFonts w:ascii="仿宋_GB2312" w:eastAsia="仿宋_GB2312"/>
      <w:b/>
      <w:color w:val="000000"/>
      <w:kern w:val="2"/>
      <w:sz w:val="24"/>
      <w:lang w:val="en-US" w:eastAsia="zh-CN" w:bidi="ar-SA"/>
    </w:rPr>
  </w:style>
  <w:style w:type="character" w:customStyle="1" w:styleId="264">
    <w:name w:val="Char Char30"/>
    <w:qFormat/>
    <w:uiPriority w:val="6"/>
    <w:rPr>
      <w:rFonts w:ascii="Arial" w:hAnsi="Arial" w:eastAsia="黑体"/>
      <w:kern w:val="1"/>
      <w:sz w:val="21"/>
      <w:szCs w:val="21"/>
    </w:rPr>
  </w:style>
  <w:style w:type="character" w:customStyle="1" w:styleId="265">
    <w:name w:val="正文文本缩进 字符1"/>
    <w:link w:val="24"/>
    <w:qFormat/>
    <w:uiPriority w:val="0"/>
    <w:rPr>
      <w:rFonts w:ascii="宋体" w:hAnsi="宋体"/>
      <w:kern w:val="2"/>
      <w:sz w:val="24"/>
      <w:szCs w:val="24"/>
    </w:rPr>
  </w:style>
  <w:style w:type="character" w:customStyle="1" w:styleId="266">
    <w:name w:val="font01"/>
    <w:qFormat/>
    <w:uiPriority w:val="0"/>
    <w:rPr>
      <w:rFonts w:hint="eastAsia" w:ascii="微软雅黑" w:hAnsi="微软雅黑" w:eastAsia="微软雅黑" w:cs="微软雅黑"/>
      <w:color w:val="000000"/>
      <w:sz w:val="20"/>
      <w:szCs w:val="20"/>
      <w:u w:val="none"/>
    </w:rPr>
  </w:style>
  <w:style w:type="character" w:customStyle="1" w:styleId="267">
    <w:name w:val="Char Char20"/>
    <w:qFormat/>
    <w:uiPriority w:val="6"/>
    <w:rPr>
      <w:kern w:val="1"/>
      <w:sz w:val="24"/>
    </w:rPr>
  </w:style>
  <w:style w:type="character" w:customStyle="1" w:styleId="268">
    <w:name w:val="tw4winExternal"/>
    <w:qFormat/>
    <w:uiPriority w:val="0"/>
    <w:rPr>
      <w:rFonts w:ascii="Courier New" w:hAnsi="Courier New" w:cs="Courier New"/>
      <w:color w:val="808080"/>
      <w:lang w:val="en-US" w:eastAsia="zh-CN"/>
    </w:rPr>
  </w:style>
  <w:style w:type="character" w:customStyle="1" w:styleId="269">
    <w:name w:val="标题 4 Char1"/>
    <w:qFormat/>
    <w:uiPriority w:val="9"/>
    <w:rPr>
      <w:rFonts w:ascii="Cambria" w:hAnsi="Cambria" w:eastAsia="宋体" w:cs="Times New Roman"/>
      <w:b/>
      <w:bCs/>
      <w:kern w:val="2"/>
      <w:sz w:val="28"/>
      <w:szCs w:val="28"/>
    </w:rPr>
  </w:style>
  <w:style w:type="character" w:customStyle="1" w:styleId="270">
    <w:name w:val="批注文字 Char2"/>
    <w:qFormat/>
    <w:uiPriority w:val="99"/>
    <w:rPr>
      <w:rFonts w:ascii="Times New Roman" w:hAnsi="Times New Roman" w:eastAsia="宋体" w:cs="Times New Roman"/>
      <w:snapToGrid w:val="0"/>
      <w:kern w:val="0"/>
      <w:szCs w:val="24"/>
    </w:rPr>
  </w:style>
  <w:style w:type="character" w:customStyle="1" w:styleId="271">
    <w:name w:val="正文文本 2 Char"/>
    <w:qFormat/>
    <w:uiPriority w:val="0"/>
    <w:rPr>
      <w:rFonts w:eastAsia="宋体"/>
      <w:kern w:val="2"/>
      <w:sz w:val="21"/>
      <w:szCs w:val="24"/>
      <w:lang w:val="en-US" w:eastAsia="zh-CN" w:bidi="ar-SA"/>
    </w:rPr>
  </w:style>
  <w:style w:type="character" w:customStyle="1" w:styleId="272">
    <w:name w:val="Ò³Ã¼ Char Char"/>
    <w:qFormat/>
    <w:uiPriority w:val="0"/>
    <w:rPr>
      <w:rFonts w:eastAsia="宋体"/>
      <w:kern w:val="2"/>
      <w:sz w:val="18"/>
      <w:lang w:val="en-US" w:eastAsia="zh-CN" w:bidi="ar-SA"/>
    </w:rPr>
  </w:style>
  <w:style w:type="character" w:customStyle="1" w:styleId="273">
    <w:name w:val="message1"/>
    <w:qFormat/>
    <w:uiPriority w:val="0"/>
    <w:rPr>
      <w:rFonts w:hint="default" w:ascii="Tahoma" w:hAnsi="Tahoma" w:cs="Tahoma"/>
      <w:sz w:val="18"/>
      <w:szCs w:val="18"/>
    </w:rPr>
  </w:style>
  <w:style w:type="character" w:customStyle="1" w:styleId="274">
    <w:name w:val="Char Char23"/>
    <w:qFormat/>
    <w:uiPriority w:val="6"/>
    <w:rPr>
      <w:color w:val="0000FF"/>
      <w:sz w:val="21"/>
    </w:rPr>
  </w:style>
  <w:style w:type="character" w:customStyle="1" w:styleId="275">
    <w:name w:val="批注框文本 字符"/>
    <w:qFormat/>
    <w:uiPriority w:val="0"/>
    <w:rPr>
      <w:rFonts w:ascii="Arial" w:hAnsi="Arial" w:eastAsia="黑体" w:cs="Arial"/>
      <w:snapToGrid w:val="0"/>
      <w:kern w:val="0"/>
      <w:sz w:val="18"/>
      <w:szCs w:val="18"/>
    </w:rPr>
  </w:style>
  <w:style w:type="character" w:customStyle="1" w:styleId="276">
    <w:name w:val="纯文本 Char2"/>
    <w:semiHidden/>
    <w:qFormat/>
    <w:uiPriority w:val="99"/>
    <w:rPr>
      <w:rFonts w:ascii="宋体" w:hAnsi="Courier New" w:eastAsia="宋体" w:cs="Courier New"/>
    </w:rPr>
  </w:style>
  <w:style w:type="character" w:customStyle="1" w:styleId="277">
    <w:name w:val="Char Char25"/>
    <w:qFormat/>
    <w:uiPriority w:val="6"/>
    <w:rPr>
      <w:rFonts w:ascii="宋体" w:hAnsi="宋体"/>
      <w:kern w:val="1"/>
      <w:sz w:val="24"/>
      <w:lang w:val="zh-CN"/>
    </w:rPr>
  </w:style>
  <w:style w:type="character" w:customStyle="1" w:styleId="278">
    <w:name w:val="Char Char411"/>
    <w:qFormat/>
    <w:uiPriority w:val="0"/>
    <w:rPr>
      <w:rFonts w:eastAsia="宋体"/>
      <w:b/>
      <w:sz w:val="24"/>
      <w:lang w:val="en-GB" w:eastAsia="zh-CN" w:bidi="ar-SA"/>
    </w:rPr>
  </w:style>
  <w:style w:type="character" w:customStyle="1" w:styleId="279">
    <w:name w:val="Heading 7 Char"/>
    <w:qFormat/>
    <w:locked/>
    <w:uiPriority w:val="0"/>
    <w:rPr>
      <w:rFonts w:ascii="宋体" w:hAnsi="宋体" w:eastAsia="宋体"/>
      <w:b/>
      <w:bCs/>
      <w:kern w:val="2"/>
      <w:sz w:val="24"/>
      <w:szCs w:val="24"/>
      <w:lang w:val="en-US" w:eastAsia="zh-CN" w:bidi="ar-SA"/>
    </w:rPr>
  </w:style>
  <w:style w:type="character" w:customStyle="1" w:styleId="280">
    <w:name w:val="此正文 Char"/>
    <w:link w:val="281"/>
    <w:qFormat/>
    <w:uiPriority w:val="0"/>
    <w:rPr>
      <w:kern w:val="2"/>
      <w:sz w:val="24"/>
      <w:szCs w:val="24"/>
    </w:rPr>
  </w:style>
  <w:style w:type="paragraph" w:customStyle="1" w:styleId="281">
    <w:name w:val="此正文"/>
    <w:basedOn w:val="1"/>
    <w:link w:val="280"/>
    <w:qFormat/>
    <w:uiPriority w:val="0"/>
    <w:pPr>
      <w:adjustRightInd/>
      <w:spacing w:line="360" w:lineRule="auto"/>
      <w:ind w:firstLine="200" w:firstLineChars="200"/>
    </w:pPr>
    <w:rPr>
      <w:sz w:val="24"/>
    </w:rPr>
  </w:style>
  <w:style w:type="character" w:customStyle="1" w:styleId="282">
    <w:name w:val="Char Char2"/>
    <w:qFormat/>
    <w:uiPriority w:val="0"/>
    <w:rPr>
      <w:rFonts w:eastAsia="宋体"/>
      <w:b/>
      <w:bCs/>
      <w:kern w:val="2"/>
      <w:sz w:val="21"/>
      <w:szCs w:val="24"/>
      <w:lang w:val="en-US" w:eastAsia="zh-CN" w:bidi="ar-SA"/>
    </w:rPr>
  </w:style>
  <w:style w:type="character" w:customStyle="1" w:styleId="283">
    <w:name w:val="标题 1 字符1"/>
    <w:link w:val="2"/>
    <w:qFormat/>
    <w:uiPriority w:val="9"/>
    <w:rPr>
      <w:b/>
      <w:bCs/>
      <w:kern w:val="44"/>
      <w:sz w:val="44"/>
      <w:szCs w:val="44"/>
    </w:rPr>
  </w:style>
  <w:style w:type="character" w:customStyle="1" w:styleId="284">
    <w:name w:val="Footer-Even Char1"/>
    <w:qFormat/>
    <w:uiPriority w:val="0"/>
    <w:rPr>
      <w:rFonts w:eastAsia="宋体"/>
      <w:kern w:val="2"/>
      <w:sz w:val="18"/>
      <w:szCs w:val="18"/>
      <w:lang w:val="en-US" w:eastAsia="zh-CN" w:bidi="ar-SA"/>
    </w:rPr>
  </w:style>
  <w:style w:type="character" w:customStyle="1" w:styleId="285">
    <w:name w:val="Char Char29"/>
    <w:qFormat/>
    <w:uiPriority w:val="6"/>
    <w:rPr>
      <w:rFonts w:ascii="Arial" w:hAnsi="Arial" w:eastAsia="微软雅黑"/>
      <w:b/>
      <w:kern w:val="1"/>
      <w:sz w:val="44"/>
      <w:szCs w:val="32"/>
      <w:lang w:val="en-US" w:eastAsia="zh-CN" w:bidi="ar-SA"/>
    </w:rPr>
  </w:style>
  <w:style w:type="character" w:customStyle="1" w:styleId="286">
    <w:name w:val="标题 字符"/>
    <w:link w:val="58"/>
    <w:qFormat/>
    <w:uiPriority w:val="10"/>
    <w:rPr>
      <w:b/>
      <w:sz w:val="24"/>
      <w:lang w:val="en-GB"/>
    </w:rPr>
  </w:style>
  <w:style w:type="character" w:customStyle="1" w:styleId="287">
    <w:name w:val="font81"/>
    <w:qFormat/>
    <w:uiPriority w:val="0"/>
    <w:rPr>
      <w:rFonts w:ascii="微软雅黑" w:hAnsi="微软雅黑" w:eastAsia="微软雅黑" w:cs="微软雅黑"/>
      <w:color w:val="000000"/>
      <w:sz w:val="20"/>
      <w:szCs w:val="20"/>
      <w:u w:val="none"/>
    </w:rPr>
  </w:style>
  <w:style w:type="character" w:customStyle="1" w:styleId="288">
    <w:name w:val="Char Char312"/>
    <w:qFormat/>
    <w:uiPriority w:val="0"/>
    <w:rPr>
      <w:rFonts w:ascii="Times New Roman" w:hAnsi="Times New Roman" w:eastAsia="宋体" w:cs="Times New Roman"/>
      <w:b/>
      <w:kern w:val="2"/>
      <w:sz w:val="32"/>
      <w:szCs w:val="24"/>
      <w:lang w:val="en-US" w:eastAsia="zh-CN" w:bidi="ar-SA"/>
    </w:rPr>
  </w:style>
  <w:style w:type="character" w:customStyle="1" w:styleId="289">
    <w:name w:val="t21"/>
    <w:qFormat/>
    <w:uiPriority w:val="0"/>
    <w:rPr>
      <w:rFonts w:ascii="仿宋_GB2312" w:eastAsia="微软雅黑"/>
      <w:b/>
      <w:kern w:val="2"/>
      <w:sz w:val="23"/>
      <w:szCs w:val="23"/>
      <w:lang w:val="en-US" w:eastAsia="zh-CN" w:bidi="ar-SA"/>
    </w:rPr>
  </w:style>
  <w:style w:type="character" w:customStyle="1" w:styleId="290">
    <w:name w:val="样式8 Char"/>
    <w:qFormat/>
    <w:uiPriority w:val="0"/>
    <w:rPr>
      <w:rFonts w:ascii="仿宋_GB2312" w:hAnsi="宋体" w:eastAsia="仿宋_GB2312"/>
      <w:b/>
      <w:bCs/>
      <w:kern w:val="2"/>
      <w:sz w:val="24"/>
      <w:szCs w:val="24"/>
    </w:rPr>
  </w:style>
  <w:style w:type="character" w:customStyle="1" w:styleId="291">
    <w:name w:val="表格 Char Char"/>
    <w:qFormat/>
    <w:uiPriority w:val="0"/>
    <w:rPr>
      <w:rFonts w:ascii="宋体" w:hAnsi="宋体" w:eastAsia="宋体"/>
      <w:lang w:bidi="ar-SA"/>
    </w:rPr>
  </w:style>
  <w:style w:type="character" w:customStyle="1" w:styleId="292">
    <w:name w:val="正文文本 字符1"/>
    <w:qFormat/>
    <w:uiPriority w:val="0"/>
    <w:rPr>
      <w:rFonts w:ascii="Calibri" w:hAnsi="Calibri" w:eastAsia="黑体" w:cs="Arial"/>
      <w:snapToGrid w:val="0"/>
      <w:kern w:val="2"/>
      <w:sz w:val="28"/>
      <w:szCs w:val="21"/>
    </w:rPr>
  </w:style>
  <w:style w:type="character" w:customStyle="1" w:styleId="293">
    <w:name w:val="标题 5 字符"/>
    <w:link w:val="7"/>
    <w:qFormat/>
    <w:uiPriority w:val="9"/>
    <w:rPr>
      <w:b/>
      <w:bCs/>
      <w:kern w:val="2"/>
      <w:sz w:val="28"/>
      <w:szCs w:val="28"/>
    </w:rPr>
  </w:style>
  <w:style w:type="character" w:customStyle="1" w:styleId="294">
    <w:name w:val="标题 6 Char1"/>
    <w:qFormat/>
    <w:uiPriority w:val="0"/>
    <w:rPr>
      <w:rFonts w:ascii="Arial" w:hAnsi="Arial" w:eastAsia="黑体" w:cs="Times New Roman"/>
      <w:b/>
      <w:sz w:val="24"/>
      <w:szCs w:val="20"/>
      <w:lang w:bidi="ar-SA"/>
    </w:rPr>
  </w:style>
  <w:style w:type="character" w:customStyle="1" w:styleId="295">
    <w:name w:val="带编号样式 Char"/>
    <w:qFormat/>
    <w:uiPriority w:val="0"/>
    <w:rPr>
      <w:rFonts w:ascii="仿宋_GB2312" w:eastAsia="仿宋_GB2312"/>
      <w:color w:val="000000"/>
      <w:sz w:val="24"/>
      <w:lang w:bidi="ar-SA"/>
    </w:rPr>
  </w:style>
  <w:style w:type="character" w:customStyle="1" w:styleId="296">
    <w:name w:val="unnamed31"/>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qFormat/>
    <w:uiPriority w:val="0"/>
    <w:rPr>
      <w:rFonts w:ascii="宋体" w:eastAsia="宋体"/>
      <w:kern w:val="2"/>
      <w:sz w:val="24"/>
      <w:szCs w:val="24"/>
      <w:lang w:val="zh-CN" w:bidi="ar-SA"/>
    </w:rPr>
  </w:style>
  <w:style w:type="character" w:customStyle="1" w:styleId="298">
    <w:name w:val="称呼 字符"/>
    <w:link w:val="20"/>
    <w:qFormat/>
    <w:uiPriority w:val="0"/>
    <w:rPr>
      <w:rFonts w:ascii="仿宋_GB2312" w:eastAsia="仿宋_GB2312"/>
      <w:kern w:val="2"/>
      <w:sz w:val="28"/>
    </w:rPr>
  </w:style>
  <w:style w:type="character" w:customStyle="1" w:styleId="299">
    <w:name w:val="文本正文 Char Char"/>
    <w:qFormat/>
    <w:locked/>
    <w:uiPriority w:val="0"/>
    <w:rPr>
      <w:sz w:val="24"/>
      <w:lang w:bidi="ar-SA"/>
    </w:rPr>
  </w:style>
  <w:style w:type="character" w:customStyle="1" w:styleId="300">
    <w:name w:val="正文缩进 字符"/>
    <w:qFormat/>
    <w:uiPriority w:val="0"/>
    <w:rPr>
      <w:rFonts w:ascii="宋体" w:eastAsia="宋体"/>
      <w:snapToGrid w:val="0"/>
      <w:color w:val="000000"/>
      <w:kern w:val="28"/>
      <w:sz w:val="28"/>
      <w:lang w:val="en-US" w:eastAsia="zh-CN" w:bidi="ar-SA"/>
    </w:rPr>
  </w:style>
  <w:style w:type="character" w:customStyle="1" w:styleId="301">
    <w:name w:val="HTML 预设格式 字符"/>
    <w:link w:val="56"/>
    <w:qFormat/>
    <w:uiPriority w:val="0"/>
    <w:rPr>
      <w:rFonts w:ascii="黑体" w:hAnsi="Courier New" w:eastAsia="黑体"/>
    </w:rPr>
  </w:style>
  <w:style w:type="character" w:customStyle="1" w:styleId="302">
    <w:name w:val="正文文本 2 字符1"/>
    <w:link w:val="55"/>
    <w:qFormat/>
    <w:uiPriority w:val="0"/>
    <w:rPr>
      <w:kern w:val="2"/>
      <w:sz w:val="21"/>
      <w:szCs w:val="24"/>
    </w:rPr>
  </w:style>
  <w:style w:type="character" w:customStyle="1" w:styleId="303">
    <w:name w:val="样式 样式 标题 4h4H4Fab-4T5Ref Heading 1rh1Heading sqlsect 1.2.3.... +... Char"/>
    <w:link w:val="304"/>
    <w:qFormat/>
    <w:uiPriority w:val="0"/>
    <w:rPr>
      <w:rFonts w:ascii="微软雅黑" w:hAnsi="微软雅黑" w:eastAsia="微软雅黑"/>
      <w:b/>
      <w:bCs/>
      <w:kern w:val="2"/>
      <w:sz w:val="24"/>
      <w:szCs w:val="28"/>
    </w:rPr>
  </w:style>
  <w:style w:type="paragraph" w:customStyle="1" w:styleId="304">
    <w:name w:val="样式 样式 标题 4h4H4Fab-4T5Ref Heading 1rh1Heading sqlsect 1.2.3.... +..."/>
    <w:basedOn w:val="305"/>
    <w:link w:val="303"/>
    <w:qFormat/>
    <w:uiPriority w:val="0"/>
    <w:pPr>
      <w:tabs>
        <w:tab w:val="left" w:pos="2356"/>
      </w:tabs>
    </w:pPr>
  </w:style>
  <w:style w:type="paragraph" w:customStyle="1" w:styleId="305">
    <w:name w:val="样式 标题 4h4H4Fab-4T5Ref Heading 1rh1Heading sqlsect 1.2.3...."/>
    <w:basedOn w:val="6"/>
    <w:link w:val="413"/>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6">
    <w:name w:val="正文非缩进 Char"/>
    <w:qFormat/>
    <w:uiPriority w:val="0"/>
    <w:rPr>
      <w:rFonts w:ascii="宋体" w:eastAsia="宋体"/>
      <w:snapToGrid w:val="0"/>
      <w:color w:val="000000"/>
      <w:kern w:val="28"/>
      <w:sz w:val="28"/>
      <w:lang w:val="en-US" w:eastAsia="zh-CN" w:bidi="ar-SA"/>
    </w:rPr>
  </w:style>
  <w:style w:type="character" w:customStyle="1" w:styleId="307">
    <w:name w:val="标题 7 字符"/>
    <w:link w:val="9"/>
    <w:qFormat/>
    <w:uiPriority w:val="0"/>
    <w:rPr>
      <w:b/>
      <w:bCs/>
      <w:kern w:val="2"/>
      <w:sz w:val="24"/>
      <w:szCs w:val="24"/>
    </w:rPr>
  </w:style>
  <w:style w:type="character" w:customStyle="1" w:styleId="308">
    <w:name w:val="正文文本缩进 2 字符"/>
    <w:link w:val="36"/>
    <w:qFormat/>
    <w:uiPriority w:val="0"/>
    <w:rPr>
      <w:rFonts w:ascii="宋体"/>
      <w:sz w:val="28"/>
    </w:rPr>
  </w:style>
  <w:style w:type="character" w:customStyle="1" w:styleId="309">
    <w:name w:val="Char Char5"/>
    <w:qFormat/>
    <w:uiPriority w:val="0"/>
    <w:rPr>
      <w:rFonts w:ascii="宋体" w:hAnsi="Courier New" w:eastAsia="宋体"/>
      <w:kern w:val="2"/>
      <w:sz w:val="21"/>
      <w:lang w:val="en-US" w:eastAsia="zh-CN"/>
    </w:rPr>
  </w:style>
  <w:style w:type="character" w:customStyle="1" w:styleId="310">
    <w:name w:val="脚注文本 字符"/>
    <w:link w:val="49"/>
    <w:qFormat/>
    <w:uiPriority w:val="0"/>
    <w:rPr>
      <w:color w:val="0000FF"/>
      <w:sz w:val="21"/>
    </w:rPr>
  </w:style>
  <w:style w:type="character" w:customStyle="1" w:styleId="311">
    <w:name w:val="称呼 Char1"/>
    <w:qFormat/>
    <w:uiPriority w:val="0"/>
    <w:rPr>
      <w:rFonts w:ascii="Times New Roman" w:hAnsi="Times New Roman" w:eastAsia="宋体" w:cs="Times New Roman"/>
      <w:szCs w:val="24"/>
    </w:rPr>
  </w:style>
  <w:style w:type="character" w:customStyle="1" w:styleId="312">
    <w:name w:val="正文1 Char"/>
    <w:qFormat/>
    <w:uiPriority w:val="0"/>
    <w:rPr>
      <w:rFonts w:ascii="宋体" w:eastAsia="宋体"/>
      <w:snapToGrid w:val="0"/>
      <w:color w:val="000000"/>
      <w:kern w:val="28"/>
      <w:sz w:val="28"/>
      <w:lang w:val="en-US" w:eastAsia="zh-CN" w:bidi="ar-SA"/>
    </w:rPr>
  </w:style>
  <w:style w:type="character" w:customStyle="1" w:styleId="313">
    <w:name w:val="正文缩进 Char1"/>
    <w:qFormat/>
    <w:uiPriority w:val="0"/>
    <w:rPr>
      <w:rFonts w:ascii="宋体" w:eastAsia="宋体"/>
      <w:snapToGrid w:val="0"/>
      <w:color w:val="000000"/>
      <w:kern w:val="28"/>
      <w:sz w:val="28"/>
      <w:lang w:val="en-US" w:eastAsia="zh-CN" w:bidi="ar-SA"/>
    </w:rPr>
  </w:style>
  <w:style w:type="character" w:customStyle="1" w:styleId="314">
    <w:name w:val="font21"/>
    <w:qFormat/>
    <w:uiPriority w:val="0"/>
    <w:rPr>
      <w:rFonts w:hint="eastAsia" w:ascii="宋体" w:hAnsi="宋体" w:eastAsia="宋体"/>
      <w:kern w:val="2"/>
      <w:sz w:val="28"/>
      <w:szCs w:val="28"/>
      <w:lang w:val="en-US" w:eastAsia="zh-CN" w:bidi="ar-SA"/>
    </w:rPr>
  </w:style>
  <w:style w:type="character" w:customStyle="1" w:styleId="315">
    <w:name w:val="Char Char26"/>
    <w:qFormat/>
    <w:uiPriority w:val="6"/>
    <w:rPr>
      <w:kern w:val="1"/>
      <w:sz w:val="21"/>
      <w:szCs w:val="24"/>
    </w:rPr>
  </w:style>
  <w:style w:type="character" w:customStyle="1" w:styleId="316">
    <w:name w:val="Item List Char"/>
    <w:link w:val="317"/>
    <w:qFormat/>
    <w:uiPriority w:val="0"/>
    <w:rPr>
      <w:rFonts w:ascii="Arial"/>
      <w:bCs/>
      <w:sz w:val="21"/>
      <w:szCs w:val="21"/>
      <w:lang w:val="en-US" w:eastAsia="zh-CN" w:bidi="ar-SA"/>
    </w:rPr>
  </w:style>
  <w:style w:type="paragraph" w:customStyle="1" w:styleId="317">
    <w:name w:val="Item List"/>
    <w:link w:val="316"/>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8">
    <w:name w:val="批注框文本 Char1"/>
    <w:qFormat/>
    <w:uiPriority w:val="0"/>
    <w:rPr>
      <w:rFonts w:ascii="Times New Roman" w:hAnsi="Times New Roman" w:eastAsia="宋体" w:cs="Times New Roman"/>
      <w:sz w:val="18"/>
      <w:szCs w:val="18"/>
    </w:rPr>
  </w:style>
  <w:style w:type="character" w:customStyle="1" w:styleId="319">
    <w:name w:val="纯文本 Char1"/>
    <w:link w:val="320"/>
    <w:qFormat/>
    <w:uiPriority w:val="0"/>
    <w:rPr>
      <w:rFonts w:ascii="宋体" w:hAnsi="Courier New"/>
    </w:rPr>
  </w:style>
  <w:style w:type="paragraph" w:customStyle="1" w:styleId="320">
    <w:name w:val="纯文本1"/>
    <w:basedOn w:val="1"/>
    <w:link w:val="319"/>
    <w:qFormat/>
    <w:uiPriority w:val="0"/>
    <w:pPr>
      <w:adjustRightInd/>
    </w:pPr>
    <w:rPr>
      <w:rFonts w:ascii="宋体" w:hAnsi="Courier New"/>
      <w:kern w:val="0"/>
      <w:sz w:val="20"/>
      <w:szCs w:val="20"/>
    </w:rPr>
  </w:style>
  <w:style w:type="character" w:customStyle="1" w:styleId="321">
    <w:name w:val="正文文本首行缩进 字符"/>
    <w:link w:val="60"/>
    <w:qFormat/>
    <w:uiPriority w:val="0"/>
    <w:rPr>
      <w:rFonts w:ascii="宋体"/>
      <w:kern w:val="2"/>
      <w:sz w:val="24"/>
      <w:lang w:val="zh-CN"/>
    </w:rPr>
  </w:style>
  <w:style w:type="character" w:customStyle="1" w:styleId="322">
    <w:name w:val="h3 Char"/>
    <w:qFormat/>
    <w:uiPriority w:val="0"/>
    <w:rPr>
      <w:rFonts w:eastAsia="宋体"/>
      <w:b/>
      <w:kern w:val="2"/>
      <w:sz w:val="32"/>
      <w:lang w:val="en-US" w:eastAsia="zh-CN" w:bidi="ar-SA"/>
    </w:rPr>
  </w:style>
  <w:style w:type="character" w:customStyle="1" w:styleId="323">
    <w:name w:val="dandyren_title1"/>
    <w:qFormat/>
    <w:uiPriority w:val="0"/>
    <w:rPr>
      <w:b/>
      <w:bCs/>
      <w:color w:val="FF6633"/>
      <w:sz w:val="18"/>
      <w:szCs w:val="18"/>
    </w:rPr>
  </w:style>
  <w:style w:type="character" w:customStyle="1" w:styleId="324">
    <w:name w:val="Char Char31"/>
    <w:qFormat/>
    <w:uiPriority w:val="6"/>
    <w:rPr>
      <w:rFonts w:ascii="Arial" w:hAnsi="Arial" w:eastAsia="黑体"/>
      <w:kern w:val="1"/>
      <w:sz w:val="24"/>
      <w:szCs w:val="24"/>
    </w:rPr>
  </w:style>
  <w:style w:type="character" w:customStyle="1" w:styleId="325">
    <w:name w:val="h Char1"/>
    <w:qFormat/>
    <w:uiPriority w:val="0"/>
    <w:rPr>
      <w:sz w:val="18"/>
      <w:szCs w:val="18"/>
    </w:rPr>
  </w:style>
  <w:style w:type="character" w:customStyle="1" w:styleId="326">
    <w:name w:val="solutionfonts"/>
    <w:qFormat/>
    <w:uiPriority w:val="0"/>
  </w:style>
  <w:style w:type="character" w:customStyle="1" w:styleId="327">
    <w:name w:val="标题 4 字符1"/>
    <w:link w:val="6"/>
    <w:qFormat/>
    <w:uiPriority w:val="9"/>
    <w:rPr>
      <w:rFonts w:ascii="Arial" w:hAnsi="Arial" w:eastAsia="黑体"/>
      <w:b/>
      <w:bCs/>
      <w:kern w:val="2"/>
      <w:sz w:val="28"/>
      <w:szCs w:val="28"/>
      <w:lang w:val="zh-CN"/>
    </w:rPr>
  </w:style>
  <w:style w:type="character" w:customStyle="1" w:styleId="328">
    <w:name w:val="首行缩进 Char"/>
    <w:qFormat/>
    <w:uiPriority w:val="0"/>
    <w:rPr>
      <w:rFonts w:ascii="宋体" w:eastAsia="宋体"/>
      <w:kern w:val="2"/>
      <w:sz w:val="24"/>
      <w:lang w:val="en-US" w:eastAsia="zh-CN" w:bidi="ar-SA"/>
    </w:rPr>
  </w:style>
  <w:style w:type="character" w:customStyle="1" w:styleId="329">
    <w:name w:val="Char Char52"/>
    <w:qFormat/>
    <w:uiPriority w:val="0"/>
    <w:rPr>
      <w:rFonts w:ascii="宋体" w:hAnsi="Courier New" w:eastAsia="宋体"/>
      <w:kern w:val="2"/>
      <w:sz w:val="21"/>
      <w:lang w:val="en-US" w:eastAsia="zh-CN"/>
    </w:rPr>
  </w:style>
  <w:style w:type="character" w:customStyle="1" w:styleId="330">
    <w:name w:val="正文文本 3 字符"/>
    <w:link w:val="21"/>
    <w:qFormat/>
    <w:uiPriority w:val="0"/>
    <w:rPr>
      <w:kern w:val="2"/>
      <w:sz w:val="21"/>
    </w:rPr>
  </w:style>
  <w:style w:type="character" w:customStyle="1" w:styleId="331">
    <w:name w:val="font31"/>
    <w:qFormat/>
    <w:uiPriority w:val="0"/>
    <w:rPr>
      <w:rFonts w:hint="eastAsia" w:ascii="仿宋" w:hAnsi="仿宋" w:eastAsia="仿宋" w:cs="仿宋"/>
      <w:color w:val="000000"/>
      <w:sz w:val="20"/>
      <w:szCs w:val="20"/>
      <w:u w:val="none"/>
    </w:rPr>
  </w:style>
  <w:style w:type="character" w:customStyle="1" w:styleId="332">
    <w:name w:val="正文说明 Char"/>
    <w:link w:val="333"/>
    <w:qFormat/>
    <w:uiPriority w:val="0"/>
    <w:rPr>
      <w:sz w:val="24"/>
      <w:szCs w:val="24"/>
    </w:rPr>
  </w:style>
  <w:style w:type="paragraph" w:customStyle="1" w:styleId="333">
    <w:name w:val="正文说明"/>
    <w:basedOn w:val="1"/>
    <w:link w:val="332"/>
    <w:qFormat/>
    <w:uiPriority w:val="0"/>
    <w:pPr>
      <w:adjustRightInd/>
      <w:spacing w:line="360" w:lineRule="auto"/>
    </w:pPr>
    <w:rPr>
      <w:kern w:val="0"/>
      <w:sz w:val="24"/>
    </w:rPr>
  </w:style>
  <w:style w:type="character" w:customStyle="1" w:styleId="334">
    <w:name w:val="脚注文本 Char1"/>
    <w:qFormat/>
    <w:uiPriority w:val="0"/>
    <w:rPr>
      <w:rFonts w:ascii="Times New Roman" w:hAnsi="Times New Roman" w:eastAsia="宋体" w:cs="Times New Roman"/>
      <w:sz w:val="18"/>
      <w:szCs w:val="18"/>
    </w:rPr>
  </w:style>
  <w:style w:type="character" w:customStyle="1" w:styleId="335">
    <w:name w:val="Char Char1211"/>
    <w:qFormat/>
    <w:uiPriority w:val="0"/>
    <w:rPr>
      <w:rFonts w:ascii="仿宋_GB2312" w:eastAsia="仿宋_GB2312"/>
      <w:b/>
      <w:bCs/>
      <w:kern w:val="2"/>
      <w:sz w:val="24"/>
      <w:szCs w:val="24"/>
      <w:lang w:val="zh-CN" w:eastAsia="zh-CN" w:bidi="ar-SA"/>
    </w:rPr>
  </w:style>
  <w:style w:type="character" w:customStyle="1" w:styleId="336">
    <w:name w:val="标题 Char"/>
    <w:qFormat/>
    <w:uiPriority w:val="0"/>
    <w:rPr>
      <w:rFonts w:eastAsia="宋体"/>
      <w:b/>
      <w:sz w:val="24"/>
      <w:lang w:val="en-GB" w:eastAsia="zh-CN" w:bidi="ar-SA"/>
    </w:rPr>
  </w:style>
  <w:style w:type="character" w:customStyle="1" w:styleId="337">
    <w:name w:val="Char Char35"/>
    <w:qFormat/>
    <w:uiPriority w:val="6"/>
    <w:rPr>
      <w:rFonts w:ascii="Arial" w:hAnsi="Arial" w:eastAsia="黑体"/>
      <w:b/>
      <w:kern w:val="1"/>
      <w:sz w:val="28"/>
      <w:szCs w:val="28"/>
      <w:lang w:val="zh-CN"/>
    </w:rPr>
  </w:style>
  <w:style w:type="character" w:customStyle="1" w:styleId="338">
    <w:name w:val="纯文本 Char Char Char"/>
    <w:qFormat/>
    <w:uiPriority w:val="0"/>
    <w:rPr>
      <w:rFonts w:ascii="宋体" w:hAnsi="Courier New" w:eastAsia="宋体"/>
      <w:kern w:val="2"/>
      <w:sz w:val="21"/>
      <w:lang w:val="en-US" w:eastAsia="zh-CN" w:bidi="ar-SA"/>
    </w:rPr>
  </w:style>
  <w:style w:type="character" w:customStyle="1" w:styleId="339">
    <w:name w:val="Table Text Char"/>
    <w:link w:val="340"/>
    <w:qFormat/>
    <w:uiPriority w:val="0"/>
    <w:rPr>
      <w:sz w:val="24"/>
      <w:szCs w:val="24"/>
    </w:rPr>
  </w:style>
  <w:style w:type="paragraph" w:customStyle="1" w:styleId="340">
    <w:name w:val="Table Text"/>
    <w:basedOn w:val="1"/>
    <w:link w:val="339"/>
    <w:qFormat/>
    <w:uiPriority w:val="0"/>
    <w:pPr>
      <w:widowControl/>
      <w:spacing w:before="60" w:after="60"/>
      <w:jc w:val="left"/>
    </w:pPr>
    <w:rPr>
      <w:kern w:val="0"/>
      <w:sz w:val="24"/>
    </w:rPr>
  </w:style>
  <w:style w:type="character" w:customStyle="1" w:styleId="341">
    <w:name w:val="正文1 Char1"/>
    <w:qFormat/>
    <w:uiPriority w:val="0"/>
    <w:rPr>
      <w:rFonts w:ascii="仿宋_GB2312" w:hAnsi="Courier New" w:eastAsia="仿宋_GB2312"/>
      <w:kern w:val="28"/>
      <w:sz w:val="24"/>
      <w:szCs w:val="24"/>
      <w:lang w:val="en-US" w:eastAsia="zh-CN"/>
    </w:rPr>
  </w:style>
  <w:style w:type="character" w:customStyle="1" w:styleId="342">
    <w:name w:val="页脚 Char1"/>
    <w:qFormat/>
    <w:uiPriority w:val="0"/>
    <w:rPr>
      <w:rFonts w:eastAsia="宋体"/>
      <w:kern w:val="2"/>
      <w:sz w:val="18"/>
      <w:szCs w:val="18"/>
      <w:lang w:val="en-US" w:eastAsia="zh-CN" w:bidi="ar-SA"/>
    </w:rPr>
  </w:style>
  <w:style w:type="character" w:customStyle="1" w:styleId="343">
    <w:name w:val="Bold"/>
    <w:qFormat/>
    <w:uiPriority w:val="0"/>
    <w:rPr>
      <w:rFonts w:ascii="Arial" w:hAnsi="Arial" w:eastAsia="黑体" w:cs="Times New Roman"/>
      <w:b/>
      <w:kern w:val="2"/>
      <w:sz w:val="32"/>
      <w:szCs w:val="32"/>
      <w:lang w:val="en-US" w:eastAsia="zh-CN" w:bidi="ar-SA"/>
    </w:rPr>
  </w:style>
  <w:style w:type="character" w:customStyle="1" w:styleId="344">
    <w:name w:val="批注文字 字符1"/>
    <w:link w:val="19"/>
    <w:qFormat/>
    <w:uiPriority w:val="99"/>
    <w:rPr>
      <w:kern w:val="2"/>
      <w:sz w:val="21"/>
      <w:szCs w:val="24"/>
    </w:rPr>
  </w:style>
  <w:style w:type="character" w:customStyle="1" w:styleId="345">
    <w:name w:val="签名 字符"/>
    <w:link w:val="41"/>
    <w:qFormat/>
    <w:uiPriority w:val="0"/>
    <w:rPr>
      <w:rFonts w:eastAsia="仿宋_GB2312"/>
      <w:sz w:val="24"/>
    </w:rPr>
  </w:style>
  <w:style w:type="character" w:customStyle="1" w:styleId="346">
    <w:name w:val="hui3"/>
    <w:qFormat/>
    <w:uiPriority w:val="0"/>
    <w:rPr>
      <w:color w:val="333333"/>
    </w:rPr>
  </w:style>
  <w:style w:type="character" w:customStyle="1" w:styleId="347">
    <w:name w:val="Char Char17"/>
    <w:qFormat/>
    <w:uiPriority w:val="6"/>
    <w:rPr>
      <w:rFonts w:eastAsia="仿宋_GB2312"/>
      <w:sz w:val="24"/>
    </w:rPr>
  </w:style>
  <w:style w:type="character" w:customStyle="1" w:styleId="348">
    <w:name w:val="标题 4 字符"/>
    <w:qFormat/>
    <w:uiPriority w:val="9"/>
    <w:rPr>
      <w:rFonts w:ascii="等线 Light" w:hAnsi="等线 Light" w:eastAsia="等线 Light" w:cs="Times New Roman"/>
      <w:b/>
      <w:bCs/>
      <w:snapToGrid w:val="0"/>
      <w:kern w:val="0"/>
      <w:sz w:val="28"/>
      <w:szCs w:val="28"/>
    </w:rPr>
  </w:style>
  <w:style w:type="character" w:customStyle="1" w:styleId="349">
    <w:name w:val="Char Char37"/>
    <w:qFormat/>
    <w:uiPriority w:val="6"/>
    <w:rPr>
      <w:b/>
      <w:kern w:val="1"/>
      <w:sz w:val="44"/>
      <w:szCs w:val="44"/>
    </w:rPr>
  </w:style>
  <w:style w:type="character" w:customStyle="1" w:styleId="350">
    <w:name w:val="列出段落 Char"/>
    <w:qFormat/>
    <w:uiPriority w:val="0"/>
    <w:rPr>
      <w:rFonts w:eastAsia="楷体_GB2312" w:cs="Lucida Sans"/>
      <w:kern w:val="2"/>
      <w:sz w:val="24"/>
      <w:szCs w:val="24"/>
      <w:lang w:val="en-US" w:eastAsia="zh-CN" w:bidi="ar-SA"/>
    </w:rPr>
  </w:style>
  <w:style w:type="character" w:customStyle="1" w:styleId="351">
    <w:name w:val="正文文本缩进 3 Char1"/>
    <w:semiHidden/>
    <w:qFormat/>
    <w:uiPriority w:val="99"/>
    <w:rPr>
      <w:rFonts w:ascii="Times New Roman" w:hAnsi="Times New Roman" w:eastAsia="宋体" w:cs="Times New Roman"/>
      <w:sz w:val="16"/>
      <w:szCs w:val="16"/>
    </w:rPr>
  </w:style>
  <w:style w:type="character" w:customStyle="1" w:styleId="352">
    <w:name w:val="公文正文 Char Char"/>
    <w:link w:val="353"/>
    <w:qFormat/>
    <w:uiPriority w:val="0"/>
    <w:rPr>
      <w:rFonts w:ascii="仿宋_GB2312" w:eastAsia="仿宋_GB2312"/>
      <w:kern w:val="2"/>
      <w:sz w:val="24"/>
      <w:szCs w:val="24"/>
    </w:rPr>
  </w:style>
  <w:style w:type="paragraph" w:customStyle="1" w:styleId="353">
    <w:name w:val="公文正文"/>
    <w:basedOn w:val="1"/>
    <w:link w:val="352"/>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qFormat/>
    <w:uiPriority w:val="0"/>
    <w:rPr>
      <w:rFonts w:eastAsia="宋体"/>
      <w:sz w:val="24"/>
      <w:szCs w:val="24"/>
      <w:lang w:val="en-US" w:eastAsia="zh-CN" w:bidi="ar-SA"/>
    </w:rPr>
  </w:style>
  <w:style w:type="character" w:customStyle="1" w:styleId="355">
    <w:name w:val="标题 1 Char Char"/>
    <w:qFormat/>
    <w:uiPriority w:val="0"/>
    <w:rPr>
      <w:rFonts w:hint="eastAsia" w:ascii="宋体" w:hAnsi="宋体" w:eastAsia="宋体"/>
      <w:b/>
      <w:spacing w:val="-2"/>
      <w:sz w:val="24"/>
      <w:lang w:val="en-US" w:eastAsia="zh-CN" w:bidi="ar-SA"/>
    </w:rPr>
  </w:style>
  <w:style w:type="character" w:customStyle="1" w:styleId="356">
    <w:name w:val="正文（缩进2汉字） Char"/>
    <w:link w:val="357"/>
    <w:qFormat/>
    <w:uiPriority w:val="0"/>
    <w:rPr>
      <w:rFonts w:ascii="宋体"/>
    </w:rPr>
  </w:style>
  <w:style w:type="paragraph" w:customStyle="1" w:styleId="357">
    <w:name w:val="正文（缩进2汉字）"/>
    <w:basedOn w:val="1"/>
    <w:link w:val="356"/>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字符"/>
    <w:link w:val="10"/>
    <w:qFormat/>
    <w:uiPriority w:val="0"/>
    <w:rPr>
      <w:rFonts w:ascii="Arial" w:hAnsi="Arial" w:eastAsia="黑体"/>
      <w:kern w:val="2"/>
      <w:sz w:val="24"/>
      <w:szCs w:val="24"/>
    </w:rPr>
  </w:style>
  <w:style w:type="character" w:customStyle="1" w:styleId="359">
    <w:name w:val="标书表格字体格式 Char"/>
    <w:qFormat/>
    <w:uiPriority w:val="0"/>
    <w:rPr>
      <w:kern w:val="2"/>
      <w:sz w:val="21"/>
      <w:szCs w:val="24"/>
      <w:lang w:bidi="ar-SA"/>
    </w:rPr>
  </w:style>
  <w:style w:type="character" w:customStyle="1" w:styleId="360">
    <w:name w:val="tw4winError"/>
    <w:qFormat/>
    <w:uiPriority w:val="0"/>
    <w:rPr>
      <w:rFonts w:ascii="Courier New" w:hAnsi="Courier New" w:cs="Courier New"/>
      <w:color w:val="00FF00"/>
      <w:sz w:val="40"/>
      <w:szCs w:val="40"/>
    </w:rPr>
  </w:style>
  <w:style w:type="character" w:customStyle="1" w:styleId="361">
    <w:name w:val="Body Text(ch) Char Char"/>
    <w:qFormat/>
    <w:uiPriority w:val="0"/>
    <w:rPr>
      <w:rFonts w:ascii="宋体"/>
      <w:kern w:val="2"/>
      <w:sz w:val="24"/>
      <w:szCs w:val="21"/>
      <w:lang w:val="zh-CN"/>
    </w:rPr>
  </w:style>
  <w:style w:type="character" w:customStyle="1" w:styleId="362">
    <w:name w:val="正文首行缩进两字 Char"/>
    <w:qFormat/>
    <w:uiPriority w:val="0"/>
    <w:rPr>
      <w:sz w:val="24"/>
      <w:szCs w:val="24"/>
      <w:lang w:val="en-US" w:eastAsia="zh-CN" w:bidi="ar-SA"/>
    </w:rPr>
  </w:style>
  <w:style w:type="character" w:customStyle="1" w:styleId="363">
    <w:name w:val="正文文本 Char"/>
    <w:qFormat/>
    <w:uiPriority w:val="0"/>
    <w:rPr>
      <w:rFonts w:eastAsia="宋体"/>
      <w:kern w:val="2"/>
      <w:sz w:val="24"/>
      <w:szCs w:val="24"/>
      <w:lang w:val="en-US" w:eastAsia="zh-CN" w:bidi="ar-SA"/>
    </w:rPr>
  </w:style>
  <w:style w:type="character" w:customStyle="1" w:styleId="364">
    <w:name w:val="文档结构图 字符1"/>
    <w:qFormat/>
    <w:uiPriority w:val="0"/>
    <w:rPr>
      <w:rFonts w:ascii="宋体" w:hAnsi="Calibri" w:eastAsia="黑体" w:cs="Arial"/>
      <w:snapToGrid w:val="0"/>
      <w:kern w:val="2"/>
      <w:sz w:val="18"/>
      <w:szCs w:val="18"/>
    </w:rPr>
  </w:style>
  <w:style w:type="character" w:customStyle="1" w:styleId="365">
    <w:name w:val="content"/>
    <w:qFormat/>
    <w:uiPriority w:val="0"/>
  </w:style>
  <w:style w:type="character" w:customStyle="1" w:styleId="366">
    <w:name w:val="tw4winPopup"/>
    <w:qFormat/>
    <w:uiPriority w:val="0"/>
    <w:rPr>
      <w:rFonts w:ascii="Courier New" w:hAnsi="Courier New" w:cs="Courier New"/>
      <w:color w:val="008000"/>
      <w:lang w:val="en-US" w:eastAsia="zh-CN"/>
    </w:rPr>
  </w:style>
  <w:style w:type="character" w:customStyle="1" w:styleId="367">
    <w:name w:val="param-name"/>
    <w:qFormat/>
    <w:uiPriority w:val="99"/>
    <w:rPr>
      <w:rFonts w:ascii="Arial" w:hAnsi="Arial" w:eastAsia="黑体" w:cs="Arial"/>
      <w:snapToGrid w:val="0"/>
      <w:kern w:val="0"/>
      <w:szCs w:val="21"/>
    </w:rPr>
  </w:style>
  <w:style w:type="character" w:customStyle="1" w:styleId="368">
    <w:name w:val="标准正文格式 Char"/>
    <w:qFormat/>
    <w:uiPriority w:val="0"/>
    <w:rPr>
      <w:rFonts w:ascii="宋体" w:eastAsia="仿宋_GB2312" w:cs="宋体"/>
      <w:color w:val="000000"/>
      <w:sz w:val="24"/>
      <w:lang w:val="en-US" w:eastAsia="zh-CN" w:bidi="ar-SA"/>
    </w:rPr>
  </w:style>
  <w:style w:type="character" w:customStyle="1" w:styleId="369">
    <w:name w:val="Char Char212"/>
    <w:qFormat/>
    <w:uiPriority w:val="0"/>
    <w:rPr>
      <w:rFonts w:eastAsia="宋体"/>
      <w:b/>
      <w:bCs/>
      <w:kern w:val="2"/>
      <w:sz w:val="21"/>
      <w:szCs w:val="24"/>
      <w:lang w:val="en-US" w:eastAsia="zh-CN" w:bidi="ar-SA"/>
    </w:rPr>
  </w:style>
  <w:style w:type="character" w:customStyle="1" w:styleId="370">
    <w:name w:val="文档结构图 Char"/>
    <w:qFormat/>
    <w:uiPriority w:val="0"/>
    <w:rPr>
      <w:rFonts w:eastAsia="宋体"/>
      <w:kern w:val="2"/>
      <w:sz w:val="21"/>
      <w:szCs w:val="24"/>
      <w:lang w:val="en-US" w:eastAsia="zh-CN" w:bidi="ar-SA"/>
    </w:rPr>
  </w:style>
  <w:style w:type="character" w:customStyle="1" w:styleId="371">
    <w:name w:val="zbggmain style9"/>
    <w:qFormat/>
    <w:uiPriority w:val="0"/>
  </w:style>
  <w:style w:type="character" w:customStyle="1" w:styleId="372">
    <w:name w:val="Char Char16"/>
    <w:qFormat/>
    <w:uiPriority w:val="6"/>
    <w:rPr>
      <w:kern w:val="1"/>
      <w:sz w:val="18"/>
      <w:szCs w:val="18"/>
    </w:rPr>
  </w:style>
  <w:style w:type="character" w:customStyle="1" w:styleId="373">
    <w:name w:val="font51"/>
    <w:qFormat/>
    <w:uiPriority w:val="0"/>
    <w:rPr>
      <w:rFonts w:hint="eastAsia" w:ascii="仿宋" w:hAnsi="仿宋" w:eastAsia="仿宋" w:cs="仿宋"/>
      <w:color w:val="000000"/>
      <w:sz w:val="20"/>
      <w:szCs w:val="20"/>
      <w:u w:val="none"/>
    </w:rPr>
  </w:style>
  <w:style w:type="character" w:customStyle="1" w:styleId="374">
    <w:name w:val="Char Char82"/>
    <w:qFormat/>
    <w:uiPriority w:val="0"/>
    <w:rPr>
      <w:rFonts w:eastAsia="宋体"/>
      <w:b/>
      <w:sz w:val="24"/>
      <w:lang w:val="en-GB" w:eastAsia="zh-CN"/>
    </w:rPr>
  </w:style>
  <w:style w:type="character" w:customStyle="1" w:styleId="375">
    <w:name w:val="正文文本缩进 3 字符"/>
    <w:link w:val="52"/>
    <w:qFormat/>
    <w:uiPriority w:val="0"/>
    <w:rPr>
      <w:kern w:val="2"/>
      <w:sz w:val="24"/>
    </w:rPr>
  </w:style>
  <w:style w:type="character" w:customStyle="1" w:styleId="376">
    <w:name w:val="日期 Char1"/>
    <w:semiHidden/>
    <w:qFormat/>
    <w:uiPriority w:val="99"/>
    <w:rPr>
      <w:rFonts w:ascii="Times New Roman" w:hAnsi="Times New Roman" w:eastAsia="宋体" w:cs="Times New Roman"/>
      <w:szCs w:val="24"/>
    </w:rPr>
  </w:style>
  <w:style w:type="character" w:customStyle="1" w:styleId="377">
    <w:name w:val="页眉 字符"/>
    <w:qFormat/>
    <w:uiPriority w:val="99"/>
    <w:rPr>
      <w:kern w:val="2"/>
      <w:sz w:val="18"/>
      <w:szCs w:val="18"/>
    </w:rPr>
  </w:style>
  <w:style w:type="character" w:customStyle="1" w:styleId="378">
    <w:name w:val="Char Char33"/>
    <w:qFormat/>
    <w:uiPriority w:val="6"/>
    <w:rPr>
      <w:rFonts w:ascii="Arial" w:hAnsi="Arial" w:eastAsia="黑体"/>
      <w:b/>
      <w:kern w:val="1"/>
      <w:sz w:val="24"/>
      <w:szCs w:val="24"/>
    </w:rPr>
  </w:style>
  <w:style w:type="character" w:customStyle="1" w:styleId="379">
    <w:name w:val="b11_01b Char"/>
    <w:link w:val="380"/>
    <w:qFormat/>
    <w:uiPriority w:val="0"/>
    <w:rPr>
      <w:rFonts w:ascii="Verdana" w:hAnsi="Verdana"/>
      <w:b/>
      <w:bCs/>
      <w:color w:val="4A82CA"/>
      <w:sz w:val="17"/>
      <w:szCs w:val="17"/>
    </w:rPr>
  </w:style>
  <w:style w:type="paragraph" w:customStyle="1" w:styleId="380">
    <w:name w:val="b11_01b"/>
    <w:basedOn w:val="1"/>
    <w:next w:val="1"/>
    <w:link w:val="37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qFormat/>
    <w:uiPriority w:val="6"/>
    <w:rPr>
      <w:rFonts w:ascii="仿宋_GB2312" w:eastAsia="仿宋_GB2312"/>
      <w:b/>
      <w:bCs/>
      <w:kern w:val="2"/>
      <w:sz w:val="24"/>
      <w:szCs w:val="24"/>
      <w:lang w:val="zh-CN" w:eastAsia="zh-CN" w:bidi="ar-SA"/>
    </w:rPr>
  </w:style>
  <w:style w:type="character" w:customStyle="1" w:styleId="382">
    <w:name w:val="Footer-Even Char"/>
    <w:qFormat/>
    <w:uiPriority w:val="0"/>
    <w:rPr>
      <w:rFonts w:eastAsia="宋体"/>
      <w:kern w:val="2"/>
      <w:sz w:val="18"/>
      <w:lang w:val="en-US" w:eastAsia="zh-CN" w:bidi="ar-SA"/>
    </w:rPr>
  </w:style>
  <w:style w:type="character" w:customStyle="1" w:styleId="383">
    <w:name w:val="页脚 字符2"/>
    <w:link w:val="39"/>
    <w:qFormat/>
    <w:locked/>
    <w:uiPriority w:val="99"/>
    <w:rPr>
      <w:kern w:val="2"/>
      <w:sz w:val="18"/>
      <w:szCs w:val="18"/>
    </w:rPr>
  </w:style>
  <w:style w:type="character" w:customStyle="1" w:styleId="384">
    <w:name w:val="Char Char36"/>
    <w:qFormat/>
    <w:uiPriority w:val="6"/>
    <w:rPr>
      <w:rFonts w:ascii="仿宋_GB2312" w:hAnsi="仿宋_GB2312" w:eastAsia="仿宋_GB2312" w:cs="Arial"/>
      <w:b/>
      <w:kern w:val="1"/>
      <w:sz w:val="32"/>
      <w:szCs w:val="32"/>
      <w:lang w:val="zh-CN" w:eastAsia="zh-CN" w:bidi="ar-SA"/>
    </w:rPr>
  </w:style>
  <w:style w:type="character" w:customStyle="1" w:styleId="385">
    <w:name w:val="Char Char61"/>
    <w:qFormat/>
    <w:uiPriority w:val="6"/>
    <w:rPr>
      <w:rFonts w:eastAsia="宋体"/>
      <w:kern w:val="2"/>
      <w:sz w:val="21"/>
      <w:szCs w:val="24"/>
      <w:lang w:val="en-US" w:eastAsia="zh-CN" w:bidi="ar-SA"/>
    </w:rPr>
  </w:style>
  <w:style w:type="character" w:customStyle="1" w:styleId="386">
    <w:name w:val="正文文字缩进 2 Char Char"/>
    <w:qFormat/>
    <w:uiPriority w:val="0"/>
    <w:rPr>
      <w:rFonts w:ascii="宋体"/>
      <w:sz w:val="28"/>
    </w:rPr>
  </w:style>
  <w:style w:type="character" w:customStyle="1" w:styleId="387">
    <w:name w:val="f141"/>
    <w:qFormat/>
    <w:uiPriority w:val="0"/>
    <w:rPr>
      <w:rFonts w:ascii="Tahoma" w:hAnsi="Tahoma" w:eastAsia="宋体"/>
      <w:b/>
      <w:kern w:val="2"/>
      <w:sz w:val="21"/>
      <w:szCs w:val="21"/>
      <w:lang w:val="en-US" w:eastAsia="zh-CN" w:bidi="ar-SA"/>
    </w:rPr>
  </w:style>
  <w:style w:type="character" w:customStyle="1" w:styleId="388">
    <w:name w:val="段落 Char Char"/>
    <w:link w:val="389"/>
    <w:qFormat/>
    <w:uiPriority w:val="0"/>
    <w:rPr>
      <w:rFonts w:ascii="宋体" w:hAnsi="宋体"/>
      <w:sz w:val="24"/>
    </w:rPr>
  </w:style>
  <w:style w:type="paragraph" w:customStyle="1" w:styleId="389">
    <w:name w:val="段落"/>
    <w:basedOn w:val="1"/>
    <w:link w:val="388"/>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qFormat/>
    <w:uiPriority w:val="0"/>
    <w:rPr>
      <w:rFonts w:eastAsia="宋体"/>
      <w:b/>
      <w:bCs/>
      <w:kern w:val="2"/>
      <w:sz w:val="32"/>
      <w:szCs w:val="32"/>
      <w:lang w:val="en-US" w:eastAsia="zh-CN" w:bidi="ar-SA"/>
    </w:rPr>
  </w:style>
  <w:style w:type="character" w:customStyle="1" w:styleId="391">
    <w:name w:val="apple-converted-space"/>
    <w:qFormat/>
    <w:uiPriority w:val="0"/>
  </w:style>
  <w:style w:type="character" w:customStyle="1" w:styleId="392">
    <w:name w:val="页眉 字符2"/>
    <w:link w:val="40"/>
    <w:qFormat/>
    <w:uiPriority w:val="99"/>
    <w:rPr>
      <w:kern w:val="2"/>
      <w:sz w:val="18"/>
      <w:szCs w:val="18"/>
    </w:rPr>
  </w:style>
  <w:style w:type="character" w:customStyle="1" w:styleId="393">
    <w:name w:val="Char Char9"/>
    <w:qFormat/>
    <w:uiPriority w:val="0"/>
    <w:rPr>
      <w:rFonts w:eastAsia="宋体"/>
      <w:kern w:val="2"/>
      <w:sz w:val="18"/>
      <w:szCs w:val="18"/>
      <w:lang w:val="en-US" w:eastAsia="zh-CN" w:bidi="ar-SA"/>
    </w:rPr>
  </w:style>
  <w:style w:type="character" w:customStyle="1" w:styleId="394">
    <w:name w:val="Char Char41"/>
    <w:qFormat/>
    <w:uiPriority w:val="0"/>
    <w:rPr>
      <w:rFonts w:eastAsia="宋体"/>
      <w:b/>
      <w:sz w:val="24"/>
      <w:lang w:val="en-GB" w:eastAsia="zh-CN" w:bidi="ar-SA"/>
    </w:rPr>
  </w:style>
  <w:style w:type="character" w:customStyle="1" w:styleId="395">
    <w:name w:val="large1"/>
    <w:qFormat/>
    <w:uiPriority w:val="0"/>
    <w:rPr>
      <w:rFonts w:hint="eastAsia" w:ascii="宋体" w:hAnsi="宋体" w:eastAsia="宋体"/>
      <w:sz w:val="21"/>
      <w:szCs w:val="21"/>
    </w:rPr>
  </w:style>
  <w:style w:type="character" w:customStyle="1" w:styleId="396">
    <w:name w:val="正文段 Char"/>
    <w:link w:val="397"/>
    <w:qFormat/>
    <w:uiPriority w:val="0"/>
    <w:rPr>
      <w:sz w:val="24"/>
    </w:rPr>
  </w:style>
  <w:style w:type="paragraph" w:customStyle="1" w:styleId="397">
    <w:name w:val="正文段"/>
    <w:basedOn w:val="1"/>
    <w:link w:val="396"/>
    <w:qFormat/>
    <w:uiPriority w:val="0"/>
    <w:pPr>
      <w:widowControl/>
      <w:snapToGrid w:val="0"/>
      <w:spacing w:after="156" w:afterLines="50"/>
      <w:ind w:firstLine="200" w:firstLineChars="200"/>
    </w:pPr>
    <w:rPr>
      <w:kern w:val="0"/>
      <w:sz w:val="24"/>
      <w:szCs w:val="20"/>
    </w:rPr>
  </w:style>
  <w:style w:type="character" w:customStyle="1" w:styleId="398">
    <w:name w:val="Char Char13"/>
    <w:qFormat/>
    <w:uiPriority w:val="6"/>
    <w:rPr>
      <w:rFonts w:ascii="宋体" w:hAnsi="宋体"/>
      <w:kern w:val="1"/>
      <w:sz w:val="21"/>
      <w:szCs w:val="24"/>
    </w:rPr>
  </w:style>
  <w:style w:type="character" w:customStyle="1" w:styleId="399">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qFormat/>
    <w:uiPriority w:val="0"/>
    <w:rPr>
      <w:rFonts w:ascii="宋体" w:hAnsi="宋体"/>
      <w:kern w:val="2"/>
      <w:sz w:val="24"/>
      <w:szCs w:val="22"/>
    </w:rPr>
  </w:style>
  <w:style w:type="paragraph" w:customStyle="1" w:styleId="401">
    <w:name w:val="冯广丽"/>
    <w:basedOn w:val="1"/>
    <w:link w:val="400"/>
    <w:qFormat/>
    <w:uiPriority w:val="0"/>
    <w:pPr>
      <w:adjustRightInd/>
      <w:spacing w:line="360" w:lineRule="auto"/>
      <w:ind w:firstLine="480" w:firstLineChars="200"/>
    </w:pPr>
    <w:rPr>
      <w:rFonts w:ascii="宋体" w:hAnsi="宋体"/>
      <w:sz w:val="24"/>
      <w:szCs w:val="22"/>
    </w:rPr>
  </w:style>
  <w:style w:type="character" w:customStyle="1" w:styleId="402">
    <w:name w:val="批注文字 字符"/>
    <w:qFormat/>
    <w:uiPriority w:val="0"/>
    <w:rPr>
      <w:rFonts w:ascii="Arial" w:hAnsi="Arial" w:eastAsia="黑体" w:cs="Arial"/>
      <w:snapToGrid w:val="0"/>
      <w:kern w:val="0"/>
      <w:szCs w:val="21"/>
    </w:rPr>
  </w:style>
  <w:style w:type="character" w:customStyle="1" w:styleId="403">
    <w:name w:val="Char Char161"/>
    <w:qFormat/>
    <w:uiPriority w:val="0"/>
    <w:rPr>
      <w:rFonts w:eastAsia="宋体"/>
      <w:b/>
      <w:kern w:val="2"/>
      <w:sz w:val="32"/>
      <w:lang w:val="en-US" w:eastAsia="zh-CN"/>
    </w:rPr>
  </w:style>
  <w:style w:type="character" w:customStyle="1" w:styleId="404">
    <w:name w:val="javascript"/>
    <w:qFormat/>
    <w:uiPriority w:val="0"/>
  </w:style>
  <w:style w:type="character" w:customStyle="1" w:styleId="405">
    <w:name w:val="图名 Char"/>
    <w:qFormat/>
    <w:uiPriority w:val="0"/>
    <w:rPr>
      <w:rFonts w:ascii="Arial" w:hAnsi="Arial" w:eastAsia="黑体"/>
      <w:kern w:val="2"/>
      <w:sz w:val="24"/>
      <w:szCs w:val="24"/>
      <w:lang w:val="en-US" w:eastAsia="zh-CN" w:bidi="ar-SA"/>
    </w:rPr>
  </w:style>
  <w:style w:type="character" w:customStyle="1" w:styleId="406">
    <w:name w:val="Used by Word for text of Help footnotes Char Char"/>
    <w:qFormat/>
    <w:uiPriority w:val="0"/>
    <w:rPr>
      <w:rFonts w:ascii="Times New Roman" w:hAnsi="Times New Roman" w:eastAsia="宋体" w:cs="Times New Roman"/>
      <w:sz w:val="20"/>
      <w:szCs w:val="20"/>
    </w:rPr>
  </w:style>
  <w:style w:type="character" w:customStyle="1" w:styleId="407">
    <w:name w:val="编号，小四 Char"/>
    <w:link w:val="408"/>
    <w:qFormat/>
    <w:uiPriority w:val="0"/>
    <w:rPr>
      <w:rFonts w:ascii="Arial" w:hAnsi="Arial"/>
      <w:sz w:val="24"/>
    </w:rPr>
  </w:style>
  <w:style w:type="paragraph" w:customStyle="1" w:styleId="408">
    <w:name w:val="编号，小四"/>
    <w:basedOn w:val="1"/>
    <w:link w:val="407"/>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qFormat/>
    <w:uiPriority w:val="99"/>
    <w:rPr>
      <w:rFonts w:ascii="宋体" w:eastAsia="宋体" w:cs="宋体"/>
      <w:color w:val="000000"/>
      <w:sz w:val="14"/>
      <w:szCs w:val="14"/>
    </w:rPr>
  </w:style>
  <w:style w:type="character" w:customStyle="1" w:styleId="410">
    <w:name w:val="标题 2 Char Char"/>
    <w:qFormat/>
    <w:uiPriority w:val="0"/>
    <w:rPr>
      <w:rFonts w:ascii="楷体_GB2312" w:hAnsi="Arial" w:eastAsia="楷体_GB2312"/>
      <w:b/>
      <w:bCs/>
      <w:kern w:val="2"/>
      <w:sz w:val="24"/>
      <w:szCs w:val="32"/>
      <w:lang w:val="en-US" w:eastAsia="zh-CN" w:bidi="ar-SA"/>
    </w:rPr>
  </w:style>
  <w:style w:type="character" w:customStyle="1" w:styleId="411">
    <w:name w:val="未用 Char"/>
    <w:qFormat/>
    <w:uiPriority w:val="0"/>
    <w:rPr>
      <w:rFonts w:ascii="Arial" w:hAnsi="Arial" w:eastAsia="黑体"/>
      <w:kern w:val="2"/>
      <w:sz w:val="21"/>
      <w:szCs w:val="21"/>
      <w:lang w:val="en-US" w:eastAsia="zh-CN" w:bidi="ar-SA"/>
    </w:rPr>
  </w:style>
  <w:style w:type="character" w:customStyle="1" w:styleId="412">
    <w:name w:val="myp1111"/>
    <w:qFormat/>
    <w:uiPriority w:val="0"/>
    <w:rPr>
      <w:rFonts w:hint="default" w:ascii="ˎ̥" w:hAnsi="ˎ̥"/>
      <w:color w:val="000000"/>
      <w:sz w:val="20"/>
      <w:szCs w:val="20"/>
      <w:u w:val="none"/>
    </w:rPr>
  </w:style>
  <w:style w:type="character" w:customStyle="1" w:styleId="413">
    <w:name w:val="样式 标题 4h4H4Fab-4T5Ref Heading 1rh1Heading sqlsect 1.2.3.... Char"/>
    <w:link w:val="305"/>
    <w:qFormat/>
    <w:uiPriority w:val="0"/>
    <w:rPr>
      <w:rFonts w:ascii="微软雅黑" w:hAnsi="微软雅黑" w:eastAsia="微软雅黑"/>
      <w:b/>
      <w:bCs/>
      <w:kern w:val="2"/>
      <w:sz w:val="24"/>
      <w:szCs w:val="28"/>
    </w:rPr>
  </w:style>
  <w:style w:type="character" w:customStyle="1" w:styleId="414">
    <w:name w:val="h Char Char"/>
    <w:qFormat/>
    <w:uiPriority w:val="0"/>
    <w:rPr>
      <w:rFonts w:eastAsia="宋体"/>
      <w:kern w:val="2"/>
      <w:sz w:val="18"/>
      <w:lang w:val="en-US" w:eastAsia="zh-CN" w:bidi="ar-SA"/>
    </w:rPr>
  </w:style>
  <w:style w:type="character" w:customStyle="1" w:styleId="415">
    <w:name w:val="仿宋正文 Char"/>
    <w:link w:val="416"/>
    <w:qFormat/>
    <w:uiPriority w:val="0"/>
    <w:rPr>
      <w:rFonts w:ascii="仿宋_GB2312" w:eastAsia="仿宋_GB2312"/>
      <w:kern w:val="2"/>
      <w:sz w:val="24"/>
      <w:lang w:val="en-US" w:eastAsia="zh-CN" w:bidi="ar-SA"/>
    </w:rPr>
  </w:style>
  <w:style w:type="paragraph" w:customStyle="1" w:styleId="416">
    <w:name w:val="仿宋正文"/>
    <w:basedOn w:val="1"/>
    <w:link w:val="415"/>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qFormat/>
    <w:uiPriority w:val="0"/>
    <w:rPr>
      <w:rFonts w:ascii="宋体" w:eastAsia="宋体"/>
      <w:kern w:val="2"/>
      <w:sz w:val="24"/>
      <w:lang w:val="zh-CN" w:bidi="ar-SA"/>
    </w:rPr>
  </w:style>
  <w:style w:type="character" w:customStyle="1" w:styleId="418">
    <w:name w:val="样式 宋体"/>
    <w:qFormat/>
    <w:uiPriority w:val="0"/>
    <w:rPr>
      <w:rFonts w:ascii="宋体" w:hAnsi="宋体"/>
      <w:sz w:val="24"/>
    </w:rPr>
  </w:style>
  <w:style w:type="character" w:customStyle="1" w:styleId="419">
    <w:name w:val="tw4winJump"/>
    <w:qFormat/>
    <w:uiPriority w:val="0"/>
    <w:rPr>
      <w:rFonts w:ascii="Courier New" w:hAnsi="Courier New" w:cs="Courier New"/>
      <w:color w:val="008080"/>
      <w:lang w:val="en-US" w:eastAsia="zh-CN"/>
    </w:rPr>
  </w:style>
  <w:style w:type="character" w:customStyle="1" w:styleId="420">
    <w:name w:val="标题 1 字符"/>
    <w:qFormat/>
    <w:uiPriority w:val="9"/>
    <w:rPr>
      <w:rFonts w:ascii="Arial" w:hAnsi="Arial" w:eastAsia="黑体" w:cs="Arial"/>
      <w:b/>
      <w:bCs/>
      <w:snapToGrid w:val="0"/>
      <w:kern w:val="44"/>
      <w:sz w:val="44"/>
      <w:szCs w:val="44"/>
    </w:rPr>
  </w:style>
  <w:style w:type="character" w:customStyle="1" w:styleId="421">
    <w:name w:val="style36"/>
    <w:basedOn w:val="69"/>
    <w:qFormat/>
    <w:uiPriority w:val="0"/>
    <w:rPr>
      <w:rFonts w:ascii="Arial" w:hAnsi="Arial" w:eastAsia="黑体" w:cs="Arial"/>
      <w:snapToGrid w:val="0"/>
      <w:kern w:val="0"/>
      <w:szCs w:val="21"/>
    </w:rPr>
  </w:style>
  <w:style w:type="character" w:customStyle="1" w:styleId="422">
    <w:name w:val="pt9"/>
    <w:qFormat/>
    <w:uiPriority w:val="0"/>
    <w:rPr>
      <w:rFonts w:ascii="仿宋_GB2312" w:eastAsia="微软雅黑"/>
      <w:b/>
      <w:kern w:val="2"/>
      <w:sz w:val="32"/>
      <w:szCs w:val="32"/>
      <w:lang w:val="en-US" w:eastAsia="zh-CN" w:bidi="ar-SA"/>
    </w:rPr>
  </w:style>
  <w:style w:type="character" w:customStyle="1" w:styleId="423">
    <w:name w:val="DO_NOT_TRANSLATE"/>
    <w:qFormat/>
    <w:uiPriority w:val="0"/>
    <w:rPr>
      <w:rFonts w:ascii="Courier New" w:hAnsi="Courier New" w:cs="Courier New"/>
      <w:color w:val="800000"/>
      <w:lang w:val="en-US" w:eastAsia="zh-CN"/>
    </w:rPr>
  </w:style>
  <w:style w:type="character" w:customStyle="1" w:styleId="424">
    <w:name w:val="标书1 Char1"/>
    <w:qFormat/>
    <w:uiPriority w:val="0"/>
    <w:rPr>
      <w:rFonts w:eastAsia="宋体"/>
      <w:b/>
      <w:bCs/>
      <w:kern w:val="44"/>
      <w:sz w:val="44"/>
      <w:szCs w:val="44"/>
      <w:lang w:val="en-US" w:eastAsia="zh-CN" w:bidi="ar-SA"/>
    </w:rPr>
  </w:style>
  <w:style w:type="character" w:customStyle="1" w:styleId="425">
    <w:name w:val="页脚 字符"/>
    <w:qFormat/>
    <w:uiPriority w:val="99"/>
    <w:rPr>
      <w:kern w:val="2"/>
      <w:sz w:val="18"/>
      <w:szCs w:val="18"/>
    </w:rPr>
  </w:style>
  <w:style w:type="character" w:customStyle="1" w:styleId="426">
    <w:name w:val="正文2 Char"/>
    <w:qFormat/>
    <w:uiPriority w:val="0"/>
    <w:rPr>
      <w:rFonts w:eastAsia="宋体"/>
      <w:kern w:val="2"/>
      <w:sz w:val="24"/>
      <w:lang w:val="en-US" w:eastAsia="zh-CN" w:bidi="ar-SA"/>
    </w:rPr>
  </w:style>
  <w:style w:type="character" w:customStyle="1" w:styleId="427">
    <w:name w:val="Char Char21"/>
    <w:qFormat/>
    <w:uiPriority w:val="6"/>
    <w:rPr>
      <w:rFonts w:ascii="宋体" w:hAnsi="宋体"/>
      <w:kern w:val="1"/>
      <w:sz w:val="24"/>
      <w:szCs w:val="21"/>
      <w:lang w:val="zh-CN"/>
    </w:rPr>
  </w:style>
  <w:style w:type="character" w:customStyle="1" w:styleId="428">
    <w:name w:val="样式 正文缩进 + 首行缩进:  2 字符 Char Char"/>
    <w:link w:val="429"/>
    <w:qFormat/>
    <w:uiPriority w:val="0"/>
    <w:rPr>
      <w:rFonts w:cs="宋体"/>
      <w:kern w:val="2"/>
      <w:sz w:val="24"/>
    </w:rPr>
  </w:style>
  <w:style w:type="paragraph" w:customStyle="1" w:styleId="429">
    <w:name w:val="样式 正文缩进 + 首行缩进:  2 字符"/>
    <w:basedOn w:val="5"/>
    <w:link w:val="428"/>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0">
    <w:name w:val="正文文本 字符"/>
    <w:link w:val="23"/>
    <w:qFormat/>
    <w:uiPriority w:val="99"/>
    <w:rPr>
      <w:rFonts w:ascii="宋体" w:hAnsi="Arial" w:eastAsia="宋体" w:cs="Arial"/>
      <w:snapToGrid w:val="0"/>
      <w:kern w:val="2"/>
      <w:sz w:val="24"/>
      <w:szCs w:val="21"/>
      <w:lang w:val="zh-CN" w:eastAsia="zh-CN" w:bidi="ar-SA"/>
    </w:rPr>
  </w:style>
  <w:style w:type="character" w:customStyle="1" w:styleId="431">
    <w:name w:val="gray6"/>
    <w:basedOn w:val="69"/>
    <w:qFormat/>
    <w:uiPriority w:val="0"/>
    <w:rPr>
      <w:rFonts w:ascii="Arial" w:hAnsi="Arial" w:eastAsia="黑体" w:cs="Arial"/>
      <w:snapToGrid w:val="0"/>
      <w:kern w:val="0"/>
      <w:szCs w:val="21"/>
    </w:rPr>
  </w:style>
  <w:style w:type="character" w:customStyle="1" w:styleId="432">
    <w:name w:val="hui"/>
    <w:basedOn w:val="69"/>
    <w:qFormat/>
    <w:uiPriority w:val="0"/>
    <w:rPr>
      <w:rFonts w:ascii="Arial" w:hAnsi="Arial" w:eastAsia="黑体" w:cs="Arial"/>
      <w:snapToGrid w:val="0"/>
      <w:kern w:val="0"/>
      <w:szCs w:val="21"/>
    </w:rPr>
  </w:style>
  <w:style w:type="character" w:customStyle="1" w:styleId="433">
    <w:name w:val="哈哈正文 Char Char"/>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6"/>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qFormat/>
    <w:uiPriority w:val="0"/>
    <w:pPr>
      <w:spacing w:before="120" w:line="360" w:lineRule="auto"/>
      <w:ind w:firstLine="567"/>
    </w:pPr>
    <w:rPr>
      <w:rFonts w:ascii="Arial" w:hAnsi="Arial"/>
      <w:sz w:val="20"/>
      <w:szCs w:val="20"/>
    </w:rPr>
  </w:style>
  <w:style w:type="paragraph" w:customStyle="1" w:styleId="44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1">
    <w:name w:val="封面公司名"/>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qFormat/>
    <w:uiPriority w:val="0"/>
    <w:pPr>
      <w:adjustRightInd/>
      <w:ind w:firstLine="200" w:firstLineChars="200"/>
    </w:pPr>
    <w:rPr>
      <w:rFonts w:ascii="Tahoma" w:hAnsi="Tahoma"/>
      <w:sz w:val="24"/>
      <w:szCs w:val="20"/>
    </w:rPr>
  </w:style>
  <w:style w:type="paragraph" w:customStyle="1" w:styleId="45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qFormat/>
    <w:uiPriority w:val="0"/>
    <w:pPr>
      <w:tabs>
        <w:tab w:val="left" w:pos="360"/>
      </w:tabs>
    </w:pPr>
    <w:rPr>
      <w:sz w:val="24"/>
      <w:szCs w:val="20"/>
    </w:rPr>
  </w:style>
  <w:style w:type="paragraph" w:customStyle="1" w:styleId="456">
    <w:name w:val="Char Char11 Char Char Char"/>
    <w:basedOn w:val="1"/>
    <w:qFormat/>
    <w:uiPriority w:val="0"/>
    <w:pPr>
      <w:spacing w:line="360" w:lineRule="auto"/>
    </w:pPr>
    <w:rPr>
      <w:szCs w:val="20"/>
    </w:rPr>
  </w:style>
  <w:style w:type="paragraph" w:customStyle="1" w:styleId="457">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3"/>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spacing w:before="0" w:after="0"/>
      <w:outlineLvl w:val="5"/>
    </w:pPr>
  </w:style>
  <w:style w:type="paragraph" w:customStyle="1" w:styleId="473">
    <w:name w:val="5级标题"/>
    <w:basedOn w:val="474"/>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8"/>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2"/>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3"/>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4"/>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7"/>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31"/>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4"/>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qFormat/>
    <w:uiPriority w:val="0"/>
    <w:pPr>
      <w:adjustRightInd/>
      <w:ind w:firstLine="420" w:firstLineChars="200"/>
    </w:pPr>
    <w:rPr>
      <w:rFonts w:eastAsia="仿宋_GB2312"/>
      <w:sz w:val="28"/>
    </w:rPr>
  </w:style>
  <w:style w:type="paragraph" w:customStyle="1" w:styleId="52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qFormat/>
    <w:uiPriority w:val="0"/>
    <w:pPr>
      <w:adjustRightInd/>
      <w:ind w:firstLine="200" w:firstLineChars="200"/>
      <w:jc w:val="right"/>
    </w:pPr>
  </w:style>
  <w:style w:type="paragraph" w:customStyle="1" w:styleId="524">
    <w:name w:val="Char Char11 Char Char Char Char Char Char Char Char Char"/>
    <w:basedOn w:val="1"/>
    <w:qFormat/>
    <w:uiPriority w:val="0"/>
    <w:pPr>
      <w:spacing w:line="360" w:lineRule="auto"/>
    </w:pPr>
    <w:rPr>
      <w:szCs w:val="20"/>
    </w:rPr>
  </w:style>
  <w:style w:type="paragraph" w:customStyle="1" w:styleId="525">
    <w:name w:val="正文1.25"/>
    <w:basedOn w:val="1"/>
    <w:qFormat/>
    <w:uiPriority w:val="0"/>
    <w:pPr>
      <w:adjustRightInd/>
      <w:spacing w:line="300" w:lineRule="auto"/>
      <w:ind w:firstLine="480" w:firstLineChars="200"/>
    </w:pPr>
    <w:rPr>
      <w:sz w:val="24"/>
      <w:szCs w:val="20"/>
    </w:rPr>
  </w:style>
  <w:style w:type="paragraph" w:customStyle="1" w:styleId="52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qFormat/>
    <w:uiPriority w:val="6"/>
    <w:rPr>
      <w:rFonts w:ascii="仿宋_GB2312" w:eastAsia="仿宋_GB2312"/>
      <w:b/>
      <w:sz w:val="32"/>
      <w:szCs w:val="20"/>
    </w:rPr>
  </w:style>
  <w:style w:type="paragraph" w:customStyle="1" w:styleId="530">
    <w:name w:val="列出段落2"/>
    <w:basedOn w:val="1"/>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qFormat/>
    <w:uiPriority w:val="0"/>
    <w:rPr>
      <w:rFonts w:eastAsia="仿宋_GB2312"/>
      <w:sz w:val="28"/>
      <w:szCs w:val="20"/>
    </w:rPr>
  </w:style>
  <w:style w:type="paragraph" w:customStyle="1" w:styleId="53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6"/>
    <w:qFormat/>
    <w:uiPriority w:val="0"/>
    <w:pPr>
      <w:widowControl/>
      <w:jc w:val="left"/>
    </w:pPr>
    <w:rPr>
      <w:rFonts w:cs="宋体"/>
      <w:sz w:val="24"/>
      <w:szCs w:val="20"/>
    </w:rPr>
  </w:style>
  <w:style w:type="paragraph" w:customStyle="1" w:styleId="534">
    <w:name w:val="彩色列表 - 强调文字颜色 11"/>
    <w:basedOn w:val="1"/>
    <w:qFormat/>
    <w:uiPriority w:val="0"/>
    <w:pPr>
      <w:adjustRightInd/>
      <w:ind w:firstLine="420" w:firstLineChars="200"/>
    </w:pPr>
    <w:rPr>
      <w:rFonts w:ascii="Calibri" w:hAnsi="Calibri"/>
      <w:szCs w:val="22"/>
    </w:rPr>
  </w:style>
  <w:style w:type="paragraph" w:customStyle="1" w:styleId="535">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qFormat/>
    <w:uiPriority w:val="6"/>
    <w:rPr>
      <w:szCs w:val="20"/>
    </w:rPr>
  </w:style>
  <w:style w:type="paragraph" w:customStyle="1" w:styleId="53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5"/>
    <w:next w:val="235"/>
    <w:qFormat/>
    <w:uiPriority w:val="0"/>
    <w:pPr>
      <w:spacing w:after="68"/>
    </w:pPr>
    <w:rPr>
      <w:rFonts w:ascii="FHLHE E+ Futura Bk" w:eastAsia="FHLHE E+ Futura Bk" w:cs="Times New Roman"/>
      <w:color w:val="auto"/>
    </w:rPr>
  </w:style>
  <w:style w:type="paragraph" w:customStyle="1" w:styleId="54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5"/>
    <w:next w:val="235"/>
    <w:qFormat/>
    <w:uiPriority w:val="0"/>
    <w:rPr>
      <w:rFonts w:ascii="宋体" w:eastAsia="宋体" w:cs="Times New Roman"/>
      <w:color w:val="auto"/>
    </w:rPr>
  </w:style>
  <w:style w:type="paragraph" w:customStyle="1" w:styleId="54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qFormat/>
    <w:uiPriority w:val="0"/>
    <w:rPr>
      <w:rFonts w:ascii="仿宋_GB2312" w:eastAsia="仿宋_GB2312"/>
      <w:b/>
      <w:sz w:val="32"/>
      <w:szCs w:val="32"/>
    </w:rPr>
  </w:style>
  <w:style w:type="paragraph" w:customStyle="1" w:styleId="5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qFormat/>
    <w:uiPriority w:val="0"/>
    <w:pPr>
      <w:spacing w:line="360" w:lineRule="auto"/>
    </w:pPr>
    <w:rPr>
      <w:szCs w:val="20"/>
    </w:rPr>
  </w:style>
  <w:style w:type="paragraph" w:customStyle="1" w:styleId="554">
    <w:name w:val="Char"/>
    <w:basedOn w:val="1"/>
    <w:qFormat/>
    <w:uiPriority w:val="0"/>
    <w:rPr>
      <w:rFonts w:ascii="仿宋_GB2312" w:eastAsia="仿宋_GB2312"/>
      <w:b/>
      <w:sz w:val="32"/>
      <w:szCs w:val="32"/>
    </w:rPr>
  </w:style>
  <w:style w:type="paragraph" w:customStyle="1" w:styleId="55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qFormat/>
    <w:uiPriority w:val="0"/>
    <w:pPr>
      <w:adjustRightInd/>
      <w:spacing w:line="360" w:lineRule="auto"/>
      <w:ind w:firstLine="200" w:firstLineChars="200"/>
    </w:pPr>
    <w:rPr>
      <w:rFonts w:ascii="宋体" w:hAnsi="Calibri"/>
      <w:sz w:val="24"/>
    </w:rPr>
  </w:style>
  <w:style w:type="paragraph" w:customStyle="1" w:styleId="55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qFormat/>
    <w:uiPriority w:val="0"/>
    <w:rPr>
      <w:szCs w:val="20"/>
    </w:rPr>
  </w:style>
  <w:style w:type="paragraph" w:customStyle="1" w:styleId="58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qFormat/>
    <w:uiPriority w:val="0"/>
    <w:rPr>
      <w:rFonts w:ascii="Tahoma" w:hAnsi="Tahoma"/>
      <w:sz w:val="24"/>
      <w:szCs w:val="20"/>
    </w:rPr>
  </w:style>
  <w:style w:type="paragraph" w:customStyle="1" w:styleId="583">
    <w:name w:val="标题五"/>
    <w:basedOn w:val="1"/>
    <w:qFormat/>
    <w:uiPriority w:val="0"/>
    <w:pPr>
      <w:adjustRightInd/>
      <w:spacing w:before="156" w:beforeLines="50" w:line="360" w:lineRule="auto"/>
    </w:pPr>
    <w:rPr>
      <w:b/>
      <w:sz w:val="24"/>
    </w:rPr>
  </w:style>
  <w:style w:type="paragraph" w:customStyle="1" w:styleId="584">
    <w:name w:val="Char Char1101"/>
    <w:basedOn w:val="1"/>
    <w:qFormat/>
    <w:uiPriority w:val="0"/>
    <w:pPr>
      <w:spacing w:line="360" w:lineRule="auto"/>
    </w:pPr>
    <w:rPr>
      <w:rFonts w:ascii="Tahoma" w:hAnsi="Tahoma"/>
      <w:sz w:val="24"/>
      <w:szCs w:val="20"/>
    </w:rPr>
  </w:style>
  <w:style w:type="paragraph" w:customStyle="1" w:styleId="585">
    <w:name w:val="Char Char Char Char Char Char Char Char1"/>
    <w:basedOn w:val="1"/>
    <w:qFormat/>
    <w:uiPriority w:val="0"/>
    <w:pPr>
      <w:tabs>
        <w:tab w:val="left" w:pos="360"/>
      </w:tabs>
    </w:pPr>
    <w:rPr>
      <w:sz w:val="24"/>
      <w:szCs w:val="20"/>
    </w:rPr>
  </w:style>
  <w:style w:type="paragraph" w:customStyle="1" w:styleId="586">
    <w:name w:val="Char Char Char 字元 字元"/>
    <w:basedOn w:val="1"/>
    <w:qFormat/>
    <w:uiPriority w:val="0"/>
    <w:pPr>
      <w:adjustRightInd/>
      <w:spacing w:line="360" w:lineRule="auto"/>
      <w:ind w:firstLine="200" w:firstLineChars="200"/>
    </w:pPr>
    <w:rPr>
      <w:szCs w:val="20"/>
    </w:rPr>
  </w:style>
  <w:style w:type="paragraph" w:customStyle="1" w:styleId="58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qFormat/>
    <w:uiPriority w:val="0"/>
    <w:rPr>
      <w:rFonts w:ascii="仿宋_GB2312" w:eastAsia="仿宋_GB2312"/>
      <w:b/>
      <w:sz w:val="32"/>
      <w:szCs w:val="32"/>
    </w:rPr>
  </w:style>
  <w:style w:type="paragraph" w:customStyle="1" w:styleId="58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qFormat/>
    <w:uiPriority w:val="0"/>
    <w:pPr>
      <w:adjustRightInd/>
    </w:pPr>
    <w:rPr>
      <w:sz w:val="18"/>
      <w:szCs w:val="20"/>
    </w:rPr>
  </w:style>
  <w:style w:type="paragraph" w:customStyle="1" w:styleId="59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qFormat/>
    <w:uiPriority w:val="99"/>
    <w:pPr>
      <w:adjustRightInd/>
      <w:spacing w:line="360" w:lineRule="auto"/>
    </w:pPr>
    <w:rPr>
      <w:rFonts w:ascii="仿宋_GB2312" w:eastAsia="仿宋_GB2312"/>
      <w:sz w:val="24"/>
      <w:szCs w:val="20"/>
    </w:rPr>
  </w:style>
  <w:style w:type="paragraph" w:customStyle="1" w:styleId="59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5"/>
    <w:qFormat/>
    <w:uiPriority w:val="0"/>
    <w:pPr>
      <w:snapToGrid w:val="0"/>
      <w:spacing w:line="360" w:lineRule="auto"/>
    </w:pPr>
    <w:rPr>
      <w:rFonts w:ascii="宋体"/>
      <w:b/>
      <w:sz w:val="24"/>
      <w:szCs w:val="20"/>
    </w:rPr>
  </w:style>
  <w:style w:type="paragraph" w:customStyle="1" w:styleId="604">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qFormat/>
    <w:uiPriority w:val="7"/>
    <w:pPr>
      <w:adjustRightInd/>
    </w:pPr>
    <w:rPr>
      <w:rFonts w:ascii="宋体" w:hAnsi="Courier New"/>
    </w:rPr>
  </w:style>
  <w:style w:type="paragraph" w:customStyle="1" w:styleId="607">
    <w:name w:val="Char3"/>
    <w:basedOn w:val="1"/>
    <w:qFormat/>
    <w:uiPriority w:val="0"/>
    <w:pPr>
      <w:adjustRightInd/>
    </w:pPr>
    <w:rPr>
      <w:rFonts w:ascii="仿宋_GB2312" w:eastAsia="仿宋_GB2312"/>
      <w:b/>
      <w:sz w:val="32"/>
      <w:szCs w:val="32"/>
    </w:rPr>
  </w:style>
  <w:style w:type="paragraph" w:customStyle="1" w:styleId="60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3"/>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qFormat/>
    <w:uiPriority w:val="0"/>
    <w:pPr>
      <w:widowControl/>
      <w:adjustRightInd/>
      <w:spacing w:after="160" w:line="240" w:lineRule="exact"/>
      <w:jc w:val="left"/>
    </w:pPr>
    <w:rPr>
      <w:szCs w:val="20"/>
    </w:rPr>
  </w:style>
  <w:style w:type="paragraph" w:customStyle="1" w:styleId="616">
    <w:name w:val="表格标题2"/>
    <w:basedOn w:val="617"/>
    <w:qFormat/>
    <w:uiPriority w:val="0"/>
    <w:rPr>
      <w:b/>
    </w:rPr>
  </w:style>
  <w:style w:type="paragraph" w:customStyle="1" w:styleId="617">
    <w:name w:val="表格内文"/>
    <w:basedOn w:val="1"/>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qFormat/>
    <w:uiPriority w:val="0"/>
    <w:rPr>
      <w:rFonts w:ascii="仿宋_GB2312" w:eastAsia="仿宋_GB2312"/>
      <w:b/>
      <w:sz w:val="32"/>
      <w:szCs w:val="32"/>
    </w:rPr>
  </w:style>
  <w:style w:type="paragraph" w:customStyle="1" w:styleId="61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qFormat/>
    <w:uiPriority w:val="0"/>
    <w:pPr>
      <w:spacing w:line="360" w:lineRule="auto"/>
    </w:pPr>
    <w:rPr>
      <w:szCs w:val="20"/>
    </w:rPr>
  </w:style>
  <w:style w:type="paragraph" w:customStyle="1" w:styleId="62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4">
    <w:name w:val="MM Topic 1"/>
    <w:basedOn w:val="2"/>
    <w:qFormat/>
    <w:uiPriority w:val="0"/>
    <w:pPr>
      <w:tabs>
        <w:tab w:val="left" w:pos="840"/>
      </w:tabs>
      <w:adjustRightInd/>
      <w:ind w:left="840" w:hanging="420"/>
    </w:pPr>
  </w:style>
  <w:style w:type="paragraph" w:customStyle="1" w:styleId="625">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qFormat/>
    <w:uiPriority w:val="0"/>
    <w:pPr>
      <w:spacing w:line="360" w:lineRule="auto"/>
      <w:ind w:firstLine="200" w:firstLineChars="200"/>
    </w:pPr>
    <w:rPr>
      <w:kern w:val="0"/>
      <w:sz w:val="24"/>
      <w:szCs w:val="20"/>
    </w:rPr>
  </w:style>
  <w:style w:type="paragraph" w:customStyle="1" w:styleId="627">
    <w:name w:val="表格"/>
    <w:basedOn w:val="1"/>
    <w:qFormat/>
    <w:uiPriority w:val="0"/>
    <w:pPr>
      <w:snapToGrid w:val="0"/>
      <w:ind w:firstLine="42" w:firstLineChars="21"/>
    </w:pPr>
    <w:rPr>
      <w:rFonts w:ascii="宋体" w:hAnsi="宋体"/>
      <w:kern w:val="0"/>
      <w:sz w:val="20"/>
      <w:szCs w:val="20"/>
    </w:rPr>
  </w:style>
  <w:style w:type="paragraph" w:customStyle="1" w:styleId="628">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qFormat/>
    <w:uiPriority w:val="0"/>
    <w:pPr>
      <w:adjustRightInd/>
      <w:spacing w:line="300" w:lineRule="auto"/>
      <w:jc w:val="center"/>
    </w:pPr>
  </w:style>
  <w:style w:type="paragraph" w:customStyle="1" w:styleId="633">
    <w:name w:val="_Style 6"/>
    <w:basedOn w:val="1"/>
    <w:qFormat/>
    <w:uiPriority w:val="34"/>
    <w:pPr>
      <w:adjustRightInd/>
      <w:ind w:firstLine="420" w:firstLineChars="200"/>
    </w:pPr>
    <w:rPr>
      <w:rFonts w:eastAsia="仿宋_GB2312"/>
      <w:sz w:val="28"/>
    </w:rPr>
  </w:style>
  <w:style w:type="paragraph" w:customStyle="1" w:styleId="63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3"/>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qFormat/>
    <w:uiPriority w:val="0"/>
    <w:pPr>
      <w:spacing w:after="156" w:afterLines="50"/>
      <w:jc w:val="left"/>
      <w:outlineLvl w:val="3"/>
    </w:pPr>
    <w:rPr>
      <w:sz w:val="24"/>
      <w:szCs w:val="24"/>
    </w:rPr>
  </w:style>
  <w:style w:type="paragraph" w:customStyle="1" w:styleId="64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qFormat/>
    <w:uiPriority w:val="0"/>
    <w:pPr>
      <w:adjustRightInd/>
    </w:pPr>
    <w:rPr>
      <w:rFonts w:ascii="Tahoma" w:hAnsi="Tahoma"/>
      <w:sz w:val="24"/>
      <w:szCs w:val="20"/>
    </w:rPr>
  </w:style>
  <w:style w:type="paragraph" w:customStyle="1" w:styleId="65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qFormat/>
    <w:uiPriority w:val="0"/>
    <w:pPr>
      <w:tabs>
        <w:tab w:val="left" w:pos="1260"/>
        <w:tab w:val="left" w:pos="1680"/>
        <w:tab w:val="left" w:pos="2100"/>
      </w:tabs>
      <w:ind w:left="0"/>
      <w:outlineLvl w:val="3"/>
    </w:pPr>
  </w:style>
  <w:style w:type="paragraph" w:customStyle="1" w:styleId="656">
    <w:name w:val="一级条标题"/>
    <w:basedOn w:val="657"/>
    <w:next w:val="639"/>
    <w:qFormat/>
    <w:uiPriority w:val="0"/>
    <w:pPr>
      <w:tabs>
        <w:tab w:val="left" w:pos="1260"/>
        <w:tab w:val="left" w:pos="1680"/>
      </w:tabs>
      <w:spacing w:before="0" w:beforeLines="0" w:after="0" w:afterLines="0"/>
      <w:ind w:left="1680"/>
      <w:outlineLvl w:val="2"/>
    </w:pPr>
  </w:style>
  <w:style w:type="paragraph" w:customStyle="1" w:styleId="657">
    <w:name w:val="章标题"/>
    <w:next w:val="639"/>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3"/>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2"/>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2"/>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qFormat/>
    <w:uiPriority w:val="0"/>
    <w:pPr>
      <w:jc w:val="left"/>
      <w:outlineLvl w:val="1"/>
    </w:pPr>
    <w:rPr>
      <w:rFonts w:ascii="Times New Roman" w:hAnsi="Times New Roman" w:eastAsia="仿宋"/>
      <w:sz w:val="30"/>
    </w:rPr>
  </w:style>
  <w:style w:type="paragraph" w:customStyle="1" w:styleId="672">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qFormat/>
    <w:uiPriority w:val="0"/>
    <w:pPr>
      <w:tabs>
        <w:tab w:val="left" w:pos="840"/>
      </w:tabs>
      <w:adjustRightInd/>
      <w:ind w:left="840" w:hanging="420"/>
    </w:pPr>
  </w:style>
  <w:style w:type="paragraph" w:customStyle="1" w:styleId="67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6"/>
    <w:qFormat/>
    <w:uiPriority w:val="0"/>
    <w:pPr>
      <w:tabs>
        <w:tab w:val="left" w:pos="2100"/>
      </w:tabs>
      <w:adjustRightInd/>
      <w:ind w:left="2100" w:hanging="420"/>
    </w:pPr>
    <w:rPr>
      <w:lang w:val="en-US"/>
    </w:rPr>
  </w:style>
  <w:style w:type="paragraph" w:customStyle="1" w:styleId="686">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qFormat/>
    <w:uiPriority w:val="6"/>
    <w:pPr>
      <w:spacing w:line="360" w:lineRule="auto"/>
    </w:pPr>
    <w:rPr>
      <w:szCs w:val="20"/>
    </w:rPr>
  </w:style>
  <w:style w:type="paragraph" w:customStyle="1" w:styleId="68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qFormat/>
    <w:uiPriority w:val="0"/>
    <w:pPr>
      <w:adjustRightInd/>
      <w:spacing w:line="360" w:lineRule="auto"/>
      <w:jc w:val="center"/>
    </w:pPr>
    <w:rPr>
      <w:sz w:val="24"/>
    </w:rPr>
  </w:style>
  <w:style w:type="paragraph" w:customStyle="1" w:styleId="699">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qFormat/>
    <w:uiPriority w:val="6"/>
    <w:rPr>
      <w:rFonts w:ascii="仿宋_GB2312" w:eastAsia="仿宋_GB2312"/>
      <w:b/>
      <w:sz w:val="32"/>
      <w:szCs w:val="32"/>
    </w:rPr>
  </w:style>
  <w:style w:type="paragraph" w:customStyle="1" w:styleId="701">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qFormat/>
    <w:uiPriority w:val="0"/>
    <w:pPr>
      <w:widowControl/>
      <w:adjustRightInd/>
      <w:spacing w:after="160" w:line="240" w:lineRule="exact"/>
      <w:jc w:val="left"/>
    </w:pPr>
    <w:rPr>
      <w:szCs w:val="20"/>
    </w:rPr>
  </w:style>
  <w:style w:type="paragraph" w:customStyle="1" w:styleId="704">
    <w:name w:val="Char Char1121"/>
    <w:basedOn w:val="1"/>
    <w:qFormat/>
    <w:uiPriority w:val="0"/>
    <w:pPr>
      <w:spacing w:line="360" w:lineRule="auto"/>
    </w:pPr>
    <w:rPr>
      <w:szCs w:val="20"/>
    </w:rPr>
  </w:style>
  <w:style w:type="paragraph" w:customStyle="1" w:styleId="70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qFormat/>
    <w:uiPriority w:val="0"/>
    <w:rPr>
      <w:rFonts w:ascii="Times New Roman" w:hAnsi="Times New Roman" w:eastAsia="宋体" w:cs="Times New Roman"/>
      <w:lang w:val="en-US" w:eastAsia="en-US" w:bidi="ar-SA"/>
    </w:rPr>
  </w:style>
  <w:style w:type="paragraph" w:customStyle="1" w:styleId="708">
    <w:name w:val="带编号样式"/>
    <w:basedOn w:val="626"/>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qFormat/>
    <w:uiPriority w:val="0"/>
    <w:pPr>
      <w:spacing w:line="360" w:lineRule="atLeast"/>
      <w:jc w:val="right"/>
      <w:textAlignment w:val="baseline"/>
    </w:pPr>
    <w:rPr>
      <w:rFonts w:ascii="Symbol" w:hAnsi="Symbol"/>
      <w:kern w:val="0"/>
      <w:szCs w:val="20"/>
    </w:rPr>
  </w:style>
  <w:style w:type="paragraph" w:customStyle="1" w:styleId="71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qFormat/>
    <w:uiPriority w:val="0"/>
    <w:pPr>
      <w:spacing w:line="240" w:lineRule="atLeast"/>
      <w:ind w:left="420" w:firstLine="420"/>
    </w:pPr>
    <w:rPr>
      <w:sz w:val="24"/>
    </w:rPr>
  </w:style>
  <w:style w:type="paragraph" w:customStyle="1" w:styleId="715">
    <w:name w:val="WW-正文文字缩进 2"/>
    <w:basedOn w:val="1"/>
    <w:qFormat/>
    <w:uiPriority w:val="0"/>
    <w:pPr>
      <w:suppressAutoHyphens/>
      <w:adjustRightInd/>
      <w:ind w:firstLine="420"/>
    </w:pPr>
    <w:rPr>
      <w:kern w:val="1"/>
      <w:szCs w:val="20"/>
    </w:rPr>
  </w:style>
  <w:style w:type="paragraph" w:customStyle="1" w:styleId="71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qFormat/>
    <w:uiPriority w:val="0"/>
    <w:pPr>
      <w:adjustRightInd/>
      <w:spacing w:line="400" w:lineRule="exact"/>
      <w:ind w:firstLine="200" w:firstLineChars="200"/>
    </w:pPr>
    <w:rPr>
      <w:rFonts w:ascii="Arial" w:hAnsi="Arial"/>
    </w:rPr>
  </w:style>
  <w:style w:type="paragraph" w:customStyle="1" w:styleId="71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6"/>
    <w:qFormat/>
    <w:uiPriority w:val="0"/>
    <w:pPr>
      <w:spacing w:after="120" w:line="480" w:lineRule="auto"/>
      <w:ind w:left="420" w:leftChars="200"/>
    </w:pPr>
    <w:rPr>
      <w:sz w:val="24"/>
      <w:szCs w:val="20"/>
    </w:rPr>
  </w:style>
  <w:style w:type="paragraph" w:customStyle="1" w:styleId="72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4"/>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qFormat/>
    <w:uiPriority w:val="0"/>
    <w:rPr>
      <w:rFonts w:ascii="仿宋_GB2312" w:eastAsia="仿宋_GB2312"/>
      <w:b/>
      <w:sz w:val="32"/>
      <w:szCs w:val="20"/>
    </w:rPr>
  </w:style>
  <w:style w:type="paragraph" w:customStyle="1" w:styleId="731">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qFormat/>
    <w:uiPriority w:val="0"/>
    <w:rPr>
      <w:rFonts w:ascii="仿宋_GB2312" w:eastAsia="仿宋_GB2312"/>
      <w:b/>
      <w:sz w:val="32"/>
      <w:szCs w:val="32"/>
    </w:rPr>
  </w:style>
  <w:style w:type="paragraph" w:customStyle="1" w:styleId="735">
    <w:name w:val="Char3 Char Char Char1"/>
    <w:basedOn w:val="1"/>
    <w:qFormat/>
    <w:uiPriority w:val="6"/>
    <w:pPr>
      <w:widowControl/>
      <w:adjustRightInd/>
      <w:spacing w:after="160" w:line="240" w:lineRule="exact"/>
      <w:jc w:val="left"/>
    </w:pPr>
    <w:rPr>
      <w:szCs w:val="20"/>
    </w:rPr>
  </w:style>
  <w:style w:type="paragraph" w:customStyle="1" w:styleId="736">
    <w:name w:val="Char1 Char Char Char21"/>
    <w:basedOn w:val="1"/>
    <w:qFormat/>
    <w:uiPriority w:val="0"/>
    <w:rPr>
      <w:rFonts w:ascii="Tahoma" w:hAnsi="Tahoma"/>
      <w:sz w:val="24"/>
      <w:szCs w:val="20"/>
    </w:rPr>
  </w:style>
  <w:style w:type="paragraph" w:customStyle="1" w:styleId="73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qFormat/>
    <w:uiPriority w:val="0"/>
    <w:pPr>
      <w:spacing w:line="360" w:lineRule="auto"/>
      <w:ind w:firstLine="200" w:firstLineChars="200"/>
    </w:pPr>
    <w:rPr>
      <w:sz w:val="24"/>
    </w:rPr>
  </w:style>
  <w:style w:type="paragraph" w:customStyle="1" w:styleId="73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qFormat/>
    <w:uiPriority w:val="0"/>
    <w:pPr>
      <w:adjustRightInd/>
      <w:ind w:firstLine="200" w:firstLineChars="200"/>
    </w:pPr>
    <w:rPr>
      <w:rFonts w:ascii="Tahoma" w:hAnsi="Tahoma"/>
      <w:sz w:val="24"/>
      <w:szCs w:val="20"/>
    </w:rPr>
  </w:style>
  <w:style w:type="paragraph" w:customStyle="1" w:styleId="745">
    <w:name w:val="_标题2"/>
    <w:basedOn w:val="712"/>
    <w:next w:val="712"/>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qFormat/>
    <w:uiPriority w:val="0"/>
    <w:pPr>
      <w:adjustRightInd/>
      <w:spacing w:line="360" w:lineRule="auto"/>
    </w:pPr>
    <w:rPr>
      <w:rFonts w:ascii="宋体" w:hAnsi="宋体"/>
      <w:szCs w:val="20"/>
    </w:rPr>
  </w:style>
  <w:style w:type="paragraph" w:customStyle="1" w:styleId="75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qFormat/>
    <w:uiPriority w:val="0"/>
    <w:pPr>
      <w:adjustRightInd/>
    </w:pPr>
    <w:rPr>
      <w:rFonts w:ascii="Tahoma" w:hAnsi="Tahoma"/>
      <w:sz w:val="24"/>
    </w:rPr>
  </w:style>
  <w:style w:type="paragraph" w:customStyle="1" w:styleId="753">
    <w:name w:val="Char Char Char Char11"/>
    <w:basedOn w:val="1"/>
    <w:qFormat/>
    <w:uiPriority w:val="0"/>
    <w:rPr>
      <w:rFonts w:ascii="Tahoma" w:hAnsi="Tahoma"/>
      <w:sz w:val="24"/>
      <w:szCs w:val="20"/>
    </w:rPr>
  </w:style>
  <w:style w:type="paragraph" w:customStyle="1" w:styleId="75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qFormat/>
    <w:uiPriority w:val="0"/>
    <w:rPr>
      <w:rFonts w:ascii="Tahoma" w:hAnsi="Tahoma"/>
      <w:sz w:val="24"/>
      <w:szCs w:val="20"/>
    </w:rPr>
  </w:style>
  <w:style w:type="paragraph" w:customStyle="1" w:styleId="756">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qFormat/>
    <w:uiPriority w:val="0"/>
    <w:pPr>
      <w:adjustRightInd/>
    </w:pPr>
    <w:rPr>
      <w:szCs w:val="20"/>
    </w:rPr>
  </w:style>
  <w:style w:type="paragraph" w:customStyle="1" w:styleId="75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qFormat/>
    <w:uiPriority w:val="34"/>
    <w:pPr>
      <w:adjustRightInd/>
      <w:ind w:firstLine="420" w:firstLineChars="200"/>
    </w:pPr>
    <w:rPr>
      <w:rFonts w:eastAsia="仿宋_GB2312"/>
      <w:sz w:val="28"/>
    </w:rPr>
  </w:style>
  <w:style w:type="paragraph" w:customStyle="1" w:styleId="76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qFormat/>
    <w:uiPriority w:val="0"/>
    <w:rPr>
      <w:rFonts w:ascii="宋体" w:hAnsi="Times New Roman" w:eastAsia="宋体" w:cs="Times New Roman"/>
      <w:kern w:val="2"/>
      <w:lang w:val="en-US" w:eastAsia="zh-CN" w:bidi="ar-SA"/>
    </w:rPr>
  </w:style>
  <w:style w:type="paragraph" w:customStyle="1" w:styleId="771">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qFormat/>
    <w:uiPriority w:val="0"/>
    <w:pPr>
      <w:tabs>
        <w:tab w:val="left" w:pos="360"/>
      </w:tabs>
    </w:pPr>
    <w:rPr>
      <w:sz w:val="24"/>
      <w:szCs w:val="20"/>
    </w:rPr>
  </w:style>
  <w:style w:type="paragraph" w:customStyle="1" w:styleId="77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qFormat/>
    <w:uiPriority w:val="0"/>
    <w:pPr>
      <w:widowControl/>
      <w:adjustRightInd/>
    </w:pPr>
    <w:rPr>
      <w:kern w:val="0"/>
      <w:szCs w:val="21"/>
    </w:rPr>
  </w:style>
  <w:style w:type="paragraph" w:customStyle="1" w:styleId="784">
    <w:name w:val="Char6"/>
    <w:basedOn w:val="1"/>
    <w:qFormat/>
    <w:uiPriority w:val="0"/>
    <w:rPr>
      <w:rFonts w:ascii="仿宋_GB2312" w:eastAsia="仿宋_GB2312"/>
      <w:b/>
      <w:sz w:val="32"/>
      <w:szCs w:val="32"/>
    </w:rPr>
  </w:style>
  <w:style w:type="paragraph" w:customStyle="1" w:styleId="785">
    <w:name w:val="Char111"/>
    <w:basedOn w:val="1"/>
    <w:qFormat/>
    <w:uiPriority w:val="0"/>
    <w:rPr>
      <w:rFonts w:ascii="仿宋_GB2312" w:eastAsia="仿宋_GB2312"/>
      <w:b/>
      <w:sz w:val="32"/>
      <w:szCs w:val="32"/>
    </w:rPr>
  </w:style>
  <w:style w:type="paragraph" w:customStyle="1" w:styleId="786">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78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qFormat/>
    <w:uiPriority w:val="0"/>
    <w:pPr>
      <w:adjustRightInd/>
      <w:ind w:firstLine="200" w:firstLineChars="200"/>
    </w:pPr>
    <w:rPr>
      <w:rFonts w:ascii="Tahoma" w:hAnsi="Tahoma"/>
      <w:sz w:val="24"/>
      <w:szCs w:val="20"/>
    </w:rPr>
  </w:style>
  <w:style w:type="paragraph" w:customStyle="1" w:styleId="79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2"/>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qFormat/>
    <w:uiPriority w:val="0"/>
    <w:rPr>
      <w:rFonts w:ascii="仿宋_GB2312" w:eastAsia="仿宋_GB2312"/>
      <w:b/>
      <w:sz w:val="32"/>
      <w:szCs w:val="32"/>
    </w:rPr>
  </w:style>
  <w:style w:type="paragraph" w:customStyle="1" w:styleId="793">
    <w:name w:val="五级条标题"/>
    <w:basedOn w:val="794"/>
    <w:next w:val="639"/>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qFormat/>
    <w:uiPriority w:val="0"/>
    <w:pPr>
      <w:tabs>
        <w:tab w:val="left" w:pos="2940"/>
        <w:tab w:val="clear" w:pos="2520"/>
      </w:tabs>
      <w:ind w:left="2940"/>
      <w:outlineLvl w:val="5"/>
    </w:pPr>
  </w:style>
  <w:style w:type="paragraph" w:customStyle="1" w:styleId="79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qFormat/>
    <w:uiPriority w:val="0"/>
    <w:rPr>
      <w:rFonts w:ascii="仿宋_GB2312" w:eastAsia="仿宋_GB2312"/>
      <w:b/>
      <w:sz w:val="32"/>
      <w:szCs w:val="32"/>
    </w:rPr>
  </w:style>
  <w:style w:type="paragraph" w:customStyle="1" w:styleId="79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1">
    <w:name w:val="单元格左对齐"/>
    <w:basedOn w:val="1"/>
    <w:qFormat/>
    <w:uiPriority w:val="0"/>
    <w:pPr>
      <w:adjustRightInd/>
      <w:spacing w:line="360" w:lineRule="auto"/>
    </w:pPr>
    <w:rPr>
      <w:sz w:val="24"/>
    </w:rPr>
  </w:style>
  <w:style w:type="paragraph" w:customStyle="1" w:styleId="802">
    <w:name w:val="正文主体"/>
    <w:basedOn w:val="623"/>
    <w:qFormat/>
    <w:uiPriority w:val="0"/>
  </w:style>
  <w:style w:type="paragraph" w:customStyle="1" w:styleId="80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qFormat/>
    <w:uiPriority w:val="0"/>
    <w:pPr>
      <w:adjustRightInd/>
      <w:spacing w:line="360" w:lineRule="auto"/>
      <w:ind w:firstLine="480" w:firstLineChars="200"/>
    </w:pPr>
    <w:rPr>
      <w:sz w:val="24"/>
      <w:szCs w:val="20"/>
    </w:rPr>
  </w:style>
  <w:style w:type="paragraph" w:customStyle="1" w:styleId="807">
    <w:name w:val="P1"/>
    <w:basedOn w:val="1"/>
    <w:qFormat/>
    <w:uiPriority w:val="0"/>
    <w:pPr>
      <w:adjustRightInd/>
      <w:spacing w:line="288" w:lineRule="auto"/>
      <w:ind w:firstLine="425" w:firstLineChars="200"/>
    </w:pPr>
  </w:style>
  <w:style w:type="paragraph" w:customStyle="1" w:styleId="808">
    <w:name w:val="列表内容"/>
    <w:basedOn w:val="1"/>
    <w:next w:val="1"/>
    <w:qFormat/>
    <w:uiPriority w:val="0"/>
    <w:pPr>
      <w:widowControl/>
      <w:tabs>
        <w:tab w:val="left" w:pos="840"/>
      </w:tabs>
      <w:ind w:left="840" w:hanging="420"/>
      <w:jc w:val="left"/>
    </w:pPr>
    <w:rPr>
      <w:kern w:val="0"/>
      <w:sz w:val="18"/>
    </w:rPr>
  </w:style>
  <w:style w:type="paragraph" w:customStyle="1" w:styleId="809">
    <w:name w:val="Char Char11 Char Char Char1"/>
    <w:basedOn w:val="1"/>
    <w:qFormat/>
    <w:uiPriority w:val="6"/>
    <w:pPr>
      <w:spacing w:line="360" w:lineRule="auto"/>
    </w:pPr>
    <w:rPr>
      <w:szCs w:val="20"/>
    </w:rPr>
  </w:style>
  <w:style w:type="paragraph" w:customStyle="1" w:styleId="8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1">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qFormat/>
    <w:uiPriority w:val="0"/>
    <w:pPr>
      <w:spacing w:line="360" w:lineRule="auto"/>
    </w:pPr>
    <w:rPr>
      <w:szCs w:val="20"/>
    </w:rPr>
  </w:style>
  <w:style w:type="paragraph" w:customStyle="1" w:styleId="81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qFormat/>
    <w:uiPriority w:val="0"/>
    <w:rPr>
      <w:rFonts w:ascii="仿宋_GB2312" w:eastAsia="仿宋_GB2312"/>
      <w:b/>
      <w:sz w:val="32"/>
      <w:szCs w:val="32"/>
    </w:rPr>
  </w:style>
  <w:style w:type="paragraph" w:customStyle="1" w:styleId="81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qFormat/>
    <w:uiPriority w:val="0"/>
    <w:pPr>
      <w:adjustRightInd/>
      <w:spacing w:line="360" w:lineRule="auto"/>
      <w:ind w:firstLine="480"/>
    </w:pPr>
    <w:rPr>
      <w:rFonts w:cs="宋体"/>
      <w:sz w:val="24"/>
      <w:szCs w:val="20"/>
    </w:rPr>
  </w:style>
  <w:style w:type="paragraph" w:customStyle="1" w:styleId="822">
    <w:name w:val="Char Char4 Char Char"/>
    <w:basedOn w:val="1"/>
    <w:qFormat/>
    <w:uiPriority w:val="0"/>
    <w:pPr>
      <w:widowControl/>
      <w:adjustRightInd/>
      <w:spacing w:after="160" w:line="240" w:lineRule="exact"/>
      <w:jc w:val="left"/>
    </w:pPr>
  </w:style>
  <w:style w:type="paragraph" w:customStyle="1" w:styleId="82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qFormat/>
    <w:uiPriority w:val="0"/>
    <w:pPr>
      <w:spacing w:line="360" w:lineRule="auto"/>
    </w:pPr>
    <w:rPr>
      <w:szCs w:val="20"/>
    </w:rPr>
  </w:style>
  <w:style w:type="paragraph" w:customStyle="1" w:styleId="82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qFormat/>
    <w:uiPriority w:val="0"/>
    <w:pPr>
      <w:adjustRightInd/>
      <w:ind w:firstLine="200" w:firstLineChars="200"/>
    </w:pPr>
    <w:rPr>
      <w:rFonts w:ascii="Tahoma" w:hAnsi="Tahoma"/>
      <w:sz w:val="24"/>
      <w:szCs w:val="20"/>
    </w:rPr>
  </w:style>
  <w:style w:type="paragraph" w:customStyle="1" w:styleId="832">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qFormat/>
    <w:uiPriority w:val="0"/>
    <w:pPr>
      <w:tabs>
        <w:tab w:val="left" w:pos="0"/>
      </w:tabs>
      <w:ind w:left="900" w:firstLine="0" w:firstLineChars="0"/>
    </w:pPr>
  </w:style>
  <w:style w:type="paragraph" w:customStyle="1" w:styleId="835">
    <w:name w:val="Bulleted List"/>
    <w:basedOn w:val="1"/>
    <w:qFormat/>
    <w:uiPriority w:val="0"/>
    <w:pPr>
      <w:tabs>
        <w:tab w:val="left" w:pos="1260"/>
      </w:tabs>
      <w:adjustRightInd/>
      <w:ind w:left="1260" w:hanging="420"/>
    </w:pPr>
  </w:style>
  <w:style w:type="paragraph" w:customStyle="1" w:styleId="836">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qFormat/>
    <w:uiPriority w:val="0"/>
    <w:rPr>
      <w:rFonts w:ascii="Tahoma" w:hAnsi="Tahoma" w:cs="仿宋_GB2312"/>
      <w:sz w:val="24"/>
      <w:szCs w:val="20"/>
    </w:rPr>
  </w:style>
  <w:style w:type="paragraph" w:customStyle="1" w:styleId="839">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qFormat/>
    <w:uiPriority w:val="0"/>
    <w:rPr>
      <w:rFonts w:ascii="仿宋_GB2312" w:eastAsia="仿宋_GB2312"/>
      <w:b/>
      <w:sz w:val="32"/>
      <w:szCs w:val="20"/>
    </w:rPr>
  </w:style>
  <w:style w:type="paragraph" w:customStyle="1" w:styleId="84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qFormat/>
    <w:uiPriority w:val="0"/>
    <w:rPr>
      <w:rFonts w:ascii="仿宋_GB2312" w:eastAsia="仿宋_GB2312"/>
      <w:b/>
      <w:sz w:val="32"/>
      <w:szCs w:val="20"/>
    </w:rPr>
  </w:style>
  <w:style w:type="paragraph" w:customStyle="1" w:styleId="84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qFormat/>
    <w:uiPriority w:val="0"/>
    <w:pPr>
      <w:widowControl/>
      <w:spacing w:after="160" w:line="240" w:lineRule="exact"/>
      <w:jc w:val="left"/>
    </w:pPr>
    <w:rPr>
      <w:rFonts w:eastAsia="仿宋_GB2312"/>
      <w:sz w:val="28"/>
    </w:rPr>
  </w:style>
  <w:style w:type="paragraph" w:customStyle="1" w:styleId="860">
    <w:name w:val="Char21"/>
    <w:basedOn w:val="1"/>
    <w:qFormat/>
    <w:uiPriority w:val="0"/>
    <w:pPr>
      <w:adjustRightInd/>
      <w:ind w:firstLine="200" w:firstLineChars="200"/>
    </w:pPr>
    <w:rPr>
      <w:rFonts w:ascii="仿宋_GB2312" w:eastAsia="仿宋_GB2312"/>
      <w:b/>
      <w:sz w:val="32"/>
      <w:szCs w:val="32"/>
    </w:rPr>
  </w:style>
  <w:style w:type="paragraph" w:customStyle="1" w:styleId="861">
    <w:name w:val="列表段落1"/>
    <w:basedOn w:val="1"/>
    <w:qFormat/>
    <w:uiPriority w:val="34"/>
    <w:pPr>
      <w:adjustRightInd/>
      <w:ind w:right="238" w:firstLine="420"/>
    </w:pPr>
    <w:rPr>
      <w:rFonts w:ascii="Calibri" w:hAnsi="Calibri"/>
      <w:sz w:val="24"/>
    </w:rPr>
  </w:style>
  <w:style w:type="paragraph" w:customStyle="1" w:styleId="862">
    <w:name w:val="Char Char110"/>
    <w:basedOn w:val="1"/>
    <w:qFormat/>
    <w:uiPriority w:val="6"/>
    <w:pPr>
      <w:spacing w:line="360" w:lineRule="auto"/>
    </w:pPr>
    <w:rPr>
      <w:rFonts w:ascii="Tahoma" w:hAnsi="Tahoma"/>
      <w:sz w:val="24"/>
      <w:szCs w:val="20"/>
    </w:rPr>
  </w:style>
  <w:style w:type="paragraph" w:customStyle="1" w:styleId="86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qFormat/>
    <w:uiPriority w:val="0"/>
    <w:rPr>
      <w:rFonts w:ascii="Tahoma" w:hAnsi="Tahoma" w:cs="仿宋_GB2312"/>
      <w:sz w:val="24"/>
      <w:szCs w:val="20"/>
    </w:rPr>
  </w:style>
  <w:style w:type="paragraph" w:customStyle="1" w:styleId="86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2">
    <w:name w:val="_Style 12"/>
    <w:basedOn w:val="18"/>
    <w:qFormat/>
    <w:uiPriority w:val="0"/>
    <w:pPr>
      <w:snapToGrid w:val="0"/>
      <w:spacing w:line="360" w:lineRule="auto"/>
    </w:pPr>
  </w:style>
  <w:style w:type="paragraph" w:customStyle="1" w:styleId="873">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8"/>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qFormat/>
    <w:uiPriority w:val="0"/>
    <w:pPr>
      <w:outlineLvl w:val="2"/>
    </w:pPr>
  </w:style>
  <w:style w:type="paragraph" w:customStyle="1" w:styleId="880">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qFormat/>
    <w:uiPriority w:val="0"/>
    <w:pPr>
      <w:adjustRightInd/>
      <w:ind w:firstLine="200" w:firstLineChars="200"/>
    </w:pPr>
    <w:rPr>
      <w:rFonts w:ascii="Tahoma" w:hAnsi="Tahoma"/>
      <w:sz w:val="24"/>
      <w:szCs w:val="20"/>
    </w:rPr>
  </w:style>
  <w:style w:type="paragraph" w:customStyle="1" w:styleId="882">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3">
    <w:name w:val="MM Empty"/>
    <w:basedOn w:val="1"/>
    <w:qFormat/>
    <w:uiPriority w:val="0"/>
    <w:pPr>
      <w:adjustRightInd/>
    </w:pPr>
  </w:style>
  <w:style w:type="paragraph" w:customStyle="1" w:styleId="884">
    <w:name w:val="Char24"/>
    <w:basedOn w:val="1"/>
    <w:qFormat/>
    <w:uiPriority w:val="0"/>
    <w:rPr>
      <w:rFonts w:ascii="仿宋_GB2312" w:eastAsia="仿宋_GB2312"/>
      <w:b/>
      <w:sz w:val="32"/>
      <w:szCs w:val="32"/>
    </w:rPr>
  </w:style>
  <w:style w:type="paragraph" w:customStyle="1" w:styleId="885">
    <w:name w:val="正文箭头"/>
    <w:basedOn w:val="537"/>
    <w:qFormat/>
    <w:uiPriority w:val="0"/>
  </w:style>
  <w:style w:type="paragraph" w:customStyle="1" w:styleId="886">
    <w:name w:val="U_编号2"/>
    <w:basedOn w:val="1"/>
    <w:qFormat/>
    <w:uiPriority w:val="0"/>
    <w:pPr>
      <w:tabs>
        <w:tab w:val="left" w:pos="785"/>
      </w:tabs>
      <w:adjustRightInd/>
      <w:spacing w:beforeLines="10" w:afterLines="10" w:line="300" w:lineRule="auto"/>
    </w:pPr>
    <w:rPr>
      <w:sz w:val="24"/>
    </w:rPr>
  </w:style>
  <w:style w:type="paragraph" w:customStyle="1" w:styleId="88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qFormat/>
    <w:uiPriority w:val="34"/>
    <w:pPr>
      <w:adjustRightInd/>
      <w:ind w:firstLine="420" w:firstLineChars="200"/>
    </w:pPr>
    <w:rPr>
      <w:rFonts w:eastAsia="仿宋_GB2312"/>
      <w:sz w:val="28"/>
    </w:rPr>
  </w:style>
  <w:style w:type="paragraph" w:customStyle="1" w:styleId="892">
    <w:name w:val="表格 内容"/>
    <w:basedOn w:val="728"/>
    <w:qFormat/>
    <w:uiPriority w:val="0"/>
    <w:rPr>
      <w:b w:val="0"/>
      <w:sz w:val="20"/>
    </w:rPr>
  </w:style>
  <w:style w:type="paragraph" w:customStyle="1" w:styleId="893">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7"/>
    <w:next w:val="1"/>
    <w:qFormat/>
    <w:uiPriority w:val="0"/>
    <w:pPr>
      <w:tabs>
        <w:tab w:val="left" w:pos="1080"/>
      </w:tabs>
      <w:ind w:left="1080" w:hanging="1080"/>
    </w:pPr>
  </w:style>
  <w:style w:type="paragraph" w:customStyle="1" w:styleId="896">
    <w:name w:val="数字标题1"/>
    <w:basedOn w:val="2"/>
    <w:next w:val="1"/>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qFormat/>
    <w:uiPriority w:val="0"/>
    <w:pPr>
      <w:widowControl/>
    </w:pPr>
    <w:rPr>
      <w:kern w:val="0"/>
      <w:sz w:val="24"/>
      <w:szCs w:val="20"/>
    </w:rPr>
  </w:style>
  <w:style w:type="paragraph" w:customStyle="1" w:styleId="904">
    <w:name w:val="Char Char113"/>
    <w:basedOn w:val="1"/>
    <w:qFormat/>
    <w:uiPriority w:val="0"/>
    <w:pPr>
      <w:widowControl/>
      <w:spacing w:after="160" w:line="240" w:lineRule="exact"/>
      <w:jc w:val="left"/>
    </w:pPr>
    <w:rPr>
      <w:rFonts w:eastAsia="仿宋_GB2312"/>
      <w:sz w:val="28"/>
    </w:rPr>
  </w:style>
  <w:style w:type="paragraph" w:customStyle="1" w:styleId="905">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qFormat/>
    <w:uiPriority w:val="34"/>
    <w:pPr>
      <w:adjustRightInd/>
      <w:ind w:firstLine="420" w:firstLineChars="200"/>
    </w:pPr>
    <w:rPr>
      <w:rFonts w:eastAsia="仿宋_GB2312"/>
      <w:sz w:val="28"/>
    </w:rPr>
  </w:style>
  <w:style w:type="paragraph" w:customStyle="1" w:styleId="90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qFormat/>
    <w:uiPriority w:val="6"/>
    <w:pPr>
      <w:widowControl/>
      <w:spacing w:after="160" w:line="240" w:lineRule="exact"/>
      <w:jc w:val="left"/>
    </w:pPr>
    <w:rPr>
      <w:rFonts w:eastAsia="仿宋_GB2312"/>
      <w:sz w:val="28"/>
    </w:rPr>
  </w:style>
  <w:style w:type="paragraph" w:customStyle="1" w:styleId="913">
    <w:name w:val="正文 图"/>
    <w:basedOn w:val="443"/>
    <w:qFormat/>
    <w:uiPriority w:val="0"/>
    <w:pPr>
      <w:adjustRightInd/>
      <w:spacing w:before="0"/>
      <w:ind w:firstLine="0"/>
      <w:jc w:val="center"/>
    </w:pPr>
    <w:rPr>
      <w:rFonts w:ascii="微软雅黑" w:hAnsi="微软雅黑"/>
    </w:rPr>
  </w:style>
  <w:style w:type="paragraph" w:customStyle="1" w:styleId="91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1"/>
    <w:qFormat/>
    <w:uiPriority w:val="0"/>
    <w:pPr>
      <w:ind w:left="0"/>
    </w:pPr>
  </w:style>
  <w:style w:type="paragraph" w:customStyle="1" w:styleId="917">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qFormat/>
    <w:uiPriority w:val="0"/>
    <w:pPr>
      <w:adjustRightInd/>
      <w:spacing w:line="360" w:lineRule="auto"/>
      <w:ind w:firstLine="480"/>
    </w:pPr>
    <w:rPr>
      <w:sz w:val="24"/>
    </w:rPr>
  </w:style>
  <w:style w:type="table" w:customStyle="1" w:styleId="920">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6">
    <w:name w:val="列出段落111"/>
    <w:basedOn w:val="1"/>
    <w:qFormat/>
    <w:uiPriority w:val="34"/>
    <w:pPr>
      <w:ind w:firstLine="420" w:firstLineChars="200"/>
    </w:pPr>
  </w:style>
  <w:style w:type="character" w:customStyle="1" w:styleId="927">
    <w:name w:val="交叉引用"/>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qFormat/>
    <w:uiPriority w:val="0"/>
    <w:rPr>
      <w:rFonts w:ascii="宋体" w:eastAsia="宋体"/>
      <w:snapToGrid w:val="0"/>
      <w:color w:val="000000"/>
      <w:kern w:val="28"/>
      <w:sz w:val="28"/>
      <w:lang w:val="en-US" w:eastAsia="zh-CN" w:bidi="ar-SA"/>
    </w:rPr>
  </w:style>
  <w:style w:type="character" w:customStyle="1" w:styleId="929">
    <w:name w:val="页脚 字符1"/>
    <w:qFormat/>
    <w:locked/>
    <w:uiPriority w:val="99"/>
    <w:rPr>
      <w:kern w:val="2"/>
      <w:sz w:val="18"/>
      <w:szCs w:val="18"/>
    </w:rPr>
  </w:style>
  <w:style w:type="character" w:customStyle="1" w:styleId="930">
    <w:name w:val="页眉 字符1"/>
    <w:qFormat/>
    <w:uiPriority w:val="99"/>
    <w:rPr>
      <w:kern w:val="2"/>
      <w:sz w:val="18"/>
      <w:szCs w:val="18"/>
    </w:rPr>
  </w:style>
  <w:style w:type="character" w:customStyle="1" w:styleId="931">
    <w:name w:val="尾注文本 字符"/>
    <w:link w:val="37"/>
    <w:qFormat/>
    <w:uiPriority w:val="0"/>
    <w:rPr>
      <w:kern w:val="2"/>
      <w:sz w:val="21"/>
      <w:szCs w:val="24"/>
      <w:lang w:val="zh-CN"/>
    </w:rPr>
  </w:style>
  <w:style w:type="character" w:customStyle="1" w:styleId="932">
    <w:name w:val="无间隔 字符"/>
    <w:link w:val="482"/>
    <w:qFormat/>
    <w:uiPriority w:val="99"/>
    <w:rPr>
      <w:kern w:val="2"/>
      <w:sz w:val="21"/>
      <w:szCs w:val="22"/>
    </w:rPr>
  </w:style>
  <w:style w:type="character" w:customStyle="1" w:styleId="933">
    <w:name w:val="标准文本 Char Char"/>
    <w:link w:val="934"/>
    <w:qFormat/>
    <w:uiPriority w:val="0"/>
    <w:rPr>
      <w:rFonts w:cs="宋体"/>
      <w:kern w:val="2"/>
      <w:sz w:val="24"/>
    </w:rPr>
  </w:style>
  <w:style w:type="paragraph" w:customStyle="1" w:styleId="934">
    <w:name w:val="标准文本"/>
    <w:basedOn w:val="1"/>
    <w:link w:val="933"/>
    <w:qFormat/>
    <w:uiPriority w:val="0"/>
    <w:pPr>
      <w:adjustRightInd/>
      <w:spacing w:line="360" w:lineRule="auto"/>
      <w:ind w:firstLine="480" w:firstLineChars="200"/>
    </w:pPr>
    <w:rPr>
      <w:rFonts w:cs="宋体"/>
      <w:sz w:val="24"/>
      <w:szCs w:val="20"/>
    </w:rPr>
  </w:style>
  <w:style w:type="character" w:customStyle="1" w:styleId="935">
    <w:name w:val="Char Char213"/>
    <w:qFormat/>
    <w:uiPriority w:val="0"/>
    <w:rPr>
      <w:rFonts w:eastAsia="Century Gothic"/>
      <w:b/>
      <w:bCs/>
      <w:kern w:val="44"/>
      <w:sz w:val="32"/>
      <w:szCs w:val="44"/>
      <w:lang w:val="en-US" w:eastAsia="zh-CN" w:bidi="ar-SA"/>
    </w:rPr>
  </w:style>
  <w:style w:type="character" w:customStyle="1" w:styleId="936">
    <w:name w:val="apple-style-span"/>
    <w:qFormat/>
    <w:uiPriority w:val="0"/>
    <w:rPr>
      <w:rFonts w:ascii="Arial" w:hAnsi="Arial" w:eastAsia="黑体" w:cs="Arial"/>
      <w:snapToGrid w:val="0"/>
      <w:kern w:val="0"/>
      <w:szCs w:val="21"/>
    </w:rPr>
  </w:style>
  <w:style w:type="character" w:customStyle="1" w:styleId="937">
    <w:name w:val="15"/>
    <w:qFormat/>
    <w:uiPriority w:val="0"/>
    <w:rPr>
      <w:rFonts w:hint="default" w:ascii="Calibri" w:hAnsi="Calibri"/>
      <w:color w:val="0000FF"/>
      <w:u w:val="single"/>
    </w:rPr>
  </w:style>
  <w:style w:type="character" w:customStyle="1" w:styleId="938">
    <w:name w:val="16"/>
    <w:qFormat/>
    <w:uiPriority w:val="0"/>
    <w:rPr>
      <w:rFonts w:hint="eastAsia" w:ascii="宋体" w:hAnsi="宋体" w:eastAsia="宋体"/>
      <w:color w:val="000000"/>
      <w:sz w:val="20"/>
      <w:szCs w:val="20"/>
    </w:rPr>
  </w:style>
  <w:style w:type="character" w:customStyle="1" w:styleId="939">
    <w:name w:val="edui-unclickable"/>
    <w:qFormat/>
    <w:uiPriority w:val="0"/>
    <w:rPr>
      <w:color w:val="808080"/>
    </w:rPr>
  </w:style>
  <w:style w:type="character" w:customStyle="1" w:styleId="940">
    <w:name w:val="tpc_content1"/>
    <w:qFormat/>
    <w:uiPriority w:val="0"/>
    <w:rPr>
      <w:sz w:val="20"/>
      <w:szCs w:val="20"/>
    </w:rPr>
  </w:style>
  <w:style w:type="character" w:customStyle="1" w:styleId="941">
    <w:name w:val="正文文本缩进 字符"/>
    <w:qFormat/>
    <w:uiPriority w:val="0"/>
    <w:rPr>
      <w:rFonts w:ascii="Century Gothic" w:hAnsi="Century Gothic" w:eastAsia="Century Gothic"/>
      <w:kern w:val="2"/>
      <w:sz w:val="24"/>
      <w:lang w:val="en-US" w:eastAsia="zh-CN" w:bidi="ar-SA"/>
    </w:rPr>
  </w:style>
  <w:style w:type="character" w:customStyle="1" w:styleId="942">
    <w:name w:val="正文文本 2 字符"/>
    <w:qFormat/>
    <w:uiPriority w:val="0"/>
    <w:rPr>
      <w:rFonts w:ascii="Arial" w:hAnsi="Arial" w:eastAsia="宋体"/>
      <w:kern w:val="2"/>
      <w:sz w:val="24"/>
      <w:szCs w:val="24"/>
      <w:lang w:val="en-US" w:eastAsia="zh-CN" w:bidi="ar-SA"/>
    </w:rPr>
  </w:style>
  <w:style w:type="character" w:customStyle="1" w:styleId="943">
    <w:name w:val="edui-clickable2"/>
    <w:qFormat/>
    <w:uiPriority w:val="0"/>
    <w:rPr>
      <w:color w:val="0000FF"/>
      <w:u w:val="single"/>
    </w:rPr>
  </w:style>
  <w:style w:type="character" w:customStyle="1" w:styleId="944">
    <w:name w:val="style1"/>
    <w:qFormat/>
    <w:uiPriority w:val="0"/>
    <w:rPr>
      <w:rFonts w:ascii="Arial" w:hAnsi="Arial" w:eastAsia="黑体" w:cs="Arial"/>
      <w:snapToGrid w:val="0"/>
      <w:kern w:val="0"/>
      <w:szCs w:val="21"/>
    </w:rPr>
  </w:style>
  <w:style w:type="character" w:customStyle="1" w:styleId="945">
    <w:name w:val="zbggtop11 style5"/>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7">
    <w:name w:val="bulletintext1"/>
    <w:qFormat/>
    <w:uiPriority w:val="0"/>
    <w:rPr>
      <w:color w:val="000000"/>
      <w:sz w:val="18"/>
    </w:rPr>
  </w:style>
  <w:style w:type="paragraph" w:customStyle="1" w:styleId="948">
    <w:name w:val="_Style 947"/>
    <w:basedOn w:val="1"/>
    <w:next w:val="258"/>
    <w:qFormat/>
    <w:uiPriority w:val="34"/>
    <w:pPr>
      <w:adjustRightInd/>
      <w:ind w:firstLine="420" w:firstLineChars="200"/>
    </w:pPr>
  </w:style>
  <w:style w:type="paragraph" w:customStyle="1" w:styleId="94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qFormat/>
    <w:uiPriority w:val="0"/>
    <w:pPr>
      <w:adjustRightInd/>
      <w:snapToGrid w:val="0"/>
      <w:jc w:val="left"/>
    </w:pPr>
    <w:rPr>
      <w:rFonts w:ascii="Century Gothic" w:hAnsi="楷体_GB2312" w:eastAsia="Century Gothic"/>
      <w:szCs w:val="20"/>
    </w:rPr>
  </w:style>
  <w:style w:type="paragraph" w:customStyle="1" w:styleId="95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qFormat/>
    <w:uiPriority w:val="0"/>
    <w:pPr>
      <w:autoSpaceDE w:val="0"/>
      <w:autoSpaceDN w:val="0"/>
      <w:spacing w:before="100" w:after="100"/>
      <w:ind w:left="360" w:right="360"/>
      <w:jc w:val="left"/>
    </w:pPr>
    <w:rPr>
      <w:kern w:val="0"/>
      <w:sz w:val="24"/>
      <w:szCs w:val="20"/>
    </w:rPr>
  </w:style>
  <w:style w:type="paragraph" w:customStyle="1" w:styleId="955">
    <w:name w:val="p1"/>
    <w:basedOn w:val="1"/>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qFormat/>
    <w:uiPriority w:val="0"/>
    <w:pPr>
      <w:adjustRightInd/>
      <w:jc w:val="left"/>
    </w:pPr>
    <w:rPr>
      <w:rFonts w:ascii="Calibri" w:hAnsi="Calibri"/>
      <w:kern w:val="0"/>
      <w:sz w:val="22"/>
      <w:szCs w:val="22"/>
      <w:lang w:eastAsia="en-US"/>
    </w:rPr>
  </w:style>
  <w:style w:type="paragraph" w:customStyle="1" w:styleId="95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69"/>
    <w:qFormat/>
    <w:uiPriority w:val="0"/>
    <w:rPr>
      <w:color w:val="000000"/>
      <w:shd w:val="clear" w:color="auto" w:fill="EFD200"/>
    </w:rPr>
  </w:style>
  <w:style w:type="character" w:customStyle="1" w:styleId="961">
    <w:name w:val="font71"/>
    <w:qFormat/>
    <w:uiPriority w:val="0"/>
    <w:rPr>
      <w:rFonts w:hint="eastAsia" w:ascii="宋体" w:hAnsi="宋体" w:eastAsia="宋体" w:cs="宋体"/>
      <w:color w:val="000000"/>
      <w:sz w:val="22"/>
      <w:szCs w:val="22"/>
      <w:u w:val="none"/>
    </w:rPr>
  </w:style>
  <w:style w:type="character" w:customStyle="1" w:styleId="962">
    <w:name w:val="font91"/>
    <w:qFormat/>
    <w:uiPriority w:val="0"/>
    <w:rPr>
      <w:rFonts w:hint="eastAsia" w:ascii="仿宋" w:hAnsi="仿宋" w:eastAsia="仿宋" w:cs="仿宋"/>
      <w:color w:val="000000"/>
      <w:sz w:val="22"/>
      <w:szCs w:val="22"/>
      <w:u w:val="none"/>
    </w:rPr>
  </w:style>
  <w:style w:type="paragraph" w:customStyle="1" w:styleId="963">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4">
    <w:name w:val="正文7"/>
    <w:basedOn w:val="1"/>
    <w:qFormat/>
    <w:uiPriority w:val="0"/>
    <w:pPr>
      <w:spacing w:line="318" w:lineRule="atLeast"/>
      <w:ind w:left="369" w:firstLine="369"/>
      <w:textAlignment w:val="baseline"/>
    </w:pPr>
    <w:rPr>
      <w:rFonts w:ascii="宋体"/>
      <w:szCs w:val="20"/>
    </w:rPr>
  </w:style>
  <w:style w:type="paragraph" w:customStyle="1" w:styleId="965">
    <w:name w:val="tytytyty"/>
    <w:basedOn w:val="1"/>
    <w:qFormat/>
    <w:uiPriority w:val="99"/>
    <w:pPr>
      <w:spacing w:line="360" w:lineRule="auto"/>
      <w:ind w:left="359" w:leftChars="171" w:firstLine="480" w:firstLineChars="200"/>
    </w:pPr>
    <w:rPr>
      <w:sz w:val="24"/>
    </w:rPr>
  </w:style>
  <w:style w:type="character" w:customStyle="1" w:styleId="966">
    <w:name w:val="标题 1 Char Char Char"/>
    <w:qFormat/>
    <w:uiPriority w:val="0"/>
    <w:rPr>
      <w:rFonts w:eastAsia="宋体"/>
      <w:b/>
      <w:spacing w:val="-2"/>
      <w:sz w:val="24"/>
      <w:lang w:val="en-US" w:eastAsia="zh-CN" w:bidi="ar-SA"/>
    </w:rPr>
  </w:style>
  <w:style w:type="paragraph" w:customStyle="1" w:styleId="967">
    <w:name w:val="列出段落12"/>
    <w:qFormat/>
    <w:uiPriority w:val="0"/>
    <w:pPr>
      <w:widowControl w:val="0"/>
      <w:ind w:firstLine="420" w:firstLineChars="200"/>
      <w:jc w:val="both"/>
    </w:pPr>
    <w:rPr>
      <w:rFonts w:ascii="Times New Roman" w:hAnsi="Times New Roman" w:eastAsia="宋体" w:cs="Times New Roman"/>
      <w:kern w:val="2"/>
      <w:sz w:val="21"/>
      <w:szCs w:val="24"/>
      <w:lang w:val="zh-CN" w:eastAsia="zh-CN" w:bidi="ar-SA"/>
    </w:rPr>
  </w:style>
  <w:style w:type="paragraph" w:customStyle="1" w:styleId="968">
    <w:name w:val="BodyText1I2"/>
    <w:basedOn w:val="969"/>
    <w:next w:val="1"/>
    <w:qFormat/>
    <w:uiPriority w:val="0"/>
    <w:pPr>
      <w:ind w:firstLine="420"/>
    </w:pPr>
    <w:rPr>
      <w:rFonts w:ascii="Calibri" w:hAnsi="Calibri"/>
    </w:rPr>
  </w:style>
  <w:style w:type="paragraph" w:customStyle="1" w:styleId="969">
    <w:name w:val="BodyTextIndent"/>
    <w:basedOn w:val="1"/>
    <w:next w:val="1"/>
    <w:qFormat/>
    <w:uiPriority w:val="0"/>
    <w:pPr>
      <w:spacing w:line="200" w:lineRule="exact"/>
      <w:ind w:firstLine="301"/>
      <w:textAlignment w:val="baseline"/>
    </w:pPr>
    <w:rPr>
      <w:rFonts w:ascii="宋体" w:hAnsi="Courier New"/>
      <w:spacing w:val="-4"/>
      <w:kern w:val="0"/>
      <w:sz w:val="18"/>
      <w:szCs w:val="20"/>
    </w:rPr>
  </w:style>
  <w:style w:type="paragraph" w:customStyle="1" w:styleId="970">
    <w:name w:val="正文缩进2"/>
    <w:basedOn w:val="1"/>
    <w:qFormat/>
    <w:uiPriority w:val="0"/>
    <w:pPr>
      <w:spacing w:line="315" w:lineRule="atLeast"/>
      <w:ind w:firstLine="420"/>
      <w:textAlignment w:val="baseline"/>
    </w:pPr>
    <w:rPr>
      <w:rFonts w:ascii="宋体"/>
      <w:kern w:val="0"/>
    </w:rPr>
  </w:style>
  <w:style w:type="paragraph" w:customStyle="1" w:styleId="971">
    <w:name w:val="样式 *正文 + 五号 首行缩进:  2 字符"/>
    <w:basedOn w:val="85"/>
    <w:unhideWhenUsed/>
    <w:qFormat/>
    <w:uiPriority w:val="0"/>
    <w:pPr>
      <w:spacing w:beforeLines="0" w:afterLines="0"/>
      <w:ind w:firstLine="420"/>
    </w:pPr>
    <w:rPr>
      <w:rFonts w:hint="eastAsia" w:cs="宋体"/>
      <w:sz w:val="21"/>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80</Pages>
  <Words>51236</Words>
  <Characters>53951</Characters>
  <Lines>436</Lines>
  <Paragraphs>122</Paragraphs>
  <TotalTime>38</TotalTime>
  <ScaleCrop>false</ScaleCrop>
  <LinksUpToDate>false</LinksUpToDate>
  <CharactersWithSpaces>58768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2023-08-16T03:27:00Z</dcterms:created>
  <dc:creator>玥</dc:creator>
  <cp:lastModifiedBy>克拉克</cp:lastModifiedBy>
  <cp:lastPrinted>2023-10-08T05:59:00Z</cp:lastPrinted>
  <dcterms:modified xsi:type="dcterms:W3CDTF">2023-10-19T03:24:04Z</dcterms:modified>
  <dc:title>杭州市市民卡扩大发卡工程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106F702B3C3B4FEF9EFD9E5C774E0B5C_13</vt:lpwstr>
  </property>
</Properties>
</file>