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s="宋体"/>
          <w:color w:val="auto"/>
          <w:sz w:val="36"/>
          <w:szCs w:val="52"/>
          <w:highlight w:val="none"/>
        </w:rPr>
      </w:pPr>
    </w:p>
    <w:p>
      <w:pPr>
        <w:jc w:val="center"/>
        <w:rPr>
          <w:rFonts w:ascii="宋体" w:hAnsi="宋体" w:cs="宋体"/>
          <w:color w:val="auto"/>
          <w:sz w:val="36"/>
          <w:szCs w:val="52"/>
          <w:highlight w:val="none"/>
        </w:rPr>
      </w:pPr>
    </w:p>
    <w:p>
      <w:pPr>
        <w:jc w:val="center"/>
        <w:rPr>
          <w:rFonts w:hint="eastAsia" w:ascii="宋体" w:hAnsi="宋体" w:cs="宋体"/>
          <w:color w:val="auto"/>
          <w:sz w:val="36"/>
          <w:szCs w:val="52"/>
          <w:highlight w:val="none"/>
        </w:rPr>
      </w:pPr>
      <w:r>
        <w:rPr>
          <w:rFonts w:hint="eastAsia" w:ascii="宋体" w:hAnsi="宋体" w:cs="宋体"/>
          <w:color w:val="auto"/>
          <w:sz w:val="36"/>
          <w:szCs w:val="52"/>
          <w:highlight w:val="none"/>
        </w:rPr>
        <w:t>宁波市公安局交通警察局</w:t>
      </w:r>
    </w:p>
    <w:p>
      <w:pPr>
        <w:jc w:val="center"/>
        <w:rPr>
          <w:rFonts w:hint="eastAsia" w:ascii="宋体" w:hAnsi="宋体" w:eastAsia="宋体" w:cs="宋体"/>
          <w:color w:val="auto"/>
          <w:sz w:val="36"/>
          <w:szCs w:val="52"/>
          <w:highlight w:val="none"/>
          <w:lang w:val="en-US" w:eastAsia="zh-CN"/>
        </w:rPr>
      </w:pPr>
      <w:r>
        <w:rPr>
          <w:rFonts w:hint="eastAsia" w:ascii="宋体" w:hAnsi="宋体" w:cs="宋体"/>
          <w:color w:val="auto"/>
          <w:sz w:val="36"/>
          <w:szCs w:val="52"/>
          <w:highlight w:val="none"/>
          <w:lang w:eastAsia="zh-CN"/>
        </w:rPr>
        <w:t>2023年特种专业技术用车购置项目</w:t>
      </w:r>
    </w:p>
    <w:p>
      <w:pPr>
        <w:jc w:val="center"/>
        <w:rPr>
          <w:rFonts w:ascii="宋体" w:hAnsi="宋体" w:cs="宋体"/>
          <w:color w:val="auto"/>
          <w:sz w:val="36"/>
          <w:szCs w:val="52"/>
          <w:highlight w:val="none"/>
        </w:rPr>
      </w:pPr>
    </w:p>
    <w:p>
      <w:pPr>
        <w:jc w:val="center"/>
        <w:rPr>
          <w:rFonts w:ascii="宋体" w:hAnsi="宋体" w:cs="宋体"/>
          <w:color w:val="auto"/>
          <w:sz w:val="36"/>
          <w:szCs w:val="52"/>
          <w:highlight w:val="none"/>
        </w:rPr>
      </w:pPr>
      <w:r>
        <w:rPr>
          <w:rFonts w:hint="eastAsia" w:ascii="宋体" w:hAnsi="宋体" w:cs="宋体"/>
          <w:color w:val="auto"/>
          <w:sz w:val="36"/>
          <w:szCs w:val="52"/>
          <w:highlight w:val="none"/>
        </w:rPr>
        <w:t>项目编号：CBNB-20232467G询</w:t>
      </w:r>
    </w:p>
    <w:p>
      <w:pPr>
        <w:shd w:val="clear" w:color="auto" w:fill="FFFFFF"/>
        <w:spacing w:after="100" w:afterAutospacing="1" w:line="820" w:lineRule="exact"/>
        <w:ind w:right="-108"/>
        <w:jc w:val="center"/>
        <w:rPr>
          <w:rFonts w:ascii="宋体" w:hAnsi="宋体" w:cs="宋体"/>
          <w:bCs/>
          <w:color w:val="auto"/>
          <w:spacing w:val="40"/>
          <w:sz w:val="56"/>
          <w:szCs w:val="84"/>
          <w:highlight w:val="none"/>
        </w:rPr>
      </w:pPr>
    </w:p>
    <w:p>
      <w:pPr>
        <w:jc w:val="center"/>
        <w:rPr>
          <w:rFonts w:ascii="宋体" w:hAnsi="宋体" w:cs="宋体"/>
          <w:b/>
          <w:bCs/>
          <w:color w:val="auto"/>
          <w:spacing w:val="40"/>
          <w:sz w:val="56"/>
          <w:szCs w:val="84"/>
          <w:highlight w:val="none"/>
        </w:rPr>
      </w:pPr>
      <w:r>
        <w:rPr>
          <w:rFonts w:hint="eastAsia" w:ascii="宋体" w:hAnsi="宋体" w:cs="宋体"/>
          <w:b/>
          <w:bCs/>
          <w:color w:val="auto"/>
          <w:spacing w:val="40"/>
          <w:sz w:val="56"/>
          <w:szCs w:val="84"/>
          <w:highlight w:val="none"/>
        </w:rPr>
        <w:t>询价通知书</w:t>
      </w:r>
    </w:p>
    <w:p>
      <w:pPr>
        <w:shd w:val="clear" w:color="auto" w:fill="FFFFFF"/>
        <w:ind w:right="-108"/>
        <w:jc w:val="center"/>
        <w:rPr>
          <w:rFonts w:ascii="宋体" w:hAnsi="宋体" w:cs="宋体"/>
          <w:bCs/>
          <w:color w:val="auto"/>
          <w:spacing w:val="40"/>
          <w:sz w:val="28"/>
          <w:szCs w:val="84"/>
          <w:highlight w:val="none"/>
        </w:rPr>
      </w:pPr>
      <w:r>
        <w:rPr>
          <w:rFonts w:hint="eastAsia" w:ascii="宋体" w:hAnsi="宋体" w:cs="宋体"/>
          <w:bCs/>
          <w:color w:val="auto"/>
          <w:spacing w:val="40"/>
          <w:sz w:val="28"/>
          <w:szCs w:val="84"/>
          <w:highlight w:val="none"/>
        </w:rPr>
        <w:t>（政府采购电子交易项目）</w:t>
      </w:r>
    </w:p>
    <w:p>
      <w:pPr>
        <w:shd w:val="clear" w:color="auto" w:fill="FFFFFF"/>
        <w:spacing w:after="100" w:afterAutospacing="1" w:line="820" w:lineRule="exact"/>
        <w:ind w:right="-108"/>
        <w:jc w:val="center"/>
        <w:rPr>
          <w:rFonts w:ascii="宋体" w:hAnsi="宋体" w:cs="宋体"/>
          <w:bCs/>
          <w:color w:val="auto"/>
          <w:spacing w:val="40"/>
          <w:sz w:val="56"/>
          <w:szCs w:val="84"/>
          <w:highlight w:val="none"/>
        </w:rPr>
      </w:pPr>
    </w:p>
    <w:p>
      <w:pPr>
        <w:jc w:val="center"/>
        <w:rPr>
          <w:rFonts w:ascii="宋体" w:hAnsi="宋体" w:cs="宋体"/>
          <w:bCs/>
          <w:color w:val="auto"/>
          <w:spacing w:val="40"/>
          <w:sz w:val="56"/>
          <w:szCs w:val="84"/>
          <w:highlight w:val="none"/>
        </w:rPr>
      </w:pPr>
    </w:p>
    <w:p>
      <w:pPr>
        <w:shd w:val="clear" w:color="auto" w:fill="FFFFFF"/>
        <w:spacing w:after="100" w:afterAutospacing="1" w:line="820" w:lineRule="exact"/>
        <w:ind w:right="-108"/>
        <w:jc w:val="center"/>
        <w:rPr>
          <w:rFonts w:ascii="宋体" w:hAnsi="宋体" w:cs="宋体"/>
          <w:bCs/>
          <w:color w:val="auto"/>
          <w:spacing w:val="40"/>
          <w:sz w:val="56"/>
          <w:szCs w:val="84"/>
          <w:highlight w:val="none"/>
        </w:rPr>
      </w:pPr>
    </w:p>
    <w:p>
      <w:pPr>
        <w:shd w:val="clear" w:color="auto" w:fill="FFFFFF"/>
        <w:spacing w:after="100" w:afterAutospacing="1" w:line="820" w:lineRule="exact"/>
        <w:ind w:right="-108"/>
        <w:jc w:val="center"/>
        <w:rPr>
          <w:rFonts w:ascii="宋体" w:hAnsi="宋体" w:cs="宋体"/>
          <w:bCs/>
          <w:color w:val="auto"/>
          <w:spacing w:val="40"/>
          <w:sz w:val="56"/>
          <w:szCs w:val="84"/>
          <w:highlight w:val="none"/>
        </w:rPr>
      </w:pPr>
    </w:p>
    <w:p>
      <w:pPr>
        <w:rPr>
          <w:rFonts w:ascii="宋体" w:hAnsi="宋体" w:cs="宋体"/>
          <w:color w:val="auto"/>
          <w:sz w:val="36"/>
          <w:szCs w:val="52"/>
          <w:highlight w:val="none"/>
        </w:rPr>
      </w:pPr>
      <w:r>
        <w:rPr>
          <w:rFonts w:hint="eastAsia" w:ascii="宋体" w:hAnsi="宋体" w:cs="宋体"/>
          <w:color w:val="auto"/>
          <w:sz w:val="36"/>
          <w:szCs w:val="52"/>
          <w:highlight w:val="none"/>
        </w:rPr>
        <w:t>采购人：宁波市公安局交通警察局</w:t>
      </w:r>
    </w:p>
    <w:p>
      <w:pPr>
        <w:rPr>
          <w:rFonts w:ascii="宋体" w:hAnsi="宋体" w:cs="宋体"/>
          <w:color w:val="auto"/>
          <w:sz w:val="36"/>
          <w:szCs w:val="52"/>
          <w:highlight w:val="none"/>
        </w:rPr>
      </w:pPr>
      <w:r>
        <w:rPr>
          <w:rFonts w:hint="eastAsia" w:ascii="宋体" w:hAnsi="宋体" w:cs="宋体"/>
          <w:color w:val="auto"/>
          <w:sz w:val="36"/>
          <w:szCs w:val="52"/>
          <w:highlight w:val="none"/>
        </w:rPr>
        <w:t>采购代理机构：宁波</w:t>
      </w:r>
      <w:r>
        <w:rPr>
          <w:rFonts w:hint="eastAsia" w:ascii="宋体" w:hAnsi="宋体" w:cs="宋体"/>
          <w:color w:val="auto"/>
          <w:sz w:val="36"/>
          <w:szCs w:val="52"/>
          <w:highlight w:val="none"/>
          <w:lang w:val="en-US" w:eastAsia="zh-CN"/>
        </w:rPr>
        <w:t>中基国际</w:t>
      </w:r>
      <w:r>
        <w:rPr>
          <w:rFonts w:hint="eastAsia" w:ascii="宋体" w:hAnsi="宋体" w:cs="宋体"/>
          <w:color w:val="auto"/>
          <w:sz w:val="36"/>
          <w:szCs w:val="52"/>
          <w:highlight w:val="none"/>
        </w:rPr>
        <w:t>招标代理有限公司</w:t>
      </w:r>
    </w:p>
    <w:p>
      <w:pPr>
        <w:rPr>
          <w:rFonts w:ascii="宋体" w:hAnsi="宋体" w:cs="宋体"/>
          <w:color w:val="auto"/>
          <w:sz w:val="36"/>
          <w:szCs w:val="52"/>
          <w:highlight w:val="none"/>
        </w:rPr>
      </w:pPr>
      <w:r>
        <w:rPr>
          <w:rFonts w:hint="eastAsia" w:ascii="宋体" w:hAnsi="宋体" w:cs="宋体"/>
          <w:color w:val="auto"/>
          <w:sz w:val="36"/>
          <w:szCs w:val="52"/>
          <w:highlight w:val="none"/>
        </w:rPr>
        <w:t>编制日期：2023年</w:t>
      </w:r>
      <w:r>
        <w:rPr>
          <w:rFonts w:hint="eastAsia" w:ascii="宋体" w:hAnsi="宋体" w:cs="宋体"/>
          <w:color w:val="auto"/>
          <w:sz w:val="36"/>
          <w:szCs w:val="52"/>
          <w:highlight w:val="none"/>
          <w:lang w:val="en-US" w:eastAsia="zh-CN"/>
        </w:rPr>
        <w:t>11</w:t>
      </w:r>
      <w:r>
        <w:rPr>
          <w:rFonts w:hint="eastAsia" w:ascii="宋体" w:hAnsi="宋体" w:cs="宋体"/>
          <w:color w:val="auto"/>
          <w:sz w:val="36"/>
          <w:szCs w:val="52"/>
          <w:highlight w:val="none"/>
        </w:rPr>
        <w:t>月</w:t>
      </w:r>
    </w:p>
    <w:p>
      <w:pPr>
        <w:spacing w:line="480" w:lineRule="auto"/>
        <w:jc w:val="center"/>
        <w:rPr>
          <w:rFonts w:ascii="宋体" w:hAnsi="宋体"/>
          <w:color w:val="auto"/>
          <w:sz w:val="24"/>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387" w:right="1440" w:bottom="1800" w:left="1440" w:header="851" w:footer="851" w:gutter="0"/>
          <w:pgNumType w:start="1"/>
          <w:cols w:space="720" w:num="1"/>
          <w:titlePg/>
          <w:docGrid w:linePitch="312" w:charSpace="0"/>
        </w:sectPr>
      </w:pPr>
    </w:p>
    <w:sdt>
      <w:sdtPr>
        <w:rPr>
          <w:rFonts w:ascii="Calibri" w:hAnsi="Calibri"/>
          <w:b w:val="0"/>
          <w:bCs w:val="0"/>
          <w:color w:val="auto"/>
          <w:kern w:val="2"/>
          <w:sz w:val="21"/>
          <w:szCs w:val="22"/>
          <w:highlight w:val="none"/>
          <w:lang w:val="zh-CN"/>
        </w:rPr>
        <w:id w:val="-814564136"/>
        <w:docPartObj>
          <w:docPartGallery w:val="Table of Contents"/>
          <w:docPartUnique/>
        </w:docPartObj>
      </w:sdtPr>
      <w:sdtEndPr>
        <w:rPr>
          <w:rFonts w:ascii="Calibri" w:hAnsi="Calibri"/>
          <w:b w:val="0"/>
          <w:bCs w:val="0"/>
          <w:color w:val="auto"/>
          <w:kern w:val="2"/>
          <w:sz w:val="21"/>
          <w:szCs w:val="22"/>
          <w:highlight w:val="none"/>
          <w:lang w:val="zh-CN"/>
        </w:rPr>
      </w:sdtEndPr>
      <w:sdtContent>
        <w:p>
          <w:pPr>
            <w:pStyle w:val="148"/>
            <w:spacing w:line="480" w:lineRule="auto"/>
            <w:jc w:val="center"/>
            <w:rPr>
              <w:color w:val="auto"/>
              <w:sz w:val="32"/>
              <w:szCs w:val="32"/>
              <w:highlight w:val="none"/>
            </w:rPr>
          </w:pPr>
          <w:r>
            <w:rPr>
              <w:color w:val="auto"/>
              <w:sz w:val="32"/>
              <w:szCs w:val="32"/>
              <w:highlight w:val="none"/>
              <w:lang w:val="zh-CN"/>
            </w:rPr>
            <w:t>目</w:t>
          </w:r>
          <w:r>
            <w:rPr>
              <w:rFonts w:hint="eastAsia"/>
              <w:color w:val="auto"/>
              <w:sz w:val="32"/>
              <w:szCs w:val="32"/>
              <w:highlight w:val="none"/>
              <w:lang w:val="zh-CN"/>
            </w:rPr>
            <w:t xml:space="preserve"> </w:t>
          </w:r>
          <w:r>
            <w:rPr>
              <w:color w:val="auto"/>
              <w:sz w:val="32"/>
              <w:szCs w:val="32"/>
              <w:highlight w:val="none"/>
              <w:lang w:val="zh-CN"/>
            </w:rPr>
            <w:t>录</w:t>
          </w:r>
        </w:p>
        <w:p>
          <w:pPr>
            <w:pStyle w:val="29"/>
            <w:tabs>
              <w:tab w:val="right" w:leader="dot" w:pos="8898"/>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TOC \o "1-3" \h \z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"_Toc84582096"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第一章  询价公告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_Toc84582096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8898"/>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"_Toc84582097"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第二章  采购需求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val="en-US" w:eastAsia="zh-CN"/>
            </w:rPr>
            <w:t>6</w:t>
          </w:r>
          <w:r>
            <w:rPr>
              <w:rFonts w:hint="eastAsia" w:ascii="宋体" w:hAnsi="宋体" w:eastAsia="宋体" w:cs="宋体"/>
              <w:color w:val="auto"/>
              <w:sz w:val="28"/>
              <w:szCs w:val="28"/>
              <w:highlight w:val="none"/>
            </w:rPr>
            <w:fldChar w:fldCharType="end"/>
          </w:r>
        </w:p>
        <w:p>
          <w:pPr>
            <w:pStyle w:val="29"/>
            <w:tabs>
              <w:tab w:val="right" w:leader="dot" w:pos="8898"/>
            </w:tabs>
            <w:spacing w:line="480" w:lineRule="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"_Toc84582098"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第三章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t>1</w:t>
          </w:r>
        </w:p>
        <w:p>
          <w:pPr>
            <w:pStyle w:val="29"/>
            <w:tabs>
              <w:tab w:val="right" w:leader="dot" w:pos="8898"/>
            </w:tabs>
            <w:spacing w:line="480" w:lineRule="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"_Toc84582099"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第四章  评审方法、评审标准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t>1</w:t>
          </w:r>
        </w:p>
        <w:p>
          <w:pPr>
            <w:pStyle w:val="29"/>
            <w:tabs>
              <w:tab w:val="right" w:leader="dot" w:pos="8898"/>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"_Toc84582100"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第五章  合同文本</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_Toc84582100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8898"/>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"_Toc84582101" </w:instrText>
          </w:r>
          <w:r>
            <w:rPr>
              <w:rFonts w:hint="eastAsia" w:ascii="宋体" w:hAnsi="宋体" w:eastAsia="宋体" w:cs="宋体"/>
              <w:color w:val="auto"/>
              <w:sz w:val="28"/>
              <w:szCs w:val="28"/>
              <w:highlight w:val="none"/>
            </w:rPr>
            <w:fldChar w:fldCharType="separate"/>
          </w:r>
          <w:r>
            <w:rPr>
              <w:rStyle w:val="50"/>
              <w:rFonts w:hint="eastAsia" w:ascii="宋体" w:hAnsi="宋体" w:eastAsia="宋体" w:cs="宋体"/>
              <w:color w:val="auto"/>
              <w:sz w:val="28"/>
              <w:szCs w:val="28"/>
              <w:highlight w:val="none"/>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_Toc84582101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spacing w:line="480" w:lineRule="auto"/>
            <w:rPr>
              <w:color w:val="auto"/>
              <w:highlight w:val="none"/>
            </w:rPr>
          </w:pPr>
          <w:r>
            <w:rPr>
              <w:rFonts w:hint="eastAsia" w:ascii="宋体" w:hAnsi="宋体" w:eastAsia="宋体" w:cs="宋体"/>
              <w:b/>
              <w:bCs/>
              <w:color w:val="auto"/>
              <w:sz w:val="28"/>
              <w:szCs w:val="28"/>
              <w:highlight w:val="none"/>
              <w:lang w:val="zh-CN"/>
            </w:rPr>
            <w:fldChar w:fldCharType="end"/>
          </w:r>
        </w:p>
      </w:sdtContent>
    </w:sdt>
    <w:p>
      <w:pPr>
        <w:rPr>
          <w:color w:val="auto"/>
          <w:highlight w:val="none"/>
        </w:rPr>
      </w:pPr>
    </w:p>
    <w:p>
      <w:pPr>
        <w:pStyle w:val="3"/>
        <w:rPr>
          <w:color w:val="auto"/>
          <w:highlight w:val="none"/>
        </w:rPr>
      </w:pPr>
      <w:r>
        <w:rPr>
          <w:color w:val="auto"/>
          <w:sz w:val="30"/>
          <w:szCs w:val="30"/>
          <w:highlight w:val="none"/>
        </w:rPr>
        <w:br w:type="page"/>
      </w:r>
      <w:bookmarkStart w:id="0" w:name="_Toc482633072"/>
      <w:bookmarkStart w:id="1" w:name="_Toc84582096"/>
      <w:bookmarkStart w:id="2" w:name="_Toc23519003"/>
      <w:bookmarkStart w:id="3" w:name="_Toc23519154"/>
      <w:bookmarkStart w:id="4" w:name="_Toc84581842"/>
      <w:bookmarkStart w:id="5" w:name="采购公告"/>
      <w:r>
        <w:rPr>
          <w:rFonts w:hint="eastAsia"/>
          <w:color w:val="auto"/>
          <w:highlight w:val="none"/>
        </w:rPr>
        <w:t>第一章</w:t>
      </w:r>
      <w:r>
        <w:rPr>
          <w:color w:val="auto"/>
          <w:highlight w:val="none"/>
        </w:rPr>
        <w:t xml:space="preserve"> </w:t>
      </w:r>
      <w:r>
        <w:rPr>
          <w:rFonts w:hint="eastAsia"/>
          <w:color w:val="auto"/>
          <w:highlight w:val="none"/>
        </w:rPr>
        <w:t xml:space="preserve"> </w:t>
      </w:r>
      <w:bookmarkEnd w:id="0"/>
      <w:r>
        <w:rPr>
          <w:rFonts w:hint="eastAsia"/>
          <w:color w:val="auto"/>
          <w:highlight w:val="none"/>
        </w:rPr>
        <w:t>询价公告</w:t>
      </w:r>
      <w:bookmarkEnd w:id="1"/>
      <w:bookmarkEnd w:id="2"/>
      <w:bookmarkEnd w:id="3"/>
      <w:bookmarkEnd w:id="4"/>
    </w:p>
    <w:p>
      <w:pPr>
        <w:pBdr>
          <w:top w:val="single" w:color="auto" w:sz="4" w:space="1"/>
          <w:left w:val="single" w:color="auto" w:sz="4" w:space="4"/>
          <w:bottom w:val="single" w:color="auto" w:sz="4" w:space="1"/>
          <w:right w:val="single" w:color="auto" w:sz="4" w:space="4"/>
        </w:pBdr>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项目概况                                                    </w:t>
      </w:r>
    </w:p>
    <w:p>
      <w:pPr>
        <w:pBdr>
          <w:top w:val="single" w:color="auto" w:sz="4" w:space="1"/>
          <w:left w:val="single" w:color="auto" w:sz="4" w:space="4"/>
          <w:bottom w:val="single" w:color="auto" w:sz="4" w:space="1"/>
          <w:right w:val="single" w:color="auto" w:sz="4" w:space="4"/>
        </w:pBdr>
        <w:ind w:firstLine="420" w:firstLineChars="200"/>
        <w:rPr>
          <w:rFonts w:ascii="宋体" w:hAnsi="宋体"/>
          <w:color w:val="auto"/>
          <w:szCs w:val="21"/>
          <w:highlight w:val="none"/>
        </w:rPr>
      </w:pPr>
      <w:r>
        <w:rPr>
          <w:rFonts w:hint="eastAsia" w:ascii="宋体" w:hAnsi="宋体"/>
          <w:color w:val="auto"/>
          <w:szCs w:val="21"/>
          <w:highlight w:val="none"/>
        </w:rPr>
        <w:t>宁波市公安局交通警察局2023年特种专业技术用车购置项目采购项目的潜在供应商应在政采云平台（http://zfcg.czt.zj.gov.cn）获取（下载）采购文件，并于2023年12月06日 09:00（北京时间）前提交（上传）响应文件。</w:t>
      </w:r>
    </w:p>
    <w:p>
      <w:pPr>
        <w:spacing w:line="360" w:lineRule="auto"/>
        <w:rPr>
          <w:color w:val="auto"/>
          <w:highlight w:val="none"/>
        </w:rPr>
      </w:pPr>
      <w:r>
        <w:rPr>
          <w:rFonts w:hint="eastAsia"/>
          <w:color w:val="auto"/>
          <w:highlight w:val="none"/>
        </w:rPr>
        <w:t>一、项目基本情况</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项目编号：CBNB-20232467G询</w:t>
      </w:r>
    </w:p>
    <w:p>
      <w:pPr>
        <w:spacing w:line="360" w:lineRule="auto"/>
        <w:ind w:firstLine="420" w:firstLineChars="200"/>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宁波市公安局交通警察局2023年特种专业技术用车购置项目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采购方式：询价</w:t>
      </w:r>
    </w:p>
    <w:p>
      <w:pPr>
        <w:spacing w:line="36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预算金额(元)：</w:t>
      </w:r>
      <w:r>
        <w:rPr>
          <w:rFonts w:hint="eastAsia" w:ascii="宋体" w:hAnsi="宋体"/>
          <w:color w:val="auto"/>
          <w:szCs w:val="21"/>
          <w:highlight w:val="none"/>
          <w:lang w:val="en-US" w:eastAsia="zh-CN"/>
        </w:rPr>
        <w:t>3,847,960.00</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最高限价(元)：</w:t>
      </w:r>
      <w:r>
        <w:rPr>
          <w:rFonts w:hint="eastAsia" w:ascii="宋体" w:hAnsi="宋体"/>
          <w:color w:val="auto"/>
          <w:szCs w:val="21"/>
          <w:highlight w:val="none"/>
          <w:lang w:val="en-US" w:eastAsia="zh-CN"/>
        </w:rPr>
        <w:t>3,847,960.00</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采购需求：</w:t>
      </w:r>
    </w:p>
    <w:p>
      <w:pPr>
        <w:spacing w:line="360" w:lineRule="auto"/>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标项名称：</w:t>
      </w:r>
      <w:r>
        <w:rPr>
          <w:rFonts w:hint="eastAsia" w:ascii="宋体" w:hAnsi="宋体"/>
          <w:color w:val="auto"/>
          <w:szCs w:val="21"/>
          <w:highlight w:val="none"/>
          <w:u w:val="single"/>
          <w:lang w:eastAsia="zh-CN"/>
        </w:rPr>
        <w:t>宁波市公安局交通警察局2023年特种专业技术用车购置项目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数量：1</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预算金额(元)：</w:t>
      </w:r>
      <w:r>
        <w:rPr>
          <w:rFonts w:hint="eastAsia" w:ascii="宋体" w:hAnsi="宋体"/>
          <w:color w:val="auto"/>
          <w:szCs w:val="21"/>
          <w:highlight w:val="none"/>
          <w:lang w:val="en-US" w:eastAsia="zh-CN"/>
        </w:rPr>
        <w:t>3,847,960.00</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单位：批</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简要规格描述：按询价文件要求提供改装，并正常交付使用。</w:t>
      </w:r>
    </w:p>
    <w:p>
      <w:pPr>
        <w:spacing w:line="360" w:lineRule="auto"/>
        <w:ind w:firstLine="420" w:firstLineChars="200"/>
        <w:rPr>
          <w:rFonts w:hint="eastAsia" w:ascii="宋体" w:hAnsi="宋体" w:eastAsia="宋体"/>
          <w:color w:val="auto"/>
          <w:szCs w:val="21"/>
          <w:highlight w:val="none"/>
          <w:u w:val="single"/>
          <w:lang w:val="en-US" w:eastAsia="zh-CN"/>
        </w:rPr>
      </w:pPr>
      <w:r>
        <w:rPr>
          <w:rFonts w:hint="eastAsia" w:ascii="宋体" w:hAnsi="宋体"/>
          <w:color w:val="auto"/>
          <w:szCs w:val="21"/>
          <w:highlight w:val="none"/>
        </w:rPr>
        <w:t>备注：</w:t>
      </w:r>
      <w:r>
        <w:rPr>
          <w:rFonts w:hint="eastAsia" w:ascii="宋体" w:hAnsi="宋体"/>
          <w:color w:val="auto"/>
          <w:szCs w:val="21"/>
          <w:highlight w:val="none"/>
          <w:lang w:val="en-US" w:eastAsia="zh-CN"/>
        </w:rPr>
        <w:t>无</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合同履约期限：标项 1，合同签订生效之日起50天内完成改装、供货调试并提交采购人验收合格。</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本项目（否）接受联合体提交报价。</w:t>
      </w:r>
    </w:p>
    <w:p>
      <w:pPr>
        <w:spacing w:line="360" w:lineRule="auto"/>
        <w:rPr>
          <w:color w:val="auto"/>
          <w:highlight w:val="none"/>
        </w:rPr>
      </w:pPr>
      <w:r>
        <w:rPr>
          <w:rFonts w:hint="eastAsia"/>
          <w:color w:val="auto"/>
          <w:highlight w:val="none"/>
        </w:rPr>
        <w:t>二、申请人的资格要求：</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w:t>
      </w:r>
      <w:r>
        <w:rPr>
          <w:rFonts w:hint="eastAsia" w:ascii="宋体" w:hAnsi="宋体"/>
          <w:color w:val="auto"/>
          <w:highlight w:val="none"/>
        </w:rPr>
        <w:t>的</w:t>
      </w:r>
      <w:r>
        <w:rPr>
          <w:rFonts w:hint="eastAsia" w:ascii="宋体" w:hAnsi="宋体"/>
          <w:color w:val="auto"/>
          <w:szCs w:val="21"/>
          <w:highlight w:val="none"/>
        </w:rPr>
        <w:t>规定；</w:t>
      </w:r>
    </w:p>
    <w:p>
      <w:pPr>
        <w:spacing w:line="360" w:lineRule="auto"/>
        <w:ind w:firstLine="420" w:firstLineChars="200"/>
        <w:rPr>
          <w:rFonts w:ascii="宋体" w:hAnsi="宋体"/>
          <w:color w:val="auto"/>
          <w:highlight w:val="none"/>
        </w:rPr>
      </w:pPr>
      <w:r>
        <w:rPr>
          <w:rFonts w:hint="eastAsia" w:ascii="宋体" w:hAnsi="宋体"/>
          <w:color w:val="auto"/>
          <w:szCs w:val="21"/>
          <w:highlight w:val="none"/>
        </w:rPr>
        <w:t>2.</w:t>
      </w:r>
      <w:r>
        <w:rPr>
          <w:rFonts w:hint="eastAsia" w:ascii="宋体" w:hAnsi="宋体"/>
          <w:color w:val="auto"/>
          <w:highlight w:val="none"/>
        </w:rPr>
        <w:t>未被“信用中国”网站</w:t>
      </w:r>
      <w:r>
        <w:rPr>
          <w:rFonts w:ascii="宋体" w:hAnsi="宋体"/>
          <w:color w:val="auto"/>
          <w:highlight w:val="none"/>
        </w:rPr>
        <w:t xml:space="preserve">(www.creditchina.gov.cn) </w:t>
      </w:r>
      <w:r>
        <w:rPr>
          <w:rFonts w:hint="eastAsia" w:ascii="宋体" w:hAnsi="宋体"/>
          <w:color w:val="auto"/>
          <w:highlight w:val="none"/>
        </w:rPr>
        <w:t>列入“失信被执行人或重大税收违法案件当事人名单或政府采购严重违法失信行为记录名单”；未被中国政府采购网</w:t>
      </w:r>
      <w:r>
        <w:rPr>
          <w:rFonts w:ascii="宋体" w:hAnsi="宋体"/>
          <w:color w:val="auto"/>
          <w:highlight w:val="none"/>
        </w:rPr>
        <w:t>(www.ccgp.gov.cn)“政府采购严重违法失信行为信息记录”中列入禁止参加政府采购活动期间。</w:t>
      </w:r>
    </w:p>
    <w:p>
      <w:pPr>
        <w:spacing w:line="360" w:lineRule="auto"/>
        <w:ind w:firstLine="420" w:firstLineChars="200"/>
        <w:rPr>
          <w:rFonts w:ascii="宋体" w:hAnsi="宋体"/>
          <w:color w:val="auto"/>
          <w:szCs w:val="21"/>
          <w:highlight w:val="none"/>
        </w:rPr>
      </w:pPr>
      <w:r>
        <w:rPr>
          <w:rFonts w:hint="eastAsia" w:ascii="宋体" w:hAnsi="宋体"/>
          <w:color w:val="auto"/>
          <w:highlight w:val="none"/>
        </w:rPr>
        <w:t>3.单位负责人为同一人或者存在直接控股、管理关系的不同供应商，不得同时参加本项目的政府采购活动；为本项目提供整体设计、规范编制或者项目管理、监理、检测等服务的供应商，不得再参加本项目报价。</w:t>
      </w:r>
    </w:p>
    <w:p>
      <w:pPr>
        <w:spacing w:line="360" w:lineRule="auto"/>
        <w:ind w:firstLine="420" w:firstLineChars="200"/>
        <w:rPr>
          <w:rFonts w:ascii="宋体" w:hAnsi="宋体"/>
          <w:iCs/>
          <w:color w:val="auto"/>
          <w:szCs w:val="21"/>
          <w:highlight w:val="none"/>
          <w:u w:val="single"/>
        </w:rPr>
      </w:pPr>
      <w:r>
        <w:rPr>
          <w:rFonts w:hint="eastAsia" w:ascii="宋体" w:hAnsi="宋体"/>
          <w:color w:val="auto"/>
          <w:szCs w:val="21"/>
          <w:highlight w:val="none"/>
        </w:rPr>
        <w:t>4.落实政府采购政策需满足的资格要求：</w:t>
      </w:r>
      <w:r>
        <w:rPr>
          <w:rFonts w:hint="eastAsia" w:ascii="宋体" w:hAnsi="宋体"/>
          <w:color w:val="auto"/>
          <w:highlight w:val="none"/>
          <w:u w:val="single"/>
        </w:rPr>
        <w:t>本项目属于</w:t>
      </w:r>
      <w:r>
        <w:rPr>
          <w:rFonts w:hint="eastAsia" w:ascii="宋体" w:hAnsi="宋体"/>
          <w:b/>
          <w:color w:val="auto"/>
          <w:highlight w:val="none"/>
          <w:u w:val="single"/>
        </w:rPr>
        <w:t>（工业）行业</w:t>
      </w:r>
      <w:r>
        <w:rPr>
          <w:rFonts w:hint="eastAsia" w:ascii="宋体" w:hAnsi="宋体"/>
          <w:color w:val="auto"/>
          <w:highlight w:val="none"/>
          <w:u w:val="single"/>
        </w:rPr>
        <w:t>，专门面向中小企业采购项目，报价人应为符合《政府采购促进中小企业发展管理办法》（财库﹝2020﹞46号）规定的中小企业（其中，小微企业包括视同为小型、微型企业的监狱企业、残疾人福利性单位）。</w:t>
      </w:r>
    </w:p>
    <w:p>
      <w:pPr>
        <w:spacing w:line="360" w:lineRule="auto"/>
        <w:ind w:firstLine="420" w:firstLineChars="200"/>
        <w:rPr>
          <w:rFonts w:hint="eastAsia" w:ascii="宋体" w:hAnsi="宋体" w:eastAsia="宋体"/>
          <w:iCs/>
          <w:color w:val="auto"/>
          <w:szCs w:val="21"/>
          <w:highlight w:val="none"/>
          <w:u w:val="single"/>
          <w:lang w:eastAsia="zh-CN"/>
        </w:rPr>
      </w:pPr>
      <w:r>
        <w:rPr>
          <w:rFonts w:hint="eastAsia" w:ascii="宋体" w:hAnsi="宋体"/>
          <w:color w:val="auto"/>
          <w:szCs w:val="21"/>
          <w:highlight w:val="none"/>
        </w:rPr>
        <w:t>5.本项目的特定资格要求：</w:t>
      </w:r>
      <w:r>
        <w:rPr>
          <w:rFonts w:hint="eastAsia" w:ascii="宋体" w:hAnsi="宋体"/>
          <w:iCs/>
          <w:color w:val="auto"/>
          <w:sz w:val="22"/>
          <w:szCs w:val="21"/>
          <w:highlight w:val="none"/>
          <w:u w:val="single"/>
          <w:lang w:val="en-US" w:eastAsia="zh-CN"/>
        </w:rPr>
        <w:t>无</w:t>
      </w:r>
      <w:bookmarkStart w:id="42" w:name="_GoBack"/>
      <w:bookmarkEnd w:id="42"/>
    </w:p>
    <w:p>
      <w:pPr>
        <w:spacing w:line="360" w:lineRule="auto"/>
        <w:rPr>
          <w:rFonts w:hint="eastAsia"/>
          <w:color w:val="auto"/>
          <w:highlight w:val="none"/>
        </w:rPr>
      </w:pPr>
    </w:p>
    <w:p>
      <w:pPr>
        <w:spacing w:line="360" w:lineRule="auto"/>
        <w:rPr>
          <w:color w:val="auto"/>
          <w:highlight w:val="none"/>
        </w:rPr>
      </w:pPr>
      <w:r>
        <w:rPr>
          <w:rFonts w:hint="eastAsia"/>
          <w:color w:val="auto"/>
          <w:highlight w:val="none"/>
        </w:rPr>
        <w:t xml:space="preserve">三、获取（下载）采购文件 </w:t>
      </w:r>
    </w:p>
    <w:p>
      <w:pPr>
        <w:spacing w:line="360" w:lineRule="auto"/>
        <w:ind w:firstLine="540"/>
        <w:rPr>
          <w:rFonts w:hint="eastAsia" w:ascii="宋体" w:hAnsi="宋体" w:cs="宋体"/>
          <w:color w:val="auto"/>
          <w:szCs w:val="21"/>
          <w:highlight w:val="none"/>
        </w:rPr>
      </w:pPr>
      <w:r>
        <w:rPr>
          <w:rFonts w:hint="eastAsia" w:ascii="宋体" w:hAnsi="宋体" w:cs="宋体"/>
          <w:color w:val="auto"/>
          <w:szCs w:val="21"/>
          <w:highlight w:val="none"/>
        </w:rPr>
        <w:t>时间：2023年11月27日至2023年11月30日，每天上午00:00至12:00，下午12:00至23:59（北京时间，线上获取法定节假日均可，线下获取文件法定节假日除外）</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地点：政采云平台（http://zfcg.czt.zj.gov.cn）</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方式：依法获取询价通知书（采购文件）的方式为潜在供应商登</w:t>
      </w:r>
      <w:r>
        <w:rPr>
          <w:rFonts w:hint="eastAsia" w:ascii="宋体" w:hAnsi="宋体" w:cs="宋体"/>
          <w:color w:val="auto"/>
          <w:szCs w:val="21"/>
          <w:highlight w:val="none"/>
          <w:lang w:val="en-US" w:eastAsia="zh-CN"/>
        </w:rPr>
        <w:t>录</w:t>
      </w:r>
      <w:r>
        <w:rPr>
          <w:rFonts w:hint="eastAsia" w:ascii="宋体" w:hAnsi="宋体" w:cs="宋体"/>
          <w:color w:val="auto"/>
          <w:szCs w:val="21"/>
          <w:highlight w:val="none"/>
        </w:rPr>
        <w:t>政采云平台，根据政采云平台的规定步骤进行操作并在线申请获取询价通知书。仅需浏览询价通知书的只需点击“游客，浏览采购文件”直接下载询价通知书进行浏览。</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任何网站显示的本项目采购公告附件中提供的询价通知书仅供阅览使用，未按询价通知书规定的程序依法获取询价通知书的潜在供应商，对询价通知书提起质疑的，按照无效质疑处理。采购人及采购代理机构拒收未依法获取询价通知书的供应商提交的响应文件或按照无效响应处理。</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售价：0元</w:t>
      </w:r>
    </w:p>
    <w:p>
      <w:pPr>
        <w:spacing w:line="360" w:lineRule="auto"/>
        <w:rPr>
          <w:color w:val="auto"/>
          <w:highlight w:val="none"/>
        </w:rPr>
      </w:pPr>
      <w:r>
        <w:rPr>
          <w:rFonts w:hint="eastAsia"/>
          <w:color w:val="auto"/>
          <w:highlight w:val="none"/>
        </w:rPr>
        <w:t>四、响应文件提交（上传）</w:t>
      </w:r>
    </w:p>
    <w:p>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截止时间：2023年12月06日 09:00 （北京时间）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地点：电子加密响应文件通过</w:t>
      </w:r>
      <w:r>
        <w:rPr>
          <w:rFonts w:hint="eastAsia" w:ascii="宋体" w:hAnsi="宋体"/>
          <w:color w:val="auto"/>
          <w:szCs w:val="21"/>
          <w:highlight w:val="none"/>
          <w:u w:val="single"/>
        </w:rPr>
        <w:t>政采云平台（https://www.zcygov.cn）</w:t>
      </w:r>
      <w:r>
        <w:rPr>
          <w:rFonts w:hint="eastAsia" w:ascii="宋体" w:hAnsi="宋体"/>
          <w:color w:val="auto"/>
          <w:szCs w:val="21"/>
          <w:highlight w:val="none"/>
        </w:rPr>
        <w:t>在线上传提交</w:t>
      </w:r>
    </w:p>
    <w:p>
      <w:pPr>
        <w:spacing w:line="360" w:lineRule="auto"/>
        <w:ind w:firstLine="420" w:firstLineChars="200"/>
        <w:rPr>
          <w:rFonts w:ascii="宋体" w:hAnsi="宋体" w:cs="Arial"/>
          <w:color w:val="auto"/>
          <w:highlight w:val="none"/>
        </w:rPr>
      </w:pPr>
      <w:r>
        <w:rPr>
          <w:rFonts w:hint="eastAsia" w:ascii="宋体" w:hAnsi="宋体" w:cs="Arial"/>
          <w:color w:val="auto"/>
          <w:highlight w:val="none"/>
        </w:rPr>
        <w:t>现场提交（备份响应文件，如要提供）：</w:t>
      </w:r>
      <w:r>
        <w:rPr>
          <w:rFonts w:hint="eastAsia" w:ascii="宋体" w:hAnsi="宋体" w:eastAsia="宋体" w:cs="宋体"/>
          <w:color w:val="auto"/>
          <w:kern w:val="2"/>
          <w:sz w:val="21"/>
          <w:szCs w:val="21"/>
          <w:highlight w:val="none"/>
        </w:rPr>
        <w:t>宁波中基国际招标有限公司</w:t>
      </w:r>
      <w:r>
        <w:rPr>
          <w:rFonts w:hint="eastAsia" w:ascii="宋体" w:hAnsi="宋体" w:cs="Arial"/>
          <w:color w:val="auto"/>
          <w:highlight w:val="none"/>
        </w:rPr>
        <w:t>（地址：</w:t>
      </w:r>
      <w:r>
        <w:rPr>
          <w:rFonts w:hint="eastAsia" w:ascii="宋体" w:hAnsi="宋体" w:eastAsia="宋体" w:cs="宋体"/>
          <w:color w:val="auto"/>
          <w:kern w:val="2"/>
          <w:sz w:val="21"/>
          <w:szCs w:val="21"/>
          <w:highlight w:val="none"/>
        </w:rPr>
        <w:t>宁波市鄞州区天童南路666号</w:t>
      </w:r>
      <w:r>
        <w:rPr>
          <w:rFonts w:hint="eastAsia" w:ascii="宋体" w:hAnsi="宋体" w:eastAsia="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rPr>
        <w:t>楼</w:t>
      </w:r>
      <w:r>
        <w:rPr>
          <w:rFonts w:hint="eastAsia" w:ascii="宋体" w:hAnsi="宋体" w:cs="Arial"/>
          <w:color w:val="auto"/>
          <w:highlight w:val="none"/>
        </w:rPr>
        <w:t>，</w:t>
      </w:r>
      <w:r>
        <w:rPr>
          <w:rFonts w:hint="eastAsia" w:ascii="宋体" w:hAnsi="宋体" w:cs="宋体"/>
          <w:color w:val="auto"/>
          <w:szCs w:val="21"/>
          <w:highlight w:val="none"/>
        </w:rPr>
        <w:t>中基招标会议中心</w:t>
      </w:r>
      <w:r>
        <w:rPr>
          <w:rFonts w:hint="eastAsia" w:ascii="宋体" w:hAnsi="宋体" w:cs="Arial"/>
          <w:color w:val="auto"/>
          <w:highlight w:val="none"/>
        </w:rPr>
        <w:t>），拒收逾期送达或者未按照</w:t>
      </w:r>
      <w:r>
        <w:rPr>
          <w:rFonts w:hint="eastAsia" w:ascii="宋体" w:hAnsi="宋体" w:cs="宋体"/>
          <w:color w:val="auto"/>
          <w:szCs w:val="21"/>
          <w:highlight w:val="none"/>
        </w:rPr>
        <w:t>询价通知书</w:t>
      </w:r>
      <w:r>
        <w:rPr>
          <w:rFonts w:hint="eastAsia" w:ascii="宋体" w:hAnsi="宋体" w:cs="Arial"/>
          <w:color w:val="auto"/>
          <w:highlight w:val="none"/>
        </w:rPr>
        <w:t>要求密封包装及盖章的备份响应文件。</w:t>
      </w:r>
    </w:p>
    <w:p>
      <w:pPr>
        <w:spacing w:line="360" w:lineRule="auto"/>
        <w:rPr>
          <w:color w:val="auto"/>
          <w:highlight w:val="none"/>
        </w:rPr>
      </w:pPr>
      <w:r>
        <w:rPr>
          <w:rFonts w:hint="eastAsia"/>
          <w:color w:val="auto"/>
          <w:highlight w:val="none"/>
        </w:rPr>
        <w:t>五、响应文件开启</w:t>
      </w:r>
    </w:p>
    <w:p>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开启时间：2023年12月06日 09:00 （北京时间）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地点（网址）：政采云平台（https://www.zcygov.cn）在线解密并开启响应文件。 </w:t>
      </w:r>
    </w:p>
    <w:p>
      <w:pPr>
        <w:spacing w:line="360" w:lineRule="auto"/>
        <w:rPr>
          <w:color w:val="auto"/>
          <w:highlight w:val="none"/>
        </w:rPr>
      </w:pPr>
      <w:r>
        <w:rPr>
          <w:rFonts w:hint="eastAsia"/>
          <w:color w:val="auto"/>
          <w:highlight w:val="none"/>
        </w:rPr>
        <w:t>六、公告期限</w:t>
      </w:r>
    </w:p>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自本公告发布之日起3个工作日。</w:t>
      </w:r>
    </w:p>
    <w:p>
      <w:pPr>
        <w:spacing w:line="360" w:lineRule="auto"/>
        <w:rPr>
          <w:color w:val="auto"/>
          <w:highlight w:val="none"/>
        </w:rPr>
      </w:pPr>
      <w:r>
        <w:rPr>
          <w:rFonts w:hint="eastAsia"/>
          <w:color w:val="auto"/>
          <w:highlight w:val="none"/>
        </w:rPr>
        <w:t>七、其他补充事宜</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1.为依法获取本项目</w:t>
      </w:r>
      <w:r>
        <w:rPr>
          <w:rFonts w:hint="eastAsia" w:ascii="宋体" w:hAnsi="宋体" w:cs="宋体"/>
          <w:color w:val="auto"/>
          <w:szCs w:val="21"/>
          <w:highlight w:val="none"/>
        </w:rPr>
        <w:t>询价通知书</w:t>
      </w:r>
      <w:r>
        <w:rPr>
          <w:rFonts w:hint="eastAsia" w:ascii="宋体" w:hAnsi="宋体" w:cs="Arial"/>
          <w:color w:val="auto"/>
          <w:highlight w:val="none"/>
        </w:rPr>
        <w:t>及对本项目报价响应，供应商应当按照《浙江省政府采购供应商注册及诚信管理暂行办法》的规定在“浙江政府采购网(http://zfcg.czt.zj.gov.cn/)”政采云平台注册登记。成交供应商必须成为注册供应商，未注册的供应商请注意注册所需时间，由此产生的后果自行承担。</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2.本项目依据《浙江省政府采购项目电子交易管理暂行办法》，通过政采云平台（</w:t>
      </w:r>
      <w:r>
        <w:rPr>
          <w:rFonts w:hint="eastAsia" w:ascii="宋体" w:hAnsi="宋体"/>
          <w:color w:val="auto"/>
          <w:highlight w:val="none"/>
          <w:u w:val="single"/>
        </w:rPr>
        <w:t>https://www.zcygov.cn</w:t>
      </w:r>
      <w:r>
        <w:rPr>
          <w:rFonts w:hint="eastAsia" w:ascii="宋体" w:hAnsi="宋体" w:cs="Arial"/>
          <w:color w:val="auto"/>
          <w:highlight w:val="none"/>
        </w:rPr>
        <w:t>）实行电子交易（在线报价响应）。潜在供应商在参与本项目报价响应前应当完成“政府采购云平台”的账号注册、身份认证（CA数字证书申领）、“政采云电子交易客户端”下载安装，相关操作指南参考如下：</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1）供应商注册（入驻）：https://middle.zcygov.cn/v-settle-front/registry；</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2）浙江省“电子交易/不见面开评标”学习专题（网址https://edu.zcygov.cn/luban/e-biding）；</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3）“政府采购云平台”服务热线电话：95763。</w:t>
      </w:r>
    </w:p>
    <w:p>
      <w:pPr>
        <w:spacing w:line="360" w:lineRule="auto"/>
        <w:ind w:firstLine="420" w:firstLineChars="200"/>
        <w:rPr>
          <w:rFonts w:ascii="宋体" w:hAnsi="宋体" w:cs="宋体"/>
          <w:color w:val="auto"/>
          <w:szCs w:val="21"/>
          <w:highlight w:val="none"/>
        </w:rPr>
      </w:pPr>
      <w:r>
        <w:rPr>
          <w:rFonts w:hint="eastAsia" w:ascii="宋体" w:hAnsi="宋体" w:cs="Arial"/>
          <w:color w:val="auto"/>
          <w:highlight w:val="none"/>
        </w:rPr>
        <w:t>3.</w:t>
      </w:r>
      <w:r>
        <w:rPr>
          <w:rFonts w:hint="eastAsia" w:ascii="宋体" w:hAnsi="宋体" w:cs="宋体"/>
          <w:color w:val="auto"/>
          <w:szCs w:val="21"/>
          <w:highlight w:val="none"/>
        </w:rPr>
        <w:t>需要落实的政府采购政策：包括节约资源、保护环境、支持创新、促进中小企业发展等。</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4.电子报价响应注意事项</w:t>
      </w:r>
    </w:p>
    <w:p>
      <w:pPr>
        <w:snapToGrid w:val="0"/>
        <w:spacing w:line="360" w:lineRule="auto"/>
        <w:ind w:firstLine="411" w:firstLineChars="196"/>
        <w:rPr>
          <w:rFonts w:ascii="宋体" w:hAnsi="宋体" w:cs="Arial"/>
          <w:color w:val="auto"/>
          <w:highlight w:val="none"/>
        </w:rPr>
      </w:pPr>
      <w:r>
        <w:rPr>
          <w:rFonts w:hint="eastAsia" w:ascii="宋体" w:hAnsi="宋体" w:cs="Arial"/>
          <w:color w:val="auto"/>
          <w:highlight w:val="none"/>
        </w:rPr>
        <w:t>1）供应商应于提交响应文件截止时间前将电子加密响应文件上传到政府采购云平台（</w:t>
      </w:r>
      <w:r>
        <w:rPr>
          <w:rFonts w:hint="eastAsia" w:ascii="宋体" w:hAnsi="宋体"/>
          <w:color w:val="auto"/>
          <w:highlight w:val="none"/>
          <w:u w:val="single"/>
        </w:rPr>
        <w:t>https://www.zcygov.cn</w:t>
      </w:r>
      <w:r>
        <w:rPr>
          <w:rFonts w:hint="eastAsia" w:ascii="宋体" w:hAnsi="宋体" w:cs="Arial"/>
          <w:color w:val="auto"/>
          <w:highlight w:val="none"/>
        </w:rPr>
        <w:t>），未按规定上传电子加密响应文件，视为供应商放弃报价。</w:t>
      </w:r>
    </w:p>
    <w:p>
      <w:pPr>
        <w:snapToGrid w:val="0"/>
        <w:spacing w:line="360" w:lineRule="auto"/>
        <w:ind w:firstLine="411" w:firstLineChars="196"/>
        <w:rPr>
          <w:rFonts w:ascii="宋体" w:hAnsi="宋体"/>
          <w:color w:val="auto"/>
          <w:highlight w:val="none"/>
        </w:rPr>
      </w:pPr>
      <w:r>
        <w:rPr>
          <w:rFonts w:hint="eastAsia" w:ascii="宋体" w:hAnsi="宋体" w:cs="Arial"/>
          <w:color w:val="auto"/>
          <w:highlight w:val="none"/>
        </w:rPr>
        <w:t>2）供应商在“政府采购云平台”完成“电子加密响应文件”的上传提交之外，还</w:t>
      </w:r>
      <w:r>
        <w:rPr>
          <w:rFonts w:hint="eastAsia" w:ascii="宋体" w:hAnsi="宋体"/>
          <w:color w:val="auto"/>
          <w:highlight w:val="none"/>
        </w:rPr>
        <w:t>可以在响应文件提交截止时间前提交以U盘为介质存储的数据电文形式的备份响应文件，备份响应文件递交可以采用现场或邮寄递交的方式，但此项并非强制要求。</w:t>
      </w:r>
    </w:p>
    <w:p>
      <w:pPr>
        <w:snapToGrid w:val="0"/>
        <w:spacing w:line="360" w:lineRule="auto"/>
        <w:ind w:firstLine="411" w:firstLineChars="196"/>
        <w:rPr>
          <w:rFonts w:ascii="宋体" w:hAnsi="宋体"/>
          <w:color w:val="auto"/>
          <w:highlight w:val="none"/>
        </w:rPr>
      </w:pPr>
      <w:r>
        <w:rPr>
          <w:rFonts w:hint="eastAsia" w:ascii="宋体" w:hAnsi="宋体"/>
          <w:color w:val="auto"/>
          <w:highlight w:val="none"/>
        </w:rPr>
        <w:t>3）开启响应文件时间到达后，在系统解密指令发出30分钟内供应商应当登录政采云平台，用“项目采购-开标评标”功能解密电子加密响应文件。若供应商在规定时间内无法解密或解密失败，且未提供备份响应文件的，视为供应商放弃报价；如已按照</w:t>
      </w:r>
      <w:r>
        <w:rPr>
          <w:rFonts w:hint="eastAsia" w:ascii="宋体" w:hAnsi="宋体" w:cs="宋体"/>
          <w:color w:val="auto"/>
          <w:szCs w:val="21"/>
          <w:highlight w:val="none"/>
        </w:rPr>
        <w:t>询价通知书</w:t>
      </w:r>
      <w:r>
        <w:rPr>
          <w:rFonts w:hint="eastAsia" w:ascii="宋体" w:hAnsi="宋体"/>
          <w:color w:val="auto"/>
          <w:highlight w:val="none"/>
        </w:rPr>
        <w:t>规定提交备份响应文件的，则采购代理机构按照“政采云平台”的操作规范处理，若使用备份响应文件仍然无法成功的，</w:t>
      </w:r>
      <w:r>
        <w:rPr>
          <w:rFonts w:hint="eastAsia" w:ascii="宋体" w:hAnsi="宋体"/>
          <w:b/>
          <w:color w:val="auto"/>
          <w:highlight w:val="none"/>
        </w:rPr>
        <w:t>视为供应商放弃报价</w:t>
      </w:r>
      <w:r>
        <w:rPr>
          <w:rFonts w:hint="eastAsia" w:ascii="宋体" w:hAnsi="宋体"/>
          <w:color w:val="auto"/>
          <w:highlight w:val="none"/>
        </w:rPr>
        <w:t>，由此所产生的后果供应商自行承担。</w:t>
      </w:r>
    </w:p>
    <w:p>
      <w:pPr>
        <w:snapToGrid w:val="0"/>
        <w:spacing w:line="360" w:lineRule="auto"/>
        <w:ind w:firstLine="411" w:firstLineChars="196"/>
        <w:rPr>
          <w:rFonts w:hint="eastAsia" w:ascii="宋体" w:hAnsi="宋体" w:eastAsia="宋体" w:cs="Times New Roman"/>
          <w:color w:val="auto"/>
          <w:highlight w:val="none"/>
        </w:rPr>
      </w:pPr>
      <w:r>
        <w:rPr>
          <w:rFonts w:hint="eastAsia" w:ascii="宋体" w:hAnsi="宋体" w:eastAsia="宋体" w:cs="Times New Roman"/>
          <w:color w:val="auto"/>
          <w:highlight w:val="none"/>
        </w:rPr>
        <w:t>电子加密响应文件按时解密的，备份响应文件自动失效。</w:t>
      </w:r>
    </w:p>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八、</w:t>
      </w:r>
      <w:bookmarkStart w:id="6" w:name="_Toc3685"/>
      <w:r>
        <w:rPr>
          <w:rFonts w:hint="eastAsia" w:ascii="宋体" w:hAnsi="宋体" w:eastAsia="宋体" w:cs="宋体"/>
          <w:color w:val="auto"/>
          <w:highlight w:val="none"/>
        </w:rPr>
        <w:t>对本次采购提出询问、质疑、投诉，请按以下方式联系</w:t>
      </w:r>
      <w:bookmarkEnd w:id="6"/>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1.采购人信息</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名    称：宁波市公安局交通警察局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地    址：宁波市</w:t>
      </w:r>
      <w:r>
        <w:rPr>
          <w:rFonts w:hint="eastAsia" w:ascii="宋体" w:hAnsi="宋体" w:eastAsia="宋体" w:cs="宋体"/>
          <w:color w:val="auto"/>
          <w:kern w:val="2"/>
          <w:sz w:val="21"/>
          <w:szCs w:val="21"/>
          <w:highlight w:val="none"/>
          <w:lang w:val="en-US" w:eastAsia="zh-Hans"/>
        </w:rPr>
        <w:t>鄞州</w:t>
      </w:r>
      <w:r>
        <w:rPr>
          <w:rFonts w:hint="eastAsia" w:ascii="宋体" w:hAnsi="宋体" w:eastAsia="宋体" w:cs="宋体"/>
          <w:color w:val="auto"/>
          <w:kern w:val="2"/>
          <w:sz w:val="21"/>
          <w:szCs w:val="21"/>
          <w:highlight w:val="none"/>
        </w:rPr>
        <w:t>区兴宁路48号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传    真：/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项目联系人（询问）：</w:t>
      </w:r>
      <w:r>
        <w:rPr>
          <w:rFonts w:hint="eastAsia" w:cs="宋体"/>
          <w:color w:val="auto"/>
          <w:kern w:val="2"/>
          <w:sz w:val="21"/>
          <w:szCs w:val="21"/>
          <w:highlight w:val="none"/>
          <w:lang w:val="en-US" w:eastAsia="zh-CN"/>
        </w:rPr>
        <w:t>任</w:t>
      </w:r>
      <w:r>
        <w:rPr>
          <w:rFonts w:hint="eastAsia" w:ascii="宋体" w:hAnsi="宋体" w:eastAsia="宋体" w:cs="宋体"/>
          <w:color w:val="auto"/>
          <w:kern w:val="2"/>
          <w:sz w:val="21"/>
          <w:szCs w:val="21"/>
          <w:highlight w:val="none"/>
          <w:lang w:val="en-US" w:eastAsia="zh-CN"/>
        </w:rPr>
        <w:t>警官</w:t>
      </w:r>
      <w:r>
        <w:rPr>
          <w:rFonts w:hint="eastAsia" w:ascii="宋体" w:hAnsi="宋体" w:eastAsia="宋体" w:cs="宋体"/>
          <w:color w:val="auto"/>
          <w:kern w:val="2"/>
          <w:sz w:val="21"/>
          <w:szCs w:val="21"/>
          <w:highlight w:val="none"/>
        </w:rPr>
        <w:t xml:space="preserve">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项目联系方式（询问）：0574-81981116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质疑联系人</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张警官</w:t>
      </w:r>
      <w:r>
        <w:rPr>
          <w:rFonts w:hint="eastAsia" w:ascii="宋体" w:hAnsi="宋体" w:eastAsia="宋体" w:cs="宋体"/>
          <w:color w:val="auto"/>
          <w:kern w:val="2"/>
          <w:sz w:val="21"/>
          <w:szCs w:val="21"/>
          <w:highlight w:val="none"/>
        </w:rPr>
        <w:t>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质疑联系方式：0574-81981067</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2.采购代理机构信息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名    称：宁波中基国际招标有限公司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地    址：宁波市鄞州区天童南路666号19楼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传    真：0574-87425391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项目联系人（询问）：</w:t>
      </w:r>
      <w:r>
        <w:rPr>
          <w:rFonts w:hint="eastAsia" w:cs="宋体"/>
          <w:color w:val="auto"/>
          <w:kern w:val="2"/>
          <w:sz w:val="21"/>
          <w:szCs w:val="21"/>
          <w:highlight w:val="none"/>
          <w:lang w:val="en-US" w:eastAsia="zh-CN"/>
        </w:rPr>
        <w:t>方芸</w:t>
      </w:r>
      <w:r>
        <w:rPr>
          <w:rFonts w:hint="eastAsia" w:ascii="宋体" w:hAnsi="宋体" w:eastAsia="宋体" w:cs="宋体"/>
          <w:color w:val="auto"/>
          <w:kern w:val="2"/>
          <w:sz w:val="21"/>
          <w:szCs w:val="21"/>
          <w:highlight w:val="none"/>
        </w:rPr>
        <w:t>、</w:t>
      </w:r>
      <w:r>
        <w:rPr>
          <w:rFonts w:hint="eastAsia" w:cs="宋体"/>
          <w:color w:val="auto"/>
          <w:kern w:val="2"/>
          <w:sz w:val="21"/>
          <w:szCs w:val="21"/>
          <w:highlight w:val="none"/>
          <w:lang w:val="en-US" w:eastAsia="zh-CN"/>
        </w:rPr>
        <w:t>史维</w:t>
      </w:r>
      <w:r>
        <w:rPr>
          <w:rFonts w:hint="eastAsia" w:ascii="宋体" w:hAnsi="宋体" w:eastAsia="宋体" w:cs="宋体"/>
          <w:color w:val="auto"/>
          <w:kern w:val="2"/>
          <w:sz w:val="21"/>
          <w:szCs w:val="21"/>
          <w:highlight w:val="none"/>
        </w:rPr>
        <w:t>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项目联系方式（询问）：0574-</w:t>
      </w:r>
      <w:r>
        <w:rPr>
          <w:rFonts w:hint="eastAsia" w:ascii="宋体" w:hAnsi="宋体" w:eastAsia="宋体" w:cs="宋体"/>
          <w:color w:val="auto"/>
          <w:kern w:val="2"/>
          <w:sz w:val="21"/>
          <w:szCs w:val="21"/>
          <w:highlight w:val="none"/>
          <w:lang w:val="en-US" w:eastAsia="zh-CN"/>
        </w:rPr>
        <w:t>8</w:t>
      </w:r>
      <w:r>
        <w:rPr>
          <w:rFonts w:hint="eastAsia" w:cs="宋体"/>
          <w:color w:val="auto"/>
          <w:kern w:val="2"/>
          <w:sz w:val="21"/>
          <w:szCs w:val="21"/>
          <w:highlight w:val="none"/>
          <w:lang w:val="en-US" w:eastAsia="zh-CN"/>
        </w:rPr>
        <w:t>8090063</w:t>
      </w:r>
      <w:r>
        <w:rPr>
          <w:rFonts w:hint="eastAsia" w:ascii="宋体" w:hAnsi="宋体" w:eastAsia="宋体" w:cs="宋体"/>
          <w:color w:val="auto"/>
          <w:kern w:val="2"/>
          <w:sz w:val="21"/>
          <w:szCs w:val="21"/>
          <w:highlight w:val="none"/>
        </w:rPr>
        <w:t>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质疑联系人：</w:t>
      </w:r>
      <w:r>
        <w:rPr>
          <w:rFonts w:hint="eastAsia" w:cs="宋体"/>
          <w:color w:val="auto"/>
          <w:kern w:val="2"/>
          <w:sz w:val="21"/>
          <w:szCs w:val="21"/>
          <w:highlight w:val="none"/>
          <w:lang w:val="en-US" w:eastAsia="zh-CN"/>
        </w:rPr>
        <w:t>吕勇</w:t>
      </w:r>
      <w:r>
        <w:rPr>
          <w:rFonts w:hint="eastAsia" w:ascii="宋体" w:hAnsi="宋体" w:eastAsia="宋体" w:cs="宋体"/>
          <w:color w:val="auto"/>
          <w:kern w:val="2"/>
          <w:sz w:val="21"/>
          <w:szCs w:val="21"/>
          <w:highlight w:val="none"/>
        </w:rPr>
        <w:t>             </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质疑联系方式：0574-</w:t>
      </w:r>
      <w:r>
        <w:rPr>
          <w:rFonts w:hint="eastAsia" w:ascii="宋体" w:hAnsi="宋体" w:cs="宋体"/>
          <w:color w:val="auto"/>
          <w:szCs w:val="21"/>
          <w:highlight w:val="none"/>
          <w:lang w:val="en-US" w:eastAsia="zh-CN"/>
        </w:rPr>
        <w:t>87426103</w:t>
      </w:r>
      <w:r>
        <w:rPr>
          <w:rFonts w:hint="eastAsia" w:ascii="宋体" w:hAnsi="宋体" w:eastAsia="宋体" w:cs="宋体"/>
          <w:color w:val="auto"/>
          <w:szCs w:val="21"/>
          <w:highlight w:val="none"/>
        </w:rPr>
        <w:t>  　　　　　　     </w:t>
      </w:r>
    </w:p>
    <w:p>
      <w:pPr>
        <w:spacing w:line="360" w:lineRule="auto"/>
        <w:ind w:left="630" w:leftChars="200" w:hanging="210" w:hanging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3.同级政府采购监督管理部门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名称：宁波市政府采购管理办公室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地址：宁波市海曙区中山西路19号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传真：/</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联系人：李老师    　　　　　　　　　　　</w:t>
      </w:r>
    </w:p>
    <w:p>
      <w:pPr>
        <w:pStyle w:val="39"/>
        <w:adjustRightInd/>
        <w:spacing w:before="75" w:beforeAutospacing="0" w:after="75"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监督投诉电话：0574-89388042</w:t>
      </w:r>
    </w:p>
    <w:p>
      <w:pPr>
        <w:snapToGrid w:val="0"/>
        <w:spacing w:line="360" w:lineRule="auto"/>
        <w:ind w:firstLine="411" w:firstLineChars="196"/>
        <w:rPr>
          <w:rFonts w:hint="eastAsia" w:ascii="宋体" w:hAnsi="宋体" w:eastAsia="宋体" w:cs="宋体"/>
          <w:color w:val="auto"/>
          <w:highlight w:val="none"/>
        </w:rPr>
      </w:pPr>
    </w:p>
    <w:bookmarkEnd w:id="5"/>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color w:val="auto"/>
          <w:szCs w:val="21"/>
          <w:highlight w:val="none"/>
          <w:lang w:val="en-US" w:eastAsia="zh-CN"/>
        </w:rPr>
      </w:pPr>
      <w:bookmarkStart w:id="7" w:name="_Toc482633073"/>
      <w:bookmarkStart w:id="8" w:name="谈判人须知"/>
      <w:r>
        <w:rPr>
          <w:rFonts w:hint="eastAsia" w:ascii="宋体" w:hAnsi="宋体"/>
          <w:color w:val="auto"/>
          <w:szCs w:val="21"/>
          <w:highlight w:val="none"/>
        </w:rPr>
        <w:t>若对项目采购电子交易系统操作有疑问，可登录政采云（https://www.zcygov.cn/），点击右侧咨询小采，获取采小蜜智能服务管家帮助，或拨打政采云服务热线95763获取热线服务帮助</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color w:val="auto"/>
          <w:szCs w:val="21"/>
          <w:highlight w:val="none"/>
        </w:rPr>
      </w:pPr>
      <w:r>
        <w:rPr>
          <w:rFonts w:hint="eastAsia" w:ascii="宋体" w:hAnsi="宋体"/>
          <w:color w:val="auto"/>
          <w:szCs w:val="21"/>
          <w:highlight w:val="none"/>
        </w:rPr>
        <w:t>CA问题联系电话（人工）：汇信CA 400-888-4636；天谷CA 400-087-8198。</w:t>
      </w:r>
      <w:r>
        <w:rPr>
          <w:rFonts w:hint="eastAsia" w:ascii="宋体" w:hAnsi="宋体"/>
          <w:color w:val="auto"/>
          <w:szCs w:val="21"/>
          <w:highlight w:val="none"/>
        </w:rPr>
        <w:br w:type="page"/>
      </w:r>
      <w:bookmarkStart w:id="9" w:name="_Toc84581843"/>
      <w:bookmarkStart w:id="10" w:name="_Toc84582097"/>
      <w:bookmarkStart w:id="11" w:name="_Toc23519155"/>
      <w:bookmarkStart w:id="12" w:name="_Toc23519004"/>
    </w:p>
    <w:p>
      <w:pPr>
        <w:spacing w:line="360" w:lineRule="auto"/>
        <w:ind w:firstLine="562" w:firstLineChars="200"/>
        <w:jc w:val="center"/>
        <w:outlineLvl w:val="0"/>
        <w:rPr>
          <w:rFonts w:ascii="宋体" w:hAnsi="宋体"/>
          <w:color w:val="auto"/>
          <w:highlight w:val="none"/>
        </w:rPr>
      </w:pPr>
      <w:r>
        <w:rPr>
          <w:rFonts w:hint="eastAsia" w:ascii="Times New Roman" w:hAnsi="Times New Roman" w:eastAsia="宋体" w:cs="Times New Roman"/>
          <w:b/>
          <w:bCs/>
          <w:color w:val="auto"/>
          <w:kern w:val="0"/>
          <w:sz w:val="28"/>
          <w:szCs w:val="36"/>
          <w:highlight w:val="none"/>
          <w:lang w:val="en-US" w:eastAsia="zh-CN" w:bidi="ar-SA"/>
        </w:rPr>
        <w:t>第二章  采购需求</w:t>
      </w:r>
      <w:bookmarkEnd w:id="9"/>
      <w:bookmarkEnd w:id="10"/>
    </w:p>
    <w:p>
      <w:pPr>
        <w:spacing w:beforeLines="50"/>
        <w:ind w:firstLine="424" w:firstLineChars="202"/>
        <w:rPr>
          <w:rFonts w:hint="eastAsia" w:ascii="宋体" w:hAnsi="宋体"/>
          <w:color w:val="auto"/>
          <w:szCs w:val="21"/>
          <w:highlight w:val="none"/>
        </w:rPr>
      </w:pPr>
    </w:p>
    <w:p>
      <w:pPr>
        <w:spacing w:beforeLines="50"/>
        <w:ind w:firstLine="487" w:firstLineChars="202"/>
        <w:rPr>
          <w:rFonts w:hint="eastAsia"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一、采购清单</w:t>
      </w:r>
    </w:p>
    <w:tbl>
      <w:tblPr>
        <w:tblStyle w:val="43"/>
        <w:tblW w:w="93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15" w:type="dxa"/>
          <w:left w:w="15" w:type="dxa"/>
          <w:bottom w:w="15" w:type="dxa"/>
          <w:right w:w="15" w:type="dxa"/>
        </w:tblCellMar>
      </w:tblPr>
      <w:tblGrid>
        <w:gridCol w:w="1276"/>
        <w:gridCol w:w="4941"/>
        <w:gridCol w:w="1412"/>
        <w:gridCol w:w="1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28" w:hRule="atLeast"/>
        </w:trPr>
        <w:tc>
          <w:tcPr>
            <w:tcW w:w="1276"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b/>
                <w:color w:val="auto"/>
                <w:sz w:val="21"/>
                <w:szCs w:val="21"/>
                <w:highlight w:val="none"/>
              </w:rPr>
            </w:pPr>
            <w:r>
              <w:rPr>
                <w:rFonts w:hint="eastAsia"/>
                <w:b/>
                <w:color w:val="auto"/>
                <w:sz w:val="21"/>
                <w:szCs w:val="21"/>
                <w:highlight w:val="none"/>
              </w:rPr>
              <w:t>序号</w:t>
            </w:r>
          </w:p>
        </w:tc>
        <w:tc>
          <w:tcPr>
            <w:tcW w:w="4941"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b/>
                <w:color w:val="auto"/>
                <w:sz w:val="21"/>
                <w:szCs w:val="21"/>
                <w:highlight w:val="none"/>
              </w:rPr>
            </w:pPr>
            <w:r>
              <w:rPr>
                <w:rFonts w:hint="eastAsia"/>
                <w:b/>
                <w:color w:val="auto"/>
                <w:sz w:val="21"/>
                <w:szCs w:val="21"/>
                <w:highlight w:val="none"/>
              </w:rPr>
              <w:t>名称</w:t>
            </w:r>
          </w:p>
        </w:tc>
        <w:tc>
          <w:tcPr>
            <w:tcW w:w="1412" w:type="dxa"/>
            <w:shd w:val="clear" w:color="auto" w:fill="FFFFFF"/>
            <w:tcMar>
              <w:top w:w="0" w:type="dxa"/>
              <w:left w:w="0" w:type="dxa"/>
              <w:bottom w:w="0" w:type="dxa"/>
              <w:right w:w="0" w:type="dxa"/>
            </w:tcMar>
            <w:vAlign w:val="center"/>
          </w:tcPr>
          <w:p>
            <w:pPr>
              <w:pStyle w:val="39"/>
              <w:spacing w:beforeAutospacing="0" w:afterAutospacing="0" w:line="288" w:lineRule="atLeast"/>
              <w:ind w:left="12"/>
              <w:jc w:val="center"/>
              <w:rPr>
                <w:b/>
                <w:color w:val="auto"/>
                <w:sz w:val="21"/>
                <w:szCs w:val="21"/>
                <w:highlight w:val="none"/>
              </w:rPr>
            </w:pPr>
            <w:r>
              <w:rPr>
                <w:rFonts w:hint="eastAsia"/>
                <w:b/>
                <w:color w:val="auto"/>
                <w:sz w:val="21"/>
                <w:szCs w:val="21"/>
                <w:highlight w:val="none"/>
              </w:rPr>
              <w:t>数量</w:t>
            </w:r>
          </w:p>
        </w:tc>
        <w:tc>
          <w:tcPr>
            <w:tcW w:w="1689"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b/>
                <w:color w:val="auto"/>
                <w:sz w:val="21"/>
                <w:szCs w:val="21"/>
                <w:highlight w:val="none"/>
              </w:rPr>
            </w:pPr>
            <w:r>
              <w:rPr>
                <w:rFonts w:hint="eastAsia"/>
                <w:b/>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28" w:hRule="atLeast"/>
        </w:trPr>
        <w:tc>
          <w:tcPr>
            <w:tcW w:w="1276"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color w:val="auto"/>
                <w:sz w:val="21"/>
                <w:szCs w:val="21"/>
                <w:highlight w:val="none"/>
              </w:rPr>
            </w:pPr>
            <w:r>
              <w:rPr>
                <w:rFonts w:hint="eastAsia"/>
                <w:color w:val="auto"/>
                <w:sz w:val="21"/>
                <w:szCs w:val="21"/>
                <w:highlight w:val="none"/>
              </w:rPr>
              <w:t>1</w:t>
            </w:r>
          </w:p>
        </w:tc>
        <w:tc>
          <w:tcPr>
            <w:tcW w:w="4941" w:type="dxa"/>
            <w:shd w:val="clear" w:color="auto" w:fill="FFFFFF"/>
            <w:tcMar>
              <w:top w:w="0" w:type="dxa"/>
              <w:left w:w="0" w:type="dxa"/>
              <w:bottom w:w="0" w:type="dxa"/>
              <w:right w:w="0" w:type="dxa"/>
            </w:tcMar>
            <w:vAlign w:val="center"/>
          </w:tcPr>
          <w:p>
            <w:pPr>
              <w:pStyle w:val="39"/>
              <w:spacing w:beforeAutospacing="0" w:afterAutospacing="0" w:line="288" w:lineRule="atLeast"/>
              <w:ind w:left="24" w:right="12"/>
              <w:jc w:val="center"/>
              <w:rPr>
                <w:rFonts w:hint="default" w:eastAsia="宋体"/>
                <w:color w:val="auto"/>
                <w:sz w:val="21"/>
                <w:szCs w:val="21"/>
                <w:highlight w:val="none"/>
                <w:lang w:val="en-US" w:eastAsia="zh-CN"/>
              </w:rPr>
            </w:pPr>
            <w:r>
              <w:rPr>
                <w:rFonts w:hint="eastAsia"/>
                <w:b/>
                <w:color w:val="auto"/>
                <w:sz w:val="21"/>
                <w:szCs w:val="22"/>
                <w:highlight w:val="none"/>
              </w:rPr>
              <w:t>牡丹牌MD50</w:t>
            </w:r>
            <w:r>
              <w:rPr>
                <w:rFonts w:hint="eastAsia"/>
                <w:b/>
                <w:color w:val="auto"/>
                <w:sz w:val="21"/>
                <w:szCs w:val="22"/>
                <w:highlight w:val="none"/>
                <w:lang w:val="en-US" w:eastAsia="zh-CN"/>
              </w:rPr>
              <w:t>37TXU1型巡逻车</w:t>
            </w:r>
          </w:p>
        </w:tc>
        <w:tc>
          <w:tcPr>
            <w:tcW w:w="1412" w:type="dxa"/>
            <w:shd w:val="clear" w:color="auto" w:fill="FFFFFF"/>
            <w:tcMar>
              <w:top w:w="0" w:type="dxa"/>
              <w:left w:w="0" w:type="dxa"/>
              <w:bottom w:w="0" w:type="dxa"/>
              <w:right w:w="0" w:type="dxa"/>
            </w:tcMar>
            <w:vAlign w:val="center"/>
          </w:tcPr>
          <w:p>
            <w:pPr>
              <w:pStyle w:val="39"/>
              <w:spacing w:beforeAutospacing="0" w:afterAutospacing="0" w:line="288" w:lineRule="atLeast"/>
              <w:ind w:left="12" w:right="12"/>
              <w:jc w:val="center"/>
              <w:rPr>
                <w:rFonts w:hint="default"/>
                <w:color w:val="auto"/>
                <w:sz w:val="21"/>
                <w:szCs w:val="21"/>
                <w:highlight w:val="none"/>
                <w:lang w:val="en-US"/>
              </w:rPr>
            </w:pPr>
            <w:r>
              <w:rPr>
                <w:rFonts w:hint="eastAsia"/>
                <w:color w:val="auto"/>
                <w:sz w:val="21"/>
                <w:szCs w:val="21"/>
                <w:highlight w:val="none"/>
                <w:lang w:val="en-US" w:eastAsia="zh-CN"/>
              </w:rPr>
              <w:t>5辆</w:t>
            </w:r>
          </w:p>
        </w:tc>
        <w:tc>
          <w:tcPr>
            <w:tcW w:w="1689" w:type="dxa"/>
            <w:shd w:val="clear" w:color="auto" w:fill="FFFFFF"/>
            <w:tcMar>
              <w:top w:w="0" w:type="dxa"/>
              <w:left w:w="0" w:type="dxa"/>
              <w:bottom w:w="0" w:type="dxa"/>
              <w:right w:w="0" w:type="dxa"/>
            </w:tcMar>
            <w:vAlign w:val="center"/>
          </w:tcPr>
          <w:p>
            <w:pPr>
              <w:widowControl/>
              <w:jc w:val="center"/>
              <w:textAlignment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28" w:hRule="atLeast"/>
        </w:trPr>
        <w:tc>
          <w:tcPr>
            <w:tcW w:w="1276"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color w:val="auto"/>
                <w:sz w:val="21"/>
                <w:szCs w:val="21"/>
                <w:highlight w:val="none"/>
              </w:rPr>
            </w:pPr>
            <w:r>
              <w:rPr>
                <w:rFonts w:hint="eastAsia"/>
                <w:color w:val="auto"/>
                <w:sz w:val="21"/>
                <w:szCs w:val="21"/>
                <w:highlight w:val="none"/>
              </w:rPr>
              <w:t>2</w:t>
            </w:r>
          </w:p>
        </w:tc>
        <w:tc>
          <w:tcPr>
            <w:tcW w:w="4941" w:type="dxa"/>
            <w:shd w:val="clear" w:color="auto" w:fill="FFFFFF"/>
            <w:tcMar>
              <w:top w:w="0" w:type="dxa"/>
              <w:left w:w="0" w:type="dxa"/>
              <w:bottom w:w="0" w:type="dxa"/>
              <w:right w:w="0" w:type="dxa"/>
            </w:tcMar>
            <w:vAlign w:val="center"/>
          </w:tcPr>
          <w:p>
            <w:pPr>
              <w:pStyle w:val="39"/>
              <w:spacing w:beforeAutospacing="0" w:afterAutospacing="0" w:line="288" w:lineRule="atLeast"/>
              <w:ind w:left="24" w:right="12"/>
              <w:jc w:val="center"/>
              <w:rPr>
                <w:rFonts w:hint="default" w:eastAsia="宋体"/>
                <w:b/>
                <w:color w:val="auto"/>
                <w:sz w:val="21"/>
                <w:szCs w:val="22"/>
                <w:highlight w:val="none"/>
                <w:lang w:val="en-US" w:eastAsia="zh-CN"/>
              </w:rPr>
            </w:pPr>
            <w:r>
              <w:rPr>
                <w:b/>
                <w:color w:val="auto"/>
                <w:sz w:val="21"/>
                <w:szCs w:val="22"/>
                <w:highlight w:val="none"/>
              </w:rPr>
              <w:t>牡丹牌MD</w:t>
            </w:r>
            <w:r>
              <w:rPr>
                <w:rFonts w:hint="eastAsia"/>
                <w:b/>
                <w:color w:val="auto"/>
                <w:sz w:val="21"/>
                <w:szCs w:val="22"/>
                <w:highlight w:val="none"/>
              </w:rPr>
              <w:t>50</w:t>
            </w:r>
            <w:r>
              <w:rPr>
                <w:rFonts w:hint="eastAsia"/>
                <w:b/>
                <w:color w:val="auto"/>
                <w:sz w:val="21"/>
                <w:szCs w:val="22"/>
                <w:highlight w:val="none"/>
                <w:lang w:val="en-US" w:eastAsia="zh-CN"/>
              </w:rPr>
              <w:t>27TXU1型巡逻车</w:t>
            </w:r>
          </w:p>
        </w:tc>
        <w:tc>
          <w:tcPr>
            <w:tcW w:w="1412" w:type="dxa"/>
            <w:shd w:val="clear" w:color="auto" w:fill="FFFFFF"/>
            <w:tcMar>
              <w:top w:w="0" w:type="dxa"/>
              <w:left w:w="0" w:type="dxa"/>
              <w:bottom w:w="0" w:type="dxa"/>
              <w:right w:w="0" w:type="dxa"/>
            </w:tcMar>
            <w:vAlign w:val="center"/>
          </w:tcPr>
          <w:p>
            <w:pPr>
              <w:pStyle w:val="39"/>
              <w:spacing w:beforeAutospacing="0" w:afterAutospacing="0" w:line="288" w:lineRule="atLeast"/>
              <w:ind w:left="12" w:right="12"/>
              <w:jc w:val="center"/>
              <w:rPr>
                <w:rFonts w:hint="default" w:eastAsia="宋体"/>
                <w:color w:val="auto"/>
                <w:sz w:val="21"/>
                <w:szCs w:val="21"/>
                <w:highlight w:val="none"/>
                <w:lang w:val="en-US" w:eastAsia="zh-CN"/>
              </w:rPr>
            </w:pPr>
            <w:r>
              <w:rPr>
                <w:rFonts w:hint="eastAsia"/>
                <w:color w:val="auto"/>
                <w:sz w:val="21"/>
                <w:szCs w:val="21"/>
                <w:highlight w:val="none"/>
                <w:lang w:val="en-US" w:eastAsia="zh-CN"/>
              </w:rPr>
              <w:t>2辆</w:t>
            </w:r>
          </w:p>
        </w:tc>
        <w:tc>
          <w:tcPr>
            <w:tcW w:w="1689" w:type="dxa"/>
            <w:shd w:val="clear" w:color="auto" w:fill="FFFFFF"/>
            <w:tcMar>
              <w:top w:w="0" w:type="dxa"/>
              <w:left w:w="0" w:type="dxa"/>
              <w:bottom w:w="0" w:type="dxa"/>
              <w:right w:w="0" w:type="dxa"/>
            </w:tcMar>
            <w:vAlign w:val="center"/>
          </w:tcPr>
          <w:p>
            <w:pPr>
              <w:widowControl/>
              <w:jc w:val="center"/>
              <w:textAlignment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41" w:hRule="atLeast"/>
        </w:trPr>
        <w:tc>
          <w:tcPr>
            <w:tcW w:w="1276" w:type="dxa"/>
            <w:shd w:val="clear" w:color="auto" w:fill="FFFFFF"/>
            <w:tcMar>
              <w:top w:w="0" w:type="dxa"/>
              <w:left w:w="0" w:type="dxa"/>
              <w:bottom w:w="0" w:type="dxa"/>
              <w:right w:w="0" w:type="dxa"/>
            </w:tcMar>
            <w:vAlign w:val="center"/>
          </w:tcPr>
          <w:p>
            <w:pPr>
              <w:pStyle w:val="39"/>
              <w:spacing w:beforeAutospacing="0" w:afterAutospacing="0" w:line="288" w:lineRule="atLeast"/>
              <w:ind w:left="24"/>
              <w:jc w:val="center"/>
              <w:rPr>
                <w:rFonts w:hint="eastAsia" w:eastAsia="宋体"/>
                <w:color w:val="auto"/>
                <w:sz w:val="21"/>
                <w:szCs w:val="21"/>
                <w:highlight w:val="none"/>
                <w:lang w:val="en-US" w:eastAsia="zh-CN"/>
              </w:rPr>
            </w:pPr>
            <w:r>
              <w:rPr>
                <w:rFonts w:hint="eastAsia"/>
                <w:color w:val="auto"/>
                <w:sz w:val="21"/>
                <w:szCs w:val="21"/>
                <w:highlight w:val="none"/>
                <w:lang w:val="en-US" w:eastAsia="zh-CN"/>
              </w:rPr>
              <w:t>3</w:t>
            </w:r>
          </w:p>
        </w:tc>
        <w:tc>
          <w:tcPr>
            <w:tcW w:w="4941" w:type="dxa"/>
            <w:shd w:val="clear" w:color="auto" w:fill="FFFFFF"/>
            <w:tcMar>
              <w:top w:w="0" w:type="dxa"/>
              <w:left w:w="0" w:type="dxa"/>
              <w:bottom w:w="0" w:type="dxa"/>
              <w:right w:w="0" w:type="dxa"/>
            </w:tcMar>
            <w:vAlign w:val="center"/>
          </w:tcPr>
          <w:p>
            <w:pPr>
              <w:pStyle w:val="39"/>
              <w:spacing w:beforeAutospacing="0" w:afterAutospacing="0" w:line="288" w:lineRule="atLeast"/>
              <w:ind w:left="24" w:right="12"/>
              <w:jc w:val="center"/>
              <w:rPr>
                <w:rFonts w:hint="default" w:eastAsia="宋体"/>
                <w:b/>
                <w:color w:val="auto"/>
                <w:sz w:val="21"/>
                <w:szCs w:val="22"/>
                <w:highlight w:val="none"/>
                <w:lang w:val="en-US" w:eastAsia="zh-CN"/>
              </w:rPr>
            </w:pPr>
            <w:r>
              <w:rPr>
                <w:rFonts w:hint="eastAsia"/>
                <w:b/>
                <w:color w:val="auto"/>
                <w:sz w:val="21"/>
                <w:szCs w:val="22"/>
                <w:highlight w:val="none"/>
                <w:lang w:val="en-US" w:eastAsia="zh-CN"/>
              </w:rPr>
              <w:t>牡丹牌MD5028TXU7型巡逻车</w:t>
            </w:r>
          </w:p>
        </w:tc>
        <w:tc>
          <w:tcPr>
            <w:tcW w:w="1412" w:type="dxa"/>
            <w:shd w:val="clear" w:color="auto" w:fill="FFFFFF"/>
            <w:tcMar>
              <w:top w:w="0" w:type="dxa"/>
              <w:left w:w="0" w:type="dxa"/>
              <w:bottom w:w="0" w:type="dxa"/>
              <w:right w:w="0" w:type="dxa"/>
            </w:tcMar>
            <w:vAlign w:val="center"/>
          </w:tcPr>
          <w:p>
            <w:pPr>
              <w:pStyle w:val="39"/>
              <w:spacing w:beforeAutospacing="0" w:afterAutospacing="0" w:line="288" w:lineRule="atLeast"/>
              <w:ind w:left="12" w:right="12"/>
              <w:jc w:val="center"/>
              <w:rPr>
                <w:rFonts w:hint="default"/>
                <w:color w:val="auto"/>
                <w:sz w:val="21"/>
                <w:szCs w:val="21"/>
                <w:highlight w:val="none"/>
                <w:lang w:val="en-US" w:eastAsia="zh-CN"/>
              </w:rPr>
            </w:pPr>
            <w:r>
              <w:rPr>
                <w:rFonts w:hint="eastAsia"/>
                <w:color w:val="auto"/>
                <w:sz w:val="21"/>
                <w:szCs w:val="21"/>
                <w:highlight w:val="none"/>
                <w:lang w:val="en-US" w:eastAsia="zh-CN"/>
              </w:rPr>
              <w:t>11辆</w:t>
            </w:r>
          </w:p>
        </w:tc>
        <w:tc>
          <w:tcPr>
            <w:tcW w:w="1689" w:type="dxa"/>
            <w:shd w:val="clear" w:color="auto" w:fill="FFFFFF"/>
            <w:tcMar>
              <w:top w:w="0" w:type="dxa"/>
              <w:left w:w="0" w:type="dxa"/>
              <w:bottom w:w="0" w:type="dxa"/>
              <w:right w:w="0" w:type="dxa"/>
            </w:tcMar>
            <w:vAlign w:val="center"/>
          </w:tcPr>
          <w:p>
            <w:pPr>
              <w:widowControl/>
              <w:jc w:val="center"/>
              <w:textAlignment w:val="center"/>
              <w:rPr>
                <w:rFonts w:ascii="Arial" w:hAnsi="Arial" w:cs="Arial"/>
                <w:color w:val="auto"/>
                <w:szCs w:val="21"/>
                <w:highlight w:val="none"/>
              </w:rPr>
            </w:pPr>
          </w:p>
        </w:tc>
      </w:tr>
    </w:tbl>
    <w:p>
      <w:pPr>
        <w:spacing w:beforeLines="50"/>
        <w:ind w:firstLine="426" w:firstLineChars="202"/>
        <w:rPr>
          <w:rFonts w:hint="eastAsia" w:ascii="宋体" w:hAnsi="宋体"/>
          <w:b/>
          <w:color w:val="auto"/>
          <w:highlight w:val="none"/>
        </w:rPr>
      </w:pPr>
    </w:p>
    <w:p>
      <w:pPr>
        <w:spacing w:beforeLines="50"/>
        <w:ind w:firstLine="487" w:firstLineChars="202"/>
        <w:rPr>
          <w:rFonts w:hint="eastAsia"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▲二、技术参数（规格）要求</w:t>
      </w:r>
    </w:p>
    <w:p>
      <w:pPr>
        <w:spacing w:beforeLines="50"/>
        <w:ind w:firstLine="487" w:firstLineChars="202"/>
        <w:rPr>
          <w:rFonts w:ascii="宋体" w:hAnsi="宋体"/>
          <w:b/>
          <w:color w:val="auto"/>
          <w:highlight w:val="none"/>
        </w:rPr>
      </w:pPr>
      <w:r>
        <w:rPr>
          <w:rFonts w:hint="eastAsia" w:ascii="宋体" w:hAnsi="宋体" w:eastAsia="宋体" w:cs="Times New Roman"/>
          <w:b/>
          <w:color w:val="auto"/>
          <w:sz w:val="24"/>
          <w:szCs w:val="24"/>
          <w:highlight w:val="none"/>
        </w:rPr>
        <w:t>2.1牡丹牌MD50</w:t>
      </w:r>
      <w:r>
        <w:rPr>
          <w:rFonts w:hint="eastAsia" w:ascii="宋体" w:hAnsi="宋体" w:eastAsia="宋体" w:cs="Times New Roman"/>
          <w:b/>
          <w:color w:val="auto"/>
          <w:sz w:val="24"/>
          <w:szCs w:val="24"/>
          <w:highlight w:val="none"/>
          <w:lang w:val="en-US" w:eastAsia="zh-CN"/>
        </w:rPr>
        <w:t>37TXU1型巡逻车</w:t>
      </w:r>
      <w:r>
        <w:rPr>
          <w:rFonts w:hint="eastAsia" w:ascii="宋体" w:hAnsi="宋体" w:eastAsia="宋体" w:cs="Times New Roman"/>
          <w:b/>
          <w:color w:val="auto"/>
          <w:sz w:val="24"/>
          <w:szCs w:val="24"/>
          <w:highlight w:val="none"/>
        </w:rPr>
        <w:t xml:space="preserve">     </w:t>
      </w:r>
      <w:r>
        <w:rPr>
          <w:rFonts w:hint="eastAsia" w:ascii="宋体" w:hAnsi="宋体" w:eastAsia="宋体" w:cs="Times New Roman"/>
          <w:b/>
          <w:color w:val="auto"/>
          <w:sz w:val="24"/>
          <w:szCs w:val="24"/>
          <w:highlight w:val="none"/>
          <w:lang w:val="en-US" w:eastAsia="zh-CN"/>
        </w:rPr>
        <w:t>5</w:t>
      </w:r>
      <w:r>
        <w:rPr>
          <w:rFonts w:hint="eastAsia" w:ascii="宋体" w:hAnsi="宋体" w:eastAsia="宋体" w:cs="Times New Roman"/>
          <w:b/>
          <w:color w:val="auto"/>
          <w:sz w:val="24"/>
          <w:szCs w:val="24"/>
          <w:highlight w:val="none"/>
        </w:rPr>
        <w:t>辆</w:t>
      </w:r>
      <w:r>
        <w:rPr>
          <w:rFonts w:hint="eastAsia" w:ascii="宋体" w:hAnsi="宋体"/>
          <w:b/>
          <w:color w:val="auto"/>
          <w:highlight w:val="none"/>
        </w:rPr>
        <w:br w:type="textWrapping"/>
      </w:r>
    </w:p>
    <w:tbl>
      <w:tblPr>
        <w:tblStyle w:val="43"/>
        <w:tblW w:w="92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15" w:type="dxa"/>
          <w:left w:w="15" w:type="dxa"/>
          <w:bottom w:w="15" w:type="dxa"/>
          <w:right w:w="15" w:type="dxa"/>
        </w:tblCellMar>
      </w:tblPr>
      <w:tblGrid>
        <w:gridCol w:w="642"/>
        <w:gridCol w:w="1072"/>
        <w:gridCol w:w="1442"/>
        <w:gridCol w:w="1020"/>
        <w:gridCol w:w="1935"/>
        <w:gridCol w:w="795"/>
        <w:gridCol w:w="2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序号</w:t>
            </w:r>
          </w:p>
        </w:tc>
        <w:tc>
          <w:tcPr>
            <w:tcW w:w="107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功能分类</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设备名称</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品牌</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型号</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数量</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56" w:hRule="atLeast"/>
          <w:jc w:val="center"/>
        </w:trPr>
        <w:tc>
          <w:tcPr>
            <w:tcW w:w="6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p>
        </w:tc>
        <w:tc>
          <w:tcPr>
            <w:tcW w:w="107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底盘车型</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底盘整车</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广汽传祺</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M8</w:t>
            </w:r>
          </w:p>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（GAC6510MDA6C ）</w:t>
            </w:r>
            <w:r>
              <w:rPr>
                <w:rFonts w:hint="eastAsia" w:ascii="宋体" w:hAnsi="宋体" w:eastAsia="宋体" w:cs="宋体"/>
                <w:color w:val="auto"/>
                <w:sz w:val="21"/>
                <w:szCs w:val="21"/>
                <w:highlight w:val="none"/>
              </w:rPr>
              <w:t xml:space="preserve"> </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r>
              <w:rPr>
                <w:rFonts w:hint="eastAsia" w:ascii="宋体" w:hAnsi="宋体" w:eastAsia="宋体" w:cs="宋体"/>
                <w:color w:val="auto"/>
                <w:sz w:val="21"/>
                <w:szCs w:val="21"/>
                <w:highlight w:val="none"/>
              </w:rPr>
              <w:t>台</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（原车</w:t>
            </w:r>
            <w:r>
              <w:rPr>
                <w:rFonts w:ascii="Calibri" w:hAnsi="Calibri" w:cs="Calibri"/>
                <w:color w:val="auto"/>
                <w:sz w:val="21"/>
                <w:szCs w:val="21"/>
                <w:highlight w:val="none"/>
              </w:rPr>
              <w:t>7</w:t>
            </w:r>
            <w:r>
              <w:rPr>
                <w:rFonts w:hint="eastAsia" w:ascii="宋体" w:hAnsi="宋体" w:eastAsia="宋体" w:cs="宋体"/>
                <w:color w:val="auto"/>
                <w:sz w:val="21"/>
                <w:szCs w:val="21"/>
                <w:highlight w:val="none"/>
              </w:rPr>
              <w:t>座汽油改装后7座含司机）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2</w:t>
            </w:r>
          </w:p>
        </w:tc>
        <w:tc>
          <w:tcPr>
            <w:tcW w:w="1072"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警示系统</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车身外观</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r>
              <w:rPr>
                <w:rFonts w:hint="eastAsia" w:ascii="宋体" w:hAnsi="宋体" w:eastAsia="宋体" w:cs="宋体"/>
                <w:color w:val="auto"/>
                <w:sz w:val="21"/>
                <w:szCs w:val="21"/>
                <w:highlight w:val="none"/>
              </w:rPr>
              <w:t>套</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ascii="Calibri" w:hAnsi="Calibri" w:cs="Calibri"/>
                <w:color w:val="auto"/>
                <w:sz w:val="21"/>
                <w:szCs w:val="21"/>
                <w:highlight w:val="none"/>
              </w:rPr>
              <w:t>04</w:t>
            </w:r>
            <w:r>
              <w:rPr>
                <w:rFonts w:hint="eastAsia" w:ascii="宋体" w:hAnsi="宋体" w:eastAsia="宋体" w:cs="宋体"/>
                <w:color w:val="auto"/>
                <w:sz w:val="21"/>
                <w:szCs w:val="21"/>
                <w:highlight w:val="none"/>
              </w:rPr>
              <w:t>制式外观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6" w:hRule="atLeast"/>
          <w:jc w:val="center"/>
        </w:trPr>
        <w:tc>
          <w:tcPr>
            <w:tcW w:w="64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长条警灯</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国产</w:t>
            </w:r>
          </w:p>
        </w:tc>
        <w:tc>
          <w:tcPr>
            <w:tcW w:w="1935" w:type="dxa"/>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r>
              <w:rPr>
                <w:rFonts w:hint="eastAsia" w:ascii="宋体" w:hAnsi="宋体" w:eastAsia="宋体" w:cs="宋体"/>
                <w:color w:val="auto"/>
                <w:sz w:val="21"/>
                <w:szCs w:val="21"/>
                <w:highlight w:val="none"/>
              </w:rPr>
              <w:t>条</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ascii="Calibri" w:hAnsi="Calibri" w:cs="Calibri"/>
                <w:color w:val="auto"/>
                <w:sz w:val="21"/>
                <w:szCs w:val="21"/>
                <w:highlight w:val="none"/>
              </w:rPr>
              <w:t>1.2m</w:t>
            </w:r>
            <w:r>
              <w:rPr>
                <w:rFonts w:hint="eastAsia" w:ascii="宋体" w:hAnsi="宋体" w:eastAsia="宋体" w:cs="宋体"/>
                <w:color w:val="auto"/>
                <w:sz w:val="21"/>
                <w:szCs w:val="21"/>
                <w:highlight w:val="none"/>
              </w:rPr>
              <w:t>长条</w:t>
            </w:r>
            <w:r>
              <w:rPr>
                <w:rFonts w:ascii="Calibri" w:hAnsi="Calibri" w:cs="Calibri"/>
                <w:color w:val="auto"/>
                <w:sz w:val="21"/>
                <w:szCs w:val="21"/>
                <w:highlight w:val="none"/>
              </w:rPr>
              <w:t>100W</w:t>
            </w:r>
            <w:r>
              <w:rPr>
                <w:rFonts w:hint="eastAsia" w:ascii="宋体" w:hAnsi="宋体" w:eastAsia="宋体" w:cs="宋体"/>
                <w:color w:val="auto"/>
                <w:sz w:val="21"/>
                <w:szCs w:val="21"/>
                <w:highlight w:val="none"/>
              </w:rPr>
              <w:t>警报器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8" w:hRule="atLeast"/>
          <w:jc w:val="center"/>
        </w:trPr>
        <w:tc>
          <w:tcPr>
            <w:tcW w:w="642"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3</w:t>
            </w:r>
          </w:p>
        </w:tc>
        <w:tc>
          <w:tcPr>
            <w:tcW w:w="1072"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车辆改制</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车内饰拆装</w:t>
            </w:r>
          </w:p>
        </w:tc>
        <w:tc>
          <w:tcPr>
            <w:tcW w:w="1020" w:type="dxa"/>
            <w:shd w:val="clear" w:color="auto" w:fill="FFFFFF"/>
            <w:tcMar>
              <w:top w:w="0" w:type="dxa"/>
              <w:left w:w="84" w:type="dxa"/>
              <w:bottom w:w="0" w:type="dxa"/>
              <w:right w:w="84" w:type="dxa"/>
            </w:tcMar>
            <w:vAlign w:val="center"/>
          </w:tcPr>
          <w:p>
            <w:pPr>
              <w:widowControl/>
              <w:jc w:val="center"/>
              <w:textAlignment w:val="center"/>
              <w:rPr>
                <w:rFonts w:ascii="Arial" w:hAnsi="Arial" w:cs="Arial"/>
                <w:color w:val="auto"/>
                <w:sz w:val="18"/>
                <w:szCs w:val="18"/>
                <w:highlight w:val="none"/>
              </w:rPr>
            </w:pPr>
            <w:r>
              <w:rPr>
                <w:rFonts w:hint="eastAsia" w:ascii="宋体" w:hAnsi="宋体" w:eastAsia="宋体" w:cs="宋体"/>
                <w:color w:val="auto"/>
                <w:szCs w:val="21"/>
                <w:highlight w:val="none"/>
              </w:rPr>
              <w:t>自制</w:t>
            </w:r>
          </w:p>
        </w:tc>
        <w:tc>
          <w:tcPr>
            <w:tcW w:w="1935" w:type="dxa"/>
            <w:shd w:val="clear" w:color="auto" w:fill="FFFFFF"/>
            <w:tcMar>
              <w:top w:w="0" w:type="dxa"/>
              <w:left w:w="84" w:type="dxa"/>
              <w:bottom w:w="0" w:type="dxa"/>
              <w:right w:w="84" w:type="dxa"/>
            </w:tcMar>
            <w:vAlign w:val="center"/>
          </w:tcPr>
          <w:p>
            <w:pPr>
              <w:widowControl/>
              <w:jc w:val="center"/>
              <w:textAlignment w:val="center"/>
              <w:rPr>
                <w:rFonts w:ascii="Arial" w:hAnsi="Arial" w:cs="Arial"/>
                <w:color w:val="auto"/>
                <w:sz w:val="18"/>
                <w:szCs w:val="18"/>
                <w:highlight w:val="none"/>
              </w:rPr>
            </w:pPr>
            <w:r>
              <w:rPr>
                <w:rFonts w:hint="eastAsia" w:ascii="宋体" w:hAnsi="宋体" w:eastAsia="宋体" w:cs="宋体"/>
                <w:color w:val="auto"/>
                <w:szCs w:val="21"/>
                <w:highlight w:val="none"/>
              </w:rPr>
              <w:t>自制</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r>
              <w:rPr>
                <w:rFonts w:hint="eastAsia" w:ascii="宋体" w:hAnsi="宋体" w:eastAsia="宋体" w:cs="宋体"/>
                <w:color w:val="auto"/>
                <w:sz w:val="21"/>
                <w:szCs w:val="21"/>
                <w:highlight w:val="none"/>
              </w:rPr>
              <w:t>套</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整车内饰拆装及布线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后装备箱</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ascii="Calibri" w:hAnsi="Calibri" w:cs="Calibri"/>
                <w:color w:val="auto"/>
                <w:sz w:val="21"/>
                <w:szCs w:val="21"/>
                <w:highlight w:val="none"/>
              </w:rPr>
              <w:t>1</w:t>
            </w:r>
            <w:r>
              <w:rPr>
                <w:rFonts w:hint="eastAsia" w:ascii="宋体" w:hAnsi="宋体" w:eastAsia="宋体" w:cs="宋体"/>
                <w:color w:val="auto"/>
                <w:sz w:val="21"/>
                <w:szCs w:val="21"/>
                <w:highlight w:val="none"/>
              </w:rPr>
              <w:t>个</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定制装备箱，可拆卸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8" w:hRule="atLeast"/>
          <w:jc w:val="center"/>
        </w:trPr>
        <w:tc>
          <w:tcPr>
            <w:tcW w:w="642" w:type="dxa"/>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eastAsiaTheme="minorEastAsia"/>
                <w:color w:val="auto"/>
                <w:sz w:val="18"/>
                <w:szCs w:val="18"/>
                <w:highlight w:val="none"/>
                <w:lang w:val="en-US" w:eastAsia="zh-CN"/>
              </w:rPr>
            </w:pPr>
            <w:r>
              <w:rPr>
                <w:rFonts w:hint="eastAsia" w:ascii="Arial" w:hAnsi="Arial" w:cs="Arial"/>
                <w:color w:val="auto"/>
                <w:sz w:val="18"/>
                <w:szCs w:val="18"/>
                <w:highlight w:val="none"/>
                <w:lang w:val="en-US" w:eastAsia="zh-CN"/>
              </w:rPr>
              <w:t>4</w:t>
            </w:r>
          </w:p>
        </w:tc>
        <w:tc>
          <w:tcPr>
            <w:tcW w:w="1072" w:type="dxa"/>
            <w:shd w:val="clear" w:color="auto" w:fill="FFFFFF"/>
            <w:tcMar>
              <w:top w:w="0" w:type="dxa"/>
              <w:left w:w="84" w:type="dxa"/>
              <w:bottom w:w="0" w:type="dxa"/>
              <w:right w:w="84" w:type="dxa"/>
            </w:tcMar>
            <w:vAlign w:val="center"/>
          </w:tcPr>
          <w:p>
            <w:pPr>
              <w:widowControl/>
              <w:jc w:val="left"/>
              <w:textAlignment w:val="center"/>
              <w:rPr>
                <w:rFonts w:hint="default" w:ascii="Arial" w:hAnsi="Arial" w:cs="Arial" w:eastAsiaTheme="minorEastAsia"/>
                <w:color w:val="auto"/>
                <w:sz w:val="21"/>
                <w:szCs w:val="21"/>
                <w:highlight w:val="none"/>
                <w:lang w:val="en-US" w:eastAsia="zh-CN"/>
              </w:rPr>
            </w:pPr>
            <w:r>
              <w:rPr>
                <w:rFonts w:hint="eastAsia" w:ascii="Arial" w:hAnsi="Arial" w:cs="Arial"/>
                <w:color w:val="auto"/>
                <w:sz w:val="21"/>
                <w:szCs w:val="21"/>
                <w:highlight w:val="none"/>
                <w:lang w:val="en-US" w:eastAsia="zh-CN"/>
              </w:rPr>
              <w:t>通讯系统</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车载电台</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海能达</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780i</w:t>
            </w: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default" w:ascii="Calibri" w:hAnsi="Calibri" w:cs="Calibri" w:eastAsiaTheme="minorEastAsia"/>
                <w:color w:val="auto"/>
                <w:sz w:val="21"/>
                <w:szCs w:val="21"/>
                <w:highlight w:val="none"/>
                <w:lang w:val="en-US" w:eastAsia="zh-CN"/>
              </w:rPr>
            </w:pPr>
            <w:r>
              <w:rPr>
                <w:rFonts w:hint="eastAsia" w:ascii="Calibri" w:hAnsi="Calibri" w:cs="Calibri"/>
                <w:color w:val="auto"/>
                <w:sz w:val="21"/>
                <w:szCs w:val="21"/>
                <w:highlight w:val="none"/>
                <w:lang w:val="en-US" w:eastAsia="zh-CN"/>
              </w:rPr>
              <w:t>1套</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公安专网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68" w:hRule="atLeast"/>
          <w:jc w:val="center"/>
        </w:trPr>
        <w:tc>
          <w:tcPr>
            <w:tcW w:w="642" w:type="dxa"/>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eastAsiaTheme="minorEastAsia"/>
                <w:color w:val="auto"/>
                <w:sz w:val="18"/>
                <w:szCs w:val="18"/>
                <w:highlight w:val="none"/>
                <w:lang w:val="en-US" w:eastAsia="zh-CN"/>
              </w:rPr>
            </w:pPr>
            <w:r>
              <w:rPr>
                <w:rFonts w:hint="eastAsia" w:ascii="Arial" w:hAnsi="Arial" w:cs="Arial"/>
                <w:color w:val="auto"/>
                <w:sz w:val="18"/>
                <w:szCs w:val="18"/>
                <w:highlight w:val="none"/>
                <w:lang w:val="en-US" w:eastAsia="zh-CN"/>
              </w:rPr>
              <w:t>5</w:t>
            </w:r>
          </w:p>
        </w:tc>
        <w:tc>
          <w:tcPr>
            <w:tcW w:w="1072" w:type="dxa"/>
            <w:shd w:val="clear" w:color="auto" w:fill="FFFFFF"/>
            <w:tcMar>
              <w:top w:w="0" w:type="dxa"/>
              <w:left w:w="84" w:type="dxa"/>
              <w:bottom w:w="0" w:type="dxa"/>
              <w:right w:w="84" w:type="dxa"/>
            </w:tcMar>
            <w:vAlign w:val="center"/>
          </w:tcPr>
          <w:p>
            <w:pPr>
              <w:widowControl/>
              <w:jc w:val="left"/>
              <w:textAlignment w:val="center"/>
              <w:rPr>
                <w:rFonts w:hint="default" w:ascii="Arial" w:hAnsi="Arial" w:cs="Arial" w:eastAsiaTheme="minorEastAsia"/>
                <w:color w:val="auto"/>
                <w:sz w:val="21"/>
                <w:szCs w:val="21"/>
                <w:highlight w:val="none"/>
                <w:lang w:val="en-US" w:eastAsia="zh-CN"/>
              </w:rPr>
            </w:pPr>
            <w:r>
              <w:rPr>
                <w:rFonts w:hint="eastAsia" w:ascii="Arial" w:hAnsi="Arial" w:cs="Arial"/>
                <w:color w:val="auto"/>
                <w:sz w:val="21"/>
                <w:szCs w:val="21"/>
                <w:highlight w:val="none"/>
                <w:lang w:val="en-US" w:eastAsia="zh-CN"/>
              </w:rPr>
              <w:t>宣传系统</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车后LED屏</w:t>
            </w:r>
          </w:p>
        </w:tc>
        <w:tc>
          <w:tcPr>
            <w:tcW w:w="1020"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星际</w:t>
            </w:r>
          </w:p>
        </w:tc>
        <w:tc>
          <w:tcPr>
            <w:tcW w:w="193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rPr>
            </w:pPr>
          </w:p>
        </w:tc>
        <w:tc>
          <w:tcPr>
            <w:tcW w:w="795"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default" w:ascii="Calibri" w:hAnsi="Calibri" w:cs="Calibri" w:eastAsiaTheme="minorEastAsia"/>
                <w:color w:val="auto"/>
                <w:sz w:val="21"/>
                <w:szCs w:val="21"/>
                <w:highlight w:val="none"/>
                <w:lang w:val="en-US" w:eastAsia="zh-CN"/>
              </w:rPr>
            </w:pPr>
            <w:r>
              <w:rPr>
                <w:rFonts w:hint="eastAsia" w:ascii="Calibri" w:hAnsi="Calibri" w:cs="Calibri"/>
                <w:color w:val="auto"/>
                <w:sz w:val="21"/>
                <w:szCs w:val="21"/>
                <w:highlight w:val="none"/>
                <w:lang w:val="en-US" w:eastAsia="zh-CN"/>
              </w:rPr>
              <w:t>1套</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车后LED单色屏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68" w:hRule="atLeast"/>
          <w:jc w:val="center"/>
        </w:trPr>
        <w:tc>
          <w:tcPr>
            <w:tcW w:w="642" w:type="dxa"/>
            <w:vMerge w:val="restart"/>
            <w:shd w:val="clear" w:color="auto" w:fill="FFFFFF"/>
            <w:tcMar>
              <w:top w:w="0" w:type="dxa"/>
              <w:left w:w="84" w:type="dxa"/>
              <w:bottom w:w="0" w:type="dxa"/>
              <w:right w:w="84" w:type="dxa"/>
            </w:tcMar>
            <w:vAlign w:val="center"/>
          </w:tcPr>
          <w:p>
            <w:pPr>
              <w:widowControl/>
              <w:jc w:val="center"/>
              <w:textAlignment w:val="center"/>
              <w:rPr>
                <w:rFonts w:hint="default" w:ascii="Arial" w:hAnsi="Arial" w:cs="Arial"/>
                <w:color w:val="auto"/>
                <w:sz w:val="18"/>
                <w:szCs w:val="18"/>
                <w:highlight w:val="none"/>
                <w:lang w:val="en-US" w:eastAsia="zh-CN"/>
              </w:rPr>
            </w:pPr>
            <w:r>
              <w:rPr>
                <w:rFonts w:hint="eastAsia" w:ascii="Arial" w:hAnsi="Arial" w:cs="Arial"/>
                <w:color w:val="auto"/>
                <w:sz w:val="18"/>
                <w:szCs w:val="18"/>
                <w:highlight w:val="none"/>
                <w:lang w:val="en-US" w:eastAsia="zh-CN"/>
              </w:rPr>
              <w:t>6</w:t>
            </w:r>
          </w:p>
        </w:tc>
        <w:tc>
          <w:tcPr>
            <w:tcW w:w="1072" w:type="dxa"/>
            <w:vMerge w:val="restart"/>
            <w:shd w:val="clear" w:color="auto" w:fill="FFFFFF"/>
            <w:tcMar>
              <w:top w:w="0" w:type="dxa"/>
              <w:left w:w="84" w:type="dxa"/>
              <w:bottom w:w="0" w:type="dxa"/>
              <w:right w:w="84" w:type="dxa"/>
            </w:tcMar>
            <w:vAlign w:val="center"/>
          </w:tcPr>
          <w:p>
            <w:pPr>
              <w:widowControl/>
              <w:jc w:val="left"/>
              <w:textAlignment w:val="center"/>
              <w:rPr>
                <w:rFonts w:hint="default" w:ascii="Arial" w:hAnsi="Arial" w:cs="Arial"/>
                <w:color w:val="auto"/>
                <w:sz w:val="21"/>
                <w:szCs w:val="21"/>
                <w:highlight w:val="none"/>
                <w:lang w:val="en-US" w:eastAsia="zh-CN"/>
              </w:rPr>
            </w:pPr>
            <w:r>
              <w:rPr>
                <w:rFonts w:hint="eastAsia" w:ascii="Arial" w:hAnsi="Arial" w:cs="Arial"/>
                <w:color w:val="auto"/>
                <w:sz w:val="21"/>
                <w:szCs w:val="21"/>
                <w:highlight w:val="none"/>
                <w:lang w:val="en-US" w:eastAsia="zh-CN"/>
              </w:rPr>
              <w:t>监控系统</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取证主机</w:t>
            </w:r>
          </w:p>
        </w:tc>
        <w:tc>
          <w:tcPr>
            <w:tcW w:w="1020"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海康威视</w:t>
            </w:r>
          </w:p>
        </w:tc>
        <w:tc>
          <w:tcPr>
            <w:tcW w:w="19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center"/>
              <w:textAlignment w:val="center"/>
              <w:rPr>
                <w:rFonts w:hint="eastAsia" w:ascii="宋体" w:hAnsi="宋体" w:eastAsia="宋体" w:cs="宋体"/>
                <w:color w:val="auto"/>
                <w:sz w:val="21"/>
                <w:szCs w:val="21"/>
                <w:highlight w:val="none"/>
              </w:rPr>
            </w:pPr>
            <w:r>
              <w:rPr>
                <w:rFonts w:hint="eastAsia" w:ascii="宋体" w:hAnsi="宋体" w:cs="宋体"/>
                <w:i w:val="0"/>
                <w:iCs w:val="0"/>
                <w:caps w:val="0"/>
                <w:color w:val="auto"/>
                <w:spacing w:val="0"/>
                <w:sz w:val="21"/>
                <w:szCs w:val="21"/>
                <w:highlight w:val="none"/>
                <w:lang w:val="en-US" w:eastAsia="zh-CN"/>
              </w:rPr>
              <w:t>DS-MI9605-XF</w:t>
            </w:r>
          </w:p>
        </w:tc>
        <w:tc>
          <w:tcPr>
            <w:tcW w:w="795"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default" w:ascii="Calibri" w:hAnsi="Calibri" w:cs="Calibri"/>
                <w:color w:val="auto"/>
                <w:sz w:val="21"/>
                <w:szCs w:val="21"/>
                <w:highlight w:val="none"/>
                <w:lang w:val="en-US" w:eastAsia="zh-CN"/>
              </w:rPr>
            </w:pPr>
            <w:r>
              <w:rPr>
                <w:rFonts w:hint="eastAsia" w:ascii="Calibri" w:hAnsi="Calibri" w:cs="Calibri"/>
                <w:color w:val="auto"/>
                <w:sz w:val="21"/>
                <w:szCs w:val="21"/>
                <w:highlight w:val="none"/>
                <w:lang w:val="en-US" w:eastAsia="zh-CN"/>
              </w:rPr>
              <w:t>1套</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4G取证主机，北斗定位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68" w:hRule="atLeast"/>
          <w:jc w:val="center"/>
        </w:trPr>
        <w:tc>
          <w:tcPr>
            <w:tcW w:w="642" w:type="dxa"/>
            <w:vMerge w:val="continue"/>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color w:val="auto"/>
                <w:sz w:val="18"/>
                <w:szCs w:val="18"/>
                <w:highlight w:val="none"/>
                <w:lang w:val="en-US" w:eastAsia="zh-CN"/>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hint="eastAsia" w:ascii="Arial" w:hAnsi="Arial" w:cs="Arial"/>
                <w:color w:val="auto"/>
                <w:sz w:val="21"/>
                <w:szCs w:val="21"/>
                <w:highlight w:val="none"/>
                <w:lang w:val="en-US" w:eastAsia="zh-CN"/>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云台摄像机</w:t>
            </w:r>
          </w:p>
        </w:tc>
        <w:tc>
          <w:tcPr>
            <w:tcW w:w="1020"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val="en-US" w:eastAsia="zh-CN"/>
              </w:rPr>
            </w:pPr>
          </w:p>
        </w:tc>
        <w:tc>
          <w:tcPr>
            <w:tcW w:w="19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center"/>
              <w:textAlignment w:val="center"/>
              <w:rPr>
                <w:rFonts w:hint="eastAsia" w:ascii="宋体" w:hAnsi="宋体" w:eastAsia="宋体" w:cs="宋体"/>
                <w:color w:val="auto"/>
                <w:sz w:val="21"/>
                <w:szCs w:val="21"/>
                <w:highlight w:val="none"/>
              </w:rPr>
            </w:pPr>
            <w:r>
              <w:rPr>
                <w:rFonts w:hint="eastAsia" w:ascii="宋体" w:hAnsi="宋体" w:cs="宋体"/>
                <w:i w:val="0"/>
                <w:iCs w:val="0"/>
                <w:caps w:val="0"/>
                <w:color w:val="auto"/>
                <w:spacing w:val="0"/>
                <w:sz w:val="21"/>
                <w:szCs w:val="21"/>
                <w:highlight w:val="none"/>
                <w:lang w:val="en-US" w:eastAsia="zh-CN"/>
              </w:rPr>
              <w:t>DS-TCC400/XF</w:t>
            </w:r>
          </w:p>
        </w:tc>
        <w:tc>
          <w:tcPr>
            <w:tcW w:w="795"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Calibri" w:hAnsi="Calibri" w:cs="Calibri"/>
                <w:color w:val="auto"/>
                <w:sz w:val="21"/>
                <w:szCs w:val="21"/>
                <w:highlight w:val="none"/>
                <w:lang w:val="en-US" w:eastAsia="zh-CN"/>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360°摄像机，400W像素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68" w:hRule="atLeast"/>
          <w:jc w:val="center"/>
        </w:trPr>
        <w:tc>
          <w:tcPr>
            <w:tcW w:w="642" w:type="dxa"/>
            <w:vMerge w:val="continue"/>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color w:val="auto"/>
                <w:sz w:val="18"/>
                <w:szCs w:val="18"/>
                <w:highlight w:val="none"/>
                <w:lang w:val="en-US" w:eastAsia="zh-CN"/>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hint="eastAsia" w:ascii="Arial" w:hAnsi="Arial" w:cs="Arial"/>
                <w:color w:val="auto"/>
                <w:sz w:val="21"/>
                <w:szCs w:val="21"/>
                <w:highlight w:val="none"/>
                <w:lang w:val="en-US" w:eastAsia="zh-CN"/>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手控器</w:t>
            </w:r>
          </w:p>
        </w:tc>
        <w:tc>
          <w:tcPr>
            <w:tcW w:w="1020"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val="en-US" w:eastAsia="zh-CN"/>
              </w:rPr>
            </w:pPr>
          </w:p>
        </w:tc>
        <w:tc>
          <w:tcPr>
            <w:tcW w:w="19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center"/>
              <w:textAlignment w:val="center"/>
              <w:rPr>
                <w:rFonts w:hint="eastAsia" w:ascii="宋体" w:hAnsi="宋体" w:eastAsia="宋体" w:cs="宋体"/>
                <w:color w:val="auto"/>
                <w:sz w:val="21"/>
                <w:szCs w:val="21"/>
                <w:highlight w:val="none"/>
              </w:rPr>
            </w:pPr>
            <w:r>
              <w:rPr>
                <w:rFonts w:hint="eastAsia" w:ascii="宋体" w:hAnsi="宋体" w:cs="宋体"/>
                <w:i w:val="0"/>
                <w:iCs w:val="0"/>
                <w:caps w:val="0"/>
                <w:color w:val="auto"/>
                <w:spacing w:val="0"/>
                <w:sz w:val="21"/>
                <w:szCs w:val="21"/>
                <w:highlight w:val="none"/>
                <w:lang w:val="en-US" w:eastAsia="zh-CN"/>
              </w:rPr>
              <w:t>DS-1010K</w:t>
            </w:r>
          </w:p>
        </w:tc>
        <w:tc>
          <w:tcPr>
            <w:tcW w:w="795"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Calibri" w:hAnsi="Calibri" w:cs="Calibri"/>
                <w:color w:val="auto"/>
                <w:sz w:val="21"/>
                <w:szCs w:val="21"/>
                <w:highlight w:val="none"/>
                <w:lang w:val="en-US" w:eastAsia="zh-CN"/>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手控器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68" w:hRule="atLeast"/>
          <w:jc w:val="center"/>
        </w:trPr>
        <w:tc>
          <w:tcPr>
            <w:tcW w:w="642" w:type="dxa"/>
            <w:vMerge w:val="continue"/>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color w:val="auto"/>
                <w:sz w:val="18"/>
                <w:szCs w:val="18"/>
                <w:highlight w:val="none"/>
                <w:lang w:val="en-US" w:eastAsia="zh-CN"/>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hint="eastAsia" w:ascii="Arial" w:hAnsi="Arial" w:cs="Arial"/>
                <w:color w:val="auto"/>
                <w:sz w:val="21"/>
                <w:szCs w:val="21"/>
                <w:highlight w:val="none"/>
                <w:lang w:val="en-US" w:eastAsia="zh-CN"/>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高清显示屏</w:t>
            </w:r>
          </w:p>
        </w:tc>
        <w:tc>
          <w:tcPr>
            <w:tcW w:w="1020"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宋体" w:hAnsi="宋体" w:eastAsia="宋体" w:cs="宋体"/>
                <w:color w:val="auto"/>
                <w:sz w:val="21"/>
                <w:szCs w:val="21"/>
                <w:highlight w:val="none"/>
                <w:lang w:val="en-US" w:eastAsia="zh-CN"/>
              </w:rPr>
            </w:pPr>
          </w:p>
        </w:tc>
        <w:tc>
          <w:tcPr>
            <w:tcW w:w="19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center"/>
              <w:textAlignment w:val="center"/>
              <w:rPr>
                <w:rFonts w:hint="eastAsia" w:ascii="宋体" w:hAnsi="宋体" w:eastAsia="宋体" w:cs="宋体"/>
                <w:color w:val="auto"/>
                <w:sz w:val="21"/>
                <w:szCs w:val="21"/>
                <w:highlight w:val="none"/>
              </w:rPr>
            </w:pPr>
            <w:r>
              <w:rPr>
                <w:rFonts w:hint="eastAsia" w:ascii="宋体" w:hAnsi="宋体" w:cs="宋体"/>
                <w:i w:val="0"/>
                <w:iCs w:val="0"/>
                <w:caps w:val="0"/>
                <w:color w:val="auto"/>
                <w:spacing w:val="0"/>
                <w:sz w:val="21"/>
                <w:szCs w:val="21"/>
                <w:highlight w:val="none"/>
                <w:lang w:val="en-US" w:eastAsia="zh-CN"/>
              </w:rPr>
              <w:t>DS-MP1308</w:t>
            </w:r>
          </w:p>
        </w:tc>
        <w:tc>
          <w:tcPr>
            <w:tcW w:w="795" w:type="dxa"/>
            <w:vMerge w:val="continue"/>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rFonts w:hint="eastAsia" w:ascii="Calibri" w:hAnsi="Calibri" w:cs="Calibri"/>
                <w:color w:val="auto"/>
                <w:sz w:val="21"/>
                <w:szCs w:val="21"/>
                <w:highlight w:val="none"/>
                <w:lang w:val="en-US" w:eastAsia="zh-CN"/>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7寸触摸显示屏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vMerge w:val="restart"/>
            <w:shd w:val="clear" w:color="auto" w:fill="FFFFFF"/>
            <w:tcMar>
              <w:top w:w="0" w:type="dxa"/>
              <w:left w:w="84" w:type="dxa"/>
              <w:bottom w:w="0" w:type="dxa"/>
              <w:right w:w="84" w:type="dxa"/>
            </w:tcMar>
            <w:vAlign w:val="center"/>
          </w:tcPr>
          <w:p>
            <w:pPr>
              <w:widowControl/>
              <w:jc w:val="center"/>
              <w:textAlignment w:val="center"/>
              <w:rPr>
                <w:rFonts w:hint="eastAsia" w:ascii="Arial" w:hAnsi="Arial" w:cs="Arial" w:eastAsiaTheme="minorEastAsia"/>
                <w:color w:val="auto"/>
                <w:sz w:val="18"/>
                <w:szCs w:val="18"/>
                <w:highlight w:val="none"/>
                <w:lang w:val="en-US" w:eastAsia="zh-CN"/>
              </w:rPr>
            </w:pPr>
            <w:r>
              <w:rPr>
                <w:rFonts w:hint="eastAsia" w:ascii="Arial" w:hAnsi="Arial" w:cs="Arial"/>
                <w:color w:val="auto"/>
                <w:sz w:val="18"/>
                <w:szCs w:val="18"/>
                <w:highlight w:val="none"/>
                <w:lang w:val="en-US" w:eastAsia="zh-CN"/>
              </w:rPr>
              <w:t>7</w:t>
            </w:r>
          </w:p>
        </w:tc>
        <w:tc>
          <w:tcPr>
            <w:tcW w:w="1072"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辅料</w:t>
            </w: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车体改制</w:t>
            </w:r>
          </w:p>
        </w:tc>
        <w:tc>
          <w:tcPr>
            <w:tcW w:w="1020"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1935"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自制</w:t>
            </w:r>
          </w:p>
        </w:tc>
        <w:tc>
          <w:tcPr>
            <w:tcW w:w="795" w:type="dxa"/>
            <w:vMerge w:val="restart"/>
            <w:shd w:val="clear" w:color="auto" w:fill="FFFFFF"/>
            <w:tcMar>
              <w:top w:w="0" w:type="dxa"/>
              <w:left w:w="84" w:type="dxa"/>
              <w:bottom w:w="0" w:type="dxa"/>
              <w:right w:w="84" w:type="dxa"/>
            </w:tcMar>
            <w:vAlign w:val="center"/>
          </w:tcPr>
          <w:p>
            <w:pPr>
              <w:pStyle w:val="39"/>
              <w:widowControl/>
              <w:spacing w:beforeAutospacing="0" w:afterAutospacing="0" w:line="288" w:lineRule="atLeast"/>
              <w:jc w:val="center"/>
              <w:textAlignment w:val="center"/>
              <w:rPr>
                <w:color w:val="auto"/>
                <w:sz w:val="36"/>
                <w:szCs w:val="36"/>
                <w:highlight w:val="none"/>
              </w:rPr>
            </w:pPr>
            <w:r>
              <w:rPr>
                <w:rFonts w:hint="eastAsia" w:ascii="宋体" w:hAnsi="宋体" w:eastAsia="宋体" w:cs="宋体"/>
                <w:color w:val="auto"/>
                <w:sz w:val="21"/>
                <w:szCs w:val="21"/>
                <w:highlight w:val="none"/>
              </w:rPr>
              <w:t>1项</w:t>
            </w: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局部开孔，加强、加固等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16" w:hRule="atLeast"/>
          <w:jc w:val="center"/>
        </w:trPr>
        <w:tc>
          <w:tcPr>
            <w:tcW w:w="64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电器辅助材料</w:t>
            </w:r>
          </w:p>
        </w:tc>
        <w:tc>
          <w:tcPr>
            <w:tcW w:w="1020"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93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79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电路控制器、保险、电气线束及开关等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装配辅助材料</w:t>
            </w:r>
          </w:p>
        </w:tc>
        <w:tc>
          <w:tcPr>
            <w:tcW w:w="1020"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93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79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jc w:val="both"/>
              <w:textAlignment w:val="center"/>
              <w:rPr>
                <w:color w:val="auto"/>
                <w:sz w:val="36"/>
                <w:szCs w:val="36"/>
                <w:highlight w:val="none"/>
              </w:rPr>
            </w:pPr>
            <w:r>
              <w:rPr>
                <w:rFonts w:hint="eastAsia" w:ascii="宋体" w:hAnsi="宋体" w:eastAsia="宋体" w:cs="宋体"/>
                <w:color w:val="auto"/>
                <w:sz w:val="21"/>
                <w:szCs w:val="21"/>
                <w:highlight w:val="none"/>
              </w:rPr>
              <w:t>易损件、小五金、板材、胶等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28" w:hRule="atLeast"/>
          <w:jc w:val="center"/>
        </w:trPr>
        <w:tc>
          <w:tcPr>
            <w:tcW w:w="64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072"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44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涂装辅助材料</w:t>
            </w:r>
          </w:p>
        </w:tc>
        <w:tc>
          <w:tcPr>
            <w:tcW w:w="1020"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193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795" w:type="dxa"/>
            <w:vMerge w:val="continue"/>
            <w:shd w:val="clear" w:color="auto" w:fill="FFFFFF"/>
            <w:tcMar>
              <w:top w:w="0" w:type="dxa"/>
              <w:left w:w="84" w:type="dxa"/>
              <w:bottom w:w="0" w:type="dxa"/>
              <w:right w:w="84" w:type="dxa"/>
            </w:tcMar>
            <w:vAlign w:val="center"/>
          </w:tcPr>
          <w:p>
            <w:pPr>
              <w:widowControl/>
              <w:jc w:val="left"/>
              <w:textAlignment w:val="center"/>
              <w:rPr>
                <w:rFonts w:ascii="Arial" w:hAnsi="Arial" w:cs="Arial"/>
                <w:color w:val="auto"/>
                <w:sz w:val="18"/>
                <w:szCs w:val="18"/>
                <w:highlight w:val="none"/>
              </w:rPr>
            </w:pPr>
          </w:p>
        </w:tc>
        <w:tc>
          <w:tcPr>
            <w:tcW w:w="2362" w:type="dxa"/>
            <w:shd w:val="clear" w:color="auto" w:fill="FFFFFF"/>
            <w:tcMar>
              <w:top w:w="0" w:type="dxa"/>
              <w:left w:w="84" w:type="dxa"/>
              <w:bottom w:w="0" w:type="dxa"/>
              <w:right w:w="84" w:type="dxa"/>
            </w:tcMar>
            <w:vAlign w:val="center"/>
          </w:tcPr>
          <w:p>
            <w:pPr>
              <w:pStyle w:val="39"/>
              <w:widowControl/>
              <w:spacing w:beforeAutospacing="0" w:afterAutospacing="0" w:line="288" w:lineRule="atLeast"/>
              <w:textAlignment w:val="center"/>
              <w:rPr>
                <w:color w:val="auto"/>
                <w:sz w:val="36"/>
                <w:szCs w:val="36"/>
                <w:highlight w:val="none"/>
              </w:rPr>
            </w:pPr>
            <w:r>
              <w:rPr>
                <w:rFonts w:hint="eastAsia" w:ascii="宋体" w:hAnsi="宋体" w:eastAsia="宋体" w:cs="宋体"/>
                <w:color w:val="auto"/>
                <w:sz w:val="21"/>
                <w:szCs w:val="21"/>
                <w:highlight w:val="none"/>
              </w:rPr>
              <w:t>自制件电泳、环氧、喷漆等</w:t>
            </w:r>
          </w:p>
        </w:tc>
      </w:tr>
    </w:tbl>
    <w:p>
      <w:pPr>
        <w:spacing w:beforeLines="50"/>
        <w:ind w:firstLine="426" w:firstLineChars="202"/>
        <w:rPr>
          <w:rFonts w:ascii="宋体" w:hAnsi="宋体"/>
          <w:b/>
          <w:color w:val="auto"/>
          <w:highlight w:val="none"/>
        </w:rPr>
      </w:pPr>
    </w:p>
    <w:p>
      <w:pPr>
        <w:spacing w:beforeLines="50"/>
        <w:ind w:firstLine="487" w:firstLineChars="202"/>
        <w:rPr>
          <w:rFonts w:hint="eastAsia"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2.2牡丹牌MD50</w:t>
      </w:r>
      <w:r>
        <w:rPr>
          <w:rFonts w:hint="eastAsia" w:ascii="宋体" w:hAnsi="宋体" w:eastAsia="宋体" w:cs="Times New Roman"/>
          <w:b/>
          <w:color w:val="auto"/>
          <w:sz w:val="24"/>
          <w:szCs w:val="24"/>
          <w:highlight w:val="none"/>
          <w:lang w:val="en-US" w:eastAsia="zh-CN"/>
        </w:rPr>
        <w:t>27TXU1型</w:t>
      </w:r>
      <w:r>
        <w:rPr>
          <w:rFonts w:hint="eastAsia" w:ascii="宋体" w:hAnsi="宋体" w:eastAsia="宋体" w:cs="Times New Roman"/>
          <w:b/>
          <w:color w:val="auto"/>
          <w:sz w:val="24"/>
          <w:szCs w:val="24"/>
          <w:highlight w:val="none"/>
        </w:rPr>
        <w:t xml:space="preserve">巡逻车  </w:t>
      </w:r>
      <w:r>
        <w:rPr>
          <w:rFonts w:hint="eastAsia" w:ascii="宋体" w:hAnsi="宋体" w:eastAsia="宋体" w:cs="Times New Roman"/>
          <w:b/>
          <w:color w:val="auto"/>
          <w:sz w:val="24"/>
          <w:szCs w:val="24"/>
          <w:highlight w:val="none"/>
          <w:lang w:val="en-US" w:eastAsia="zh-CN"/>
        </w:rPr>
        <w:t>2</w:t>
      </w:r>
      <w:r>
        <w:rPr>
          <w:rFonts w:hint="eastAsia" w:ascii="宋体" w:hAnsi="宋体" w:eastAsia="宋体" w:cs="Times New Roman"/>
          <w:b/>
          <w:color w:val="auto"/>
          <w:sz w:val="24"/>
          <w:szCs w:val="24"/>
          <w:highlight w:val="none"/>
        </w:rPr>
        <w:t>辆</w:t>
      </w:r>
    </w:p>
    <w:tbl>
      <w:tblPr>
        <w:tblStyle w:val="43"/>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15" w:type="dxa"/>
          <w:left w:w="15" w:type="dxa"/>
          <w:bottom w:w="15" w:type="dxa"/>
          <w:right w:w="15" w:type="dxa"/>
        </w:tblCellMar>
      </w:tblPr>
      <w:tblGrid>
        <w:gridCol w:w="673"/>
        <w:gridCol w:w="1050"/>
        <w:gridCol w:w="1346"/>
        <w:gridCol w:w="942"/>
        <w:gridCol w:w="1897"/>
        <w:gridCol w:w="735"/>
        <w:gridCol w:w="2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08" w:hRule="atLeast"/>
          <w:jc w:val="center"/>
        </w:trPr>
        <w:tc>
          <w:tcPr>
            <w:tcW w:w="673"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序号</w:t>
            </w:r>
          </w:p>
        </w:tc>
        <w:tc>
          <w:tcPr>
            <w:tcW w:w="1050"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功能分类</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设备名称</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品牌</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型号</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数量</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636" w:hRule="atLeast"/>
          <w:jc w:val="center"/>
        </w:trPr>
        <w:tc>
          <w:tcPr>
            <w:tcW w:w="673"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1050"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底盘车型</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底盘整车</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传祺</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aps w:val="0"/>
                <w:color w:val="auto"/>
                <w:spacing w:val="0"/>
                <w:sz w:val="21"/>
                <w:szCs w:val="21"/>
                <w:highlight w:val="none"/>
              </w:rPr>
              <w:t>M6</w:t>
            </w:r>
            <w:r>
              <w:rPr>
                <w:rFonts w:hint="eastAsia" w:ascii="宋体" w:hAnsi="宋体" w:eastAsia="宋体" w:cs="宋体"/>
                <w:i w:val="0"/>
                <w:iCs w:val="0"/>
                <w:caps w:val="0"/>
                <w:color w:val="auto"/>
                <w:spacing w:val="0"/>
                <w:sz w:val="21"/>
                <w:szCs w:val="21"/>
                <w:highlight w:val="none"/>
                <w:lang w:val="en-US" w:eastAsia="zh-CN"/>
              </w:rPr>
              <w:t xml:space="preserve"> PRO（GAC6480KCW6A ）</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（原车</w:t>
            </w:r>
            <w:r>
              <w:rPr>
                <w:rFonts w:hint="eastAsia" w:ascii="宋体" w:hAnsi="宋体" w:eastAsia="宋体" w:cs="宋体"/>
                <w:i w:val="0"/>
                <w:iCs w:val="0"/>
                <w:caps w:val="0"/>
                <w:color w:val="auto"/>
                <w:spacing w:val="0"/>
                <w:sz w:val="21"/>
                <w:szCs w:val="21"/>
                <w:highlight w:val="none"/>
                <w:lang w:val="en-US" w:eastAsia="zh-CN"/>
              </w:rPr>
              <w:t>7</w:t>
            </w:r>
            <w:r>
              <w:rPr>
                <w:rFonts w:hint="eastAsia" w:ascii="宋体" w:hAnsi="宋体" w:eastAsia="宋体" w:cs="宋体"/>
                <w:i w:val="0"/>
                <w:iCs w:val="0"/>
                <w:caps w:val="0"/>
                <w:color w:val="auto"/>
                <w:spacing w:val="0"/>
                <w:sz w:val="21"/>
                <w:szCs w:val="21"/>
                <w:highlight w:val="none"/>
              </w:rPr>
              <w:t>座汽油改装后4座含司机）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2</w:t>
            </w:r>
          </w:p>
        </w:tc>
        <w:tc>
          <w:tcPr>
            <w:tcW w:w="1050"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警示系统</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车身外观</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04制式外观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长条警灯</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星际</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BD295121G-RB</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1.2m长条 100W警报器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爆闪灯</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星际</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eastAsia="zh-CN"/>
              </w:rPr>
            </w:pPr>
            <w:r>
              <w:rPr>
                <w:rFonts w:hint="eastAsia" w:ascii="宋体" w:hAnsi="宋体" w:eastAsia="宋体" w:cs="宋体"/>
                <w:i w:val="0"/>
                <w:iCs w:val="0"/>
                <w:caps w:val="0"/>
                <w:color w:val="auto"/>
                <w:spacing w:val="0"/>
                <w:sz w:val="21"/>
                <w:szCs w:val="21"/>
                <w:highlight w:val="none"/>
              </w:rPr>
              <w:t>LTE1975-B/</w:t>
            </w:r>
          </w:p>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LTE1975-R</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进气格栅红蓝爆闪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3</w:t>
            </w:r>
          </w:p>
        </w:tc>
        <w:tc>
          <w:tcPr>
            <w:tcW w:w="1050"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通讯设备</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车载电台</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海能达</w:t>
            </w: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sz w:val="21"/>
                <w:szCs w:val="21"/>
                <w:highlight w:val="none"/>
              </w:rPr>
            </w:pP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kern w:val="0"/>
                <w:sz w:val="21"/>
                <w:szCs w:val="21"/>
                <w:highlight w:val="none"/>
                <w:lang w:val="en-US" w:eastAsia="zh-CN" w:bidi="ar"/>
              </w:rPr>
              <w:t>海能达780i,350兆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4</w:t>
            </w:r>
          </w:p>
        </w:tc>
        <w:tc>
          <w:tcPr>
            <w:tcW w:w="1050"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监控系统</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车载取证主机</w:t>
            </w:r>
          </w:p>
        </w:tc>
        <w:tc>
          <w:tcPr>
            <w:tcW w:w="942"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海康威视</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both"/>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DS-MI9605-XF</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取证主机含4G图传及北斗定位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云台摄像机</w:t>
            </w:r>
          </w:p>
        </w:tc>
        <w:tc>
          <w:tcPr>
            <w:tcW w:w="942"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both"/>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DS-TCC400/XF</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400万像素，360°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手控器</w:t>
            </w:r>
          </w:p>
        </w:tc>
        <w:tc>
          <w:tcPr>
            <w:tcW w:w="942"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both"/>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DS-1010K</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遥杆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高清车载显示屏</w:t>
            </w:r>
          </w:p>
        </w:tc>
        <w:tc>
          <w:tcPr>
            <w:tcW w:w="942"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leftChars="0" w:right="0" w:rightChars="0"/>
              <w:jc w:val="both"/>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DS-MP1308</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7寸触摸显示屏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31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半球摄像头</w:t>
            </w:r>
          </w:p>
        </w:tc>
        <w:tc>
          <w:tcPr>
            <w:tcW w:w="942"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sz w:val="21"/>
                <w:szCs w:val="21"/>
                <w:highlight w:val="none"/>
              </w:rPr>
            </w:pP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押解区监控含拾音器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32" w:hRule="atLeast"/>
          <w:jc w:val="center"/>
        </w:trPr>
        <w:tc>
          <w:tcPr>
            <w:tcW w:w="673"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lang w:eastAsia="zh-CN"/>
              </w:rPr>
            </w:pPr>
            <w:r>
              <w:rPr>
                <w:rFonts w:hint="eastAsia" w:ascii="宋体" w:hAnsi="宋体" w:eastAsia="宋体" w:cs="宋体"/>
                <w:i w:val="0"/>
                <w:iCs w:val="0"/>
                <w:caps w:val="0"/>
                <w:color w:val="auto"/>
                <w:spacing w:val="0"/>
                <w:sz w:val="21"/>
                <w:szCs w:val="21"/>
                <w:highlight w:val="none"/>
                <w:lang w:val="en-US" w:eastAsia="zh-CN"/>
              </w:rPr>
              <w:t>5</w:t>
            </w:r>
          </w:p>
        </w:tc>
        <w:tc>
          <w:tcPr>
            <w:tcW w:w="1050"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车内改装</w:t>
            </w:r>
          </w:p>
        </w:tc>
        <w:tc>
          <w:tcPr>
            <w:tcW w:w="1346" w:type="dxa"/>
            <w:shd w:val="clear" w:color="auto" w:fill="FFFFFF"/>
            <w:tcMar>
              <w:top w:w="0" w:type="dxa"/>
              <w:left w:w="84" w:type="dxa"/>
              <w:bottom w:w="0" w:type="dxa"/>
              <w:right w:w="84" w:type="dxa"/>
            </w:tcMar>
            <w:vAlign w:val="center"/>
          </w:tcPr>
          <w:p>
            <w:pPr>
              <w:keepNext w:val="0"/>
              <w:keepLines w:val="0"/>
              <w:widowControl/>
              <w:suppressLineNumbers w:val="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羁押舱前隔断</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jc w:val="center"/>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直径2.2cm以上的304不锈钢管隔断，间隔小于3cm，管壁厚1.0mm以上，隔断朝向第二排一侧装5mm厚打孔透明PC板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3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keepNext w:val="0"/>
              <w:keepLines w:val="0"/>
              <w:widowControl/>
              <w:suppressLineNumbers w:val="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羁押舱区长条座椅底柜</w:t>
            </w:r>
          </w:p>
        </w:tc>
        <w:tc>
          <w:tcPr>
            <w:tcW w:w="942"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vMerge w:val="restart"/>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1</w:t>
            </w: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jc w:val="center"/>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定制2.5cm以上硬木坐垫可上翻，下面箱体材质采用304不锈钢厚度1.2mm以上，座椅侧面304不锈钢手铐环，座位尺寸:800*320*280mm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3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keepNext w:val="0"/>
              <w:keepLines w:val="0"/>
              <w:widowControl/>
              <w:suppressLineNumbers w:val="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防暴网</w:t>
            </w:r>
          </w:p>
        </w:tc>
        <w:tc>
          <w:tcPr>
            <w:tcW w:w="942"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jc w:val="center"/>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定制左右两侧窗及后尾窗304不锈钢防爆网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750"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keepNext w:val="0"/>
              <w:keepLines w:val="0"/>
              <w:widowControl/>
              <w:suppressLineNumbers w:val="0"/>
              <w:jc w:val="both"/>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地板</w:t>
            </w:r>
          </w:p>
        </w:tc>
        <w:tc>
          <w:tcPr>
            <w:tcW w:w="942"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jc w:val="center"/>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定制花纹铝制地板，装4个地环，地环采用304不锈钢材质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32" w:hRule="atLeast"/>
          <w:jc w:val="center"/>
        </w:trPr>
        <w:tc>
          <w:tcPr>
            <w:tcW w:w="673"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lang w:val="en-US" w:eastAsia="zh-CN"/>
              </w:rPr>
            </w:pPr>
          </w:p>
        </w:tc>
        <w:tc>
          <w:tcPr>
            <w:tcW w:w="1050"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1346" w:type="dxa"/>
            <w:shd w:val="clear" w:color="auto" w:fill="FFFFFF"/>
            <w:tcMar>
              <w:top w:w="0" w:type="dxa"/>
              <w:left w:w="84" w:type="dxa"/>
              <w:bottom w:w="0" w:type="dxa"/>
              <w:right w:w="84" w:type="dxa"/>
            </w:tcMar>
            <w:vAlign w:val="center"/>
          </w:tcPr>
          <w:p>
            <w:pPr>
              <w:keepNext w:val="0"/>
              <w:keepLines w:val="0"/>
              <w:widowControl/>
              <w:suppressLineNumbers w:val="0"/>
              <w:jc w:val="left"/>
              <w:textAlignment w:val="center"/>
              <w:rPr>
                <w:rFonts w:hint="eastAsia" w:ascii="宋体" w:hAnsi="宋体" w:eastAsia="宋体" w:cs="宋体"/>
                <w:i w:val="0"/>
                <w:iCs w:val="0"/>
                <w:caps w:val="0"/>
                <w:color w:val="auto"/>
                <w:spacing w:val="0"/>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车身局部改制及踏步</w:t>
            </w:r>
          </w:p>
        </w:tc>
        <w:tc>
          <w:tcPr>
            <w:tcW w:w="942"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vMerge w:val="continue"/>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i w:val="0"/>
                <w:iCs w:val="0"/>
                <w:caps w:val="0"/>
                <w:color w:val="auto"/>
                <w:spacing w:val="0"/>
                <w:sz w:val="21"/>
                <w:szCs w:val="21"/>
                <w:highlight w:val="none"/>
              </w:rPr>
            </w:pPr>
          </w:p>
        </w:tc>
        <w:tc>
          <w:tcPr>
            <w:tcW w:w="2428" w:type="dxa"/>
            <w:shd w:val="clear" w:color="auto" w:fill="FFFFFF"/>
            <w:tcMar>
              <w:top w:w="0" w:type="dxa"/>
              <w:left w:w="84" w:type="dxa"/>
              <w:bottom w:w="0" w:type="dxa"/>
              <w:right w:w="84" w:type="dxa"/>
            </w:tcMar>
            <w:vAlign w:val="center"/>
          </w:tcPr>
          <w:p>
            <w:pPr>
              <w:keepNext w:val="0"/>
              <w:keepLines w:val="0"/>
              <w:widowControl/>
              <w:suppressLineNumbers w:val="0"/>
              <w:jc w:val="center"/>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含两侧踏步及后踏步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734" w:hRule="atLeast"/>
          <w:jc w:val="center"/>
        </w:trPr>
        <w:tc>
          <w:tcPr>
            <w:tcW w:w="673"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lang w:eastAsia="zh-CN"/>
              </w:rPr>
            </w:pPr>
            <w:r>
              <w:rPr>
                <w:rFonts w:hint="eastAsia" w:ascii="宋体" w:hAnsi="宋体" w:eastAsia="宋体" w:cs="宋体"/>
                <w:i w:val="0"/>
                <w:iCs w:val="0"/>
                <w:caps w:val="0"/>
                <w:color w:val="auto"/>
                <w:spacing w:val="0"/>
                <w:sz w:val="21"/>
                <w:szCs w:val="21"/>
                <w:highlight w:val="none"/>
                <w:lang w:val="en-US" w:eastAsia="zh-CN"/>
              </w:rPr>
              <w:t>6</w:t>
            </w:r>
          </w:p>
        </w:tc>
        <w:tc>
          <w:tcPr>
            <w:tcW w:w="1050"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车辆改制</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车内饰拆装</w:t>
            </w:r>
          </w:p>
        </w:tc>
        <w:tc>
          <w:tcPr>
            <w:tcW w:w="942"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sz w:val="21"/>
                <w:szCs w:val="21"/>
                <w:highlight w:val="none"/>
              </w:rPr>
            </w:pPr>
          </w:p>
        </w:tc>
        <w:tc>
          <w:tcPr>
            <w:tcW w:w="1897" w:type="dxa"/>
            <w:shd w:val="clear" w:color="auto" w:fill="FFFFFF"/>
            <w:tcMar>
              <w:top w:w="0" w:type="dxa"/>
              <w:left w:w="84" w:type="dxa"/>
              <w:bottom w:w="0" w:type="dxa"/>
              <w:right w:w="84"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sz w:val="21"/>
                <w:szCs w:val="21"/>
                <w:highlight w:val="none"/>
              </w:rPr>
            </w:pP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整车内饰拆装及布线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252" w:hRule="atLeast"/>
          <w:jc w:val="center"/>
        </w:trPr>
        <w:tc>
          <w:tcPr>
            <w:tcW w:w="673"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lang w:eastAsia="zh-CN"/>
              </w:rPr>
            </w:pPr>
            <w:r>
              <w:rPr>
                <w:rFonts w:hint="eastAsia" w:ascii="宋体" w:hAnsi="宋体" w:eastAsia="宋体" w:cs="宋体"/>
                <w:i w:val="0"/>
                <w:iCs w:val="0"/>
                <w:caps w:val="0"/>
                <w:color w:val="auto"/>
                <w:spacing w:val="0"/>
                <w:sz w:val="21"/>
                <w:szCs w:val="21"/>
                <w:highlight w:val="none"/>
                <w:lang w:val="en-US" w:eastAsia="zh-CN"/>
              </w:rPr>
              <w:t>7</w:t>
            </w:r>
          </w:p>
        </w:tc>
        <w:tc>
          <w:tcPr>
            <w:tcW w:w="1050"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辅料</w:t>
            </w:r>
          </w:p>
        </w:tc>
        <w:tc>
          <w:tcPr>
            <w:tcW w:w="1346"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电器及油漆辅料</w:t>
            </w:r>
          </w:p>
        </w:tc>
        <w:tc>
          <w:tcPr>
            <w:tcW w:w="942"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1897"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自制</w:t>
            </w:r>
          </w:p>
        </w:tc>
        <w:tc>
          <w:tcPr>
            <w:tcW w:w="735"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w:t>
            </w:r>
          </w:p>
        </w:tc>
        <w:tc>
          <w:tcPr>
            <w:tcW w:w="2428" w:type="dxa"/>
            <w:shd w:val="clear" w:color="auto" w:fill="FFFFFF"/>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电器件及油漆等辅料</w:t>
            </w:r>
          </w:p>
        </w:tc>
      </w:tr>
    </w:tbl>
    <w:p>
      <w:pPr>
        <w:rPr>
          <w:color w:val="auto"/>
          <w:highlight w:val="none"/>
        </w:rPr>
      </w:pPr>
    </w:p>
    <w:p>
      <w:pPr>
        <w:spacing w:beforeLines="50"/>
        <w:ind w:firstLine="487" w:firstLineChars="202"/>
        <w:rPr>
          <w:rFonts w:hint="eastAsia" w:ascii="宋体" w:hAnsi="宋体" w:eastAsia="宋体" w:cs="Times New Roman"/>
          <w:b/>
          <w:color w:val="auto"/>
          <w:sz w:val="24"/>
          <w:szCs w:val="24"/>
          <w:highlight w:val="none"/>
          <w:lang w:val="en-US" w:eastAsia="zh-CN"/>
        </w:rPr>
      </w:pPr>
      <w:r>
        <w:rPr>
          <w:rFonts w:hint="eastAsia" w:ascii="宋体" w:hAnsi="宋体" w:eastAsia="宋体" w:cs="Times New Roman"/>
          <w:b/>
          <w:color w:val="auto"/>
          <w:sz w:val="24"/>
          <w:szCs w:val="24"/>
          <w:highlight w:val="none"/>
          <w:lang w:val="en-US" w:eastAsia="zh-CN"/>
        </w:rPr>
        <w:t>2.3牡丹牌MD5028TXU7型巡逻车  11辆</w:t>
      </w:r>
    </w:p>
    <w:tbl>
      <w:tblPr>
        <w:tblStyle w:val="43"/>
        <w:tblW w:w="90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15" w:type="dxa"/>
          <w:left w:w="15" w:type="dxa"/>
          <w:bottom w:w="15" w:type="dxa"/>
          <w:right w:w="15" w:type="dxa"/>
        </w:tblCellMar>
      </w:tblPr>
      <w:tblGrid>
        <w:gridCol w:w="705"/>
        <w:gridCol w:w="1065"/>
        <w:gridCol w:w="1950"/>
        <w:gridCol w:w="765"/>
        <w:gridCol w:w="4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744"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序号</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功能分类</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品牌</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数量</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说明（可填写品牌、型号、简单参数）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731"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车型</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rFonts w:hint="eastAsia" w:eastAsia="宋体"/>
                <w:color w:val="auto"/>
                <w:sz w:val="36"/>
                <w:szCs w:val="36"/>
                <w:highlight w:val="none"/>
                <w:lang w:eastAsia="zh-CN"/>
              </w:rPr>
            </w:pPr>
            <w:r>
              <w:rPr>
                <w:rFonts w:hint="eastAsia" w:ascii="宋体" w:hAnsi="宋体" w:eastAsia="宋体" w:cs="宋体"/>
                <w:i w:val="0"/>
                <w:iCs w:val="0"/>
                <w:caps w:val="0"/>
                <w:color w:val="auto"/>
                <w:spacing w:val="0"/>
                <w:sz w:val="21"/>
                <w:szCs w:val="21"/>
                <w:highlight w:val="none"/>
              </w:rPr>
              <w:t>吉利星越L</w:t>
            </w:r>
            <w:r>
              <w:rPr>
                <w:rFonts w:hint="eastAsia" w:ascii="宋体" w:hAnsi="宋体" w:cs="宋体"/>
                <w:i w:val="0"/>
                <w:iCs w:val="0"/>
                <w:caps w:val="0"/>
                <w:color w:val="auto"/>
                <w:spacing w:val="0"/>
                <w:sz w:val="21"/>
                <w:szCs w:val="21"/>
                <w:highlight w:val="none"/>
                <w:lang w:eastAsia="zh-CN"/>
              </w:rPr>
              <w:t>（</w:t>
            </w:r>
            <w:r>
              <w:rPr>
                <w:rFonts w:hint="eastAsia" w:ascii="宋体" w:hAnsi="宋体" w:cs="宋体"/>
                <w:i w:val="0"/>
                <w:iCs w:val="0"/>
                <w:caps w:val="0"/>
                <w:color w:val="auto"/>
                <w:spacing w:val="0"/>
                <w:sz w:val="21"/>
                <w:szCs w:val="21"/>
                <w:highlight w:val="none"/>
                <w:lang w:val="en-US" w:eastAsia="zh-CN"/>
              </w:rPr>
              <w:t>两驱</w:t>
            </w:r>
            <w:r>
              <w:rPr>
                <w:rFonts w:hint="eastAsia" w:ascii="宋体" w:hAnsi="宋体" w:cs="宋体"/>
                <w:i w:val="0"/>
                <w:iCs w:val="0"/>
                <w:caps w:val="0"/>
                <w:color w:val="auto"/>
                <w:spacing w:val="0"/>
                <w:sz w:val="21"/>
                <w:szCs w:val="21"/>
                <w:highlight w:val="none"/>
                <w:lang w:eastAsia="zh-CN"/>
              </w:rPr>
              <w:t>）</w:t>
            </w:r>
            <w:r>
              <w:rPr>
                <w:rFonts w:hint="eastAsia" w:ascii="宋体" w:hAnsi="宋体" w:eastAsia="宋体" w:cs="宋体"/>
                <w:i w:val="0"/>
                <w:iCs w:val="0"/>
                <w:caps w:val="0"/>
                <w:color w:val="auto"/>
                <w:spacing w:val="0"/>
                <w:sz w:val="21"/>
                <w:szCs w:val="21"/>
                <w:highlight w:val="none"/>
                <w:lang w:eastAsia="zh-CN"/>
              </w:rPr>
              <w:t>JL6482D04</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1台</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（原车5座汽油改装后5座含司机）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93"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2</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颜色风格</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外观改造</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default" w:ascii="Times New Roman" w:hAnsi="Times New Roman" w:cs="Times New Roman"/>
                <w:i w:val="0"/>
                <w:iCs w:val="0"/>
                <w:caps w:val="0"/>
                <w:color w:val="auto"/>
                <w:spacing w:val="0"/>
                <w:sz w:val="21"/>
                <w:szCs w:val="21"/>
                <w:highlight w:val="none"/>
              </w:rPr>
              <w:t>1</w:t>
            </w:r>
            <w:r>
              <w:rPr>
                <w:rFonts w:hint="eastAsia" w:ascii="宋体" w:hAnsi="宋体" w:eastAsia="宋体" w:cs="宋体"/>
                <w:i w:val="0"/>
                <w:iCs w:val="0"/>
                <w:caps w:val="0"/>
                <w:color w:val="auto"/>
                <w:spacing w:val="0"/>
                <w:sz w:val="21"/>
                <w:szCs w:val="21"/>
                <w:highlight w:val="none"/>
              </w:rPr>
              <w:t>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04制式外观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88"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3</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宣传设备</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LED屏</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default" w:ascii="Times New Roman" w:hAnsi="Times New Roman" w:cs="Times New Roman"/>
                <w:i w:val="0"/>
                <w:iCs w:val="0"/>
                <w:caps w:val="0"/>
                <w:color w:val="auto"/>
                <w:spacing w:val="0"/>
                <w:sz w:val="21"/>
                <w:szCs w:val="21"/>
                <w:highlight w:val="none"/>
              </w:rPr>
              <w:t>1</w:t>
            </w:r>
            <w:r>
              <w:rPr>
                <w:rFonts w:hint="eastAsia" w:ascii="宋体" w:hAnsi="宋体" w:eastAsia="宋体" w:cs="宋体"/>
                <w:i w:val="0"/>
                <w:iCs w:val="0"/>
                <w:caps w:val="0"/>
                <w:color w:val="auto"/>
                <w:spacing w:val="0"/>
                <w:sz w:val="21"/>
                <w:szCs w:val="21"/>
                <w:highlight w:val="none"/>
              </w:rPr>
              <w:t>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车后挡风LED</w:t>
            </w:r>
            <w:r>
              <w:rPr>
                <w:rFonts w:hint="eastAsia" w:ascii="宋体" w:hAnsi="宋体" w:cs="宋体"/>
                <w:i w:val="0"/>
                <w:iCs w:val="0"/>
                <w:caps w:val="0"/>
                <w:color w:val="auto"/>
                <w:spacing w:val="0"/>
                <w:sz w:val="21"/>
                <w:szCs w:val="21"/>
                <w:highlight w:val="none"/>
                <w:lang w:val="en-US" w:eastAsia="zh-CN"/>
              </w:rPr>
              <w:t>透明</w:t>
            </w:r>
            <w:r>
              <w:rPr>
                <w:rFonts w:hint="eastAsia" w:ascii="宋体" w:hAnsi="宋体" w:eastAsia="宋体" w:cs="宋体"/>
                <w:i w:val="0"/>
                <w:iCs w:val="0"/>
                <w:caps w:val="0"/>
                <w:color w:val="auto"/>
                <w:spacing w:val="0"/>
                <w:sz w:val="21"/>
                <w:szCs w:val="21"/>
                <w:highlight w:val="none"/>
              </w:rPr>
              <w:t>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540"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rFonts w:hint="eastAsia" w:eastAsia="宋体"/>
                <w:color w:val="auto"/>
                <w:sz w:val="36"/>
                <w:szCs w:val="36"/>
                <w:highlight w:val="none"/>
                <w:lang w:eastAsia="zh-CN"/>
              </w:rPr>
            </w:pPr>
            <w:r>
              <w:rPr>
                <w:rFonts w:hint="eastAsia" w:ascii="宋体" w:hAnsi="宋体" w:cs="宋体"/>
                <w:i w:val="0"/>
                <w:iCs w:val="0"/>
                <w:caps w:val="0"/>
                <w:color w:val="auto"/>
                <w:spacing w:val="0"/>
                <w:sz w:val="21"/>
                <w:szCs w:val="21"/>
                <w:highlight w:val="none"/>
                <w:lang w:val="en-US" w:eastAsia="zh-CN"/>
              </w:rPr>
              <w:t>4</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车内设备</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rFonts w:hint="eastAsia" w:eastAsia="宋体"/>
                <w:color w:val="auto"/>
                <w:sz w:val="36"/>
                <w:szCs w:val="36"/>
                <w:highlight w:val="none"/>
                <w:lang w:val="en-US" w:eastAsia="zh-CN"/>
              </w:rPr>
            </w:pPr>
            <w:r>
              <w:rPr>
                <w:rFonts w:hint="eastAsia" w:ascii="宋体" w:hAnsi="宋体" w:eastAsia="宋体" w:cs="宋体"/>
                <w:i w:val="0"/>
                <w:iCs w:val="0"/>
                <w:caps w:val="0"/>
                <w:color w:val="auto"/>
                <w:spacing w:val="0"/>
                <w:sz w:val="21"/>
                <w:szCs w:val="21"/>
                <w:highlight w:val="none"/>
              </w:rPr>
              <w:t>车辆装备</w:t>
            </w:r>
            <w:r>
              <w:rPr>
                <w:rFonts w:hint="eastAsia" w:ascii="宋体" w:hAnsi="宋体" w:cs="宋体"/>
                <w:i w:val="0"/>
                <w:iCs w:val="0"/>
                <w:caps w:val="0"/>
                <w:color w:val="auto"/>
                <w:spacing w:val="0"/>
                <w:sz w:val="21"/>
                <w:szCs w:val="21"/>
                <w:highlight w:val="none"/>
                <w:lang w:val="en-US" w:eastAsia="zh-CN"/>
              </w:rPr>
              <w:t>箱</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车后备箱装备柜，采用2mm铝板，不锈钢骨架，激光切割一体成型，表面做喷塑处理，根据客户装备放置需求不同，可做抽屉式，箱式，或多层隔断，做定型泡沫及固定绑定，保证行车途中无异响，不掉落。底部做防滑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70" w:hRule="atLeast"/>
        </w:trPr>
        <w:tc>
          <w:tcPr>
            <w:tcW w:w="70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rFonts w:hint="default" w:ascii="宋体" w:hAnsi="宋体" w:cs="宋体"/>
                <w:i w:val="0"/>
                <w:iCs w:val="0"/>
                <w:caps w:val="0"/>
                <w:color w:val="auto"/>
                <w:spacing w:val="0"/>
                <w:sz w:val="21"/>
                <w:szCs w:val="21"/>
                <w:highlight w:val="none"/>
                <w:lang w:val="en-US" w:eastAsia="zh-CN"/>
              </w:rPr>
            </w:pPr>
            <w:r>
              <w:rPr>
                <w:rFonts w:hint="eastAsia" w:ascii="宋体" w:hAnsi="宋体" w:cs="宋体"/>
                <w:i w:val="0"/>
                <w:iCs w:val="0"/>
                <w:caps w:val="0"/>
                <w:color w:val="auto"/>
                <w:spacing w:val="0"/>
                <w:sz w:val="21"/>
                <w:szCs w:val="21"/>
                <w:highlight w:val="none"/>
                <w:lang w:val="en-US" w:eastAsia="zh-CN"/>
              </w:rPr>
              <w:t>5</w:t>
            </w:r>
          </w:p>
        </w:tc>
        <w:tc>
          <w:tcPr>
            <w:tcW w:w="10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rFonts w:hint="default" w:ascii="宋体" w:hAnsi="宋体" w:eastAsia="宋体" w:cs="宋体"/>
                <w:i w:val="0"/>
                <w:iCs w:val="0"/>
                <w:caps w:val="0"/>
                <w:color w:val="auto"/>
                <w:spacing w:val="0"/>
                <w:sz w:val="21"/>
                <w:szCs w:val="21"/>
                <w:highlight w:val="none"/>
                <w:lang w:val="en-US" w:eastAsia="zh-CN"/>
              </w:rPr>
            </w:pPr>
            <w:r>
              <w:rPr>
                <w:rFonts w:hint="eastAsia" w:ascii="宋体" w:hAnsi="宋体" w:cs="宋体"/>
                <w:i w:val="0"/>
                <w:iCs w:val="0"/>
                <w:caps w:val="0"/>
                <w:color w:val="auto"/>
                <w:spacing w:val="0"/>
                <w:sz w:val="21"/>
                <w:szCs w:val="21"/>
                <w:highlight w:val="none"/>
                <w:lang w:val="en-US" w:eastAsia="zh-CN"/>
              </w:rPr>
              <w:t>车辆改制</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color w:val="auto"/>
                <w:sz w:val="21"/>
                <w:szCs w:val="21"/>
                <w:highlight w:val="none"/>
              </w:rPr>
              <w:t>车内饰拆装</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rFonts w:hint="default" w:ascii="宋体" w:hAnsi="宋体" w:eastAsia="宋体" w:cs="宋体"/>
                <w:i w:val="0"/>
                <w:iCs w:val="0"/>
                <w:caps w:val="0"/>
                <w:color w:val="auto"/>
                <w:spacing w:val="0"/>
                <w:sz w:val="21"/>
                <w:szCs w:val="21"/>
                <w:highlight w:val="none"/>
                <w:lang w:val="en-US" w:eastAsia="zh-CN"/>
              </w:rPr>
            </w:pPr>
            <w:r>
              <w:rPr>
                <w:rFonts w:hint="eastAsia" w:ascii="宋体" w:hAnsi="宋体" w:cs="宋体"/>
                <w:i w:val="0"/>
                <w:iCs w:val="0"/>
                <w:caps w:val="0"/>
                <w:color w:val="auto"/>
                <w:spacing w:val="0"/>
                <w:sz w:val="21"/>
                <w:szCs w:val="21"/>
                <w:highlight w:val="none"/>
                <w:lang w:val="en-US" w:eastAsia="zh-CN"/>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color w:val="auto"/>
                <w:sz w:val="21"/>
                <w:szCs w:val="21"/>
                <w:highlight w:val="none"/>
              </w:rPr>
              <w:t>整车内饰拆装及布线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540" w:hRule="atLeast"/>
        </w:trPr>
        <w:tc>
          <w:tcPr>
            <w:tcW w:w="705" w:type="dxa"/>
            <w:vMerge w:val="restart"/>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rFonts w:hint="eastAsia" w:eastAsia="宋体"/>
                <w:color w:val="auto"/>
                <w:sz w:val="36"/>
                <w:szCs w:val="36"/>
                <w:highlight w:val="none"/>
                <w:lang w:eastAsia="zh-CN"/>
              </w:rPr>
            </w:pPr>
            <w:r>
              <w:rPr>
                <w:rFonts w:hint="eastAsia" w:ascii="宋体" w:hAnsi="宋体" w:cs="宋体"/>
                <w:i w:val="0"/>
                <w:iCs w:val="0"/>
                <w:caps w:val="0"/>
                <w:color w:val="auto"/>
                <w:spacing w:val="0"/>
                <w:sz w:val="21"/>
                <w:szCs w:val="21"/>
                <w:highlight w:val="none"/>
                <w:lang w:val="en-US" w:eastAsia="zh-CN"/>
              </w:rPr>
              <w:t>6</w:t>
            </w:r>
          </w:p>
        </w:tc>
        <w:tc>
          <w:tcPr>
            <w:tcW w:w="1065" w:type="dxa"/>
            <w:vMerge w:val="restart"/>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警示设备</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长条警灯</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1.2M长条警灯，100W警报器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70" w:hRule="atLeast"/>
        </w:trPr>
        <w:tc>
          <w:tcPr>
            <w:tcW w:w="705" w:type="dxa"/>
            <w:vMerge w:val="continue"/>
            <w:shd w:val="clear" w:color="auto" w:fill="FFFFFF"/>
            <w:noWrap w:val="0"/>
            <w:tcMar>
              <w:top w:w="0" w:type="dxa"/>
              <w:left w:w="84" w:type="dxa"/>
              <w:bottom w:w="0" w:type="dxa"/>
              <w:right w:w="84" w:type="dxa"/>
            </w:tcMar>
            <w:vAlign w:val="center"/>
          </w:tcPr>
          <w:p>
            <w:pPr>
              <w:jc w:val="center"/>
              <w:rPr>
                <w:rFonts w:hint="default" w:ascii="Arial" w:hAnsi="Arial" w:cs="Arial"/>
                <w:i w:val="0"/>
                <w:iCs w:val="0"/>
                <w:caps w:val="0"/>
                <w:color w:val="auto"/>
                <w:spacing w:val="0"/>
                <w:sz w:val="18"/>
                <w:szCs w:val="18"/>
                <w:highlight w:val="none"/>
              </w:rPr>
            </w:pPr>
          </w:p>
        </w:tc>
        <w:tc>
          <w:tcPr>
            <w:tcW w:w="106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全车爆闪系统</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全车爆闪灯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32" w:hRule="atLeast"/>
        </w:trPr>
        <w:tc>
          <w:tcPr>
            <w:tcW w:w="705" w:type="dxa"/>
            <w:vMerge w:val="restart"/>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rFonts w:hint="eastAsia" w:eastAsia="宋体"/>
                <w:color w:val="auto"/>
                <w:sz w:val="36"/>
                <w:szCs w:val="36"/>
                <w:highlight w:val="none"/>
                <w:lang w:eastAsia="zh-CN"/>
              </w:rPr>
            </w:pPr>
            <w:r>
              <w:rPr>
                <w:rFonts w:hint="eastAsia" w:ascii="宋体" w:hAnsi="宋体" w:cs="宋体"/>
                <w:i w:val="0"/>
                <w:iCs w:val="0"/>
                <w:caps w:val="0"/>
                <w:color w:val="auto"/>
                <w:spacing w:val="0"/>
                <w:sz w:val="21"/>
                <w:szCs w:val="21"/>
                <w:highlight w:val="none"/>
                <w:lang w:val="en-US" w:eastAsia="zh-CN"/>
              </w:rPr>
              <w:t>7</w:t>
            </w:r>
          </w:p>
        </w:tc>
        <w:tc>
          <w:tcPr>
            <w:tcW w:w="1065" w:type="dxa"/>
            <w:vMerge w:val="restart"/>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辅料</w:t>
            </w: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车体改制</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局部开孔，加强、加固等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92" w:hRule="atLeast"/>
        </w:trPr>
        <w:tc>
          <w:tcPr>
            <w:tcW w:w="70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06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电器辅助材料</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电路控制器、保险、电气线束及开关等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56" w:hRule="atLeast"/>
        </w:trPr>
        <w:tc>
          <w:tcPr>
            <w:tcW w:w="70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06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装配辅助材料</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both"/>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易损件、小五金、板材、胶等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trHeight w:val="456" w:hRule="atLeast"/>
        </w:trPr>
        <w:tc>
          <w:tcPr>
            <w:tcW w:w="70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065" w:type="dxa"/>
            <w:vMerge w:val="continue"/>
            <w:shd w:val="clear" w:color="auto" w:fill="FFFFFF"/>
            <w:noWrap w:val="0"/>
            <w:tcMar>
              <w:top w:w="0" w:type="dxa"/>
              <w:left w:w="84" w:type="dxa"/>
              <w:bottom w:w="0" w:type="dxa"/>
              <w:right w:w="84" w:type="dxa"/>
            </w:tcMar>
            <w:vAlign w:val="center"/>
          </w:tcPr>
          <w:p>
            <w:pPr>
              <w:rPr>
                <w:rFonts w:hint="default" w:ascii="Arial" w:hAnsi="Arial" w:cs="Arial"/>
                <w:i w:val="0"/>
                <w:iCs w:val="0"/>
                <w:caps w:val="0"/>
                <w:color w:val="auto"/>
                <w:spacing w:val="0"/>
                <w:sz w:val="18"/>
                <w:szCs w:val="18"/>
                <w:highlight w:val="none"/>
              </w:rPr>
            </w:pPr>
          </w:p>
        </w:tc>
        <w:tc>
          <w:tcPr>
            <w:tcW w:w="1950"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涂装辅助材料</w:t>
            </w:r>
          </w:p>
        </w:tc>
        <w:tc>
          <w:tcPr>
            <w:tcW w:w="765"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jc w:val="center"/>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1套</w:t>
            </w:r>
          </w:p>
        </w:tc>
        <w:tc>
          <w:tcPr>
            <w:tcW w:w="4586" w:type="dxa"/>
            <w:shd w:val="clear" w:color="auto" w:fill="FFFFFF"/>
            <w:noWrap w:val="0"/>
            <w:tcMar>
              <w:top w:w="0" w:type="dxa"/>
              <w:left w:w="84" w:type="dxa"/>
              <w:bottom w:w="0" w:type="dxa"/>
              <w:right w:w="84" w:type="dxa"/>
            </w:tcMar>
            <w:vAlign w:val="center"/>
          </w:tcPr>
          <w:p>
            <w:pPr>
              <w:pStyle w:val="3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88" w:lineRule="atLeast"/>
              <w:ind w:left="0" w:right="0"/>
              <w:textAlignment w:val="center"/>
              <w:rPr>
                <w:color w:val="auto"/>
                <w:sz w:val="36"/>
                <w:szCs w:val="36"/>
                <w:highlight w:val="none"/>
              </w:rPr>
            </w:pPr>
            <w:r>
              <w:rPr>
                <w:rFonts w:hint="eastAsia" w:ascii="宋体" w:hAnsi="宋体" w:eastAsia="宋体" w:cs="宋体"/>
                <w:i w:val="0"/>
                <w:iCs w:val="0"/>
                <w:caps w:val="0"/>
                <w:color w:val="auto"/>
                <w:spacing w:val="0"/>
                <w:sz w:val="21"/>
                <w:szCs w:val="21"/>
                <w:highlight w:val="none"/>
              </w:rPr>
              <w:t>自制件电泳、环氧、喷漆等</w:t>
            </w:r>
          </w:p>
        </w:tc>
      </w:tr>
    </w:tbl>
    <w:p>
      <w:pPr>
        <w:rPr>
          <w:color w:val="auto"/>
          <w:highlight w:val="none"/>
        </w:rPr>
      </w:pPr>
    </w:p>
    <w:p>
      <w:pPr>
        <w:spacing w:beforeLines="50"/>
        <w:ind w:firstLine="424" w:firstLineChars="202"/>
        <w:rPr>
          <w:rFonts w:hint="eastAsia" w:ascii="宋体" w:hAnsi="宋体"/>
          <w:color w:val="auto"/>
          <w:szCs w:val="21"/>
          <w:highlight w:val="none"/>
        </w:rPr>
      </w:pPr>
    </w:p>
    <w:p>
      <w:pPr>
        <w:pStyle w:val="53"/>
        <w:rPr>
          <w:rFonts w:hint="eastAsia" w:ascii="宋体" w:hAnsi="宋体"/>
          <w:color w:val="auto"/>
          <w:szCs w:val="21"/>
          <w:highlight w:val="none"/>
        </w:rPr>
      </w:pPr>
    </w:p>
    <w:p>
      <w:pPr>
        <w:pStyle w:val="53"/>
        <w:rPr>
          <w:rFonts w:hint="eastAsia" w:ascii="宋体" w:hAnsi="宋体"/>
          <w:color w:val="auto"/>
          <w:szCs w:val="21"/>
          <w:highlight w:val="none"/>
        </w:rPr>
      </w:pPr>
    </w:p>
    <w:p>
      <w:pPr>
        <w:spacing w:beforeLines="50"/>
        <w:ind w:firstLine="424" w:firstLineChars="202"/>
        <w:rPr>
          <w:rFonts w:ascii="宋体" w:hAnsi="宋体"/>
          <w:b/>
          <w:color w:val="auto"/>
          <w:highlight w:val="none"/>
        </w:rPr>
      </w:pPr>
      <w:r>
        <w:rPr>
          <w:rFonts w:hint="eastAsia" w:ascii="宋体" w:hAnsi="宋体"/>
          <w:color w:val="auto"/>
          <w:szCs w:val="21"/>
          <w:highlight w:val="none"/>
        </w:rPr>
        <w:t>▲</w:t>
      </w:r>
      <w:r>
        <w:rPr>
          <w:rFonts w:hint="eastAsia" w:ascii="宋体" w:hAnsi="宋体"/>
          <w:b/>
          <w:color w:val="auto"/>
          <w:highlight w:val="none"/>
        </w:rPr>
        <w:t>三、商务要求</w:t>
      </w:r>
    </w:p>
    <w:tbl>
      <w:tblPr>
        <w:tblStyle w:val="43"/>
        <w:tblW w:w="9066" w:type="dxa"/>
        <w:tblInd w:w="108" w:type="dxa"/>
        <w:tblLayout w:type="fixed"/>
        <w:tblCellMar>
          <w:top w:w="0" w:type="dxa"/>
          <w:left w:w="108" w:type="dxa"/>
          <w:bottom w:w="0" w:type="dxa"/>
          <w:right w:w="108" w:type="dxa"/>
        </w:tblCellMar>
      </w:tblPr>
      <w:tblGrid>
        <w:gridCol w:w="1811"/>
        <w:gridCol w:w="7255"/>
      </w:tblGrid>
      <w:tr>
        <w:tblPrEx>
          <w:tblCellMar>
            <w:top w:w="0" w:type="dxa"/>
            <w:left w:w="108" w:type="dxa"/>
            <w:bottom w:w="0" w:type="dxa"/>
            <w:right w:w="108" w:type="dxa"/>
          </w:tblCellMar>
        </w:tblPrEx>
        <w:trPr>
          <w:trHeight w:val="46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rFonts w:ascii="宋体" w:hAnsi="宋体"/>
                <w:b/>
                <w:color w:val="auto"/>
                <w:szCs w:val="21"/>
                <w:highlight w:val="none"/>
              </w:rPr>
            </w:pPr>
            <w:r>
              <w:rPr>
                <w:rFonts w:hint="eastAsia" w:ascii="宋体" w:hAnsi="宋体"/>
                <w:b/>
                <w:color w:val="auto"/>
                <w:szCs w:val="21"/>
                <w:highlight w:val="none"/>
              </w:rPr>
              <w:t>项目</w:t>
            </w:r>
          </w:p>
        </w:tc>
        <w:tc>
          <w:tcPr>
            <w:tcW w:w="7255" w:type="dxa"/>
            <w:tcBorders>
              <w:top w:val="single" w:color="000000" w:sz="4" w:space="0"/>
              <w:left w:val="nil"/>
              <w:bottom w:val="single" w:color="000000" w:sz="4" w:space="0"/>
              <w:right w:val="single" w:color="000000" w:sz="4" w:space="0"/>
            </w:tcBorders>
            <w:vAlign w:val="center"/>
          </w:tcPr>
          <w:p>
            <w:pPr>
              <w:spacing w:line="320" w:lineRule="exact"/>
              <w:jc w:val="center"/>
              <w:rPr>
                <w:rFonts w:ascii="宋体" w:hAnsi="宋体"/>
                <w:b/>
                <w:color w:val="auto"/>
                <w:szCs w:val="21"/>
                <w:highlight w:val="none"/>
              </w:rPr>
            </w:pPr>
            <w:bookmarkStart w:id="13" w:name="_Toc84581844"/>
            <w:r>
              <w:rPr>
                <w:rFonts w:hint="eastAsia" w:ascii="宋体" w:hAnsi="宋体"/>
                <w:b/>
                <w:color w:val="auto"/>
                <w:szCs w:val="21"/>
                <w:highlight w:val="none"/>
              </w:rPr>
              <w:t>要求</w:t>
            </w:r>
            <w:bookmarkEnd w:id="13"/>
          </w:p>
        </w:tc>
      </w:tr>
      <w:tr>
        <w:tblPrEx>
          <w:tblCellMar>
            <w:top w:w="0" w:type="dxa"/>
            <w:left w:w="108" w:type="dxa"/>
            <w:bottom w:w="0" w:type="dxa"/>
            <w:right w:w="108" w:type="dxa"/>
          </w:tblCellMar>
        </w:tblPrEx>
        <w:trPr>
          <w:trHeight w:val="193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产品及服务质量保证</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14" w:name="_Toc84581845"/>
            <w:r>
              <w:rPr>
                <w:rFonts w:hint="eastAsia" w:ascii="宋体" w:hAnsi="宋体"/>
                <w:color w:val="auto"/>
                <w:szCs w:val="21"/>
                <w:highlight w:val="none"/>
              </w:rPr>
              <w:t>1）供应商所供应的产品及其所有部件必须是全新原装合格产品,在中国境内采购人拥有合法的产权和使用权。如发生产品与合同不符,采购人有权拒收或退货,由此产生的一切责任和后果由成交供应商承担。</w:t>
            </w:r>
            <w:bookmarkEnd w:id="14"/>
          </w:p>
          <w:p>
            <w:pPr>
              <w:spacing w:line="320" w:lineRule="exact"/>
              <w:rPr>
                <w:rFonts w:ascii="宋体" w:hAnsi="宋体"/>
                <w:color w:val="auto"/>
                <w:szCs w:val="21"/>
                <w:highlight w:val="none"/>
              </w:rPr>
            </w:pPr>
            <w:bookmarkStart w:id="15" w:name="_Toc84581846"/>
            <w:r>
              <w:rPr>
                <w:rFonts w:hint="eastAsia" w:ascii="宋体" w:hAnsi="宋体"/>
                <w:color w:val="auto"/>
                <w:szCs w:val="21"/>
                <w:highlight w:val="none"/>
              </w:rPr>
              <w:t>2）属于国家强制性产品认证范围的产品，必须获得国家法定认证机构颁发的“CCC”认证证书。</w:t>
            </w:r>
            <w:bookmarkEnd w:id="15"/>
          </w:p>
          <w:p>
            <w:pPr>
              <w:spacing w:line="320" w:lineRule="exact"/>
              <w:rPr>
                <w:rFonts w:ascii="宋体" w:hAnsi="宋体"/>
                <w:color w:val="auto"/>
                <w:szCs w:val="21"/>
                <w:highlight w:val="none"/>
              </w:rPr>
            </w:pPr>
            <w:bookmarkStart w:id="16" w:name="_Toc84581847"/>
            <w:r>
              <w:rPr>
                <w:rFonts w:hint="eastAsia" w:ascii="宋体" w:hAnsi="宋体"/>
                <w:color w:val="auto"/>
                <w:szCs w:val="21"/>
                <w:highlight w:val="none"/>
              </w:rPr>
              <w:t>3）在产品交付时，成交供应商必须向采购人提供必备的相关资料。</w:t>
            </w:r>
            <w:bookmarkEnd w:id="16"/>
          </w:p>
        </w:tc>
      </w:tr>
      <w:tr>
        <w:tblPrEx>
          <w:tblCellMar>
            <w:top w:w="0" w:type="dxa"/>
            <w:left w:w="108" w:type="dxa"/>
            <w:bottom w:w="0" w:type="dxa"/>
            <w:right w:w="108" w:type="dxa"/>
          </w:tblCellMar>
        </w:tblPrEx>
        <w:trPr>
          <w:trHeight w:val="51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质量保证期</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17" w:name="_Toc84581848"/>
            <w:r>
              <w:rPr>
                <w:rFonts w:hint="eastAsia" w:ascii="宋体" w:hAnsi="宋体"/>
                <w:color w:val="auto"/>
                <w:szCs w:val="21"/>
                <w:highlight w:val="none"/>
              </w:rPr>
              <w:t>提供整车至少三年的质量保证期，质量保证期自项目终验合格之日开始计算。</w:t>
            </w:r>
            <w:bookmarkEnd w:id="17"/>
          </w:p>
        </w:tc>
      </w:tr>
      <w:tr>
        <w:tblPrEx>
          <w:tblCellMar>
            <w:top w:w="0" w:type="dxa"/>
            <w:left w:w="108" w:type="dxa"/>
            <w:bottom w:w="0" w:type="dxa"/>
            <w:right w:w="108" w:type="dxa"/>
          </w:tblCellMar>
        </w:tblPrEx>
        <w:trPr>
          <w:trHeight w:val="51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合同履约期限</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18" w:name="_Toc84581849"/>
            <w:r>
              <w:rPr>
                <w:rFonts w:hint="eastAsia" w:ascii="宋体" w:hAnsi="宋体"/>
                <w:color w:val="auto"/>
                <w:szCs w:val="21"/>
                <w:highlight w:val="none"/>
              </w:rPr>
              <w:t>合同签订生效之日起</w:t>
            </w:r>
            <w:r>
              <w:rPr>
                <w:rFonts w:hint="eastAsia" w:ascii="宋体" w:hAnsi="宋体"/>
                <w:color w:val="auto"/>
                <w:szCs w:val="21"/>
                <w:highlight w:val="none"/>
                <w:lang w:val="en-US" w:eastAsia="zh-CN"/>
              </w:rPr>
              <w:t>30</w:t>
            </w:r>
            <w:r>
              <w:rPr>
                <w:rFonts w:hint="eastAsia" w:ascii="宋体" w:hAnsi="宋体"/>
                <w:color w:val="auto"/>
                <w:szCs w:val="21"/>
                <w:highlight w:val="none"/>
              </w:rPr>
              <w:t>天内完成改装、供货调试并提交采购人验收合格。</w:t>
            </w:r>
            <w:bookmarkEnd w:id="18"/>
          </w:p>
        </w:tc>
      </w:tr>
      <w:tr>
        <w:tblPrEx>
          <w:tblCellMar>
            <w:top w:w="0" w:type="dxa"/>
            <w:left w:w="108" w:type="dxa"/>
            <w:bottom w:w="0" w:type="dxa"/>
            <w:right w:w="108" w:type="dxa"/>
          </w:tblCellMar>
        </w:tblPrEx>
        <w:trPr>
          <w:trHeight w:val="52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交付地点</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19" w:name="_Toc84581850"/>
            <w:r>
              <w:rPr>
                <w:rFonts w:hint="eastAsia" w:ascii="宋体" w:hAnsi="宋体"/>
                <w:color w:val="auto"/>
                <w:szCs w:val="21"/>
                <w:highlight w:val="none"/>
              </w:rPr>
              <w:t>采购人指定地点。</w:t>
            </w:r>
            <w:bookmarkEnd w:id="19"/>
          </w:p>
        </w:tc>
      </w:tr>
      <w:tr>
        <w:tblPrEx>
          <w:tblCellMar>
            <w:top w:w="0" w:type="dxa"/>
            <w:left w:w="108" w:type="dxa"/>
            <w:bottom w:w="0" w:type="dxa"/>
            <w:right w:w="108" w:type="dxa"/>
          </w:tblCellMar>
        </w:tblPrEx>
        <w:trPr>
          <w:trHeight w:val="126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质量标准</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20" w:name="_Toc84581851"/>
            <w:r>
              <w:rPr>
                <w:rFonts w:hint="eastAsia" w:ascii="宋体" w:hAnsi="宋体"/>
                <w:color w:val="auto"/>
                <w:szCs w:val="21"/>
                <w:highlight w:val="none"/>
              </w:rPr>
              <w:t>产品质量必须执行国家相关标准、行业标准、地方标准或者其它标准、规范（从严）：具有国家标准及规范的，按最新的标准及规范执行；具有行业标准及规范的，按最新的标准及规范执行；具有其他标准及规范的，按照最新的标准及规范执行。</w:t>
            </w:r>
            <w:bookmarkEnd w:id="20"/>
          </w:p>
        </w:tc>
      </w:tr>
      <w:tr>
        <w:tblPrEx>
          <w:tblCellMar>
            <w:top w:w="0" w:type="dxa"/>
            <w:left w:w="108" w:type="dxa"/>
            <w:bottom w:w="0" w:type="dxa"/>
            <w:right w:w="108" w:type="dxa"/>
          </w:tblCellMar>
        </w:tblPrEx>
        <w:trPr>
          <w:trHeight w:val="72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验收</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21" w:name="_Toc84581852"/>
            <w:r>
              <w:rPr>
                <w:rFonts w:hint="eastAsia" w:ascii="宋体" w:hAnsi="宋体"/>
                <w:color w:val="auto"/>
                <w:szCs w:val="21"/>
                <w:highlight w:val="none"/>
              </w:rPr>
              <w:t>按照询价通知书要求、成交供应商的响应文件（承诺）及签订的合同约定进行验收。</w:t>
            </w:r>
            <w:bookmarkEnd w:id="21"/>
          </w:p>
        </w:tc>
      </w:tr>
      <w:tr>
        <w:tblPrEx>
          <w:tblCellMar>
            <w:top w:w="0" w:type="dxa"/>
            <w:left w:w="108" w:type="dxa"/>
            <w:bottom w:w="0" w:type="dxa"/>
            <w:right w:w="108" w:type="dxa"/>
          </w:tblCellMar>
        </w:tblPrEx>
        <w:trPr>
          <w:trHeight w:val="55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签订合同时间</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22" w:name="_Toc84581853"/>
            <w:r>
              <w:rPr>
                <w:rFonts w:hint="eastAsia" w:ascii="宋体" w:hAnsi="宋体"/>
                <w:color w:val="auto"/>
                <w:szCs w:val="21"/>
                <w:highlight w:val="none"/>
              </w:rPr>
              <w:t>成交通知书发出之日起30日内签订合同，具体签约时间以采购人通知为准。</w:t>
            </w:r>
            <w:bookmarkEnd w:id="22"/>
          </w:p>
        </w:tc>
      </w:tr>
      <w:tr>
        <w:tblPrEx>
          <w:tblCellMar>
            <w:top w:w="0" w:type="dxa"/>
            <w:left w:w="108" w:type="dxa"/>
            <w:bottom w:w="0" w:type="dxa"/>
            <w:right w:w="108" w:type="dxa"/>
          </w:tblCellMar>
        </w:tblPrEx>
        <w:trPr>
          <w:trHeight w:val="94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合同款项支付条件及方式</w:t>
            </w:r>
          </w:p>
        </w:tc>
        <w:tc>
          <w:tcPr>
            <w:tcW w:w="7255" w:type="dxa"/>
            <w:tcBorders>
              <w:top w:val="single" w:color="000000" w:sz="4" w:space="0"/>
              <w:left w:val="nil"/>
              <w:bottom w:val="single" w:color="000000" w:sz="4" w:space="0"/>
              <w:right w:val="single" w:color="000000" w:sz="4" w:space="0"/>
            </w:tcBorders>
            <w:vAlign w:val="center"/>
          </w:tcPr>
          <w:p>
            <w:pPr>
              <w:spacing w:line="320" w:lineRule="exact"/>
              <w:rPr>
                <w:rFonts w:ascii="宋体" w:hAnsi="宋体"/>
                <w:color w:val="auto"/>
                <w:szCs w:val="21"/>
                <w:highlight w:val="none"/>
              </w:rPr>
            </w:pPr>
            <w:bookmarkStart w:id="23" w:name="_Toc84581854"/>
            <w:r>
              <w:rPr>
                <w:rFonts w:hint="eastAsia" w:ascii="宋体" w:hAnsi="宋体"/>
                <w:color w:val="auto"/>
                <w:szCs w:val="21"/>
                <w:highlight w:val="none"/>
              </w:rPr>
              <w:t>1）合同签订并生效之日起7个工作日内支付合同总金额的</w:t>
            </w:r>
            <w:r>
              <w:rPr>
                <w:rFonts w:hint="eastAsia" w:ascii="宋体" w:hAnsi="宋体"/>
                <w:color w:val="auto"/>
                <w:szCs w:val="21"/>
                <w:highlight w:val="none"/>
                <w:lang w:val="en-US" w:eastAsia="zh-CN"/>
              </w:rPr>
              <w:t>5</w:t>
            </w:r>
            <w:r>
              <w:rPr>
                <w:rFonts w:hint="eastAsia" w:ascii="宋体" w:hAnsi="宋体"/>
                <w:color w:val="auto"/>
                <w:szCs w:val="21"/>
                <w:highlight w:val="none"/>
              </w:rPr>
              <w:t>0%作为预付款；</w:t>
            </w:r>
            <w:bookmarkEnd w:id="23"/>
          </w:p>
          <w:p>
            <w:pPr>
              <w:spacing w:line="320" w:lineRule="exact"/>
              <w:rPr>
                <w:rFonts w:ascii="宋体" w:hAnsi="宋体"/>
                <w:color w:val="auto"/>
                <w:szCs w:val="21"/>
                <w:highlight w:val="none"/>
              </w:rPr>
            </w:pPr>
            <w:bookmarkStart w:id="24" w:name="_Toc84581855"/>
            <w:r>
              <w:rPr>
                <w:rFonts w:hint="eastAsia" w:ascii="宋体" w:hAnsi="宋体"/>
                <w:color w:val="auto"/>
                <w:szCs w:val="21"/>
                <w:highlight w:val="none"/>
              </w:rPr>
              <w:t>2）整体验收合格后7个工作日内一次性支付剩余合同款；</w:t>
            </w:r>
            <w:bookmarkEnd w:id="24"/>
          </w:p>
          <w:p>
            <w:pPr>
              <w:spacing w:line="320" w:lineRule="exact"/>
              <w:rPr>
                <w:rFonts w:ascii="宋体" w:hAnsi="宋体"/>
                <w:color w:val="auto"/>
                <w:szCs w:val="21"/>
                <w:highlight w:val="none"/>
              </w:rPr>
            </w:pPr>
            <w:bookmarkStart w:id="25" w:name="_Toc84581856"/>
            <w:r>
              <w:rPr>
                <w:rFonts w:hint="eastAsia" w:ascii="宋体" w:hAnsi="宋体"/>
                <w:color w:val="auto"/>
                <w:szCs w:val="21"/>
                <w:highlight w:val="none"/>
              </w:rPr>
              <w:t>3）合同款项以银行转账方式支付至合同约定的账户。</w:t>
            </w:r>
            <w:bookmarkEnd w:id="25"/>
          </w:p>
        </w:tc>
      </w:tr>
      <w:tr>
        <w:tblPrEx>
          <w:tblCellMar>
            <w:top w:w="0" w:type="dxa"/>
            <w:left w:w="108" w:type="dxa"/>
            <w:bottom w:w="0" w:type="dxa"/>
            <w:right w:w="108" w:type="dxa"/>
          </w:tblCellMar>
        </w:tblPrEx>
        <w:trPr>
          <w:trHeight w:val="9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rFonts w:ascii="宋体" w:hAnsi="宋体"/>
                <w:color w:val="auto"/>
                <w:szCs w:val="21"/>
                <w:highlight w:val="none"/>
              </w:rPr>
            </w:pPr>
            <w:r>
              <w:rPr>
                <w:rFonts w:hint="eastAsia" w:ascii="宋体" w:hAnsi="宋体"/>
                <w:color w:val="auto"/>
                <w:szCs w:val="21"/>
                <w:highlight w:val="none"/>
              </w:rPr>
              <w:t>发票要求</w:t>
            </w:r>
          </w:p>
        </w:tc>
        <w:tc>
          <w:tcPr>
            <w:tcW w:w="7255" w:type="dxa"/>
            <w:tcBorders>
              <w:top w:val="single" w:color="000000" w:sz="4" w:space="0"/>
              <w:left w:val="nil"/>
              <w:bottom w:val="single" w:color="000000" w:sz="4" w:space="0"/>
              <w:right w:val="single" w:color="000000"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成交供应商应在采购人每次支付费用前，依据相应的金额，先行向采购人提供足额且符合税法规定的发票。采购人在收到成交供应商提供的发票后在合同约定的时间支付相应款项，否则采购人有权延迟支付相应费用而不被视为违约，亦无须承担任何违约责任。</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本项目合同签署的成交供应商名称与发票开具单位及收款单位一致，成交供应商不得以其他理由在合同执行过程中要求调整发票开具单位或收款单位（依法变更单位名称除外），否则视为成交供应商违约并自行承担相关责任，且须承担由此对采购人造成的一切损失。</w:t>
            </w:r>
          </w:p>
        </w:tc>
      </w:tr>
      <w:tr>
        <w:tblPrEx>
          <w:tblCellMar>
            <w:top w:w="0" w:type="dxa"/>
            <w:left w:w="108" w:type="dxa"/>
            <w:bottom w:w="0" w:type="dxa"/>
            <w:right w:w="108" w:type="dxa"/>
          </w:tblCellMar>
        </w:tblPrEx>
        <w:trPr>
          <w:trHeight w:val="57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履约保证金</w:t>
            </w:r>
          </w:p>
        </w:tc>
        <w:tc>
          <w:tcPr>
            <w:tcW w:w="7255" w:type="dxa"/>
            <w:tcBorders>
              <w:top w:val="single" w:color="000000" w:sz="4" w:space="0"/>
              <w:left w:val="nil"/>
              <w:bottom w:val="single" w:color="000000" w:sz="4" w:space="0"/>
              <w:right w:val="single" w:color="000000" w:sz="4" w:space="0"/>
            </w:tcBorders>
            <w:vAlign w:val="center"/>
          </w:tcPr>
          <w:p>
            <w:pPr>
              <w:spacing w:line="320" w:lineRule="exact"/>
              <w:ind w:right="34" w:rightChars="16"/>
              <w:jc w:val="left"/>
              <w:rPr>
                <w:rFonts w:ascii="宋体" w:hAnsi="宋体"/>
                <w:b/>
                <w:color w:val="auto"/>
                <w:szCs w:val="21"/>
                <w:highlight w:val="none"/>
              </w:rPr>
            </w:pPr>
            <w:r>
              <w:rPr>
                <w:rFonts w:hint="eastAsia" w:ascii="宋体" w:hAnsi="宋体"/>
                <w:color w:val="auto"/>
                <w:szCs w:val="21"/>
                <w:highlight w:val="none"/>
              </w:rPr>
              <w:t>不适用。</w:t>
            </w:r>
          </w:p>
        </w:tc>
      </w:tr>
      <w:tr>
        <w:tblPrEx>
          <w:tblCellMar>
            <w:top w:w="0" w:type="dxa"/>
            <w:left w:w="108" w:type="dxa"/>
            <w:bottom w:w="0" w:type="dxa"/>
            <w:right w:w="108" w:type="dxa"/>
          </w:tblCellMar>
        </w:tblPrEx>
        <w:trPr>
          <w:trHeight w:val="158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rFonts w:ascii="宋体" w:hAnsi="宋体"/>
                <w:color w:val="auto"/>
                <w:szCs w:val="21"/>
                <w:highlight w:val="none"/>
              </w:rPr>
            </w:pPr>
            <w:r>
              <w:rPr>
                <w:rFonts w:hint="eastAsia" w:ascii="宋体" w:hAnsi="宋体"/>
                <w:color w:val="auto"/>
                <w:szCs w:val="21"/>
                <w:highlight w:val="none"/>
              </w:rPr>
              <w:t>售后服务要求</w:t>
            </w:r>
          </w:p>
        </w:tc>
        <w:tc>
          <w:tcPr>
            <w:tcW w:w="7255" w:type="dxa"/>
            <w:tcBorders>
              <w:top w:val="single" w:color="000000" w:sz="4" w:space="0"/>
              <w:left w:val="nil"/>
              <w:bottom w:val="single" w:color="000000" w:sz="4" w:space="0"/>
              <w:right w:val="single" w:color="000000"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1）成交供应商必须为本项目范围内的产品提供相应的售后服务。</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2）在质量保证期内由于产品本身质量原因造成的任何损伤或损坏，供应商须免费负责修理或更换。</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3）质量保证期内接到故障通知后，供应商必须在30分钟内响应。对于影响产品正常运行的故障，成交供应商或产品制造商的工程师及其它相关技术人员必须在接到故障通知后2小时内赶到现场，查找原因，提出解决方案，并工作至故障修妥完全恢复正常使用为止，一般故障要求保证在4小时之内修复，重大故障一般应当在24小时内修复，特殊情况要确保48小时内解决。</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质量保证期内成交供应商未能按照要求提供售后服务的，采购人有权委托第三方服务，所有与之相关的费用均由成交供应商承担。</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4）在质量保证期结束前，须由成交供应商的工程师和采购人代表对产品进行一次全面检查，发现的任何缺陷必须由成交供应商负责修复。在修复之后，成交供应商应将缺陷原因、修复内容等情况向采购人提交报告。</w:t>
            </w:r>
          </w:p>
        </w:tc>
      </w:tr>
      <w:tr>
        <w:tblPrEx>
          <w:tblCellMar>
            <w:top w:w="0" w:type="dxa"/>
            <w:left w:w="108" w:type="dxa"/>
            <w:bottom w:w="0" w:type="dxa"/>
            <w:right w:w="108" w:type="dxa"/>
          </w:tblCellMar>
        </w:tblPrEx>
        <w:trPr>
          <w:trHeight w:val="2075"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培训</w:t>
            </w:r>
          </w:p>
        </w:tc>
        <w:tc>
          <w:tcPr>
            <w:tcW w:w="7255" w:type="dxa"/>
            <w:tcBorders>
              <w:top w:val="single" w:color="000000" w:sz="4" w:space="0"/>
              <w:left w:val="nil"/>
              <w:bottom w:val="single" w:color="000000" w:sz="4" w:space="0"/>
              <w:right w:val="single" w:color="000000"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1）项目通过最终验收后，在采购人指定地点，由成交供应商的专业技术人员对采购人的相关人员进行培训，培训所产生的所有费用由成交供应商承担。</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2）培训效果达到采购人的使用人员能熟练使用本项目的设备。</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3）培训结束后，供应商须继续提供技术咨询服务。</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4）培训期间的技术资料由成交供应商提供。</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5）提供产品的终身免费电话和邮件技术支持。</w:t>
            </w:r>
          </w:p>
        </w:tc>
      </w:tr>
      <w:tr>
        <w:tblPrEx>
          <w:tblCellMar>
            <w:top w:w="0" w:type="dxa"/>
            <w:left w:w="108" w:type="dxa"/>
            <w:bottom w:w="0" w:type="dxa"/>
            <w:right w:w="108" w:type="dxa"/>
          </w:tblCellMar>
        </w:tblPrEx>
        <w:trPr>
          <w:trHeight w:val="1170" w:hRule="atLeast"/>
        </w:trPr>
        <w:tc>
          <w:tcPr>
            <w:tcW w:w="1811" w:type="dxa"/>
            <w:tcBorders>
              <w:top w:val="single" w:color="000000" w:sz="4" w:space="0"/>
              <w:left w:val="single" w:color="000000" w:sz="4" w:space="0"/>
              <w:bottom w:val="single" w:color="000000" w:sz="4" w:space="0"/>
              <w:right w:val="single" w:color="000000"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其他</w:t>
            </w:r>
          </w:p>
        </w:tc>
        <w:tc>
          <w:tcPr>
            <w:tcW w:w="7255" w:type="dxa"/>
            <w:tcBorders>
              <w:top w:val="single" w:color="000000" w:sz="4" w:space="0"/>
              <w:left w:val="nil"/>
              <w:bottom w:val="single" w:color="000000" w:sz="4" w:space="0"/>
              <w:right w:val="single" w:color="000000" w:sz="4" w:space="0"/>
            </w:tcBorders>
            <w:vAlign w:val="center"/>
          </w:tcPr>
          <w:p>
            <w:pPr>
              <w:spacing w:line="320" w:lineRule="exact"/>
              <w:ind w:right="34" w:rightChars="16"/>
              <w:jc w:val="left"/>
              <w:rPr>
                <w:rFonts w:ascii="宋体" w:hAnsi="宋体"/>
                <w:b/>
                <w:color w:val="auto"/>
                <w:szCs w:val="21"/>
                <w:highlight w:val="none"/>
              </w:rPr>
            </w:pPr>
            <w:r>
              <w:rPr>
                <w:rFonts w:hint="eastAsia" w:ascii="宋体" w:hAnsi="宋体"/>
                <w:color w:val="auto"/>
                <w:szCs w:val="21"/>
                <w:highlight w:val="none"/>
              </w:rPr>
              <w:t>在合同执行过程中，成交供应商应承担由于其行为所造成的采购人或第三人的人身伤害、财产损失或损坏的责任，无论何种原因所造成，采购人均不负责。</w:t>
            </w:r>
          </w:p>
        </w:tc>
      </w:tr>
    </w:tbl>
    <w:p>
      <w:pPr>
        <w:pStyle w:val="40"/>
        <w:spacing w:before="0" w:after="0"/>
        <w:rPr>
          <w:rFonts w:ascii="宋体" w:hAnsi="宋体"/>
          <w:color w:val="auto"/>
          <w:sz w:val="24"/>
          <w:highlight w:val="none"/>
        </w:rPr>
      </w:pPr>
    </w:p>
    <w:p>
      <w:pPr>
        <w:pStyle w:val="3"/>
        <w:rPr>
          <w:rFonts w:ascii="宋体" w:hAnsi="宋体"/>
          <w:color w:val="auto"/>
          <w:sz w:val="24"/>
          <w:highlight w:val="none"/>
        </w:rPr>
      </w:pPr>
      <w:r>
        <w:rPr>
          <w:rFonts w:ascii="宋体" w:hAnsi="宋体"/>
          <w:color w:val="auto"/>
          <w:sz w:val="24"/>
          <w:highlight w:val="none"/>
        </w:rPr>
        <w:br w:type="page"/>
      </w:r>
      <w:bookmarkStart w:id="26" w:name="_Toc84581857"/>
      <w:bookmarkStart w:id="27" w:name="_Toc84582098"/>
      <w:r>
        <w:rPr>
          <w:rFonts w:hint="eastAsia"/>
          <w:color w:val="auto"/>
          <w:highlight w:val="none"/>
        </w:rPr>
        <w:t>第三章</w:t>
      </w:r>
      <w:r>
        <w:rPr>
          <w:color w:val="auto"/>
          <w:highlight w:val="none"/>
        </w:rPr>
        <w:t xml:space="preserve"> </w:t>
      </w:r>
      <w:r>
        <w:rPr>
          <w:rFonts w:hint="eastAsia"/>
          <w:color w:val="auto"/>
          <w:highlight w:val="none"/>
        </w:rPr>
        <w:t xml:space="preserve"> 供应商须知</w:t>
      </w:r>
      <w:bookmarkEnd w:id="7"/>
      <w:bookmarkEnd w:id="11"/>
      <w:bookmarkEnd w:id="12"/>
      <w:bookmarkEnd w:id="26"/>
      <w:bookmarkEnd w:id="27"/>
    </w:p>
    <w:p>
      <w:pPr>
        <w:jc w:val="center"/>
        <w:rPr>
          <w:rFonts w:ascii="宋体" w:hAnsi="宋体"/>
          <w:b/>
          <w:color w:val="auto"/>
          <w:highlight w:val="none"/>
        </w:rPr>
      </w:pPr>
      <w:r>
        <w:rPr>
          <w:rFonts w:hint="eastAsia" w:ascii="宋体" w:hAnsi="宋体"/>
          <w:b/>
          <w:color w:val="auto"/>
          <w:highlight w:val="none"/>
        </w:rPr>
        <w:t>《供应商须知前附表》</w:t>
      </w:r>
    </w:p>
    <w:p>
      <w:pPr>
        <w:snapToGrid w:val="0"/>
        <w:ind w:firstLine="420" w:firstLineChars="200"/>
        <w:rPr>
          <w:rFonts w:ascii="宋体" w:hAnsi="宋体" w:cs="Arial"/>
          <w:color w:val="auto"/>
          <w:szCs w:val="21"/>
          <w:highlight w:val="none"/>
        </w:rPr>
      </w:pPr>
      <w:r>
        <w:rPr>
          <w:rFonts w:ascii="宋体" w:hAnsi="宋体" w:cs="Arial"/>
          <w:color w:val="auto"/>
          <w:highlight w:val="none"/>
        </w:rPr>
        <w:t>说明：供应商应仔细阅读</w:t>
      </w:r>
      <w:r>
        <w:rPr>
          <w:rFonts w:hint="eastAsia" w:ascii="宋体" w:hAnsi="宋体" w:cs="Arial"/>
          <w:color w:val="auto"/>
          <w:highlight w:val="none"/>
        </w:rPr>
        <w:t>本章</w:t>
      </w:r>
      <w:r>
        <w:rPr>
          <w:rFonts w:ascii="宋体" w:hAnsi="宋体" w:cs="Arial"/>
          <w:color w:val="auto"/>
          <w:highlight w:val="none"/>
        </w:rPr>
        <w:t>节，下面所列资料是对“供应商须知”的具体补充和说明。如有矛盾，以本表为准。</w:t>
      </w:r>
    </w:p>
    <w:tbl>
      <w:tblPr>
        <w:tblStyle w:val="43"/>
        <w:tblW w:w="935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8"/>
        <w:gridCol w:w="938"/>
        <w:gridCol w:w="1626"/>
        <w:gridCol w:w="60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
                <w:color w:val="auto"/>
                <w:szCs w:val="21"/>
                <w:highlight w:val="none"/>
              </w:rPr>
            </w:pPr>
            <w:r>
              <w:rPr>
                <w:rFonts w:hint="eastAsia" w:ascii="宋体" w:hAnsi="宋体"/>
                <w:b/>
                <w:color w:val="auto"/>
                <w:highlight w:val="none"/>
              </w:rPr>
              <w:t>序号</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b/>
                <w:color w:val="auto"/>
                <w:szCs w:val="21"/>
                <w:highlight w:val="none"/>
              </w:rPr>
            </w:pPr>
            <w:r>
              <w:rPr>
                <w:rFonts w:hint="eastAsia" w:ascii="宋体" w:hAnsi="宋体"/>
                <w:b/>
                <w:color w:val="auto"/>
                <w:highlight w:val="none"/>
              </w:rPr>
              <w:t>条款号</w:t>
            </w:r>
          </w:p>
        </w:tc>
        <w:tc>
          <w:tcPr>
            <w:tcW w:w="1546"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b/>
                <w:color w:val="auto"/>
                <w:szCs w:val="21"/>
                <w:highlight w:val="none"/>
              </w:rPr>
            </w:pPr>
            <w:r>
              <w:rPr>
                <w:rFonts w:hint="eastAsia" w:ascii="宋体" w:hAnsi="宋体"/>
                <w:b/>
                <w:color w:val="auto"/>
                <w:highlight w:val="none"/>
              </w:rPr>
              <w:t>条款名称</w:t>
            </w:r>
          </w:p>
        </w:tc>
        <w:tc>
          <w:tcPr>
            <w:tcW w:w="5757"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b/>
                <w:color w:val="auto"/>
                <w:szCs w:val="21"/>
                <w:highlight w:val="none"/>
              </w:rPr>
            </w:pPr>
            <w:r>
              <w:rPr>
                <w:rFonts w:hint="eastAsia" w:ascii="宋体" w:hAnsi="宋体"/>
                <w:b/>
                <w:color w:val="auto"/>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6</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转包与分包</w:t>
            </w:r>
          </w:p>
        </w:tc>
        <w:tc>
          <w:tcPr>
            <w:tcW w:w="5757" w:type="dxa"/>
            <w:tcBorders>
              <w:top w:val="single" w:color="auto" w:sz="4" w:space="0"/>
              <w:left w:val="nil"/>
              <w:bottom w:val="single" w:color="auto" w:sz="4" w:space="0"/>
              <w:right w:val="single" w:color="auto" w:sz="4" w:space="0"/>
            </w:tcBorders>
            <w:vAlign w:val="center"/>
          </w:tcPr>
          <w:p>
            <w:pPr>
              <w:spacing w:line="240" w:lineRule="auto"/>
              <w:ind w:firstLine="29" w:firstLineChars="14"/>
              <w:jc w:val="left"/>
              <w:rPr>
                <w:rFonts w:ascii="宋体" w:hAnsi="宋体"/>
                <w:bCs/>
                <w:color w:val="auto"/>
                <w:szCs w:val="21"/>
                <w:highlight w:val="none"/>
              </w:rPr>
            </w:pPr>
            <w:r>
              <w:rPr>
                <w:rFonts w:hint="eastAsia" w:ascii="宋体" w:hAnsi="宋体"/>
                <w:bCs/>
                <w:color w:val="auto"/>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8.3</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质疑函的接收和发送</w:t>
            </w:r>
          </w:p>
        </w:tc>
        <w:tc>
          <w:tcPr>
            <w:tcW w:w="5757" w:type="dxa"/>
            <w:tcBorders>
              <w:top w:val="single" w:color="auto" w:sz="4" w:space="0"/>
              <w:left w:val="nil"/>
              <w:bottom w:val="single" w:color="auto" w:sz="4" w:space="0"/>
              <w:right w:val="single" w:color="auto" w:sz="4" w:space="0"/>
            </w:tcBorders>
            <w:vAlign w:val="center"/>
          </w:tcPr>
          <w:p>
            <w:pPr>
              <w:spacing w:line="240" w:lineRule="auto"/>
              <w:ind w:firstLine="29" w:firstLineChars="14"/>
              <w:jc w:val="left"/>
              <w:rPr>
                <w:rFonts w:hint="eastAsia" w:ascii="宋体" w:hAnsi="宋体" w:eastAsia="宋体"/>
                <w:bCs/>
                <w:color w:val="auto"/>
                <w:szCs w:val="21"/>
                <w:highlight w:val="none"/>
                <w:lang w:eastAsia="zh-CN"/>
              </w:rPr>
            </w:pPr>
            <w:r>
              <w:rPr>
                <w:rFonts w:hint="eastAsia" w:ascii="宋体" w:hAnsi="宋体"/>
                <w:bCs/>
                <w:color w:val="auto"/>
                <w:highlight w:val="none"/>
                <w:lang w:val="en-US" w:eastAsia="zh-CN"/>
              </w:rPr>
              <w:t>详见</w:t>
            </w:r>
            <w:r>
              <w:rPr>
                <w:rFonts w:hint="eastAsia"/>
                <w:color w:val="auto"/>
                <w:highlight w:val="none"/>
              </w:rPr>
              <w:t>询价公告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3</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10</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政府采购信息发布媒体</w:t>
            </w:r>
          </w:p>
        </w:tc>
        <w:tc>
          <w:tcPr>
            <w:tcW w:w="5757" w:type="dxa"/>
            <w:tcBorders>
              <w:top w:val="single" w:color="auto" w:sz="4" w:space="0"/>
              <w:left w:val="nil"/>
              <w:bottom w:val="single" w:color="auto" w:sz="4" w:space="0"/>
              <w:right w:val="single" w:color="auto" w:sz="4" w:space="0"/>
            </w:tcBorders>
            <w:vAlign w:val="center"/>
          </w:tcPr>
          <w:p>
            <w:pPr>
              <w:spacing w:line="240" w:lineRule="auto"/>
              <w:ind w:firstLine="29" w:firstLineChars="14"/>
              <w:jc w:val="left"/>
              <w:rPr>
                <w:rFonts w:ascii="宋体" w:hAnsi="宋体"/>
                <w:bCs/>
                <w:color w:val="auto"/>
                <w:szCs w:val="21"/>
                <w:highlight w:val="none"/>
              </w:rPr>
            </w:pPr>
            <w:r>
              <w:rPr>
                <w:rFonts w:hint="eastAsia" w:ascii="宋体" w:hAnsi="宋体"/>
                <w:bCs/>
                <w:color w:val="auto"/>
                <w:highlight w:val="none"/>
              </w:rPr>
              <w:t>宁波政府采购网、浙江政府采购网。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14"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4</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11.1</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采购代理服务费用的收取标准</w:t>
            </w:r>
          </w:p>
        </w:tc>
        <w:tc>
          <w:tcPr>
            <w:tcW w:w="5757" w:type="dxa"/>
            <w:tcBorders>
              <w:top w:val="single" w:color="auto" w:sz="4" w:space="0"/>
              <w:left w:val="nil"/>
              <w:bottom w:val="single" w:color="auto" w:sz="4" w:space="0"/>
              <w:right w:val="single" w:color="auto" w:sz="4" w:space="0"/>
            </w:tcBorders>
            <w:vAlign w:val="center"/>
          </w:tcPr>
          <w:p>
            <w:pPr>
              <w:spacing w:line="240" w:lineRule="auto"/>
              <w:ind w:firstLine="29" w:firstLineChars="14"/>
              <w:jc w:val="left"/>
              <w:rPr>
                <w:rFonts w:ascii="宋体" w:hAnsi="宋体"/>
                <w:bCs/>
                <w:color w:val="auto"/>
                <w:szCs w:val="21"/>
                <w:highlight w:val="none"/>
              </w:rPr>
            </w:pPr>
            <w:r>
              <w:rPr>
                <w:rFonts w:hint="eastAsia" w:ascii="宋体" w:hAnsi="宋体"/>
                <w:bCs/>
                <w:color w:val="auto"/>
                <w:highlight w:val="none"/>
              </w:rPr>
              <w:t>1）根据国家发改委发改办价格[2003]857号通知和原国家计委计价格[2002]1980号文件规定的收费费率为取费标准。</w:t>
            </w:r>
          </w:p>
          <w:p>
            <w:pPr>
              <w:spacing w:line="240" w:lineRule="auto"/>
              <w:ind w:firstLine="29" w:firstLineChars="14"/>
              <w:jc w:val="left"/>
              <w:rPr>
                <w:rFonts w:ascii="宋体" w:hAnsi="宋体"/>
                <w:bCs/>
                <w:color w:val="auto"/>
                <w:highlight w:val="none"/>
              </w:rPr>
            </w:pPr>
            <w:r>
              <w:rPr>
                <w:rFonts w:hint="eastAsia" w:ascii="宋体" w:hAnsi="宋体"/>
                <w:bCs/>
                <w:color w:val="auto"/>
                <w:highlight w:val="none"/>
              </w:rPr>
              <w:t>2）以成交通知书确定的成交总金额为计算基数，结合上述费率标准计算本项目的代理服务费用。</w:t>
            </w:r>
          </w:p>
          <w:p>
            <w:pPr>
              <w:spacing w:line="240" w:lineRule="auto"/>
              <w:ind w:firstLine="29" w:firstLineChars="14"/>
              <w:jc w:val="left"/>
              <w:rPr>
                <w:rFonts w:ascii="宋体" w:hAnsi="宋体"/>
                <w:bCs/>
                <w:color w:val="auto"/>
                <w:szCs w:val="21"/>
                <w:highlight w:val="none"/>
              </w:rPr>
            </w:pPr>
            <w:r>
              <w:rPr>
                <w:rFonts w:hint="eastAsia" w:ascii="宋体" w:hAnsi="宋体"/>
                <w:bCs/>
                <w:color w:val="auto"/>
                <w:highlight w:val="none"/>
              </w:rPr>
              <w:t>3）按照上述规则计算后的代理服务费不足5000元的按照5000元收取。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2"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5</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11.2</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采购代理服务费的支付</w:t>
            </w:r>
          </w:p>
        </w:tc>
        <w:tc>
          <w:tcPr>
            <w:tcW w:w="5757" w:type="dxa"/>
            <w:tcBorders>
              <w:top w:val="single" w:color="auto" w:sz="4" w:space="0"/>
              <w:left w:val="nil"/>
              <w:bottom w:val="single" w:color="auto" w:sz="4" w:space="0"/>
              <w:right w:val="single" w:color="auto" w:sz="4" w:space="0"/>
            </w:tcBorders>
            <w:vAlign w:val="center"/>
          </w:tcPr>
          <w:p>
            <w:pPr>
              <w:spacing w:line="240" w:lineRule="auto"/>
              <w:ind w:firstLine="29" w:firstLineChars="14"/>
              <w:jc w:val="left"/>
              <w:rPr>
                <w:rFonts w:ascii="宋体" w:hAnsi="宋体"/>
                <w:bCs/>
                <w:color w:val="auto"/>
                <w:szCs w:val="21"/>
                <w:highlight w:val="none"/>
              </w:rPr>
            </w:pPr>
            <w:r>
              <w:rPr>
                <w:rFonts w:hint="eastAsia" w:ascii="宋体" w:hAnsi="宋体"/>
                <w:bCs/>
                <w:color w:val="auto"/>
                <w:highlight w:val="none"/>
              </w:rPr>
              <w:t>本项目代理服务费由成交供应商支付，成交供应商必须在领取成交通知书时一次性全额支付，代理服务费金额为固定金额，不随合同金额的增减而浮动。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9" w:hRule="atLeast"/>
        </w:trPr>
        <w:tc>
          <w:tcPr>
            <w:tcW w:w="702" w:type="dxa"/>
            <w:tcBorders>
              <w:top w:val="single" w:color="auto" w:sz="4" w:space="0"/>
              <w:left w:val="single" w:color="auto" w:sz="4" w:space="0"/>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6</w:t>
            </w:r>
          </w:p>
        </w:tc>
        <w:tc>
          <w:tcPr>
            <w:tcW w:w="892" w:type="dxa"/>
            <w:tcBorders>
              <w:top w:val="single" w:color="auto" w:sz="4" w:space="0"/>
              <w:left w:val="nil"/>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18.2</w:t>
            </w:r>
          </w:p>
        </w:tc>
        <w:tc>
          <w:tcPr>
            <w:tcW w:w="1546"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资格要求响应文件的组成</w:t>
            </w:r>
          </w:p>
        </w:tc>
        <w:tc>
          <w:tcPr>
            <w:tcW w:w="5757"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1）供应商资格声明函；</w:t>
            </w:r>
          </w:p>
          <w:p>
            <w:pPr>
              <w:spacing w:line="240" w:lineRule="auto"/>
              <w:rPr>
                <w:rFonts w:ascii="宋体" w:hAnsi="宋体"/>
                <w:color w:val="auto"/>
                <w:highlight w:val="none"/>
              </w:rPr>
            </w:pPr>
            <w:r>
              <w:rPr>
                <w:rFonts w:hint="eastAsia" w:ascii="宋体" w:hAnsi="宋体"/>
                <w:color w:val="auto"/>
                <w:highlight w:val="none"/>
              </w:rPr>
              <w:t>2）法人或者其他组织的营业执照等登记证明文件复印件；</w:t>
            </w:r>
          </w:p>
          <w:p>
            <w:pPr>
              <w:spacing w:line="240" w:lineRule="auto"/>
              <w:rPr>
                <w:rFonts w:ascii="宋体" w:hAnsi="宋体"/>
                <w:color w:val="auto"/>
                <w:highlight w:val="none"/>
              </w:rPr>
            </w:pPr>
            <w:r>
              <w:rPr>
                <w:rFonts w:hint="eastAsia" w:ascii="宋体" w:hAnsi="宋体"/>
                <w:color w:val="auto"/>
                <w:highlight w:val="none"/>
              </w:rPr>
              <w:t>3）中小</w:t>
            </w:r>
            <w:r>
              <w:rPr>
                <w:rFonts w:hint="eastAsia" w:ascii="宋体" w:hAnsi="宋体" w:eastAsia="宋体" w:cs="Times New Roman"/>
                <w:bCs/>
                <w:color w:val="auto"/>
                <w:highlight w:val="none"/>
              </w:rPr>
              <w:t>企业声明函或者残疾人福利性单位声明函或者监狱企业证明文件。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96" w:hRule="atLeast"/>
        </w:trPr>
        <w:tc>
          <w:tcPr>
            <w:tcW w:w="702" w:type="dxa"/>
            <w:tcBorders>
              <w:top w:val="single" w:color="auto" w:sz="4" w:space="0"/>
              <w:left w:val="single" w:color="auto" w:sz="4" w:space="0"/>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7</w:t>
            </w:r>
          </w:p>
        </w:tc>
        <w:tc>
          <w:tcPr>
            <w:tcW w:w="892" w:type="dxa"/>
            <w:tcBorders>
              <w:top w:val="single" w:color="auto" w:sz="4" w:space="0"/>
              <w:left w:val="nil"/>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18.3</w:t>
            </w:r>
          </w:p>
        </w:tc>
        <w:tc>
          <w:tcPr>
            <w:tcW w:w="1546"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商务技术文件的组成</w:t>
            </w:r>
          </w:p>
        </w:tc>
        <w:tc>
          <w:tcPr>
            <w:tcW w:w="5757"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1）询价响应函；</w:t>
            </w:r>
          </w:p>
          <w:p>
            <w:pPr>
              <w:spacing w:line="240" w:lineRule="auto"/>
              <w:rPr>
                <w:rFonts w:ascii="宋体" w:hAnsi="宋体"/>
                <w:color w:val="auto"/>
                <w:highlight w:val="none"/>
              </w:rPr>
            </w:pPr>
            <w:r>
              <w:rPr>
                <w:rFonts w:hint="eastAsia" w:ascii="宋体" w:hAnsi="宋体"/>
                <w:color w:val="auto"/>
                <w:highlight w:val="none"/>
              </w:rPr>
              <w:t>2）法定代表人身份证明书及其附件或法定代表人授权委托书及其附件；</w:t>
            </w:r>
          </w:p>
          <w:p>
            <w:pPr>
              <w:spacing w:line="240" w:lineRule="auto"/>
              <w:rPr>
                <w:rFonts w:ascii="宋体" w:hAnsi="宋体"/>
                <w:color w:val="auto"/>
                <w:highlight w:val="none"/>
              </w:rPr>
            </w:pPr>
            <w:r>
              <w:rPr>
                <w:rFonts w:hint="eastAsia" w:ascii="宋体" w:hAnsi="宋体"/>
                <w:color w:val="auto"/>
                <w:highlight w:val="none"/>
              </w:rPr>
              <w:t>3）技术要求响应表；</w:t>
            </w:r>
          </w:p>
          <w:p>
            <w:pPr>
              <w:spacing w:line="240" w:lineRule="auto"/>
              <w:rPr>
                <w:rFonts w:ascii="宋体" w:hAnsi="宋体"/>
                <w:color w:val="auto"/>
                <w:highlight w:val="none"/>
              </w:rPr>
            </w:pPr>
            <w:r>
              <w:rPr>
                <w:rFonts w:hint="eastAsia" w:ascii="宋体" w:hAnsi="宋体"/>
                <w:color w:val="auto"/>
                <w:highlight w:val="none"/>
              </w:rPr>
              <w:t>4）商务要求响应表；</w:t>
            </w:r>
          </w:p>
          <w:p>
            <w:pPr>
              <w:spacing w:line="240" w:lineRule="auto"/>
              <w:rPr>
                <w:rFonts w:ascii="宋体" w:hAnsi="宋体"/>
                <w:color w:val="auto"/>
                <w:highlight w:val="none"/>
              </w:rPr>
            </w:pPr>
            <w:r>
              <w:rPr>
                <w:rFonts w:hint="eastAsia" w:ascii="宋体" w:hAnsi="宋体"/>
                <w:color w:val="auto"/>
                <w:highlight w:val="none"/>
              </w:rPr>
              <w:t>5）项目实施人员情况表；</w:t>
            </w:r>
          </w:p>
          <w:p>
            <w:pPr>
              <w:spacing w:line="240" w:lineRule="auto"/>
              <w:rPr>
                <w:rFonts w:ascii="宋体" w:hAnsi="宋体"/>
                <w:color w:val="auto"/>
                <w:szCs w:val="21"/>
                <w:highlight w:val="none"/>
              </w:rPr>
            </w:pPr>
            <w:r>
              <w:rPr>
                <w:rFonts w:hint="eastAsia" w:ascii="宋体" w:hAnsi="宋体"/>
                <w:color w:val="auto"/>
                <w:highlight w:val="none"/>
              </w:rPr>
              <w:t>6）与项目评审或履行合同有关的其他资料（如有可提供）。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02" w:type="dxa"/>
            <w:tcBorders>
              <w:top w:val="single" w:color="auto" w:sz="4" w:space="0"/>
              <w:left w:val="single" w:color="auto" w:sz="4" w:space="0"/>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8</w:t>
            </w:r>
          </w:p>
        </w:tc>
        <w:tc>
          <w:tcPr>
            <w:tcW w:w="892" w:type="dxa"/>
            <w:tcBorders>
              <w:top w:val="single" w:color="auto" w:sz="4" w:space="0"/>
              <w:left w:val="nil"/>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18.4</w:t>
            </w:r>
          </w:p>
        </w:tc>
        <w:tc>
          <w:tcPr>
            <w:tcW w:w="1546"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报价要求响应文件的组成</w:t>
            </w:r>
          </w:p>
        </w:tc>
        <w:tc>
          <w:tcPr>
            <w:tcW w:w="5757"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1）报价一览表；</w:t>
            </w:r>
          </w:p>
          <w:p>
            <w:pPr>
              <w:spacing w:line="240" w:lineRule="auto"/>
              <w:rPr>
                <w:rFonts w:ascii="宋体" w:hAnsi="宋体"/>
                <w:color w:val="auto"/>
                <w:highlight w:val="none"/>
              </w:rPr>
            </w:pPr>
            <w:r>
              <w:rPr>
                <w:rFonts w:hint="eastAsia" w:ascii="宋体" w:hAnsi="宋体"/>
                <w:color w:val="auto"/>
                <w:highlight w:val="none"/>
              </w:rPr>
              <w:t>2）报价组成明细表。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2" w:type="dxa"/>
            <w:tcBorders>
              <w:top w:val="single" w:color="auto" w:sz="4" w:space="0"/>
              <w:left w:val="single" w:color="auto" w:sz="4" w:space="0"/>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9</w:t>
            </w:r>
          </w:p>
        </w:tc>
        <w:tc>
          <w:tcPr>
            <w:tcW w:w="892" w:type="dxa"/>
            <w:tcBorders>
              <w:top w:val="single" w:color="auto" w:sz="4" w:space="0"/>
              <w:left w:val="nil"/>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20.1</w:t>
            </w:r>
          </w:p>
        </w:tc>
        <w:tc>
          <w:tcPr>
            <w:tcW w:w="1546"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响应文件的份数</w:t>
            </w:r>
          </w:p>
        </w:tc>
        <w:tc>
          <w:tcPr>
            <w:tcW w:w="5757" w:type="dxa"/>
            <w:tcBorders>
              <w:top w:val="single" w:color="auto" w:sz="4" w:space="0"/>
              <w:left w:val="nil"/>
              <w:bottom w:val="nil"/>
              <w:right w:val="single" w:color="auto" w:sz="4" w:space="0"/>
            </w:tcBorders>
            <w:vAlign w:val="center"/>
          </w:tcPr>
          <w:p>
            <w:pPr>
              <w:spacing w:line="240" w:lineRule="auto"/>
              <w:jc w:val="left"/>
              <w:rPr>
                <w:rFonts w:ascii="宋体" w:hAnsi="宋体"/>
                <w:color w:val="auto"/>
                <w:szCs w:val="21"/>
                <w:highlight w:val="none"/>
              </w:rPr>
            </w:pPr>
            <w:r>
              <w:rPr>
                <w:rFonts w:hint="eastAsia" w:ascii="宋体" w:hAnsi="宋体"/>
                <w:color w:val="auto"/>
                <w:highlight w:val="none"/>
              </w:rPr>
              <w:t>▲1）电子加密响应文件：1份；</w:t>
            </w:r>
          </w:p>
          <w:p>
            <w:pPr>
              <w:spacing w:line="240" w:lineRule="auto"/>
              <w:jc w:val="left"/>
              <w:rPr>
                <w:rFonts w:ascii="宋体" w:hAnsi="宋体"/>
                <w:color w:val="auto"/>
                <w:szCs w:val="21"/>
                <w:highlight w:val="none"/>
              </w:rPr>
            </w:pPr>
            <w:r>
              <w:rPr>
                <w:rFonts w:hint="eastAsia" w:ascii="宋体" w:hAnsi="宋体"/>
                <w:color w:val="auto"/>
                <w:highlight w:val="none"/>
              </w:rPr>
              <w:t>2）备份响应文件：1份，以U盘存储（不强制要求提供）。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702" w:type="dxa"/>
            <w:tcBorders>
              <w:top w:val="single" w:color="auto" w:sz="4" w:space="0"/>
              <w:left w:val="single" w:color="auto" w:sz="4" w:space="0"/>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10</w:t>
            </w:r>
          </w:p>
        </w:tc>
        <w:tc>
          <w:tcPr>
            <w:tcW w:w="892" w:type="dxa"/>
            <w:tcBorders>
              <w:top w:val="single" w:color="auto" w:sz="4" w:space="0"/>
              <w:left w:val="nil"/>
              <w:bottom w:val="nil"/>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21.1</w:t>
            </w:r>
          </w:p>
        </w:tc>
        <w:tc>
          <w:tcPr>
            <w:tcW w:w="1546" w:type="dxa"/>
            <w:tcBorders>
              <w:top w:val="single" w:color="auto" w:sz="4" w:space="0"/>
              <w:left w:val="nil"/>
              <w:bottom w:val="nil"/>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报价的组成</w:t>
            </w:r>
          </w:p>
        </w:tc>
        <w:tc>
          <w:tcPr>
            <w:tcW w:w="5757" w:type="dxa"/>
            <w:tcBorders>
              <w:top w:val="single" w:color="auto" w:sz="4" w:space="0"/>
              <w:left w:val="nil"/>
              <w:bottom w:val="nil"/>
              <w:right w:val="single" w:color="auto" w:sz="4" w:space="0"/>
            </w:tcBorders>
            <w:vAlign w:val="center"/>
          </w:tcPr>
          <w:p>
            <w:pPr>
              <w:spacing w:line="240" w:lineRule="auto"/>
              <w:jc w:val="left"/>
              <w:rPr>
                <w:rFonts w:ascii="宋体" w:hAnsi="宋体"/>
                <w:color w:val="auto"/>
                <w:szCs w:val="21"/>
                <w:highlight w:val="none"/>
              </w:rPr>
            </w:pPr>
            <w:r>
              <w:rPr>
                <w:rFonts w:hint="eastAsia" w:ascii="宋体" w:hAnsi="宋体"/>
                <w:color w:val="auto"/>
                <w:highlight w:val="none"/>
              </w:rPr>
              <w:t>供应商的报价应当是完成采购需求所包含的全部内容并达到合同目的的一切费用，包含但不仅限于产品费、人工费、包装费、运费、装卸费、改装调试费、培训费、质保服务费、税费、利润、合同实施过程中应预见和不可预见费用等完成合同规定责任和义务一切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11</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▲23.1</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响应有效期</w:t>
            </w:r>
          </w:p>
        </w:tc>
        <w:tc>
          <w:tcPr>
            <w:tcW w:w="5757" w:type="dxa"/>
            <w:tcBorders>
              <w:top w:val="single" w:color="auto" w:sz="4" w:space="0"/>
              <w:left w:val="nil"/>
              <w:bottom w:val="single" w:color="auto" w:sz="4" w:space="0"/>
              <w:right w:val="single" w:color="auto" w:sz="4" w:space="0"/>
            </w:tcBorders>
            <w:vAlign w:val="center"/>
          </w:tcPr>
          <w:p>
            <w:pPr>
              <w:spacing w:line="240" w:lineRule="auto"/>
              <w:jc w:val="left"/>
              <w:rPr>
                <w:rFonts w:ascii="宋体" w:hAnsi="宋体"/>
                <w:color w:val="auto"/>
                <w:szCs w:val="21"/>
                <w:highlight w:val="none"/>
              </w:rPr>
            </w:pPr>
            <w:r>
              <w:rPr>
                <w:rFonts w:hint="eastAsia" w:ascii="宋体" w:hAnsi="宋体" w:cs="Arial"/>
                <w:color w:val="auto"/>
                <w:highlight w:val="none"/>
              </w:rPr>
              <w:t>90日历天，</w:t>
            </w:r>
            <w:r>
              <w:rPr>
                <w:rFonts w:hint="eastAsia" w:ascii="宋体" w:hAnsi="宋体"/>
                <w:color w:val="auto"/>
                <w:highlight w:val="none"/>
              </w:rPr>
              <w:t>自提交响应文件的截止之日起算</w:t>
            </w:r>
            <w:r>
              <w:rPr>
                <w:rFonts w:hint="eastAsia" w:ascii="宋体" w:hAnsi="宋体" w:cs="Arial"/>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702"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12</w:t>
            </w:r>
          </w:p>
        </w:tc>
        <w:tc>
          <w:tcPr>
            <w:tcW w:w="892" w:type="dxa"/>
            <w:tcBorders>
              <w:top w:val="single" w:color="auto" w:sz="4" w:space="0"/>
              <w:left w:val="nil"/>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27</w:t>
            </w:r>
          </w:p>
        </w:tc>
        <w:tc>
          <w:tcPr>
            <w:tcW w:w="1546" w:type="dxa"/>
            <w:tcBorders>
              <w:top w:val="single" w:color="auto" w:sz="4" w:space="0"/>
              <w:left w:val="nil"/>
              <w:bottom w:val="single" w:color="auto" w:sz="4" w:space="0"/>
              <w:right w:val="single" w:color="auto" w:sz="4" w:space="0"/>
            </w:tcBorders>
            <w:vAlign w:val="center"/>
          </w:tcPr>
          <w:p>
            <w:pPr>
              <w:spacing w:line="240" w:lineRule="auto"/>
              <w:rPr>
                <w:rFonts w:ascii="宋体" w:hAnsi="宋体"/>
                <w:color w:val="auto"/>
                <w:szCs w:val="21"/>
                <w:highlight w:val="none"/>
              </w:rPr>
            </w:pPr>
            <w:r>
              <w:rPr>
                <w:rFonts w:hint="eastAsia" w:ascii="宋体" w:hAnsi="宋体"/>
                <w:color w:val="auto"/>
                <w:highlight w:val="none"/>
              </w:rPr>
              <w:t>备份响应文件密封包装的标注和盖章</w:t>
            </w:r>
          </w:p>
        </w:tc>
        <w:tc>
          <w:tcPr>
            <w:tcW w:w="5757" w:type="dxa"/>
            <w:tcBorders>
              <w:top w:val="single" w:color="auto" w:sz="4" w:space="0"/>
              <w:left w:val="nil"/>
              <w:bottom w:val="single" w:color="auto" w:sz="4" w:space="0"/>
              <w:right w:val="single" w:color="auto" w:sz="4" w:space="0"/>
            </w:tcBorders>
            <w:vAlign w:val="center"/>
          </w:tcPr>
          <w:p>
            <w:pPr>
              <w:spacing w:line="240" w:lineRule="auto"/>
              <w:jc w:val="left"/>
              <w:rPr>
                <w:rFonts w:ascii="宋体" w:hAnsi="宋体"/>
                <w:color w:val="auto"/>
                <w:szCs w:val="21"/>
                <w:highlight w:val="none"/>
              </w:rPr>
            </w:pPr>
            <w:r>
              <w:rPr>
                <w:rFonts w:hint="eastAsia" w:ascii="宋体" w:hAnsi="宋体"/>
                <w:color w:val="auto"/>
                <w:highlight w:val="none"/>
              </w:rPr>
              <w:t>1）备份响应文件密封包装封面应当标明项目名称、项目编号、供应商的名称。</w:t>
            </w:r>
          </w:p>
          <w:p>
            <w:pPr>
              <w:spacing w:line="240" w:lineRule="auto"/>
              <w:jc w:val="left"/>
              <w:rPr>
                <w:rFonts w:ascii="宋体" w:hAnsi="宋体"/>
                <w:color w:val="auto"/>
                <w:szCs w:val="21"/>
                <w:highlight w:val="none"/>
              </w:rPr>
            </w:pPr>
            <w:r>
              <w:rPr>
                <w:rFonts w:hint="eastAsia" w:ascii="宋体" w:hAnsi="宋体"/>
                <w:color w:val="auto"/>
                <w:highlight w:val="none"/>
              </w:rPr>
              <w:t>▲2）备份响应文件的密封包装封面必须加盖供应商公章。</w:t>
            </w:r>
          </w:p>
        </w:tc>
      </w:tr>
    </w:tbl>
    <w:p>
      <w:pPr>
        <w:jc w:val="center"/>
        <w:rPr>
          <w:rFonts w:ascii="宋体" w:hAnsi="宋体"/>
          <w:color w:val="auto"/>
          <w:highlight w:val="none"/>
        </w:rPr>
      </w:pPr>
      <w:r>
        <w:rPr>
          <w:rFonts w:ascii="宋体" w:hAnsi="宋体"/>
          <w:b/>
          <w:color w:val="auto"/>
          <w:szCs w:val="21"/>
          <w:highlight w:val="none"/>
        </w:rPr>
        <w:br w:type="page"/>
      </w:r>
      <w:r>
        <w:rPr>
          <w:rFonts w:hint="eastAsia" w:ascii="宋体" w:hAnsi="宋体"/>
          <w:b/>
          <w:color w:val="auto"/>
          <w:highlight w:val="none"/>
        </w:rPr>
        <w:t>一、总则</w:t>
      </w:r>
    </w:p>
    <w:p>
      <w:pPr>
        <w:ind w:firstLine="422" w:firstLineChars="200"/>
        <w:jc w:val="left"/>
        <w:rPr>
          <w:rFonts w:ascii="宋体" w:hAnsi="宋体"/>
          <w:b/>
          <w:color w:val="auto"/>
          <w:highlight w:val="none"/>
        </w:rPr>
      </w:pPr>
      <w:r>
        <w:rPr>
          <w:rFonts w:hint="eastAsia" w:ascii="宋体" w:hAnsi="宋体"/>
          <w:b/>
          <w:color w:val="auto"/>
          <w:highlight w:val="none"/>
        </w:rPr>
        <w:t>1.适用范围</w:t>
      </w:r>
    </w:p>
    <w:p>
      <w:pPr>
        <w:snapToGrid w:val="0"/>
        <w:ind w:firstLine="420" w:firstLineChars="200"/>
        <w:jc w:val="left"/>
        <w:rPr>
          <w:rFonts w:ascii="宋体" w:hAnsi="宋体"/>
          <w:color w:val="auto"/>
          <w:highlight w:val="none"/>
        </w:rPr>
      </w:pPr>
      <w:r>
        <w:rPr>
          <w:rFonts w:hint="eastAsia" w:ascii="宋体" w:hAnsi="宋体"/>
          <w:color w:val="auto"/>
          <w:highlight w:val="none"/>
        </w:rPr>
        <w:t>本询价通知书适用于</w:t>
      </w:r>
      <w:r>
        <w:rPr>
          <w:rFonts w:hint="eastAsia" w:ascii="宋体" w:hAnsi="宋体"/>
          <w:color w:val="auto"/>
          <w:szCs w:val="21"/>
          <w:highlight w:val="none"/>
          <w:u w:val="single"/>
          <w:lang w:eastAsia="zh-CN"/>
        </w:rPr>
        <w:t>宁波市公安局交通警察局2023年特种专业技术用车购置项目</w:t>
      </w:r>
      <w:r>
        <w:rPr>
          <w:rFonts w:hint="eastAsia" w:ascii="宋体" w:hAnsi="宋体"/>
          <w:color w:val="auto"/>
          <w:highlight w:val="none"/>
        </w:rPr>
        <w:t>的政府采购。</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2.定义</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2.1采购人：系指依法进行政府采购的国家机关、事业单位、团体组织。</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2.2采购代理机构：系指受托组织本次询价采购的机构。</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2.3供应商：系指向采购人提交报价响应文件的单位。</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2.4供应商代表：是指参加询价采购活动的供应商的法定代表人或其授权代表。</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2.5成交供应商：是指经采购程序确定并授予合同的供应商；</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2.6实质性条款：标注</w:t>
      </w:r>
      <w:r>
        <w:rPr>
          <w:rFonts w:ascii="宋体" w:hAnsi="宋体" w:cs="Arial"/>
          <w:color w:val="auto"/>
          <w:szCs w:val="21"/>
          <w:highlight w:val="none"/>
        </w:rPr>
        <w:t>“▲”</w:t>
      </w:r>
      <w:r>
        <w:rPr>
          <w:rFonts w:hint="eastAsia" w:ascii="宋体" w:hAnsi="宋体" w:cs="Arial"/>
          <w:color w:val="auto"/>
          <w:szCs w:val="21"/>
          <w:highlight w:val="none"/>
        </w:rPr>
        <w:t>的属于采购文件的</w:t>
      </w:r>
      <w:r>
        <w:rPr>
          <w:rFonts w:ascii="宋体" w:hAnsi="宋体" w:cs="Arial"/>
          <w:color w:val="auto"/>
          <w:szCs w:val="21"/>
          <w:highlight w:val="none"/>
        </w:rPr>
        <w:t>实质性要求条款。</w:t>
      </w:r>
    </w:p>
    <w:p>
      <w:pPr>
        <w:snapToGrid w:val="0"/>
        <w:ind w:firstLine="420" w:firstLineChars="200"/>
        <w:rPr>
          <w:rFonts w:ascii="宋体" w:hAnsi="宋体" w:cs="Arial"/>
          <w:color w:val="auto"/>
          <w:szCs w:val="21"/>
          <w:highlight w:val="none"/>
        </w:rPr>
      </w:pPr>
      <w:r>
        <w:rPr>
          <w:rFonts w:hint="eastAsia" w:ascii="宋体" w:hAnsi="宋体" w:cs="Arial"/>
          <w:color w:val="auto"/>
          <w:highlight w:val="none"/>
        </w:rPr>
        <w:t>2.7</w:t>
      </w:r>
      <w:r>
        <w:rPr>
          <w:rFonts w:ascii="宋体" w:hAnsi="宋体" w:cs="Arial"/>
          <w:color w:val="auto"/>
          <w:highlight w:val="none"/>
        </w:rPr>
        <w:t>书面形式</w:t>
      </w:r>
      <w:r>
        <w:rPr>
          <w:rFonts w:hint="eastAsia" w:ascii="宋体" w:hAnsi="宋体" w:cs="Arial"/>
          <w:color w:val="auto"/>
          <w:highlight w:val="none"/>
        </w:rPr>
        <w:t>：</w:t>
      </w:r>
      <w:r>
        <w:rPr>
          <w:rFonts w:ascii="宋体" w:hAnsi="宋体" w:cs="Arial"/>
          <w:color w:val="auto"/>
          <w:highlight w:val="none"/>
        </w:rPr>
        <w:t>包括</w:t>
      </w:r>
      <w:r>
        <w:rPr>
          <w:rFonts w:hint="eastAsia" w:ascii="宋体" w:hAnsi="宋体" w:cs="Arial"/>
          <w:color w:val="auto"/>
          <w:highlight w:val="none"/>
        </w:rPr>
        <w:t>信件、</w:t>
      </w:r>
      <w:r>
        <w:rPr>
          <w:rFonts w:ascii="宋体" w:hAnsi="宋体" w:cs="Arial"/>
          <w:color w:val="auto"/>
          <w:highlight w:val="none"/>
        </w:rPr>
        <w:t>电报、电传、传真等可以有形地表现所载内容的形式</w:t>
      </w:r>
      <w:r>
        <w:rPr>
          <w:rFonts w:hint="eastAsia" w:ascii="宋体" w:hAnsi="宋体" w:cs="Arial"/>
          <w:color w:val="auto"/>
          <w:highlight w:val="none"/>
        </w:rPr>
        <w:t>。以电子数据交换、电子邮件等方式能够有形地表现所载内容，并可以随时调取查用的数据电文，视为书面形式。</w:t>
      </w:r>
    </w:p>
    <w:p>
      <w:pPr>
        <w:snapToGrid w:val="0"/>
        <w:ind w:firstLine="420" w:firstLineChars="200"/>
        <w:rPr>
          <w:rFonts w:ascii="宋体" w:hAnsi="宋体" w:cs="Arial"/>
          <w:color w:val="auto"/>
          <w:szCs w:val="21"/>
          <w:highlight w:val="none"/>
        </w:rPr>
      </w:pPr>
      <w:r>
        <w:rPr>
          <w:rFonts w:hint="eastAsia" w:ascii="宋体" w:hAnsi="宋体" w:cs="Arial"/>
          <w:color w:val="auto"/>
          <w:szCs w:val="21"/>
          <w:highlight w:val="none"/>
        </w:rPr>
        <w:t>2.8公章:供应商</w:t>
      </w:r>
      <w:r>
        <w:rPr>
          <w:rFonts w:ascii="宋体" w:hAnsi="宋体" w:cs="Arial"/>
          <w:color w:val="auto"/>
          <w:szCs w:val="21"/>
          <w:highlight w:val="none"/>
        </w:rPr>
        <w:t>在</w:t>
      </w:r>
      <w:r>
        <w:rPr>
          <w:rFonts w:hint="eastAsia" w:ascii="宋体" w:hAnsi="宋体" w:cs="Arial"/>
          <w:color w:val="auto"/>
          <w:szCs w:val="21"/>
          <w:highlight w:val="none"/>
        </w:rPr>
        <w:t>响应</w:t>
      </w:r>
      <w:r>
        <w:rPr>
          <w:rFonts w:ascii="宋体" w:hAnsi="宋体" w:cs="Arial"/>
          <w:color w:val="auto"/>
          <w:szCs w:val="21"/>
          <w:highlight w:val="none"/>
        </w:rPr>
        <w:t>文件及通知等事项的书面文件中的单位盖章、印章、公章等处，均仅指与当事人名称全称相一致的标准公章</w:t>
      </w:r>
      <w:r>
        <w:rPr>
          <w:rFonts w:hint="eastAsia" w:ascii="宋体" w:hAnsi="宋体" w:cs="Arial"/>
          <w:color w:val="auto"/>
          <w:szCs w:val="21"/>
          <w:highlight w:val="none"/>
        </w:rPr>
        <w:t>（行政章）</w:t>
      </w:r>
      <w:r>
        <w:rPr>
          <w:rFonts w:ascii="宋体" w:hAnsi="宋体" w:cs="Arial"/>
          <w:color w:val="auto"/>
          <w:szCs w:val="21"/>
          <w:highlight w:val="none"/>
        </w:rPr>
        <w:t>，不得使用其它形式，如带有“专用章”等字样的印章。</w:t>
      </w:r>
    </w:p>
    <w:p>
      <w:pPr>
        <w:snapToGrid w:val="0"/>
        <w:ind w:firstLine="420" w:firstLineChars="200"/>
        <w:rPr>
          <w:rFonts w:ascii="宋体" w:hAnsi="宋体" w:cs="Arial"/>
          <w:color w:val="auto"/>
          <w:highlight w:val="none"/>
        </w:rPr>
      </w:pPr>
      <w:r>
        <w:rPr>
          <w:rFonts w:hint="eastAsia" w:ascii="宋体" w:hAnsi="宋体" w:cs="Arial"/>
          <w:color w:val="auto"/>
          <w:highlight w:val="none"/>
        </w:rPr>
        <w:t>2.9电子签章：为供应商单位法定名称电子公章。</w:t>
      </w:r>
    </w:p>
    <w:p>
      <w:pPr>
        <w:snapToGrid w:val="0"/>
        <w:ind w:firstLine="420" w:firstLineChars="200"/>
        <w:rPr>
          <w:rFonts w:ascii="宋体" w:hAnsi="宋体" w:cs="Arial"/>
          <w:color w:val="auto"/>
          <w:highlight w:val="none"/>
        </w:rPr>
      </w:pPr>
      <w:r>
        <w:rPr>
          <w:rFonts w:hint="eastAsia" w:ascii="宋体" w:hAnsi="宋体" w:cs="Arial"/>
          <w:color w:val="auto"/>
          <w:highlight w:val="none"/>
        </w:rPr>
        <w:t>2.10询价通知书：采购人及采购代理机构按照政府采购法律法规的有关规定编制的采购文件。</w:t>
      </w:r>
    </w:p>
    <w:p>
      <w:pPr>
        <w:snapToGrid w:val="0"/>
        <w:ind w:firstLine="422" w:firstLineChars="200"/>
        <w:rPr>
          <w:rFonts w:ascii="宋体" w:hAnsi="宋体" w:cs="Arial"/>
          <w:b/>
          <w:color w:val="auto"/>
          <w:highlight w:val="none"/>
        </w:rPr>
      </w:pPr>
      <w:r>
        <w:rPr>
          <w:rFonts w:hint="eastAsia" w:ascii="宋体" w:hAnsi="宋体" w:cs="Arial"/>
          <w:b/>
          <w:color w:val="auto"/>
          <w:highlight w:val="none"/>
        </w:rPr>
        <w:t>3.报价响应事项的委托</w:t>
      </w:r>
    </w:p>
    <w:p>
      <w:pPr>
        <w:pStyle w:val="140"/>
        <w:widowControl w:val="0"/>
        <w:spacing w:afterLines="0"/>
        <w:ind w:firstLine="420"/>
        <w:rPr>
          <w:rFonts w:ascii="宋体" w:hAnsi="宋体"/>
          <w:color w:val="auto"/>
          <w:sz w:val="21"/>
          <w:szCs w:val="21"/>
          <w:highlight w:val="none"/>
        </w:rPr>
      </w:pPr>
      <w:r>
        <w:rPr>
          <w:rFonts w:hint="eastAsia" w:ascii="宋体" w:hAnsi="宋体"/>
          <w:color w:val="auto"/>
          <w:sz w:val="21"/>
          <w:szCs w:val="21"/>
          <w:highlight w:val="none"/>
        </w:rPr>
        <w:t>响应文件的签署人应当为供应商的法定代表人，并在响应文件中必须提供法定代表人身份证明书及法定代表人身份证正反面复印件；如法定代表人授权他人办理报价响应事项时，响应文件中必须提供法定代表人授权委托书并附法定代表人及法定代表人授权代表的身份证正反面复印件。</w:t>
      </w:r>
    </w:p>
    <w:p>
      <w:pPr>
        <w:ind w:firstLine="422" w:firstLineChars="200"/>
        <w:jc w:val="left"/>
        <w:rPr>
          <w:rFonts w:ascii="宋体" w:hAnsi="宋体"/>
          <w:b/>
          <w:color w:val="auto"/>
          <w:highlight w:val="none"/>
        </w:rPr>
      </w:pPr>
      <w:r>
        <w:rPr>
          <w:rFonts w:hint="eastAsia" w:ascii="宋体" w:hAnsi="宋体"/>
          <w:b/>
          <w:color w:val="auto"/>
          <w:highlight w:val="none"/>
        </w:rPr>
        <w:t>4.报价响应费用</w:t>
      </w:r>
    </w:p>
    <w:p>
      <w:pPr>
        <w:pStyle w:val="140"/>
        <w:widowControl w:val="0"/>
        <w:spacing w:afterLines="0"/>
        <w:ind w:firstLine="420"/>
        <w:rPr>
          <w:rFonts w:ascii="宋体" w:hAnsi="宋体"/>
          <w:color w:val="auto"/>
          <w:sz w:val="21"/>
          <w:szCs w:val="21"/>
          <w:highlight w:val="none"/>
        </w:rPr>
      </w:pPr>
      <w:r>
        <w:rPr>
          <w:rFonts w:hint="eastAsia" w:ascii="宋体" w:hAnsi="宋体"/>
          <w:color w:val="auto"/>
          <w:sz w:val="21"/>
          <w:szCs w:val="21"/>
          <w:highlight w:val="none"/>
        </w:rPr>
        <w:t>供应商自行承担准备和参加本次报价响应的所有费用，不论采购的结果如何，采购人或采购代理机构均无义务和责任承担这些费用。</w:t>
      </w:r>
    </w:p>
    <w:p>
      <w:pPr>
        <w:ind w:firstLine="422" w:firstLineChars="200"/>
        <w:rPr>
          <w:rFonts w:ascii="宋体" w:hAnsi="宋体"/>
          <w:b/>
          <w:color w:val="auto"/>
          <w:highlight w:val="none"/>
        </w:rPr>
      </w:pPr>
      <w:r>
        <w:rPr>
          <w:rFonts w:hint="eastAsia" w:ascii="宋体" w:hAnsi="宋体"/>
          <w:b/>
          <w:color w:val="auto"/>
          <w:highlight w:val="none"/>
        </w:rPr>
        <w:t>5.知识产权</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5.1供应商在本项目使用的任何产品（包括部分使用），不会产生因第三方提出侵犯其专利权、商标权或其它知识产权而引起法律</w:t>
      </w:r>
      <w:r>
        <w:rPr>
          <w:rFonts w:hint="eastAsia" w:hAnsi="宋体"/>
          <w:color w:val="auto"/>
          <w:kern w:val="0"/>
          <w:sz w:val="21"/>
          <w:szCs w:val="21"/>
          <w:highlight w:val="none"/>
        </w:rPr>
        <w:t>或</w:t>
      </w:r>
      <w:r>
        <w:rPr>
          <w:rFonts w:hint="eastAsia" w:hAnsi="宋体"/>
          <w:color w:val="auto"/>
          <w:sz w:val="21"/>
          <w:szCs w:val="21"/>
          <w:highlight w:val="none"/>
        </w:rPr>
        <w:t>经济纠纷。如因专利权、商标权或其它知识产权原因引起法律或经济纠纷的，所有相关责任由供应商自行承担。</w:t>
      </w:r>
    </w:p>
    <w:p>
      <w:pPr>
        <w:pStyle w:val="140"/>
        <w:widowControl w:val="0"/>
        <w:spacing w:afterLines="0"/>
        <w:ind w:firstLine="420"/>
        <w:rPr>
          <w:rFonts w:ascii="宋体" w:hAnsi="宋体"/>
          <w:color w:val="auto"/>
          <w:sz w:val="21"/>
          <w:szCs w:val="21"/>
          <w:highlight w:val="none"/>
        </w:rPr>
      </w:pPr>
      <w:r>
        <w:rPr>
          <w:rFonts w:hint="eastAsia" w:ascii="宋体" w:hAnsi="宋体"/>
          <w:color w:val="auto"/>
          <w:sz w:val="21"/>
          <w:szCs w:val="21"/>
          <w:highlight w:val="none"/>
        </w:rPr>
        <w:t>5.2供应商如采用非自身所拥有的知识产权，则在报价中必须包括合法获得该项知识产权的相关费用，无论供应商是否在响应文件中列明，采购人均视为报价中已包含该部分费用。</w:t>
      </w:r>
    </w:p>
    <w:p>
      <w:pPr>
        <w:pStyle w:val="140"/>
        <w:widowControl w:val="0"/>
        <w:spacing w:afterLines="0"/>
        <w:ind w:firstLine="420"/>
        <w:rPr>
          <w:rFonts w:ascii="宋体" w:hAnsi="宋体"/>
          <w:color w:val="auto"/>
          <w:sz w:val="21"/>
          <w:szCs w:val="21"/>
          <w:highlight w:val="none"/>
        </w:rPr>
      </w:pPr>
      <w:r>
        <w:rPr>
          <w:rFonts w:hint="eastAsia" w:ascii="宋体" w:hAnsi="宋体"/>
          <w:color w:val="auto"/>
          <w:sz w:val="21"/>
          <w:szCs w:val="21"/>
          <w:highlight w:val="none"/>
        </w:rPr>
        <w:t>5.3采购人享有本项目实施过程中产生的知识成果及知识产权。</w:t>
      </w:r>
    </w:p>
    <w:p>
      <w:pPr>
        <w:ind w:firstLine="422" w:firstLineChars="200"/>
        <w:jc w:val="left"/>
        <w:rPr>
          <w:rFonts w:ascii="宋体" w:hAnsi="宋体"/>
          <w:b/>
          <w:color w:val="auto"/>
          <w:szCs w:val="21"/>
          <w:highlight w:val="none"/>
        </w:rPr>
      </w:pPr>
      <w:r>
        <w:rPr>
          <w:rFonts w:hint="eastAsia" w:ascii="宋体" w:hAnsi="宋体"/>
          <w:b/>
          <w:color w:val="auto"/>
          <w:szCs w:val="21"/>
          <w:highlight w:val="none"/>
        </w:rPr>
        <w:t>6.转包与分包</w:t>
      </w:r>
    </w:p>
    <w:p>
      <w:pPr>
        <w:pStyle w:val="140"/>
        <w:widowControl w:val="0"/>
        <w:spacing w:afterLines="0"/>
        <w:ind w:firstLine="420"/>
        <w:rPr>
          <w:rFonts w:ascii="宋体" w:hAnsi="宋体"/>
          <w:color w:val="auto"/>
          <w:sz w:val="21"/>
          <w:szCs w:val="21"/>
          <w:highlight w:val="none"/>
        </w:rPr>
      </w:pPr>
      <w:r>
        <w:rPr>
          <w:rFonts w:hint="eastAsia" w:ascii="宋体" w:hAnsi="宋体" w:cs="Arial"/>
          <w:color w:val="auto"/>
          <w:sz w:val="21"/>
          <w:szCs w:val="21"/>
          <w:highlight w:val="none"/>
        </w:rPr>
        <w:t>本项目不允许转包和分包。</w:t>
      </w:r>
    </w:p>
    <w:p>
      <w:pPr>
        <w:ind w:firstLine="422" w:firstLineChars="200"/>
        <w:rPr>
          <w:rFonts w:ascii="宋体" w:hAnsi="宋体"/>
          <w:b/>
          <w:color w:val="auto"/>
          <w:highlight w:val="none"/>
        </w:rPr>
      </w:pPr>
      <w:r>
        <w:rPr>
          <w:rFonts w:hint="eastAsia" w:ascii="宋体" w:hAnsi="宋体"/>
          <w:b/>
          <w:color w:val="auto"/>
          <w:highlight w:val="none"/>
        </w:rPr>
        <w:t>7.联合体报价响应</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本项目不接受联合体形式的报价响应。</w:t>
      </w:r>
    </w:p>
    <w:p>
      <w:pPr>
        <w:snapToGrid w:val="0"/>
        <w:ind w:firstLine="422" w:firstLineChars="200"/>
        <w:rPr>
          <w:rFonts w:ascii="宋体" w:hAnsi="宋体"/>
          <w:b/>
          <w:color w:val="auto"/>
          <w:kern w:val="0"/>
          <w:highlight w:val="none"/>
        </w:rPr>
      </w:pPr>
      <w:r>
        <w:rPr>
          <w:rFonts w:hint="eastAsia" w:ascii="宋体" w:hAnsi="宋体"/>
          <w:b/>
          <w:color w:val="auto"/>
          <w:kern w:val="0"/>
          <w:highlight w:val="none"/>
        </w:rPr>
        <w:t>8.质疑和投诉</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8.1供应商认为采购文件、采购过程和成交结果使自己的权益受到损害的，可以在知道或者应知其权益受到损害之日起七个工作日内，以书面形式向采购人或采购代理机构提出质疑。</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8.2供应商应在法定质疑期内一次性提出针对同一采购程序环节的质疑。</w:t>
      </w:r>
    </w:p>
    <w:p>
      <w:pPr>
        <w:snapToGrid w:val="0"/>
        <w:ind w:firstLine="420" w:firstLineChars="200"/>
        <w:jc w:val="left"/>
        <w:rPr>
          <w:rFonts w:ascii="宋体" w:hAnsi="宋体"/>
          <w:color w:val="auto"/>
          <w:highlight w:val="none"/>
        </w:rPr>
      </w:pPr>
      <w:r>
        <w:rPr>
          <w:rFonts w:hint="eastAsia" w:ascii="宋体" w:hAnsi="宋体"/>
          <w:color w:val="auto"/>
          <w:highlight w:val="none"/>
        </w:rPr>
        <w:t>8.3质疑函的接收和发送：联系人及联系方式等信息详见《供应商须知前附表》。</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8.4质疑供应商对采购人或采购代理机构的答复不满意或者采购人或采购代理机构未在规定的时间内作出答复的，可以在答复期满后十五个工作日内向同级政府采购监督管理部门投诉。</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8.5质疑、投诉均须采用书面形式，质疑、投诉资料均应明确阐述自身合法权益受到损害的实质性内容，提供相关事实、依据和证据及其来源或线索，便于调查、答复和处理，质疑、投诉文件具体要求详见财政部令第94号。</w:t>
      </w:r>
    </w:p>
    <w:p>
      <w:pPr>
        <w:ind w:firstLine="422" w:firstLineChars="200"/>
        <w:rPr>
          <w:rFonts w:ascii="宋体" w:hAnsi="宋体"/>
          <w:b/>
          <w:color w:val="auto"/>
          <w:highlight w:val="none"/>
        </w:rPr>
      </w:pPr>
      <w:r>
        <w:rPr>
          <w:rFonts w:hint="eastAsia" w:ascii="宋体" w:hAnsi="宋体"/>
          <w:b/>
          <w:color w:val="auto"/>
          <w:highlight w:val="none"/>
        </w:rPr>
        <w:t>9.信用记录查询及使用</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9.1供应商信用信息查询渠道：通过“信用中国”网站（www.creditchina.gov.cn）、中国政府采购网（www.ccgp.gov.cn）查询本项目响应供应商的信用记录。</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9.2信息查询截止时点：响应文件提交的截止时间后。</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9.3信用信息查询记录和证据留存的具体方式：信用查询结果以网页打印件的方式与其他采购文件一并保存。</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9.4信用信息的使用规则：</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列入“信用中国”网站(www.creditchina.gov.cn)失信被</w:t>
      </w:r>
      <w:r>
        <w:rPr>
          <w:rFonts w:hint="eastAsia" w:ascii="宋体" w:hAnsi="宋体" w:eastAsia="宋体" w:cs="Times New Roman"/>
          <w:color w:val="auto"/>
          <w:sz w:val="21"/>
          <w:szCs w:val="21"/>
          <w:highlight w:val="none"/>
        </w:rPr>
        <w:t>执行人失信被执行人或重大税收违法失信主体</w:t>
      </w:r>
      <w:r>
        <w:rPr>
          <w:rFonts w:hint="eastAsia" w:ascii="宋体" w:hAnsi="宋体" w:eastAsia="宋体" w:cs="Times New Roman"/>
          <w:color w:val="auto"/>
          <w:sz w:val="21"/>
          <w:szCs w:val="21"/>
          <w:highlight w:val="none"/>
          <w:lang w:eastAsia="zh-CN"/>
        </w:rPr>
        <w:t>、</w:t>
      </w:r>
      <w:r>
        <w:rPr>
          <w:rFonts w:hint="eastAsia" w:ascii="宋体" w:hAnsi="宋体" w:eastAsia="宋体" w:cs="Times New Roman"/>
          <w:color w:val="auto"/>
          <w:sz w:val="21"/>
          <w:szCs w:val="21"/>
          <w:highlight w:val="none"/>
        </w:rPr>
        <w:t>政府采购严重违法失信行为记录名单和处于中国政府采购网(www.ccgp.gov.cn)政府采购严重违法失</w:t>
      </w:r>
      <w:r>
        <w:rPr>
          <w:rFonts w:hint="eastAsia" w:hAnsi="宋体"/>
          <w:color w:val="auto"/>
          <w:sz w:val="21"/>
          <w:szCs w:val="21"/>
          <w:highlight w:val="none"/>
        </w:rPr>
        <w:t>信行为记录名单禁止参加政府采购活动期间的供应商将被拒绝参与本次政府采购活动。</w:t>
      </w:r>
    </w:p>
    <w:p>
      <w:pPr>
        <w:ind w:firstLine="422" w:firstLineChars="200"/>
        <w:jc w:val="left"/>
        <w:rPr>
          <w:rFonts w:ascii="宋体" w:hAnsi="宋体"/>
          <w:b/>
          <w:color w:val="auto"/>
          <w:szCs w:val="21"/>
          <w:highlight w:val="none"/>
        </w:rPr>
      </w:pPr>
      <w:r>
        <w:rPr>
          <w:rFonts w:hint="eastAsia" w:ascii="宋体" w:hAnsi="宋体"/>
          <w:b/>
          <w:color w:val="auto"/>
          <w:highlight w:val="none"/>
        </w:rPr>
        <w:t>10.政府采购信息发布媒体</w:t>
      </w:r>
    </w:p>
    <w:p>
      <w:pPr>
        <w:pStyle w:val="17"/>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本项目政府采购信息发布媒体详见《供应商须知前附表》。</w:t>
      </w:r>
    </w:p>
    <w:p>
      <w:pPr>
        <w:ind w:firstLine="422" w:firstLineChars="200"/>
        <w:jc w:val="left"/>
        <w:rPr>
          <w:rFonts w:ascii="宋体" w:hAnsi="宋体"/>
          <w:b/>
          <w:color w:val="auto"/>
          <w:highlight w:val="none"/>
        </w:rPr>
      </w:pPr>
      <w:r>
        <w:rPr>
          <w:rFonts w:hint="eastAsia" w:ascii="宋体" w:hAnsi="宋体"/>
          <w:b/>
          <w:color w:val="auto"/>
          <w:highlight w:val="none"/>
        </w:rPr>
        <w:t>11.采购代理机构代理服务费用的收取标准和方式</w:t>
      </w:r>
    </w:p>
    <w:p>
      <w:pPr>
        <w:pStyle w:val="17"/>
        <w:snapToGrid w:val="0"/>
        <w:spacing w:line="360" w:lineRule="auto"/>
        <w:ind w:firstLine="404" w:firstLineChars="200"/>
        <w:jc w:val="left"/>
        <w:rPr>
          <w:rFonts w:hAnsi="宋体"/>
          <w:color w:val="auto"/>
          <w:sz w:val="21"/>
          <w:szCs w:val="21"/>
          <w:highlight w:val="none"/>
        </w:rPr>
      </w:pPr>
      <w:r>
        <w:rPr>
          <w:rFonts w:hAnsi="宋体"/>
          <w:color w:val="auto"/>
          <w:sz w:val="21"/>
          <w:szCs w:val="21"/>
          <w:highlight w:val="none"/>
        </w:rPr>
        <w:t>11.1</w:t>
      </w:r>
      <w:r>
        <w:rPr>
          <w:rFonts w:hint="eastAsia" w:hAnsi="宋体"/>
          <w:color w:val="auto"/>
          <w:sz w:val="21"/>
          <w:szCs w:val="21"/>
          <w:highlight w:val="none"/>
        </w:rPr>
        <w:t>采购</w:t>
      </w:r>
      <w:r>
        <w:rPr>
          <w:rFonts w:hAnsi="宋体"/>
          <w:color w:val="auto"/>
          <w:sz w:val="21"/>
          <w:szCs w:val="21"/>
          <w:highlight w:val="none"/>
        </w:rPr>
        <w:t>代理服务费用的收取标准：详见《供应商须知前附表》</w:t>
      </w:r>
      <w:r>
        <w:rPr>
          <w:rFonts w:hint="eastAsia" w:hAnsi="宋体" w:cs="宋体"/>
          <w:color w:val="auto"/>
          <w:sz w:val="21"/>
          <w:szCs w:val="21"/>
          <w:highlight w:val="none"/>
        </w:rPr>
        <w:t>。</w:t>
      </w:r>
    </w:p>
    <w:p>
      <w:pPr>
        <w:pStyle w:val="17"/>
        <w:snapToGrid w:val="0"/>
        <w:spacing w:line="360" w:lineRule="auto"/>
        <w:ind w:firstLine="404" w:firstLineChars="200"/>
        <w:jc w:val="left"/>
        <w:rPr>
          <w:rFonts w:hAnsi="宋体"/>
          <w:color w:val="auto"/>
          <w:sz w:val="21"/>
          <w:szCs w:val="21"/>
          <w:highlight w:val="none"/>
        </w:rPr>
      </w:pPr>
      <w:r>
        <w:rPr>
          <w:rFonts w:hAnsi="宋体"/>
          <w:color w:val="auto"/>
          <w:sz w:val="21"/>
          <w:szCs w:val="21"/>
          <w:highlight w:val="none"/>
        </w:rPr>
        <w:t>11.2</w:t>
      </w:r>
      <w:r>
        <w:rPr>
          <w:rFonts w:hint="eastAsia" w:hAnsi="宋体"/>
          <w:color w:val="auto"/>
          <w:sz w:val="21"/>
          <w:szCs w:val="21"/>
          <w:highlight w:val="none"/>
        </w:rPr>
        <w:t>采购</w:t>
      </w:r>
      <w:r>
        <w:rPr>
          <w:rFonts w:hAnsi="宋体"/>
          <w:color w:val="auto"/>
          <w:sz w:val="21"/>
          <w:szCs w:val="21"/>
          <w:highlight w:val="none"/>
        </w:rPr>
        <w:t>代理服务费的支付：详见《供应商须知前附表》</w:t>
      </w:r>
      <w:r>
        <w:rPr>
          <w:rFonts w:hint="eastAsia" w:hAnsi="宋体" w:cs="宋体"/>
          <w:color w:val="auto"/>
          <w:sz w:val="21"/>
          <w:szCs w:val="21"/>
          <w:highlight w:val="none"/>
        </w:rPr>
        <w:t>。</w:t>
      </w:r>
    </w:p>
    <w:p>
      <w:pPr>
        <w:pStyle w:val="17"/>
        <w:snapToGrid w:val="0"/>
        <w:spacing w:line="360" w:lineRule="auto"/>
        <w:ind w:firstLine="404" w:firstLineChars="200"/>
        <w:jc w:val="left"/>
        <w:rPr>
          <w:rFonts w:hAnsi="宋体"/>
          <w:color w:val="auto"/>
          <w:sz w:val="21"/>
          <w:szCs w:val="21"/>
          <w:highlight w:val="none"/>
        </w:rPr>
      </w:pPr>
      <w:r>
        <w:rPr>
          <w:rFonts w:hAnsi="宋体"/>
          <w:color w:val="auto"/>
          <w:sz w:val="21"/>
          <w:szCs w:val="21"/>
          <w:highlight w:val="none"/>
        </w:rPr>
        <w:t>11.3</w:t>
      </w:r>
      <w:r>
        <w:rPr>
          <w:rFonts w:hint="eastAsia" w:hAnsi="宋体"/>
          <w:color w:val="auto"/>
          <w:sz w:val="21"/>
          <w:szCs w:val="21"/>
          <w:highlight w:val="none"/>
        </w:rPr>
        <w:t>采购</w:t>
      </w:r>
      <w:r>
        <w:rPr>
          <w:rFonts w:hAnsi="宋体"/>
          <w:color w:val="auto"/>
          <w:sz w:val="21"/>
          <w:szCs w:val="21"/>
          <w:highlight w:val="none"/>
        </w:rPr>
        <w:t>代理服务费收款账户信息</w:t>
      </w:r>
      <w:r>
        <w:rPr>
          <w:rFonts w:hint="eastAsia" w:hAnsi="宋体" w:cs="宋体"/>
          <w:color w:val="auto"/>
          <w:sz w:val="21"/>
          <w:szCs w:val="21"/>
          <w:highlight w:val="none"/>
        </w:rPr>
        <w:t>：</w:t>
      </w:r>
    </w:p>
    <w:p>
      <w:pPr>
        <w:pStyle w:val="17"/>
        <w:snapToGrid w:val="0"/>
        <w:spacing w:line="360" w:lineRule="auto"/>
        <w:ind w:firstLine="404" w:firstLineChars="20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开户银行： 宁波银行科技支行</w:t>
      </w:r>
    </w:p>
    <w:p>
      <w:pPr>
        <w:pStyle w:val="17"/>
        <w:snapToGrid w:val="0"/>
        <w:spacing w:line="360" w:lineRule="auto"/>
        <w:ind w:firstLine="404" w:firstLineChars="20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账 号： 31010122000005488</w:t>
      </w:r>
    </w:p>
    <w:p>
      <w:pPr>
        <w:pStyle w:val="17"/>
        <w:snapToGrid w:val="0"/>
        <w:spacing w:line="360" w:lineRule="auto"/>
        <w:ind w:firstLine="404" w:firstLineChars="20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户 名： 宁波中基国际招标有限公司</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12.其他</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12.1询价通知书所列的标题和序号只是为了查阅方便，不影响对询价通知书的理解。</w:t>
      </w:r>
    </w:p>
    <w:p>
      <w:pPr>
        <w:snapToGrid w:val="0"/>
        <w:ind w:firstLine="422" w:firstLineChars="200"/>
        <w:jc w:val="left"/>
        <w:rPr>
          <w:rFonts w:ascii="宋体" w:hAnsi="宋体" w:cs="Arial"/>
          <w:b/>
          <w:color w:val="auto"/>
          <w:szCs w:val="21"/>
          <w:highlight w:val="none"/>
        </w:rPr>
      </w:pPr>
      <w:r>
        <w:rPr>
          <w:rFonts w:hint="eastAsia" w:ascii="宋体" w:hAnsi="宋体" w:cs="Arial"/>
          <w:b/>
          <w:color w:val="auto"/>
          <w:highlight w:val="none"/>
        </w:rPr>
        <w:t>12.2询价通知书的采购需求内容如出现某品牌、型号的内容是为了更好的描述产品的性能、规格及要求，并无任何指定产品品牌、型号的意思表达，供应商可选择其他品牌、型号的产品参加报价响应。</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12.3单位负责人为同一人或者存在直接控股、管理关系的不同供应商，同时参加同一合同项下的政府采购活动，相关单位均按无效响应处理。</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12.4询价通知书要求携带原件备查的资料，如该项资料可以通过互联网或者相关信息系统查询的，响应供应商能够当场提供相关账号、网址等进行查询、核实资料真伪及数据的，视同提供了原件。</w:t>
      </w:r>
    </w:p>
    <w:p>
      <w:pPr>
        <w:snapToGrid w:val="0"/>
        <w:ind w:firstLine="420" w:firstLineChars="200"/>
        <w:jc w:val="left"/>
        <w:rPr>
          <w:rFonts w:ascii="宋体" w:hAnsi="宋体" w:cs="Arial"/>
          <w:color w:val="auto"/>
          <w:highlight w:val="none"/>
        </w:rPr>
      </w:pPr>
      <w:r>
        <w:rPr>
          <w:rFonts w:hint="eastAsia" w:ascii="宋体" w:hAnsi="宋体" w:cs="Arial"/>
          <w:color w:val="auto"/>
          <w:highlight w:val="none"/>
        </w:rPr>
        <w:t>12.5依据《政府采购促进中小企业发展管理办法》规定享受扶持政策获得政府采购合同的，小微企业不得将合同分包给大中型企业，中型企业不得将合同分包给大型企业。</w:t>
      </w:r>
    </w:p>
    <w:p>
      <w:pPr>
        <w:jc w:val="center"/>
        <w:rPr>
          <w:rFonts w:hAnsi="宋体"/>
          <w:b/>
          <w:color w:val="auto"/>
          <w:szCs w:val="21"/>
          <w:highlight w:val="none"/>
        </w:rPr>
      </w:pPr>
      <w:r>
        <w:rPr>
          <w:rFonts w:hint="eastAsia" w:hAnsi="宋体"/>
          <w:b/>
          <w:color w:val="auto"/>
          <w:szCs w:val="21"/>
          <w:highlight w:val="none"/>
        </w:rPr>
        <w:t>二、询价通知书</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13.询价通知书的编制依据与构成</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13.1询价通知书根据《中华人民共和国政府采购法》《中华人民共和国政府采购法实施条例》《政府采购非招标采购方式管理办法》等政府采购法律法规的规定编制。</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13.2要求提供的产品、采购过程和合同条件在询价通知书中均有说明。</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13.3询价通知书以中文文字编写，共六章。由下列文件以及在采购过程中发出的澄清或修改文件组成，内容如下：</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第一章  询价公告</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第二章  采购需求</w:t>
      </w:r>
    </w:p>
    <w:p>
      <w:pPr>
        <w:snapToGrid w:val="0"/>
        <w:ind w:firstLine="420" w:firstLineChars="200"/>
        <w:jc w:val="left"/>
        <w:rPr>
          <w:rFonts w:ascii="宋体" w:hAnsi="宋体"/>
          <w:color w:val="auto"/>
          <w:szCs w:val="21"/>
          <w:highlight w:val="none"/>
        </w:rPr>
      </w:pPr>
      <w:r>
        <w:rPr>
          <w:rFonts w:hint="eastAsia" w:ascii="宋体" w:hAnsi="宋体"/>
          <w:color w:val="auto"/>
          <w:highlight w:val="none"/>
        </w:rPr>
        <w:t>第三章  供应商须知</w:t>
      </w:r>
    </w:p>
    <w:p>
      <w:pPr>
        <w:snapToGrid w:val="0"/>
        <w:ind w:firstLine="420" w:firstLineChars="200"/>
        <w:jc w:val="left"/>
        <w:rPr>
          <w:rFonts w:ascii="宋体" w:hAnsi="宋体"/>
          <w:color w:val="auto"/>
          <w:highlight w:val="none"/>
        </w:rPr>
      </w:pPr>
      <w:r>
        <w:rPr>
          <w:rFonts w:hint="eastAsia" w:ascii="宋体" w:hAnsi="宋体"/>
          <w:color w:val="auto"/>
          <w:highlight w:val="none"/>
        </w:rPr>
        <w:t>第四章  评审方法、评审标准</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第五章  合同文本</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第六章  响应文件格式</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14.询价通知书的询问、澄清和修改</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14.1询问</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bCs/>
          <w:color w:val="auto"/>
          <w:sz w:val="21"/>
          <w:szCs w:val="21"/>
          <w:highlight w:val="none"/>
        </w:rPr>
        <w:t>供应商对询价通知书有疑问之处可向</w:t>
      </w:r>
      <w:r>
        <w:rPr>
          <w:rFonts w:hint="eastAsia" w:hAnsi="宋体"/>
          <w:color w:val="auto"/>
          <w:sz w:val="21"/>
          <w:szCs w:val="21"/>
          <w:highlight w:val="none"/>
        </w:rPr>
        <w:t>采购人或采购代理机构</w:t>
      </w:r>
      <w:r>
        <w:rPr>
          <w:rFonts w:hint="eastAsia" w:hAnsi="宋体"/>
          <w:bCs/>
          <w:color w:val="auto"/>
          <w:sz w:val="21"/>
          <w:szCs w:val="21"/>
          <w:highlight w:val="none"/>
        </w:rPr>
        <w:t>询问，</w:t>
      </w:r>
      <w:r>
        <w:rPr>
          <w:rFonts w:hint="eastAsia" w:hAnsi="宋体"/>
          <w:color w:val="auto"/>
          <w:sz w:val="21"/>
          <w:szCs w:val="21"/>
          <w:highlight w:val="none"/>
        </w:rPr>
        <w:t>采购人或采购代理机构依法</w:t>
      </w:r>
      <w:r>
        <w:rPr>
          <w:rFonts w:hint="eastAsia" w:hAnsi="宋体"/>
          <w:bCs/>
          <w:color w:val="auto"/>
          <w:sz w:val="21"/>
          <w:szCs w:val="21"/>
          <w:highlight w:val="none"/>
        </w:rPr>
        <w:t>对供应商</w:t>
      </w:r>
      <w:r>
        <w:rPr>
          <w:rFonts w:hint="eastAsia" w:hAnsi="宋体"/>
          <w:color w:val="auto"/>
          <w:sz w:val="21"/>
          <w:szCs w:val="21"/>
          <w:highlight w:val="none"/>
        </w:rPr>
        <w:t>的询问作出答复。</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14.2澄清和修改</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1）提交响应文件截止之日前，采购代理机构可以对已发出的询价通知书进行必要的澄清或者修改，澄清或者修改的内容作为询价通知书的组成部分。澄清或者修改的内容可能影响响应文件编制的，采购代理机构在提交响应文件截止之日3个工作日前，以书面形式通知所有接收询价通知书的供应商，不足3个工作日的，顺延提交响应文件截止之日。</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2）获取询价通知书的供应商在收到书面形式通知后，认为澄清或者修改的内容影响响应文件编制的，应当在收到书面通知后及时将有关意见和理由以书面形式向</w:t>
      </w:r>
      <w:r>
        <w:rPr>
          <w:rFonts w:hint="eastAsia" w:hAnsi="宋体"/>
          <w:color w:val="auto"/>
          <w:sz w:val="21"/>
          <w:szCs w:val="21"/>
          <w:highlight w:val="none"/>
        </w:rPr>
        <w:t>采购人或采购代理机构</w:t>
      </w:r>
      <w:r>
        <w:rPr>
          <w:rFonts w:hint="eastAsia" w:hAnsi="宋体"/>
          <w:bCs/>
          <w:color w:val="auto"/>
          <w:sz w:val="21"/>
          <w:szCs w:val="21"/>
          <w:highlight w:val="none"/>
        </w:rPr>
        <w:t>提出。否则，</w:t>
      </w:r>
      <w:r>
        <w:rPr>
          <w:rFonts w:hint="eastAsia" w:hAnsi="宋体"/>
          <w:color w:val="auto"/>
          <w:sz w:val="21"/>
          <w:szCs w:val="21"/>
          <w:highlight w:val="none"/>
        </w:rPr>
        <w:t>采购人或采购代理机构</w:t>
      </w:r>
      <w:r>
        <w:rPr>
          <w:rFonts w:hint="eastAsia" w:hAnsi="宋体"/>
          <w:bCs/>
          <w:color w:val="auto"/>
          <w:sz w:val="21"/>
          <w:szCs w:val="21"/>
          <w:highlight w:val="none"/>
        </w:rPr>
        <w:t>视为供应商完全接受澄清或者修改的内容，且不影响响应文件编制。</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3）供应商要求采购代理机构澄清和回复的书面材料应加盖公章并注明日期。</w:t>
      </w:r>
    </w:p>
    <w:p>
      <w:pPr>
        <w:pStyle w:val="22"/>
        <w:snapToGrid w:val="0"/>
        <w:spacing w:beforeLines="0" w:afterLines="0" w:line="360" w:lineRule="auto"/>
        <w:ind w:firstLine="420" w:firstLineChars="200"/>
        <w:rPr>
          <w:rFonts w:hAnsi="宋体"/>
          <w:bCs/>
          <w:color w:val="auto"/>
          <w:sz w:val="21"/>
          <w:szCs w:val="21"/>
          <w:highlight w:val="none"/>
        </w:rPr>
      </w:pPr>
      <w:r>
        <w:rPr>
          <w:rFonts w:hint="eastAsia" w:hAnsi="宋体"/>
          <w:bCs/>
          <w:color w:val="auto"/>
          <w:sz w:val="21"/>
          <w:szCs w:val="21"/>
          <w:highlight w:val="none"/>
        </w:rPr>
        <w:t>4）供应商必须保证获取询价通知书时提供资料的真实性、准确性并保持联系方式的畅通，否则，由此导致采购人或采购代理机构无法及时通知有关事项造成的后果由供应商自行负责。</w:t>
      </w:r>
    </w:p>
    <w:p>
      <w:pPr>
        <w:pStyle w:val="22"/>
        <w:snapToGrid w:val="0"/>
        <w:spacing w:beforeLines="0" w:afterLines="0" w:line="360" w:lineRule="auto"/>
        <w:ind w:firstLine="422" w:firstLineChars="200"/>
        <w:rPr>
          <w:rFonts w:hAnsi="宋体"/>
          <w:b/>
          <w:bCs/>
          <w:color w:val="auto"/>
          <w:sz w:val="21"/>
          <w:szCs w:val="21"/>
          <w:highlight w:val="none"/>
        </w:rPr>
      </w:pPr>
      <w:r>
        <w:rPr>
          <w:rFonts w:hint="eastAsia" w:hAnsi="宋体"/>
          <w:b/>
          <w:bCs/>
          <w:color w:val="auto"/>
          <w:sz w:val="21"/>
          <w:szCs w:val="21"/>
          <w:highlight w:val="none"/>
        </w:rPr>
        <w:t>15.现场考察或召开答疑会</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15.1采购人或采购代理机构可以视采购项目的具体情况，组织供应商进行现场考察或召开答疑会。</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15.2供应商应当在通知的时间准时参加现场考察或答疑会，否则自行承担由此产生的后果。</w:t>
      </w:r>
    </w:p>
    <w:p>
      <w:pPr>
        <w:ind w:firstLine="420"/>
        <w:rPr>
          <w:rFonts w:ascii="宋体" w:hAnsi="宋体"/>
          <w:color w:val="auto"/>
          <w:szCs w:val="21"/>
          <w:highlight w:val="none"/>
        </w:rPr>
      </w:pPr>
      <w:r>
        <w:rPr>
          <w:rFonts w:hint="eastAsia" w:ascii="宋体" w:hAnsi="宋体"/>
          <w:color w:val="auto"/>
          <w:highlight w:val="none"/>
        </w:rPr>
        <w:t>15.3除采购人的原因外，供应商自行负责现场考察或参加答疑会造成的自身或第三人的人身伤害、财产损失或损坏的责任。</w:t>
      </w:r>
    </w:p>
    <w:p>
      <w:pPr>
        <w:jc w:val="center"/>
        <w:rPr>
          <w:rFonts w:ascii="宋体" w:hAnsi="宋体"/>
          <w:b/>
          <w:color w:val="auto"/>
          <w:kern w:val="0"/>
          <w:highlight w:val="none"/>
        </w:rPr>
      </w:pPr>
      <w:r>
        <w:rPr>
          <w:rFonts w:hint="eastAsia" w:ascii="宋体" w:hAnsi="宋体"/>
          <w:b/>
          <w:color w:val="auto"/>
          <w:highlight w:val="none"/>
        </w:rPr>
        <w:t>三、响应文件的编制</w:t>
      </w:r>
    </w:p>
    <w:p>
      <w:pPr>
        <w:ind w:firstLine="422" w:firstLineChars="200"/>
        <w:rPr>
          <w:rFonts w:ascii="宋体" w:hAnsi="宋体"/>
          <w:b/>
          <w:color w:val="auto"/>
          <w:highlight w:val="none"/>
        </w:rPr>
      </w:pPr>
      <w:r>
        <w:rPr>
          <w:rFonts w:hint="eastAsia" w:ascii="宋体" w:hAnsi="宋体"/>
          <w:b/>
          <w:color w:val="auto"/>
          <w:highlight w:val="none"/>
        </w:rPr>
        <w:t>16.询价响应文件的语言和计量单位</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16.1供应商提交的响应文件以及供应商与采购人或采购代理机构就有关本项目的所有来往函电均应使用中文。供应商提交的支持文件或印刷的文献可以用另一种语言，但相应内容应附有中文翻译本，在解释响应文件时以中文翻译本为准。</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16.2除非</w:t>
      </w:r>
      <w:r>
        <w:rPr>
          <w:rFonts w:hint="eastAsia" w:hAnsi="宋体"/>
          <w:bCs/>
          <w:color w:val="auto"/>
          <w:sz w:val="21"/>
          <w:szCs w:val="21"/>
          <w:highlight w:val="none"/>
        </w:rPr>
        <w:t>询价通知书</w:t>
      </w:r>
      <w:r>
        <w:rPr>
          <w:rFonts w:hint="eastAsia" w:hAnsi="宋体"/>
          <w:color w:val="auto"/>
          <w:sz w:val="21"/>
          <w:szCs w:val="21"/>
          <w:highlight w:val="none"/>
        </w:rPr>
        <w:t>另有规定，所使用的计量单位均以《中华人民共和国法定计量单位》为准，时间均为24小时制北京时间，货币单位均为人民币元。</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17.响应文件的形式</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本项目询价响应文件为电子响应文件形式，为政采云系统上编制生成的电子加密响应文件及其备份响应文件。</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17.1电子加密响应文件是指通过“政采云电子投标客户端”完成响应文件编制后生成并加密的数据电文形式的加密标书，后缀名为【.jmbs】。</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17.2备份响应文件是指与电子加密响应文件同时生成的数据电文形式的备份标书，后缀名为【.bfbs】，以其他方式编制的备份响应文件无效。</w:t>
      </w:r>
    </w:p>
    <w:p>
      <w:pPr>
        <w:ind w:firstLine="422" w:firstLineChars="200"/>
        <w:rPr>
          <w:rFonts w:ascii="宋体" w:hAnsi="宋体"/>
          <w:b/>
          <w:color w:val="auto"/>
          <w:szCs w:val="21"/>
          <w:highlight w:val="none"/>
        </w:rPr>
      </w:pPr>
      <w:r>
        <w:rPr>
          <w:rFonts w:hint="eastAsia" w:ascii="宋体" w:hAnsi="宋体"/>
          <w:b/>
          <w:color w:val="auto"/>
          <w:highlight w:val="none"/>
        </w:rPr>
        <w:t>18.响应文件内容的组成</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18.1供应商编写的响应文件应包含资格要求响应文件、商务技术文件和报价要求响应文件。</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18.2资格要求响应文件的组成:详见《供应商须知前附表》，未列入的内容，供应商认为需要的可以自行选择提供相关材料。</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18.3商务技术文件的组成:详见《供应商须知前附表》，未列入的内容，供应商认为需要的可以自行选择提供相关材料。</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18.4报价要求响应文件的组成：详见《供应商须知前附表》，未列入的内容，供应商认为需要的可以自行选择提供相关材料。</w:t>
      </w:r>
    </w:p>
    <w:p>
      <w:pPr>
        <w:ind w:firstLine="422" w:firstLineChars="200"/>
        <w:rPr>
          <w:rFonts w:ascii="宋体" w:hAnsi="宋体"/>
          <w:b/>
          <w:color w:val="auto"/>
          <w:szCs w:val="21"/>
          <w:highlight w:val="none"/>
        </w:rPr>
      </w:pPr>
      <w:r>
        <w:rPr>
          <w:rFonts w:hint="eastAsia" w:ascii="宋体" w:hAnsi="宋体"/>
          <w:b/>
          <w:color w:val="auto"/>
          <w:highlight w:val="none"/>
        </w:rPr>
        <w:t>19.响应文件的编写</w:t>
      </w:r>
    </w:p>
    <w:p>
      <w:pPr>
        <w:ind w:firstLine="422" w:firstLineChars="200"/>
        <w:rPr>
          <w:rFonts w:ascii="宋体" w:hAnsi="宋体"/>
          <w:b/>
          <w:color w:val="auto"/>
          <w:highlight w:val="none"/>
        </w:rPr>
      </w:pPr>
      <w:r>
        <w:rPr>
          <w:rFonts w:hint="eastAsia" w:ascii="宋体" w:hAnsi="宋体" w:cs="Arial"/>
          <w:b/>
          <w:color w:val="auto"/>
          <w:kern w:val="0"/>
          <w:highlight w:val="none"/>
        </w:rPr>
        <w:t>本项目通过“政府采购云平台”实行在线报价响应（电子交易）。供应商应安装“政采云电子投标客户端”，按照询价通知书和“政府采购云平台”的要求编制并加密响应文件。</w:t>
      </w:r>
    </w:p>
    <w:p>
      <w:pPr>
        <w:snapToGrid w:val="0"/>
        <w:ind w:firstLine="420" w:firstLineChars="200"/>
        <w:jc w:val="left"/>
        <w:rPr>
          <w:rFonts w:ascii="宋体" w:hAnsi="宋体"/>
          <w:color w:val="auto"/>
          <w:highlight w:val="none"/>
        </w:rPr>
      </w:pPr>
      <w:r>
        <w:rPr>
          <w:rFonts w:hint="eastAsia" w:ascii="宋体" w:hAnsi="宋体"/>
          <w:color w:val="auto"/>
          <w:highlight w:val="none"/>
        </w:rPr>
        <w:t>19.1</w:t>
      </w:r>
      <w:r>
        <w:rPr>
          <w:rFonts w:hint="eastAsia" w:ascii="宋体" w:hAnsi="宋体"/>
          <w:bCs/>
          <w:color w:val="auto"/>
          <w:highlight w:val="none"/>
        </w:rPr>
        <w:t>供应商应认真阅读询价通知书所有的事项、格式、条款和技术规格等内容，按照询价通知书的要求编制响应文件，</w:t>
      </w:r>
      <w:r>
        <w:rPr>
          <w:rFonts w:hint="eastAsia" w:ascii="宋体" w:hAnsi="宋体"/>
          <w:color w:val="auto"/>
          <w:highlight w:val="none"/>
        </w:rPr>
        <w:t>并根据自身的商务能力、技术水平等对询价通知书提出的要求和条件作出真实的响应。</w:t>
      </w:r>
    </w:p>
    <w:p>
      <w:pPr>
        <w:snapToGrid w:val="0"/>
        <w:ind w:firstLine="420" w:firstLineChars="200"/>
        <w:jc w:val="left"/>
        <w:rPr>
          <w:rFonts w:ascii="宋体" w:hAnsi="宋体"/>
          <w:color w:val="auto"/>
          <w:highlight w:val="none"/>
        </w:rPr>
      </w:pPr>
      <w:r>
        <w:rPr>
          <w:rFonts w:hint="eastAsia" w:ascii="宋体" w:hAnsi="宋体" w:cs="Arial"/>
          <w:color w:val="auto"/>
          <w:highlight w:val="none"/>
        </w:rPr>
        <w:t>供应商应对提交的响应文件的真实性、合法性承担法律责任。</w:t>
      </w:r>
      <w:r>
        <w:rPr>
          <w:rFonts w:hint="eastAsia" w:ascii="宋体" w:hAnsi="宋体"/>
          <w:color w:val="auto"/>
          <w:highlight w:val="none"/>
        </w:rPr>
        <w:t>供应商必须无条件接受采购人、采购代理机构或者政府采购监督管理部门对其中任何资料进行核实的要求。</w:t>
      </w:r>
    </w:p>
    <w:p>
      <w:pPr>
        <w:snapToGrid w:val="0"/>
        <w:ind w:firstLine="420" w:firstLineChars="200"/>
        <w:jc w:val="left"/>
        <w:rPr>
          <w:rFonts w:ascii="宋体" w:hAnsi="宋体"/>
          <w:color w:val="auto"/>
          <w:highlight w:val="none"/>
        </w:rPr>
      </w:pPr>
      <w:r>
        <w:rPr>
          <w:rFonts w:hint="eastAsia" w:ascii="宋体" w:hAnsi="宋体"/>
          <w:color w:val="auto"/>
          <w:highlight w:val="none"/>
        </w:rPr>
        <w:t>19.2供应商应按照《第六章  响应文件格式》的要求，完整地填写询价响应函、报价一览表，以及询价通知书规定的其它内容，询价通知书未提供响应文件格式的，由供应商自行拟定。</w:t>
      </w:r>
    </w:p>
    <w:p>
      <w:pPr>
        <w:snapToGrid w:val="0"/>
        <w:ind w:firstLine="420" w:firstLineChars="200"/>
        <w:jc w:val="left"/>
        <w:rPr>
          <w:rFonts w:ascii="宋体" w:hAnsi="宋体"/>
          <w:color w:val="auto"/>
          <w:highlight w:val="none"/>
        </w:rPr>
      </w:pPr>
      <w:r>
        <w:rPr>
          <w:rFonts w:hint="eastAsia" w:ascii="宋体" w:hAnsi="宋体"/>
          <w:color w:val="auto"/>
          <w:highlight w:val="none"/>
        </w:rPr>
        <w:t>19.3因供应商的响应文件只填写和提供了询价通知书要求的部分内容和附件，或没有提供询价通知书所要求的资料及数据，由此造成的后果和责任由供应商承担。</w:t>
      </w:r>
    </w:p>
    <w:p>
      <w:pPr>
        <w:snapToGrid w:val="0"/>
        <w:ind w:firstLine="420" w:firstLineChars="200"/>
        <w:jc w:val="left"/>
        <w:rPr>
          <w:rFonts w:ascii="宋体" w:hAnsi="宋体"/>
          <w:color w:val="auto"/>
          <w:highlight w:val="none"/>
        </w:rPr>
      </w:pPr>
      <w:r>
        <w:rPr>
          <w:rFonts w:hint="eastAsia" w:ascii="宋体" w:hAnsi="宋体"/>
          <w:color w:val="auto"/>
          <w:highlight w:val="none"/>
        </w:rPr>
        <w:t>询价通知书明确要求附（提交）证明材料而供应商未在响应文件中提供的，不被认定为作出响应。</w:t>
      </w:r>
      <w:r>
        <w:rPr>
          <w:rFonts w:hint="eastAsia" w:ascii="宋体" w:hAnsi="宋体"/>
          <w:b/>
          <w:color w:val="auto"/>
          <w:highlight w:val="none"/>
        </w:rPr>
        <w:t>提供的合同等证明材料应当是完整无删减、遮挡（盖）的原始文件的复印件，否则因提供的证明材料缺少评审所需的关键或必要的信息导致不予认可的风险和责任由供应商承担。</w:t>
      </w:r>
    </w:p>
    <w:p>
      <w:pPr>
        <w:snapToGrid w:val="0"/>
        <w:ind w:firstLine="422" w:firstLineChars="200"/>
        <w:jc w:val="left"/>
        <w:rPr>
          <w:rFonts w:ascii="宋体" w:hAnsi="宋体"/>
          <w:b/>
          <w:color w:val="auto"/>
          <w:highlight w:val="none"/>
        </w:rPr>
      </w:pPr>
      <w:r>
        <w:rPr>
          <w:rFonts w:hint="eastAsia" w:ascii="宋体" w:hAnsi="宋体"/>
          <w:b/>
          <w:color w:val="auto"/>
          <w:highlight w:val="none"/>
        </w:rPr>
        <w:t>19.4供应商应准确设置评审关联定位，避免未设置或设置错误导致响应文件被误读、漏读或者查找不到相关内容的。</w:t>
      </w:r>
    </w:p>
    <w:p>
      <w:pPr>
        <w:ind w:firstLine="422" w:firstLineChars="200"/>
        <w:rPr>
          <w:rFonts w:ascii="宋体" w:hAnsi="宋体"/>
          <w:b/>
          <w:color w:val="auto"/>
          <w:highlight w:val="none"/>
        </w:rPr>
      </w:pPr>
      <w:r>
        <w:rPr>
          <w:rFonts w:hint="eastAsia" w:ascii="宋体" w:hAnsi="宋体"/>
          <w:b/>
          <w:color w:val="auto"/>
          <w:highlight w:val="none"/>
        </w:rPr>
        <w:t>20.响应文件的份数、签署及盖章</w:t>
      </w:r>
    </w:p>
    <w:p>
      <w:pPr>
        <w:snapToGrid w:val="0"/>
        <w:ind w:firstLine="422" w:firstLineChars="200"/>
        <w:jc w:val="left"/>
        <w:rPr>
          <w:rFonts w:ascii="宋体" w:hAnsi="宋体"/>
          <w:b/>
          <w:color w:val="auto"/>
          <w:highlight w:val="none"/>
        </w:rPr>
      </w:pPr>
      <w:r>
        <w:rPr>
          <w:rFonts w:hint="eastAsia" w:ascii="宋体" w:hAnsi="宋体"/>
          <w:b/>
          <w:color w:val="auto"/>
          <w:highlight w:val="none"/>
        </w:rPr>
        <w:t>20.1响应文件的份数</w:t>
      </w:r>
    </w:p>
    <w:p>
      <w:pPr>
        <w:snapToGrid w:val="0"/>
        <w:ind w:firstLine="420" w:firstLineChars="200"/>
        <w:jc w:val="left"/>
        <w:rPr>
          <w:rFonts w:ascii="宋体" w:hAnsi="宋体"/>
          <w:color w:val="auto"/>
          <w:highlight w:val="none"/>
        </w:rPr>
      </w:pPr>
      <w:r>
        <w:rPr>
          <w:rFonts w:hint="eastAsia" w:ascii="宋体" w:hAnsi="宋体"/>
          <w:color w:val="auto"/>
          <w:highlight w:val="none"/>
        </w:rPr>
        <w:t>响应文件的具体数量要求详见《供应商须知前附表》。</w:t>
      </w:r>
    </w:p>
    <w:p>
      <w:pPr>
        <w:snapToGrid w:val="0"/>
        <w:ind w:firstLine="422" w:firstLineChars="200"/>
        <w:jc w:val="left"/>
        <w:rPr>
          <w:rFonts w:ascii="宋体" w:hAnsi="宋体"/>
          <w:b/>
          <w:color w:val="auto"/>
          <w:highlight w:val="none"/>
        </w:rPr>
      </w:pPr>
      <w:r>
        <w:rPr>
          <w:rFonts w:hint="eastAsia" w:ascii="宋体" w:hAnsi="宋体"/>
          <w:b/>
          <w:color w:val="auto"/>
          <w:highlight w:val="none"/>
        </w:rPr>
        <w:t>20.2响应文件的签署及盖章</w:t>
      </w:r>
    </w:p>
    <w:p>
      <w:pPr>
        <w:snapToGrid w:val="0"/>
        <w:ind w:firstLine="420" w:firstLineChars="200"/>
        <w:jc w:val="left"/>
        <w:rPr>
          <w:rFonts w:ascii="宋体" w:hAnsi="宋体"/>
          <w:color w:val="auto"/>
          <w:highlight w:val="none"/>
        </w:rPr>
      </w:pPr>
      <w:r>
        <w:rPr>
          <w:rFonts w:hint="eastAsia" w:ascii="宋体" w:hAnsi="宋体"/>
          <w:color w:val="auto"/>
          <w:highlight w:val="none"/>
        </w:rPr>
        <w:t>1）询价通知书要求签名的应当由供应商的法定代表人或经其正式授权的代表签字，因系统无法进行法定代表人或其授权代表签字操作的，可以线下签字扫描后上传至电子加密响应文件中。</w:t>
      </w:r>
    </w:p>
    <w:p>
      <w:pPr>
        <w:snapToGrid w:val="0"/>
        <w:ind w:firstLine="420" w:firstLineChars="200"/>
        <w:jc w:val="left"/>
        <w:rPr>
          <w:rFonts w:ascii="宋体" w:hAnsi="宋体"/>
          <w:color w:val="auto"/>
          <w:highlight w:val="none"/>
        </w:rPr>
      </w:pPr>
      <w:r>
        <w:rPr>
          <w:rFonts w:hint="eastAsia" w:ascii="宋体" w:hAnsi="宋体"/>
          <w:color w:val="auto"/>
          <w:highlight w:val="none"/>
        </w:rPr>
        <w:t>2）询价通知书明示或要求盖公章处应盖供应商公章，可使用电子公章在线签章或线下盖单位公章扫描后上传。</w:t>
      </w:r>
    </w:p>
    <w:p>
      <w:pPr>
        <w:snapToGrid w:val="0"/>
        <w:ind w:firstLine="420" w:firstLineChars="200"/>
        <w:jc w:val="left"/>
        <w:rPr>
          <w:rFonts w:ascii="宋体" w:hAnsi="宋体"/>
          <w:b/>
          <w:color w:val="auto"/>
          <w:highlight w:val="none"/>
        </w:rPr>
      </w:pPr>
      <w:r>
        <w:rPr>
          <w:rFonts w:hint="eastAsia" w:ascii="宋体" w:hAnsi="宋体"/>
          <w:color w:val="auto"/>
          <w:highlight w:val="none"/>
        </w:rPr>
        <w:t>电子签章操作指南详见《政府采购项目电子交易管理操作指南-供应商》,</w:t>
      </w:r>
      <w:r>
        <w:rPr>
          <w:rFonts w:hint="eastAsia" w:ascii="宋体" w:hAnsi="宋体"/>
          <w:b/>
          <w:color w:val="auto"/>
          <w:highlight w:val="none"/>
        </w:rPr>
        <w:t>系统要求进行电子签章的，按系统要求签章。</w:t>
      </w:r>
    </w:p>
    <w:p>
      <w:pPr>
        <w:snapToGrid w:val="0"/>
        <w:ind w:firstLine="420" w:firstLineChars="200"/>
        <w:jc w:val="left"/>
        <w:rPr>
          <w:rFonts w:ascii="宋体" w:hAnsi="宋体"/>
          <w:color w:val="auto"/>
          <w:highlight w:val="none"/>
        </w:rPr>
      </w:pPr>
      <w:r>
        <w:rPr>
          <w:rFonts w:hint="eastAsia" w:ascii="宋体" w:hAnsi="宋体"/>
          <w:color w:val="auto"/>
          <w:highlight w:val="none"/>
        </w:rPr>
        <w:t>3）响应文件若有错、漏处等必须修改的，修改处必须加盖供应商公章或者由供应商的法定代表人或其授权代表签字，否则询价小组将不接受该修改内容。</w:t>
      </w:r>
    </w:p>
    <w:p>
      <w:pPr>
        <w:ind w:firstLine="422" w:firstLineChars="200"/>
        <w:rPr>
          <w:rFonts w:ascii="宋体" w:hAnsi="宋体"/>
          <w:b/>
          <w:color w:val="auto"/>
          <w:highlight w:val="none"/>
        </w:rPr>
      </w:pPr>
      <w:r>
        <w:rPr>
          <w:rFonts w:hint="eastAsia" w:ascii="宋体" w:hAnsi="宋体"/>
          <w:b/>
          <w:color w:val="auto"/>
          <w:highlight w:val="none"/>
        </w:rPr>
        <w:t>▲21.报价要求</w:t>
      </w:r>
    </w:p>
    <w:p>
      <w:pPr>
        <w:snapToGrid w:val="0"/>
        <w:ind w:firstLine="420" w:firstLineChars="200"/>
        <w:jc w:val="left"/>
        <w:rPr>
          <w:rFonts w:ascii="宋体" w:hAnsi="宋体"/>
          <w:color w:val="auto"/>
          <w:highlight w:val="none"/>
        </w:rPr>
      </w:pPr>
      <w:r>
        <w:rPr>
          <w:rFonts w:hint="eastAsia" w:ascii="宋体" w:hAnsi="宋体"/>
          <w:color w:val="auto"/>
          <w:highlight w:val="none"/>
        </w:rPr>
        <w:t>21.1报价的组成：详见《供应商须知前附表》。</w:t>
      </w:r>
    </w:p>
    <w:p>
      <w:pPr>
        <w:snapToGrid w:val="0"/>
        <w:ind w:firstLine="420" w:firstLineChars="200"/>
        <w:jc w:val="left"/>
        <w:rPr>
          <w:rFonts w:ascii="宋体" w:hAnsi="宋体"/>
          <w:color w:val="auto"/>
          <w:highlight w:val="none"/>
        </w:rPr>
      </w:pPr>
      <w:r>
        <w:rPr>
          <w:rFonts w:hint="eastAsia" w:ascii="宋体" w:hAnsi="宋体"/>
          <w:color w:val="auto"/>
          <w:highlight w:val="none"/>
        </w:rPr>
        <w:t>21.2报价及结算货币为人民币，只允许有一个报价，采购人不接受有选择的或有附加条件的报价。</w:t>
      </w:r>
    </w:p>
    <w:p>
      <w:pPr>
        <w:ind w:firstLine="422" w:firstLineChars="200"/>
        <w:rPr>
          <w:rFonts w:ascii="宋体" w:hAnsi="宋体"/>
          <w:b/>
          <w:color w:val="auto"/>
          <w:highlight w:val="none"/>
        </w:rPr>
      </w:pPr>
      <w:r>
        <w:rPr>
          <w:rFonts w:hint="eastAsia" w:ascii="宋体" w:hAnsi="宋体"/>
          <w:b/>
          <w:color w:val="auto"/>
          <w:highlight w:val="none"/>
        </w:rPr>
        <w:t>22.询价保证金</w:t>
      </w:r>
    </w:p>
    <w:p>
      <w:pPr>
        <w:ind w:firstLine="420" w:firstLineChars="200"/>
        <w:rPr>
          <w:rFonts w:ascii="宋体" w:hAnsi="宋体"/>
          <w:color w:val="auto"/>
          <w:highlight w:val="none"/>
        </w:rPr>
      </w:pPr>
      <w:r>
        <w:rPr>
          <w:rFonts w:hint="eastAsia" w:ascii="宋体" w:hAnsi="宋体"/>
          <w:color w:val="auto"/>
          <w:highlight w:val="none"/>
        </w:rPr>
        <w:t>本项目不收取询价保证金。</w:t>
      </w:r>
    </w:p>
    <w:p>
      <w:pPr>
        <w:ind w:firstLine="422" w:firstLineChars="200"/>
        <w:rPr>
          <w:rFonts w:ascii="宋体" w:hAnsi="宋体"/>
          <w:b/>
          <w:color w:val="auto"/>
          <w:highlight w:val="none"/>
        </w:rPr>
      </w:pPr>
      <w:r>
        <w:rPr>
          <w:rFonts w:hint="eastAsia" w:ascii="宋体" w:hAnsi="宋体"/>
          <w:b/>
          <w:color w:val="auto"/>
          <w:highlight w:val="none"/>
        </w:rPr>
        <w:t>23.响应有效期</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▲23.1响应有效期：详见《供应商须知前附表》。</w:t>
      </w:r>
    </w:p>
    <w:p>
      <w:pPr>
        <w:ind w:firstLine="420"/>
        <w:rPr>
          <w:rFonts w:ascii="宋体" w:hAnsi="宋体"/>
          <w:b/>
          <w:color w:val="auto"/>
          <w:kern w:val="0"/>
          <w:szCs w:val="21"/>
          <w:highlight w:val="none"/>
        </w:rPr>
      </w:pPr>
      <w:r>
        <w:rPr>
          <w:rFonts w:hint="eastAsia" w:ascii="宋体" w:hAnsi="宋体"/>
          <w:color w:val="auto"/>
          <w:highlight w:val="none"/>
        </w:rPr>
        <w:t>23.2特殊情况下，在原响应文件的有效期截止之前，采购人或采购代理机构可要求供应商延长其响应文件的有效期。这种要求与答复均应以书面形式提交。供应商可以拒绝采购人或采购代理机构的这种要求，但其询价响应在原响应文件的有效期满后将不再有效。同意延长有效期的供应商不会被要求和允许修正除响应文件的有效期以外的响应文件内容。</w:t>
      </w:r>
    </w:p>
    <w:p>
      <w:pPr>
        <w:jc w:val="center"/>
        <w:rPr>
          <w:rFonts w:ascii="宋体" w:hAnsi="宋体"/>
          <w:b/>
          <w:color w:val="auto"/>
          <w:highlight w:val="none"/>
        </w:rPr>
      </w:pPr>
      <w:r>
        <w:rPr>
          <w:rFonts w:hint="eastAsia" w:ascii="宋体" w:hAnsi="宋体"/>
          <w:b/>
          <w:color w:val="auto"/>
          <w:highlight w:val="none"/>
        </w:rPr>
        <w:t>四、响应文件的提交</w:t>
      </w:r>
    </w:p>
    <w:p>
      <w:pPr>
        <w:ind w:firstLine="422" w:firstLineChars="200"/>
        <w:jc w:val="left"/>
        <w:rPr>
          <w:rFonts w:ascii="宋体" w:hAnsi="宋体"/>
          <w:b/>
          <w:color w:val="auto"/>
          <w:highlight w:val="none"/>
        </w:rPr>
      </w:pPr>
      <w:r>
        <w:rPr>
          <w:rFonts w:hint="eastAsia" w:ascii="宋体" w:hAnsi="宋体"/>
          <w:b/>
          <w:color w:val="auto"/>
          <w:highlight w:val="none"/>
        </w:rPr>
        <w:t>24.电子加密响应文件的提交</w:t>
      </w:r>
    </w:p>
    <w:p>
      <w:pPr>
        <w:ind w:firstLine="420" w:firstLineChars="200"/>
        <w:jc w:val="left"/>
        <w:rPr>
          <w:rFonts w:ascii="宋体" w:hAnsi="宋体"/>
          <w:color w:val="auto"/>
          <w:highlight w:val="none"/>
        </w:rPr>
      </w:pPr>
      <w:r>
        <w:rPr>
          <w:rFonts w:hint="eastAsia" w:ascii="宋体" w:hAnsi="宋体"/>
          <w:color w:val="auto"/>
          <w:highlight w:val="none"/>
        </w:rPr>
        <w:t>供应商应当在响应截止时间前将电子加密响应文件上传至“政府采购云平台”，成功上传递交后，供应商可自行打印响应文件接收回执。</w:t>
      </w:r>
    </w:p>
    <w:p>
      <w:pPr>
        <w:ind w:firstLine="422" w:firstLineChars="200"/>
        <w:jc w:val="left"/>
        <w:rPr>
          <w:rFonts w:ascii="宋体" w:hAnsi="宋体"/>
          <w:b/>
          <w:color w:val="auto"/>
          <w:highlight w:val="none"/>
        </w:rPr>
      </w:pPr>
      <w:r>
        <w:rPr>
          <w:rFonts w:hint="eastAsia" w:ascii="宋体" w:hAnsi="宋体"/>
          <w:b/>
          <w:color w:val="auto"/>
          <w:highlight w:val="none"/>
        </w:rPr>
        <w:t>25.备份响应文件的提交</w:t>
      </w:r>
    </w:p>
    <w:p>
      <w:pPr>
        <w:ind w:firstLine="422" w:firstLineChars="200"/>
        <w:jc w:val="left"/>
        <w:rPr>
          <w:rFonts w:ascii="宋体" w:hAnsi="宋体"/>
          <w:b/>
          <w:color w:val="auto"/>
          <w:highlight w:val="none"/>
        </w:rPr>
      </w:pPr>
      <w:r>
        <w:rPr>
          <w:rFonts w:hint="eastAsia" w:ascii="宋体" w:hAnsi="宋体"/>
          <w:b/>
          <w:color w:val="auto"/>
          <w:highlight w:val="none"/>
        </w:rPr>
        <w:t>供应商在“政府采购云平台”完成电子加密响应文件的上传后，还可以在响应截止时间前提交以U盘存储的备份响应文件，但不强制要求供应商提交备份响应文件。</w:t>
      </w:r>
    </w:p>
    <w:p>
      <w:pPr>
        <w:ind w:firstLine="422" w:firstLineChars="200"/>
        <w:jc w:val="left"/>
        <w:rPr>
          <w:rFonts w:ascii="宋体" w:hAnsi="宋体"/>
          <w:b/>
          <w:color w:val="auto"/>
          <w:highlight w:val="none"/>
        </w:rPr>
      </w:pPr>
      <w:r>
        <w:rPr>
          <w:rFonts w:hint="eastAsia" w:ascii="宋体" w:hAnsi="宋体"/>
          <w:b/>
          <w:color w:val="auto"/>
          <w:highlight w:val="none"/>
        </w:rPr>
        <w:t>采购人或采购代理机构拒收未按要求密封、盖章及响应截止时间后提交的备份响应文件。</w:t>
      </w:r>
    </w:p>
    <w:p>
      <w:pPr>
        <w:snapToGrid w:val="0"/>
        <w:ind w:firstLine="422" w:firstLineChars="200"/>
        <w:jc w:val="left"/>
        <w:rPr>
          <w:rFonts w:ascii="宋体" w:hAnsi="宋体"/>
          <w:b/>
          <w:color w:val="auto"/>
          <w:highlight w:val="none"/>
        </w:rPr>
      </w:pPr>
      <w:r>
        <w:rPr>
          <w:rFonts w:hint="eastAsia" w:ascii="宋体" w:hAnsi="宋体"/>
          <w:b/>
          <w:color w:val="auto"/>
          <w:highlight w:val="none"/>
        </w:rPr>
        <w:t>26.备份响应文件的密封</w:t>
      </w:r>
    </w:p>
    <w:p>
      <w:pPr>
        <w:ind w:firstLine="420" w:firstLineChars="200"/>
        <w:jc w:val="left"/>
        <w:rPr>
          <w:rFonts w:ascii="宋体" w:hAnsi="宋体"/>
          <w:color w:val="auto"/>
          <w:highlight w:val="none"/>
        </w:rPr>
      </w:pPr>
      <w:r>
        <w:rPr>
          <w:rFonts w:hint="eastAsia" w:ascii="宋体" w:hAnsi="宋体"/>
          <w:color w:val="auto"/>
          <w:highlight w:val="none"/>
        </w:rPr>
        <w:t>备份响应文件的载体必须密封包装。密封包装的封口处应保证严密，不足以造成备份响应文件载体从包装内漏出而导致备份响应文件内容泄密的，不被认定为未密封。</w:t>
      </w:r>
    </w:p>
    <w:p>
      <w:pPr>
        <w:snapToGrid w:val="0"/>
        <w:ind w:firstLine="422" w:firstLineChars="200"/>
        <w:jc w:val="left"/>
        <w:rPr>
          <w:rFonts w:ascii="宋体" w:hAnsi="宋体"/>
          <w:b/>
          <w:color w:val="auto"/>
          <w:highlight w:val="none"/>
        </w:rPr>
      </w:pPr>
      <w:r>
        <w:rPr>
          <w:rFonts w:hint="eastAsia" w:ascii="宋体" w:hAnsi="宋体"/>
          <w:b/>
          <w:color w:val="auto"/>
          <w:highlight w:val="none"/>
        </w:rPr>
        <w:t>27.备份响应文件密封包装的标注和盖章</w:t>
      </w:r>
    </w:p>
    <w:p>
      <w:pPr>
        <w:ind w:firstLine="420" w:firstLineChars="200"/>
        <w:jc w:val="left"/>
        <w:rPr>
          <w:rFonts w:ascii="宋体" w:hAnsi="宋体"/>
          <w:b/>
          <w:color w:val="auto"/>
          <w:highlight w:val="none"/>
        </w:rPr>
      </w:pPr>
      <w:r>
        <w:rPr>
          <w:rFonts w:hint="eastAsia" w:ascii="宋体" w:hAnsi="宋体"/>
          <w:color w:val="auto"/>
          <w:highlight w:val="none"/>
        </w:rPr>
        <w:t>备份响应文件的密封包装应当进行标注及盖章，具体要求详见《供应商须知前附表》。</w:t>
      </w:r>
    </w:p>
    <w:p>
      <w:pPr>
        <w:ind w:firstLine="422" w:firstLineChars="200"/>
        <w:jc w:val="left"/>
        <w:rPr>
          <w:rFonts w:ascii="宋体" w:hAnsi="宋体"/>
          <w:b/>
          <w:color w:val="auto"/>
          <w:highlight w:val="none"/>
        </w:rPr>
      </w:pPr>
      <w:r>
        <w:rPr>
          <w:rFonts w:hint="eastAsia" w:ascii="宋体" w:hAnsi="宋体"/>
          <w:b/>
          <w:color w:val="auto"/>
          <w:highlight w:val="none"/>
        </w:rPr>
        <w:t>28.响应文件提交的截止时间及地点</w:t>
      </w:r>
    </w:p>
    <w:p>
      <w:pPr>
        <w:snapToGrid w:val="0"/>
        <w:ind w:firstLine="420" w:firstLineChars="200"/>
        <w:jc w:val="left"/>
        <w:rPr>
          <w:rFonts w:ascii="宋体" w:hAnsi="宋体"/>
          <w:color w:val="auto"/>
          <w:highlight w:val="none"/>
        </w:rPr>
      </w:pPr>
      <w:r>
        <w:rPr>
          <w:rFonts w:hint="eastAsia" w:ascii="宋体" w:hAnsi="宋体"/>
          <w:color w:val="auto"/>
          <w:highlight w:val="none"/>
        </w:rPr>
        <w:t>28.1响应文件提交的截止时间及地点：供应商应当在询价通知书要求提交响应文件的截止时间前，将响应文件送达规定地点（电子加密响应文件成功上传到“政府采购云平台”），具体时间及地点详见《第一章  询价公告》。</w:t>
      </w:r>
    </w:p>
    <w:p>
      <w:pPr>
        <w:ind w:firstLine="420" w:firstLineChars="200"/>
        <w:rPr>
          <w:rFonts w:ascii="宋体" w:hAnsi="宋体"/>
          <w:b/>
          <w:color w:val="auto"/>
          <w:highlight w:val="none"/>
        </w:rPr>
      </w:pPr>
      <w:r>
        <w:rPr>
          <w:rFonts w:hint="eastAsia" w:ascii="宋体" w:hAnsi="宋体"/>
          <w:color w:val="auto"/>
          <w:highlight w:val="none"/>
        </w:rPr>
        <w:t>28.2</w:t>
      </w:r>
      <w:r>
        <w:rPr>
          <w:rFonts w:hint="eastAsia" w:ascii="宋体" w:hAnsi="宋体" w:cs="Arial"/>
          <w:color w:val="auto"/>
          <w:highlight w:val="none"/>
        </w:rPr>
        <w:t>在响应截止时间后送达（提交）的</w:t>
      </w:r>
      <w:r>
        <w:rPr>
          <w:rFonts w:hint="eastAsia" w:ascii="宋体" w:hAnsi="宋体"/>
          <w:color w:val="auto"/>
          <w:highlight w:val="none"/>
        </w:rPr>
        <w:t>电子加密</w:t>
      </w:r>
      <w:r>
        <w:rPr>
          <w:rFonts w:hint="eastAsia" w:ascii="宋体" w:hAnsi="宋体" w:cs="Arial"/>
          <w:color w:val="auto"/>
          <w:highlight w:val="none"/>
        </w:rPr>
        <w:t>响应文件为无效文件，将被拒收。</w:t>
      </w:r>
    </w:p>
    <w:p>
      <w:pPr>
        <w:snapToGrid w:val="0"/>
        <w:ind w:firstLine="420" w:firstLineChars="200"/>
        <w:jc w:val="left"/>
        <w:rPr>
          <w:rFonts w:ascii="宋体" w:hAnsi="宋体"/>
          <w:color w:val="auto"/>
          <w:highlight w:val="none"/>
        </w:rPr>
      </w:pPr>
      <w:r>
        <w:rPr>
          <w:rFonts w:hint="eastAsia" w:ascii="宋体" w:hAnsi="宋体"/>
          <w:color w:val="auto"/>
          <w:highlight w:val="none"/>
        </w:rPr>
        <w:t>28.3采购人或采购代理机构可以推迟响应文件提交的截止时间，在此情况下采购人或采购代理机构和供应商受响应文件提交的截止时间约束的所有权利和义务均应延长至新的截止时间。</w:t>
      </w:r>
    </w:p>
    <w:p>
      <w:pPr>
        <w:snapToGrid w:val="0"/>
        <w:ind w:firstLine="422" w:firstLineChars="200"/>
        <w:jc w:val="left"/>
        <w:rPr>
          <w:rFonts w:ascii="宋体" w:hAnsi="宋体"/>
          <w:b/>
          <w:color w:val="auto"/>
          <w:highlight w:val="none"/>
        </w:rPr>
      </w:pPr>
      <w:r>
        <w:rPr>
          <w:rFonts w:hint="eastAsia" w:ascii="宋体" w:hAnsi="宋体"/>
          <w:b/>
          <w:color w:val="auto"/>
          <w:highlight w:val="none"/>
        </w:rPr>
        <w:t>29.响应文件的修改和撤回</w:t>
      </w:r>
    </w:p>
    <w:p>
      <w:pPr>
        <w:snapToGrid w:val="0"/>
        <w:ind w:firstLine="420" w:firstLineChars="200"/>
        <w:jc w:val="left"/>
        <w:rPr>
          <w:rFonts w:ascii="宋体" w:hAnsi="宋体"/>
          <w:color w:val="auto"/>
          <w:highlight w:val="none"/>
        </w:rPr>
      </w:pPr>
      <w:r>
        <w:rPr>
          <w:rFonts w:hint="eastAsia" w:ascii="宋体" w:hAnsi="宋体"/>
          <w:color w:val="auto"/>
          <w:highlight w:val="none"/>
        </w:rPr>
        <w:t>29.1供应商在提交响应文件截止时间前，可以对已提交的响应文件进行补充、修改或者撤回。</w:t>
      </w:r>
    </w:p>
    <w:p>
      <w:pPr>
        <w:snapToGrid w:val="0"/>
        <w:ind w:firstLine="420" w:firstLineChars="200"/>
        <w:jc w:val="left"/>
        <w:rPr>
          <w:rFonts w:ascii="宋体" w:hAnsi="宋体"/>
          <w:color w:val="auto"/>
          <w:highlight w:val="none"/>
        </w:rPr>
      </w:pPr>
      <w:r>
        <w:rPr>
          <w:rFonts w:hint="eastAsia" w:ascii="宋体" w:hAnsi="宋体"/>
          <w:color w:val="auto"/>
          <w:highlight w:val="none"/>
        </w:rPr>
        <w:t>对已经完成传输递交的电子加密响应文件进行补充或者修改的，应当先行撤回原文件，补充、修改后重新传输递交。供应商在响应截止时间前未重新完成传输递交的，视为撤回响应文件。响应截止时间后递交的电子加密响应文件，电子交易平台将拒收。</w:t>
      </w:r>
    </w:p>
    <w:p>
      <w:pPr>
        <w:snapToGrid w:val="0"/>
        <w:ind w:firstLine="420" w:firstLineChars="200"/>
        <w:jc w:val="left"/>
        <w:rPr>
          <w:rFonts w:ascii="宋体" w:hAnsi="宋体"/>
          <w:color w:val="auto"/>
          <w:highlight w:val="none"/>
        </w:rPr>
      </w:pPr>
      <w:r>
        <w:rPr>
          <w:rFonts w:hint="eastAsia" w:ascii="宋体" w:hAnsi="宋体"/>
          <w:color w:val="auto"/>
          <w:highlight w:val="none"/>
        </w:rPr>
        <w:t>供应商在响应截止时间前递交了需要补充或修改的电子加密响应文件的备份响应文件，可以重新提交补充或修改后的备份响应文件。</w:t>
      </w:r>
    </w:p>
    <w:p>
      <w:pPr>
        <w:snapToGrid w:val="0"/>
        <w:ind w:firstLine="420" w:firstLineChars="200"/>
        <w:jc w:val="left"/>
        <w:rPr>
          <w:rFonts w:ascii="宋体" w:hAnsi="宋体"/>
          <w:color w:val="auto"/>
          <w:highlight w:val="none"/>
        </w:rPr>
      </w:pPr>
      <w:r>
        <w:rPr>
          <w:rFonts w:hint="eastAsia" w:ascii="宋体" w:hAnsi="宋体"/>
          <w:color w:val="auto"/>
          <w:highlight w:val="none"/>
        </w:rPr>
        <w:t>29.2响应截止时间后，供应商已按照规定提交的响应文件（包含备份响应文件载体）不予退还。</w:t>
      </w:r>
    </w:p>
    <w:p>
      <w:pPr>
        <w:jc w:val="center"/>
        <w:rPr>
          <w:rFonts w:hint="eastAsia" w:ascii="宋体" w:hAnsi="宋体"/>
          <w:b/>
          <w:color w:val="auto"/>
          <w:highlight w:val="none"/>
        </w:rPr>
      </w:pPr>
    </w:p>
    <w:p>
      <w:pPr>
        <w:jc w:val="center"/>
        <w:rPr>
          <w:rFonts w:ascii="宋体" w:hAnsi="宋体"/>
          <w:b/>
          <w:color w:val="auto"/>
          <w:highlight w:val="none"/>
        </w:rPr>
      </w:pPr>
      <w:r>
        <w:rPr>
          <w:rFonts w:hint="eastAsia" w:ascii="宋体" w:hAnsi="宋体"/>
          <w:b/>
          <w:color w:val="auto"/>
          <w:highlight w:val="none"/>
        </w:rPr>
        <w:t>五、响应文件的开启和评审程序</w:t>
      </w:r>
    </w:p>
    <w:p>
      <w:pPr>
        <w:snapToGrid w:val="0"/>
        <w:ind w:firstLine="422" w:firstLineChars="200"/>
        <w:jc w:val="left"/>
        <w:rPr>
          <w:rFonts w:ascii="宋体" w:hAnsi="宋体"/>
          <w:b/>
          <w:color w:val="auto"/>
          <w:highlight w:val="none"/>
        </w:rPr>
      </w:pPr>
      <w:r>
        <w:rPr>
          <w:rFonts w:hint="eastAsia" w:ascii="宋体" w:hAnsi="宋体"/>
          <w:b/>
          <w:color w:val="auto"/>
          <w:highlight w:val="none"/>
        </w:rPr>
        <w:t>30.响应文件的开启</w:t>
      </w:r>
    </w:p>
    <w:p>
      <w:pPr>
        <w:snapToGrid w:val="0"/>
        <w:ind w:firstLine="420" w:firstLineChars="200"/>
        <w:jc w:val="left"/>
        <w:rPr>
          <w:rFonts w:ascii="宋体" w:hAnsi="宋体"/>
          <w:color w:val="auto"/>
          <w:highlight w:val="none"/>
        </w:rPr>
      </w:pPr>
      <w:r>
        <w:rPr>
          <w:rFonts w:hint="eastAsia" w:ascii="宋体" w:hAnsi="宋体"/>
          <w:color w:val="auto"/>
          <w:highlight w:val="none"/>
        </w:rPr>
        <w:t>30.1采购代理机构在询价通知书规定的时间和地点主持询价采购会议。</w:t>
      </w:r>
    </w:p>
    <w:p>
      <w:pPr>
        <w:snapToGrid w:val="0"/>
        <w:ind w:firstLine="420" w:firstLineChars="200"/>
        <w:jc w:val="left"/>
        <w:rPr>
          <w:rFonts w:ascii="宋体" w:hAnsi="宋体"/>
          <w:color w:val="auto"/>
          <w:highlight w:val="none"/>
        </w:rPr>
      </w:pPr>
      <w:r>
        <w:rPr>
          <w:rFonts w:hint="eastAsia" w:ascii="宋体" w:hAnsi="宋体"/>
          <w:color w:val="auto"/>
          <w:highlight w:val="none"/>
        </w:rPr>
        <w:t>30.2主持人公布参加本项目报价的供应商名单；</w:t>
      </w:r>
    </w:p>
    <w:p>
      <w:pPr>
        <w:snapToGrid w:val="0"/>
        <w:ind w:firstLine="420" w:firstLineChars="200"/>
        <w:jc w:val="left"/>
        <w:rPr>
          <w:rFonts w:ascii="宋体" w:hAnsi="宋体"/>
          <w:color w:val="auto"/>
          <w:highlight w:val="none"/>
        </w:rPr>
      </w:pPr>
      <w:r>
        <w:rPr>
          <w:rFonts w:hint="eastAsia" w:ascii="宋体" w:hAnsi="宋体"/>
          <w:color w:val="auto"/>
          <w:highlight w:val="none"/>
        </w:rPr>
        <w:t>30.3电子交易平台按响应文件开启时间自动提取所有电子加密响应文件。采购代理机构依托电子交易平台发起开始解密指令，供应商应当按照平台的提示在30分钟内完成在线解密。</w:t>
      </w:r>
    </w:p>
    <w:p>
      <w:pPr>
        <w:snapToGrid w:val="0"/>
        <w:ind w:firstLine="420" w:firstLineChars="200"/>
        <w:jc w:val="left"/>
        <w:rPr>
          <w:rFonts w:ascii="宋体" w:hAnsi="宋体"/>
          <w:color w:val="auto"/>
          <w:highlight w:val="none"/>
        </w:rPr>
      </w:pPr>
      <w:r>
        <w:rPr>
          <w:rFonts w:hint="eastAsia" w:ascii="宋体" w:hAnsi="宋体"/>
          <w:color w:val="auto"/>
          <w:highlight w:val="none"/>
        </w:rPr>
        <w:t>供应商如未在线参加询价会议的，视同认可响应文件开启结果，事后不得提出异议。同时，供应商因未在线参加询价会议而导致电子加密响应文件无法按时解密或解密失败等一切后果由供应商自行承担。</w:t>
      </w:r>
    </w:p>
    <w:p>
      <w:pPr>
        <w:snapToGrid w:val="0"/>
        <w:ind w:firstLine="420" w:firstLineChars="200"/>
        <w:jc w:val="left"/>
        <w:rPr>
          <w:rFonts w:ascii="宋体" w:hAnsi="宋体"/>
          <w:color w:val="auto"/>
          <w:highlight w:val="none"/>
        </w:rPr>
      </w:pPr>
      <w:r>
        <w:rPr>
          <w:rFonts w:hint="eastAsia" w:ascii="宋体" w:hAnsi="宋体"/>
          <w:color w:val="auto"/>
          <w:highlight w:val="none"/>
        </w:rPr>
        <w:t>30.4发生供应商在规定时间内解密电子加密响应文件但解密失败的情形，如供应商已按规定提交了备份响应文件的，将由采购代理机构按“政府采购云平台”操作规范将备份响应文件上传至“政府采购云平台”异常端口处理，上传成功后，电子加密响应文件自动失效；供应商</w:t>
      </w:r>
      <w:r>
        <w:rPr>
          <w:rFonts w:hint="eastAsia" w:ascii="宋体" w:hAnsi="宋体" w:cs="Arial"/>
          <w:color w:val="auto"/>
          <w:kern w:val="0"/>
          <w:highlight w:val="none"/>
        </w:rPr>
        <w:t>未按规定提交备份响应文件的</w:t>
      </w:r>
      <w:r>
        <w:rPr>
          <w:rFonts w:hint="eastAsia" w:ascii="宋体" w:hAnsi="宋体"/>
          <w:color w:val="auto"/>
          <w:highlight w:val="none"/>
        </w:rPr>
        <w:t>，</w:t>
      </w:r>
      <w:r>
        <w:rPr>
          <w:rFonts w:hint="eastAsia" w:ascii="宋体" w:hAnsi="宋体"/>
          <w:b/>
          <w:color w:val="auto"/>
          <w:highlight w:val="none"/>
        </w:rPr>
        <w:t>视为撤回响应文件</w:t>
      </w:r>
      <w:r>
        <w:rPr>
          <w:rFonts w:hint="eastAsia" w:ascii="宋体" w:hAnsi="宋体"/>
          <w:color w:val="auto"/>
          <w:highlight w:val="none"/>
        </w:rPr>
        <w:t>。</w:t>
      </w:r>
    </w:p>
    <w:p>
      <w:pPr>
        <w:snapToGrid w:val="0"/>
        <w:ind w:firstLine="420" w:firstLineChars="200"/>
        <w:jc w:val="left"/>
        <w:rPr>
          <w:rFonts w:ascii="宋体" w:hAnsi="宋体"/>
          <w:color w:val="auto"/>
          <w:highlight w:val="none"/>
        </w:rPr>
      </w:pPr>
      <w:r>
        <w:rPr>
          <w:rFonts w:hint="eastAsia" w:ascii="宋体" w:hAnsi="宋体"/>
          <w:color w:val="auto"/>
          <w:highlight w:val="none"/>
        </w:rPr>
        <w:t>电子加密响应文件已按时解密的，备份响应文件自动失效。</w:t>
      </w:r>
    </w:p>
    <w:p>
      <w:pPr>
        <w:snapToGrid w:val="0"/>
        <w:ind w:firstLine="420" w:firstLineChars="200"/>
        <w:jc w:val="left"/>
        <w:rPr>
          <w:rFonts w:ascii="宋体" w:hAnsi="宋体"/>
          <w:color w:val="auto"/>
          <w:highlight w:val="none"/>
        </w:rPr>
      </w:pPr>
      <w:r>
        <w:rPr>
          <w:rFonts w:hint="eastAsia" w:ascii="宋体" w:hAnsi="宋体"/>
          <w:color w:val="auto"/>
          <w:highlight w:val="none"/>
        </w:rPr>
        <w:t>30.5采购代理机构工作人员负责记录会议情况，供应商代表对询价采购会议有疑义，应当场提出询问。</w:t>
      </w:r>
    </w:p>
    <w:p>
      <w:pPr>
        <w:snapToGrid w:val="0"/>
        <w:ind w:firstLine="420" w:firstLineChars="200"/>
        <w:jc w:val="left"/>
        <w:rPr>
          <w:rFonts w:ascii="宋体" w:hAnsi="宋体"/>
          <w:b/>
          <w:color w:val="auto"/>
          <w:highlight w:val="none"/>
        </w:rPr>
      </w:pPr>
      <w:r>
        <w:rPr>
          <w:rFonts w:hint="eastAsia" w:ascii="宋体" w:hAnsi="宋体"/>
          <w:color w:val="auto"/>
          <w:highlight w:val="none"/>
        </w:rPr>
        <w:t>31</w:t>
      </w:r>
      <w:r>
        <w:rPr>
          <w:rFonts w:hint="eastAsia" w:ascii="宋体" w:hAnsi="宋体"/>
          <w:b/>
          <w:color w:val="auto"/>
          <w:highlight w:val="none"/>
        </w:rPr>
        <w:t>.评审程序</w:t>
      </w:r>
    </w:p>
    <w:p>
      <w:pPr>
        <w:snapToGrid w:val="0"/>
        <w:ind w:firstLine="420" w:firstLineChars="200"/>
        <w:jc w:val="left"/>
        <w:rPr>
          <w:rFonts w:ascii="宋体" w:hAnsi="宋体"/>
          <w:color w:val="auto"/>
          <w:highlight w:val="none"/>
        </w:rPr>
      </w:pPr>
      <w:r>
        <w:rPr>
          <w:rFonts w:hint="eastAsia" w:ascii="宋体" w:hAnsi="宋体"/>
          <w:color w:val="auto"/>
          <w:highlight w:val="none"/>
        </w:rPr>
        <w:t>31.1采购代理机构负责组织评审工作,询价小组负责具体评审事务。</w:t>
      </w:r>
    </w:p>
    <w:p>
      <w:pPr>
        <w:snapToGrid w:val="0"/>
        <w:ind w:firstLine="420" w:firstLineChars="200"/>
        <w:jc w:val="left"/>
        <w:rPr>
          <w:rFonts w:ascii="宋体" w:hAnsi="宋体"/>
          <w:color w:val="auto"/>
          <w:highlight w:val="none"/>
        </w:rPr>
      </w:pPr>
      <w:r>
        <w:rPr>
          <w:rFonts w:hint="eastAsia" w:ascii="宋体" w:hAnsi="宋体"/>
          <w:color w:val="auto"/>
          <w:highlight w:val="none"/>
        </w:rPr>
        <w:t>31.2询价小组由采购人代表和评审专家共3人以上单数组成。询价小组应当遵守评审工作纪律，不得泄露评审情况和评审中获悉的商业秘密。</w:t>
      </w:r>
    </w:p>
    <w:p>
      <w:pPr>
        <w:snapToGrid w:val="0"/>
        <w:ind w:firstLine="420" w:firstLineChars="200"/>
        <w:jc w:val="left"/>
        <w:rPr>
          <w:rFonts w:ascii="宋体" w:hAnsi="宋体"/>
          <w:color w:val="auto"/>
          <w:highlight w:val="none"/>
        </w:rPr>
      </w:pPr>
      <w:r>
        <w:rPr>
          <w:rFonts w:hint="eastAsia" w:ascii="宋体" w:hAnsi="宋体"/>
          <w:color w:val="auto"/>
          <w:highlight w:val="none"/>
        </w:rPr>
        <w:t>询价小组成员名单在成交结果公告前保密。询价小组成员与供应商有下列利害关系之一的，应当回避：</w:t>
      </w:r>
    </w:p>
    <w:p>
      <w:pPr>
        <w:snapToGrid w:val="0"/>
        <w:ind w:firstLine="420" w:firstLineChars="200"/>
        <w:jc w:val="left"/>
        <w:rPr>
          <w:rFonts w:ascii="宋体" w:hAnsi="宋体"/>
          <w:color w:val="auto"/>
          <w:highlight w:val="none"/>
        </w:rPr>
      </w:pPr>
      <w:r>
        <w:rPr>
          <w:rFonts w:hint="eastAsia" w:ascii="宋体" w:hAnsi="宋体"/>
          <w:color w:val="auto"/>
          <w:highlight w:val="none"/>
        </w:rPr>
        <w:t>1）参加采购活动前3年内与供应商存在劳动关系；</w:t>
      </w:r>
    </w:p>
    <w:p>
      <w:pPr>
        <w:snapToGrid w:val="0"/>
        <w:ind w:firstLine="420" w:firstLineChars="200"/>
        <w:jc w:val="left"/>
        <w:rPr>
          <w:rFonts w:ascii="宋体" w:hAnsi="宋体"/>
          <w:color w:val="auto"/>
          <w:highlight w:val="none"/>
        </w:rPr>
      </w:pPr>
      <w:r>
        <w:rPr>
          <w:rFonts w:hint="eastAsia" w:ascii="宋体" w:hAnsi="宋体"/>
          <w:color w:val="auto"/>
          <w:highlight w:val="none"/>
        </w:rPr>
        <w:t>2）参加采购活动前3年内担任供应商的董事、监事；</w:t>
      </w:r>
    </w:p>
    <w:p>
      <w:pPr>
        <w:snapToGrid w:val="0"/>
        <w:ind w:firstLine="420" w:firstLineChars="200"/>
        <w:jc w:val="left"/>
        <w:rPr>
          <w:rFonts w:ascii="宋体" w:hAnsi="宋体"/>
          <w:color w:val="auto"/>
          <w:highlight w:val="none"/>
        </w:rPr>
      </w:pPr>
      <w:r>
        <w:rPr>
          <w:rFonts w:hint="eastAsia" w:ascii="宋体" w:hAnsi="宋体"/>
          <w:color w:val="auto"/>
          <w:highlight w:val="none"/>
        </w:rPr>
        <w:t>3）参加采购活动前3年内是供应商的控股股东或者实际控制人；</w:t>
      </w:r>
    </w:p>
    <w:p>
      <w:pPr>
        <w:snapToGrid w:val="0"/>
        <w:ind w:firstLine="420" w:firstLineChars="200"/>
        <w:jc w:val="left"/>
        <w:rPr>
          <w:rFonts w:ascii="宋体" w:hAnsi="宋体"/>
          <w:color w:val="auto"/>
          <w:highlight w:val="none"/>
        </w:rPr>
      </w:pPr>
      <w:r>
        <w:rPr>
          <w:rFonts w:hint="eastAsia" w:ascii="宋体" w:hAnsi="宋体"/>
          <w:color w:val="auto"/>
          <w:highlight w:val="none"/>
        </w:rPr>
        <w:t>4）与供应商的法定代表人或者负责人有夫妻、直系血亲、三代以内旁系血亲或者近姻亲关系；</w:t>
      </w:r>
    </w:p>
    <w:p>
      <w:pPr>
        <w:snapToGrid w:val="0"/>
        <w:ind w:firstLine="420" w:firstLineChars="200"/>
        <w:jc w:val="left"/>
        <w:rPr>
          <w:rFonts w:ascii="宋体" w:hAnsi="宋体"/>
          <w:color w:val="auto"/>
          <w:highlight w:val="none"/>
        </w:rPr>
      </w:pPr>
      <w:r>
        <w:rPr>
          <w:rFonts w:hint="eastAsia" w:ascii="宋体" w:hAnsi="宋体"/>
          <w:color w:val="auto"/>
          <w:highlight w:val="none"/>
        </w:rPr>
        <w:t>5）与供应商有其他可能影响政府采购活动公平、公正进行的关系。</w:t>
      </w:r>
    </w:p>
    <w:p>
      <w:pPr>
        <w:snapToGrid w:val="0"/>
        <w:ind w:firstLine="420" w:firstLineChars="200"/>
        <w:jc w:val="left"/>
        <w:rPr>
          <w:rFonts w:ascii="宋体" w:hAnsi="宋体"/>
          <w:color w:val="auto"/>
          <w:highlight w:val="none"/>
        </w:rPr>
      </w:pPr>
      <w:r>
        <w:rPr>
          <w:rFonts w:hint="eastAsia" w:ascii="宋体" w:hAnsi="宋体"/>
          <w:color w:val="auto"/>
          <w:highlight w:val="none"/>
        </w:rPr>
        <w:t>31.3询价小组对响应文件的有效性、完整性和响应程度进行审查。</w:t>
      </w:r>
    </w:p>
    <w:p>
      <w:pPr>
        <w:snapToGrid w:val="0"/>
        <w:ind w:firstLine="420" w:firstLineChars="200"/>
        <w:jc w:val="left"/>
        <w:rPr>
          <w:rFonts w:ascii="宋体" w:hAnsi="宋体"/>
          <w:color w:val="auto"/>
          <w:highlight w:val="none"/>
        </w:rPr>
      </w:pPr>
      <w:r>
        <w:rPr>
          <w:rFonts w:hint="eastAsia" w:ascii="宋体" w:hAnsi="宋体"/>
          <w:color w:val="auto"/>
          <w:highlight w:val="none"/>
        </w:rPr>
        <w:t>审查时，询价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napToGrid w:val="0"/>
        <w:ind w:firstLine="420" w:firstLineChars="200"/>
        <w:jc w:val="left"/>
        <w:rPr>
          <w:rFonts w:ascii="宋体" w:hAnsi="宋体"/>
          <w:color w:val="auto"/>
          <w:highlight w:val="none"/>
        </w:rPr>
      </w:pPr>
      <w:r>
        <w:rPr>
          <w:rFonts w:hint="eastAsia" w:ascii="宋体" w:hAnsi="宋体"/>
          <w:color w:val="auto"/>
          <w:highlight w:val="none"/>
        </w:rPr>
        <w:t>询价小组要求供应商澄清、说明或者更正响应文件以书面形式（政采云系统询标函）作出。供应商的澄清、说明或者更正应当由法定代表人或其授权代表签字或者加盖公章并以政采云系统的澄清函形式作出（供应商线下提交澄清函的，由采购代理机构上传澄清函扫描件）。由授权代表签字的，应当附法定代表人授权书（已在响应文件中提供的可不重复提交）。供应商为自然人的，应当由本人签字并附身份证明。</w:t>
      </w:r>
    </w:p>
    <w:p>
      <w:pPr>
        <w:snapToGrid w:val="0"/>
        <w:ind w:firstLine="420" w:firstLineChars="200"/>
        <w:jc w:val="left"/>
        <w:rPr>
          <w:rFonts w:ascii="宋体" w:hAnsi="宋体"/>
          <w:color w:val="auto"/>
          <w:highlight w:val="none"/>
        </w:rPr>
      </w:pPr>
      <w:r>
        <w:rPr>
          <w:rFonts w:hint="eastAsia" w:ascii="宋体" w:hAnsi="宋体"/>
          <w:color w:val="auto"/>
          <w:highlight w:val="none"/>
        </w:rPr>
        <w:t>给予供应商提交澄清、说明或补正的时间不少于30分钟，但供应商已经明确表示澄清说明或补正完毕的除外。</w:t>
      </w:r>
    </w:p>
    <w:p>
      <w:pPr>
        <w:snapToGrid w:val="0"/>
        <w:ind w:firstLine="420" w:firstLineChars="200"/>
        <w:jc w:val="left"/>
        <w:rPr>
          <w:rFonts w:ascii="宋体" w:hAnsi="宋体"/>
          <w:color w:val="auto"/>
          <w:highlight w:val="none"/>
        </w:rPr>
      </w:pPr>
      <w:r>
        <w:rPr>
          <w:rFonts w:hint="eastAsia" w:ascii="宋体" w:hAnsi="宋体"/>
          <w:color w:val="auto"/>
          <w:highlight w:val="none"/>
        </w:rPr>
        <w:t>31.4供应商存在下列情况之一的，按照无效响应处理:</w:t>
      </w:r>
    </w:p>
    <w:p>
      <w:pPr>
        <w:snapToGrid w:val="0"/>
        <w:ind w:firstLine="420" w:firstLineChars="200"/>
        <w:jc w:val="left"/>
        <w:rPr>
          <w:rFonts w:ascii="宋体" w:hAnsi="宋体"/>
          <w:color w:val="auto"/>
          <w:highlight w:val="none"/>
        </w:rPr>
      </w:pPr>
      <w:r>
        <w:rPr>
          <w:rFonts w:hint="eastAsia" w:ascii="宋体" w:hAnsi="宋体"/>
          <w:color w:val="auto"/>
          <w:highlight w:val="none"/>
        </w:rPr>
        <w:t>1）响应文件未按询价通知书要求签署、盖章的（不影响响应文件效力的除外）；</w:t>
      </w:r>
    </w:p>
    <w:p>
      <w:pPr>
        <w:snapToGrid w:val="0"/>
        <w:ind w:firstLine="420" w:firstLineChars="200"/>
        <w:jc w:val="left"/>
        <w:rPr>
          <w:rFonts w:ascii="宋体" w:hAnsi="宋体"/>
          <w:color w:val="auto"/>
          <w:highlight w:val="none"/>
        </w:rPr>
      </w:pPr>
      <w:r>
        <w:rPr>
          <w:rFonts w:hint="eastAsia" w:ascii="宋体" w:hAnsi="宋体"/>
          <w:color w:val="auto"/>
          <w:highlight w:val="none"/>
        </w:rPr>
        <w:t>2）不具备询价通知书规定的资格要求或响应文件内未提供符合要求的资格要求证明材料的；</w:t>
      </w:r>
    </w:p>
    <w:p>
      <w:pPr>
        <w:snapToGrid w:val="0"/>
        <w:ind w:firstLine="420" w:firstLineChars="200"/>
        <w:jc w:val="left"/>
        <w:rPr>
          <w:rFonts w:ascii="宋体" w:hAnsi="宋体"/>
          <w:color w:val="auto"/>
          <w:highlight w:val="none"/>
        </w:rPr>
      </w:pPr>
      <w:r>
        <w:rPr>
          <w:rFonts w:hint="eastAsia" w:ascii="宋体" w:hAnsi="宋体"/>
          <w:color w:val="auto"/>
          <w:highlight w:val="none"/>
        </w:rPr>
        <w:t>3）未对询价通知书的实质性条款作出响应（既满足）的；</w:t>
      </w:r>
    </w:p>
    <w:p>
      <w:pPr>
        <w:snapToGrid w:val="0"/>
        <w:ind w:firstLine="420" w:firstLineChars="200"/>
        <w:jc w:val="left"/>
        <w:rPr>
          <w:rFonts w:ascii="宋体" w:hAnsi="宋体"/>
          <w:color w:val="auto"/>
          <w:highlight w:val="none"/>
        </w:rPr>
      </w:pPr>
      <w:r>
        <w:rPr>
          <w:rFonts w:hint="eastAsia" w:ascii="宋体" w:hAnsi="宋体"/>
          <w:color w:val="auto"/>
          <w:highlight w:val="none"/>
        </w:rPr>
        <w:t>4）报价超过询价通知书规定的预算金额或者最高（单项）限价；</w:t>
      </w:r>
    </w:p>
    <w:p>
      <w:pPr>
        <w:snapToGrid w:val="0"/>
        <w:ind w:firstLine="420" w:firstLineChars="200"/>
        <w:jc w:val="left"/>
        <w:rPr>
          <w:rFonts w:ascii="宋体" w:hAnsi="宋体"/>
          <w:color w:val="auto"/>
          <w:highlight w:val="none"/>
        </w:rPr>
      </w:pPr>
      <w:r>
        <w:rPr>
          <w:rFonts w:hint="eastAsia" w:ascii="宋体" w:hAnsi="宋体"/>
          <w:color w:val="auto"/>
          <w:highlight w:val="none"/>
        </w:rPr>
        <w:t>5）响应文件含有采购人不能接受的附加条件的；</w:t>
      </w:r>
    </w:p>
    <w:p>
      <w:pPr>
        <w:snapToGrid w:val="0"/>
        <w:ind w:firstLine="420" w:firstLineChars="200"/>
        <w:jc w:val="left"/>
        <w:rPr>
          <w:rFonts w:ascii="宋体" w:hAnsi="宋体"/>
          <w:color w:val="auto"/>
          <w:highlight w:val="none"/>
        </w:rPr>
      </w:pPr>
      <w:r>
        <w:rPr>
          <w:rFonts w:hint="eastAsia" w:ascii="宋体" w:hAnsi="宋体"/>
          <w:color w:val="auto"/>
          <w:highlight w:val="none"/>
        </w:rPr>
        <w:t>6）响应文件中含有虚假材料的；</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7）询价小组认为供应商的报价明显低于其他通过符合性审查供应商的报价，有可能影响产品质量或者不能诚信履约的，供应商不能证明其报价合理性的；</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8）符合法律、法规和询价通知书规定的其他无效响应情形的。</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31.5询价小组从质量和服务均能满足采购文件实质性响应要求的供应商中，按照报价由低到高的顺序提出3名以上成交候选人，并编写评审报告。</w:t>
      </w:r>
    </w:p>
    <w:p>
      <w:pPr>
        <w:pStyle w:val="22"/>
        <w:snapToGrid w:val="0"/>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报价一致的按照随机抽取的方式确定排序，抽取顺序按照政采云系统解密响应文件先后进行。前述参与评议的报价因落实政府采购政策进行价格调整的，以调整后的价格为依据。</w:t>
      </w:r>
    </w:p>
    <w:p>
      <w:pPr>
        <w:snapToGrid w:val="0"/>
        <w:ind w:firstLine="420" w:firstLineChars="200"/>
        <w:jc w:val="left"/>
        <w:rPr>
          <w:rFonts w:ascii="宋体" w:hAnsi="宋体"/>
          <w:color w:val="auto"/>
          <w:highlight w:val="none"/>
        </w:rPr>
      </w:pPr>
      <w:r>
        <w:rPr>
          <w:rFonts w:hint="eastAsia" w:ascii="宋体" w:hAnsi="宋体"/>
          <w:color w:val="auto"/>
          <w:highlight w:val="none"/>
        </w:rPr>
        <w:t>31.6评审报告应当由询价小组全体人员签字认可。询价小组成员对评审报告有异议的，询价小组按照少数服从多数的原则推荐成交候选人，采购程序继续进行。对评审报告有异议的询价小组成员，应当在报告上签署不同意见并说明理由，由询价小组书面记录相关情况。询价小组成员拒绝在报告上签字又不书面说明其不同意见和理由的，视为同意评审报告。</w:t>
      </w:r>
    </w:p>
    <w:p>
      <w:pPr>
        <w:pStyle w:val="22"/>
        <w:snapToGrid w:val="0"/>
        <w:spacing w:beforeLines="0" w:afterLines="0" w:line="360" w:lineRule="auto"/>
        <w:ind w:firstLine="422" w:firstLineChars="200"/>
        <w:rPr>
          <w:rFonts w:hAnsi="宋体"/>
          <w:b/>
          <w:color w:val="auto"/>
          <w:sz w:val="21"/>
          <w:szCs w:val="21"/>
          <w:highlight w:val="none"/>
        </w:rPr>
      </w:pPr>
      <w:r>
        <w:rPr>
          <w:rFonts w:hint="eastAsia" w:hAnsi="宋体"/>
          <w:b/>
          <w:color w:val="auto"/>
          <w:sz w:val="21"/>
          <w:szCs w:val="21"/>
          <w:highlight w:val="none"/>
        </w:rPr>
        <w:t>32.采购终止的情形</w:t>
      </w:r>
    </w:p>
    <w:p>
      <w:pPr>
        <w:snapToGrid w:val="0"/>
        <w:ind w:firstLine="420" w:firstLineChars="200"/>
        <w:jc w:val="left"/>
        <w:rPr>
          <w:rFonts w:ascii="宋体" w:hAnsi="宋体"/>
          <w:color w:val="auto"/>
          <w:szCs w:val="21"/>
          <w:highlight w:val="none"/>
        </w:rPr>
      </w:pPr>
      <w:r>
        <w:rPr>
          <w:rFonts w:hint="eastAsia" w:ascii="宋体" w:hAnsi="宋体"/>
          <w:color w:val="auto"/>
          <w:highlight w:val="none"/>
        </w:rPr>
        <w:t>出现下列情形之一的，采购人或者采购代理机构应当终止询价采购活动，发布项目终止公告并说明原因，重新开展采购活动：</w:t>
      </w:r>
    </w:p>
    <w:p>
      <w:pPr>
        <w:snapToGrid w:val="0"/>
        <w:ind w:firstLine="420" w:firstLineChars="200"/>
        <w:jc w:val="left"/>
        <w:rPr>
          <w:rFonts w:ascii="宋体" w:hAnsi="宋体"/>
          <w:color w:val="auto"/>
          <w:highlight w:val="none"/>
        </w:rPr>
      </w:pPr>
      <w:r>
        <w:rPr>
          <w:rFonts w:hint="eastAsia" w:ascii="宋体" w:hAnsi="宋体"/>
          <w:color w:val="auto"/>
          <w:highlight w:val="none"/>
        </w:rPr>
        <w:t>1）因情况变化，不再符合规定的询价采购方式适用情形的；</w:t>
      </w:r>
    </w:p>
    <w:p>
      <w:pPr>
        <w:snapToGrid w:val="0"/>
        <w:ind w:firstLine="420" w:firstLineChars="200"/>
        <w:jc w:val="left"/>
        <w:rPr>
          <w:rFonts w:ascii="宋体" w:hAnsi="宋体"/>
          <w:color w:val="auto"/>
          <w:highlight w:val="none"/>
        </w:rPr>
      </w:pPr>
      <w:r>
        <w:rPr>
          <w:rFonts w:hint="eastAsia" w:ascii="宋体" w:hAnsi="宋体"/>
          <w:color w:val="auto"/>
          <w:highlight w:val="none"/>
        </w:rPr>
        <w:t>2）出现影响采购公正的违法、违规行为的；</w:t>
      </w:r>
    </w:p>
    <w:p>
      <w:pPr>
        <w:snapToGrid w:val="0"/>
        <w:ind w:firstLine="420" w:firstLineChars="200"/>
        <w:jc w:val="left"/>
        <w:rPr>
          <w:rFonts w:ascii="宋体" w:hAnsi="宋体"/>
          <w:color w:val="auto"/>
          <w:highlight w:val="none"/>
        </w:rPr>
      </w:pPr>
      <w:r>
        <w:rPr>
          <w:rFonts w:hint="eastAsia" w:ascii="宋体" w:hAnsi="宋体"/>
          <w:color w:val="auto"/>
          <w:highlight w:val="none"/>
        </w:rPr>
        <w:t>3）在采购过程中符合竞争要求的供应商或者报价未超过采购预算的供应商不足3家的。</w:t>
      </w:r>
    </w:p>
    <w:p>
      <w:pPr>
        <w:snapToGrid w:val="0"/>
        <w:ind w:firstLine="422" w:firstLineChars="200"/>
        <w:jc w:val="left"/>
        <w:rPr>
          <w:rFonts w:ascii="宋体" w:hAnsi="宋体"/>
          <w:b/>
          <w:color w:val="auto"/>
          <w:highlight w:val="none"/>
        </w:rPr>
      </w:pPr>
      <w:r>
        <w:rPr>
          <w:rFonts w:hint="eastAsia" w:ascii="宋体" w:hAnsi="宋体"/>
          <w:b/>
          <w:color w:val="auto"/>
          <w:highlight w:val="none"/>
        </w:rPr>
        <w:t>33.中止电子交易活动的情形</w:t>
      </w:r>
    </w:p>
    <w:p>
      <w:pPr>
        <w:snapToGrid w:val="0"/>
        <w:ind w:firstLine="420" w:firstLineChars="200"/>
        <w:jc w:val="left"/>
        <w:rPr>
          <w:rFonts w:ascii="宋体" w:hAnsi="宋体"/>
          <w:color w:val="auto"/>
          <w:highlight w:val="none"/>
        </w:rPr>
      </w:pPr>
      <w:r>
        <w:rPr>
          <w:rFonts w:hint="eastAsia" w:ascii="宋体" w:hAnsi="宋体"/>
          <w:color w:val="auto"/>
          <w:highlight w:val="none"/>
        </w:rPr>
        <w:t>采购过程中出现以下情形，导致电子交易平台无法正常运行，或者无法保证电子交易的公平、公正和安全时，可中止电子交易活动：</w:t>
      </w:r>
    </w:p>
    <w:p>
      <w:pPr>
        <w:snapToGrid w:val="0"/>
        <w:ind w:firstLine="420" w:firstLineChars="200"/>
        <w:jc w:val="left"/>
        <w:rPr>
          <w:rFonts w:ascii="宋体" w:hAnsi="宋体"/>
          <w:color w:val="auto"/>
          <w:highlight w:val="none"/>
        </w:rPr>
      </w:pPr>
      <w:r>
        <w:rPr>
          <w:rFonts w:hint="eastAsia" w:ascii="宋体" w:hAnsi="宋体"/>
          <w:color w:val="auto"/>
          <w:highlight w:val="none"/>
        </w:rPr>
        <w:t>1）电子交易平台发生故障而无法登录访问的；</w:t>
      </w:r>
    </w:p>
    <w:p>
      <w:pPr>
        <w:snapToGrid w:val="0"/>
        <w:ind w:firstLine="420" w:firstLineChars="200"/>
        <w:jc w:val="left"/>
        <w:rPr>
          <w:rFonts w:ascii="宋体" w:hAnsi="宋体"/>
          <w:color w:val="auto"/>
          <w:highlight w:val="none"/>
        </w:rPr>
      </w:pPr>
      <w:r>
        <w:rPr>
          <w:rFonts w:hint="eastAsia" w:ascii="宋体" w:hAnsi="宋体"/>
          <w:color w:val="auto"/>
          <w:highlight w:val="none"/>
        </w:rPr>
        <w:t>2）电子交易平台应用或数据库出现错误，不能进行正常操作的；</w:t>
      </w:r>
    </w:p>
    <w:p>
      <w:pPr>
        <w:snapToGrid w:val="0"/>
        <w:ind w:firstLine="420" w:firstLineChars="200"/>
        <w:jc w:val="left"/>
        <w:rPr>
          <w:rFonts w:ascii="宋体" w:hAnsi="宋体"/>
          <w:color w:val="auto"/>
          <w:highlight w:val="none"/>
        </w:rPr>
      </w:pPr>
      <w:r>
        <w:rPr>
          <w:rFonts w:hint="eastAsia" w:ascii="宋体" w:hAnsi="宋体"/>
          <w:color w:val="auto"/>
          <w:highlight w:val="none"/>
        </w:rPr>
        <w:t>3）电子交易平台发现严重安全漏洞，有潜在泄密危险的；</w:t>
      </w:r>
    </w:p>
    <w:p>
      <w:pPr>
        <w:snapToGrid w:val="0"/>
        <w:ind w:firstLine="420" w:firstLineChars="200"/>
        <w:jc w:val="left"/>
        <w:rPr>
          <w:rFonts w:ascii="宋体" w:hAnsi="宋体"/>
          <w:color w:val="auto"/>
          <w:highlight w:val="none"/>
        </w:rPr>
      </w:pPr>
      <w:r>
        <w:rPr>
          <w:rFonts w:hint="eastAsia" w:ascii="宋体" w:hAnsi="宋体"/>
          <w:color w:val="auto"/>
          <w:highlight w:val="none"/>
        </w:rPr>
        <w:t>4）病毒发作导致不能进行正常操作的；</w:t>
      </w:r>
    </w:p>
    <w:p>
      <w:pPr>
        <w:snapToGrid w:val="0"/>
        <w:ind w:firstLine="420" w:firstLineChars="200"/>
        <w:jc w:val="left"/>
        <w:rPr>
          <w:rFonts w:ascii="宋体" w:hAnsi="宋体"/>
          <w:color w:val="auto"/>
          <w:highlight w:val="none"/>
        </w:rPr>
      </w:pPr>
      <w:r>
        <w:rPr>
          <w:rFonts w:hint="eastAsia" w:ascii="宋体" w:hAnsi="宋体"/>
          <w:color w:val="auto"/>
          <w:highlight w:val="none"/>
        </w:rPr>
        <w:t>5）其他无法保证电子交易的公平、公正和安全的情况。</w:t>
      </w:r>
    </w:p>
    <w:p>
      <w:pPr>
        <w:snapToGrid w:val="0"/>
        <w:ind w:firstLine="420" w:firstLineChars="200"/>
        <w:jc w:val="left"/>
        <w:rPr>
          <w:rFonts w:ascii="宋体" w:hAnsi="宋体"/>
          <w:color w:val="auto"/>
          <w:highlight w:val="none"/>
        </w:rPr>
      </w:pPr>
      <w:r>
        <w:rPr>
          <w:rFonts w:hint="eastAsia" w:ascii="宋体" w:hAnsi="宋体"/>
          <w:color w:val="auto"/>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jc w:val="center"/>
        <w:rPr>
          <w:rFonts w:ascii="宋体" w:hAnsi="宋体"/>
          <w:b/>
          <w:color w:val="auto"/>
          <w:highlight w:val="none"/>
        </w:rPr>
      </w:pPr>
      <w:r>
        <w:rPr>
          <w:rFonts w:hint="eastAsia" w:ascii="宋体" w:hAnsi="宋体"/>
          <w:b/>
          <w:color w:val="auto"/>
          <w:highlight w:val="none"/>
        </w:rPr>
        <w:t>六、授予合同</w:t>
      </w:r>
    </w:p>
    <w:p>
      <w:pPr>
        <w:ind w:firstLine="422" w:firstLineChars="200"/>
        <w:rPr>
          <w:rFonts w:ascii="宋体" w:hAnsi="宋体"/>
          <w:b/>
          <w:color w:val="auto"/>
          <w:highlight w:val="none"/>
        </w:rPr>
      </w:pPr>
      <w:r>
        <w:rPr>
          <w:rFonts w:hint="eastAsia" w:ascii="宋体" w:hAnsi="宋体"/>
          <w:b/>
          <w:color w:val="auto"/>
          <w:highlight w:val="none"/>
        </w:rPr>
        <w:t>34.成交供应商的确定</w:t>
      </w:r>
    </w:p>
    <w:p>
      <w:pPr>
        <w:ind w:firstLine="420" w:firstLineChars="200"/>
        <w:rPr>
          <w:rFonts w:ascii="宋体" w:hAnsi="宋体"/>
          <w:color w:val="auto"/>
          <w:highlight w:val="none"/>
        </w:rPr>
      </w:pPr>
      <w:r>
        <w:rPr>
          <w:rFonts w:hint="eastAsia" w:ascii="宋体" w:hAnsi="宋体"/>
          <w:color w:val="auto"/>
          <w:highlight w:val="none"/>
        </w:rPr>
        <w:t>34.1采购人应当从评审报告提出的成交候选人中，根据质量和服务均能满足采购文件实质性响应要求且报价最低的原则确定成交供应商。</w:t>
      </w:r>
    </w:p>
    <w:p>
      <w:pPr>
        <w:ind w:firstLine="420" w:firstLineChars="200"/>
        <w:rPr>
          <w:rFonts w:ascii="宋体" w:hAnsi="宋体"/>
          <w:color w:val="auto"/>
          <w:highlight w:val="none"/>
        </w:rPr>
      </w:pPr>
      <w:r>
        <w:rPr>
          <w:rFonts w:hint="eastAsia" w:ascii="宋体" w:hAnsi="宋体"/>
          <w:color w:val="auto"/>
          <w:highlight w:val="none"/>
        </w:rPr>
        <w:t>采购人逾期未确定成交供应商且不提出异议的，视为确定评审报告提出的最后报价最低的供应商为成交供应商。</w:t>
      </w:r>
    </w:p>
    <w:p>
      <w:pPr>
        <w:ind w:firstLine="420" w:firstLineChars="200"/>
        <w:rPr>
          <w:rFonts w:ascii="宋体" w:hAnsi="宋体"/>
          <w:color w:val="auto"/>
          <w:highlight w:val="none"/>
        </w:rPr>
      </w:pPr>
      <w:r>
        <w:rPr>
          <w:rFonts w:hint="eastAsia" w:ascii="宋体" w:hAnsi="宋体"/>
          <w:color w:val="auto"/>
          <w:highlight w:val="none"/>
        </w:rPr>
        <w:t>34.2成交供应商确定后2个工作日内，采购代理机构在省级以上财政部门指定的政府采购信息发布媒体上公告成交结果，同时向成交供应商发出成交通知书。</w:t>
      </w:r>
    </w:p>
    <w:p>
      <w:pPr>
        <w:ind w:firstLine="422" w:firstLineChars="200"/>
        <w:rPr>
          <w:rFonts w:ascii="宋体" w:hAnsi="宋体"/>
          <w:b/>
          <w:color w:val="auto"/>
          <w:highlight w:val="none"/>
        </w:rPr>
      </w:pPr>
      <w:r>
        <w:rPr>
          <w:rFonts w:hint="eastAsia" w:ascii="宋体" w:hAnsi="宋体"/>
          <w:b/>
          <w:color w:val="auto"/>
          <w:highlight w:val="none"/>
        </w:rPr>
        <w:t>35.签订合同</w:t>
      </w:r>
    </w:p>
    <w:p>
      <w:pPr>
        <w:ind w:firstLine="420" w:firstLineChars="200"/>
        <w:rPr>
          <w:rFonts w:ascii="宋体" w:hAnsi="宋体"/>
          <w:color w:val="auto"/>
          <w:highlight w:val="none"/>
        </w:rPr>
      </w:pPr>
      <w:r>
        <w:rPr>
          <w:rFonts w:hint="eastAsia" w:ascii="宋体" w:hAnsi="宋体"/>
          <w:color w:val="auto"/>
          <w:highlight w:val="none"/>
        </w:rPr>
        <w:t>35.1采购人与成交供应商应当在成交通知书发出之日起30日内，按照采购文件确定的合同文本以及采购标的、规格型号、采购金额、采购数量、技术和服务要求等事项签订政府采购合同。</w:t>
      </w:r>
    </w:p>
    <w:p>
      <w:pPr>
        <w:ind w:firstLine="420" w:firstLineChars="200"/>
        <w:rPr>
          <w:rFonts w:ascii="宋体" w:hAnsi="宋体"/>
          <w:color w:val="auto"/>
          <w:highlight w:val="none"/>
        </w:rPr>
      </w:pPr>
      <w:r>
        <w:rPr>
          <w:rFonts w:hint="eastAsia" w:ascii="宋体" w:hAnsi="宋体"/>
          <w:color w:val="auto"/>
          <w:highlight w:val="none"/>
        </w:rPr>
        <w:t>35.2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pStyle w:val="3"/>
        <w:rPr>
          <w:rFonts w:ascii="宋体" w:hAnsi="宋体"/>
          <w:b w:val="0"/>
          <w:bCs w:val="0"/>
          <w:color w:val="auto"/>
          <w:sz w:val="24"/>
          <w:szCs w:val="24"/>
          <w:highlight w:val="none"/>
        </w:rPr>
      </w:pPr>
      <w:r>
        <w:rPr>
          <w:rFonts w:ascii="宋体" w:hAnsi="宋体" w:cs="Arial"/>
          <w:color w:val="auto"/>
          <w:highlight w:val="none"/>
        </w:rPr>
        <w:br w:type="page"/>
      </w:r>
      <w:bookmarkStart w:id="28" w:name="_Toc84581858"/>
      <w:bookmarkStart w:id="29" w:name="_Toc84582099"/>
      <w:r>
        <w:rPr>
          <w:rFonts w:hint="eastAsia"/>
          <w:color w:val="auto"/>
          <w:highlight w:val="none"/>
        </w:rPr>
        <w:t>第四章  评审方法、评审标准</w:t>
      </w:r>
      <w:bookmarkEnd w:id="28"/>
      <w:bookmarkEnd w:id="29"/>
    </w:p>
    <w:p>
      <w:pPr>
        <w:ind w:firstLine="422" w:firstLineChars="200"/>
        <w:rPr>
          <w:rFonts w:ascii="宋体" w:hAnsi="宋体"/>
          <w:b/>
          <w:color w:val="auto"/>
          <w:szCs w:val="21"/>
          <w:highlight w:val="none"/>
        </w:rPr>
      </w:pPr>
      <w:r>
        <w:rPr>
          <w:rFonts w:hint="eastAsia" w:ascii="宋体" w:hAnsi="宋体"/>
          <w:b/>
          <w:color w:val="auto"/>
          <w:highlight w:val="none"/>
        </w:rPr>
        <w:t>一、总则</w:t>
      </w:r>
    </w:p>
    <w:p>
      <w:pPr>
        <w:ind w:firstLine="420" w:firstLineChars="200"/>
        <w:rPr>
          <w:rFonts w:ascii="宋体" w:hAnsi="宋体"/>
          <w:color w:val="auto"/>
          <w:highlight w:val="none"/>
        </w:rPr>
      </w:pPr>
      <w:r>
        <w:rPr>
          <w:rFonts w:hint="eastAsia" w:ascii="宋体" w:hAnsi="宋体"/>
          <w:color w:val="auto"/>
          <w:highlight w:val="none"/>
        </w:rPr>
        <w:t>询价小组成员按照客观、公正、审慎的原则，根据询价通知书规定的评审程序、评审方法和评审标准进行独立评审。未实质性响应询价通知书的响应文件按无效响应处理，询价小组应当告知提交响应文件的供应商。</w:t>
      </w:r>
    </w:p>
    <w:p>
      <w:pPr>
        <w:ind w:firstLine="422" w:firstLineChars="200"/>
        <w:rPr>
          <w:rFonts w:ascii="宋体" w:hAnsi="宋体"/>
          <w:b/>
          <w:color w:val="auto"/>
          <w:highlight w:val="none"/>
        </w:rPr>
      </w:pPr>
      <w:r>
        <w:rPr>
          <w:rFonts w:hint="eastAsia" w:ascii="宋体" w:hAnsi="宋体"/>
          <w:b/>
          <w:color w:val="auto"/>
          <w:highlight w:val="none"/>
        </w:rPr>
        <w:t>二、评审方法</w:t>
      </w:r>
    </w:p>
    <w:p>
      <w:pPr>
        <w:ind w:firstLine="422" w:firstLineChars="200"/>
        <w:rPr>
          <w:rFonts w:ascii="宋体" w:hAnsi="宋体"/>
          <w:b/>
          <w:color w:val="auto"/>
          <w:highlight w:val="none"/>
        </w:rPr>
      </w:pPr>
      <w:r>
        <w:rPr>
          <w:rFonts w:hint="eastAsia" w:ascii="宋体" w:hAnsi="宋体"/>
          <w:b/>
          <w:color w:val="auto"/>
          <w:highlight w:val="none"/>
        </w:rPr>
        <w:t>2.1.本项目采用最低评标价法，即响应文件满足询价通知书全部要求且报价最低的供应商为成交候选人的评审方法。</w:t>
      </w:r>
    </w:p>
    <w:p>
      <w:pPr>
        <w:ind w:firstLine="42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2.2.项目专门面向中小企业的说明</w:t>
      </w:r>
    </w:p>
    <w:p>
      <w:pPr>
        <w:ind w:firstLine="42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本项目为专门面向中小企业，不再执行价格评审优惠的扶持政策。依据《政府采购促进中小企业发展管理办法》规定享受扶持政策获得政府采购合同的，小微企业不得将合同分包给大中型企业，中型企业不得将合同分包给大型企业。</w:t>
      </w:r>
    </w:p>
    <w:p>
      <w:pPr>
        <w:ind w:firstLine="42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（1）在货物采购项目中，货物由中小企业制造，即货物由中小企业生产且使用该中小企业商号或者注册商标；</w:t>
      </w:r>
    </w:p>
    <w:p>
      <w:pPr>
        <w:ind w:firstLine="42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（2）符合采购标的对应的中小企业划分标准所属行业：</w:t>
      </w:r>
    </w:p>
    <w:p>
      <w:pPr>
        <w:snapToGrid w:val="0"/>
        <w:ind w:left="-23" w:leftChars="-11" w:right="-214" w:rightChars="-102" w:firstLine="449" w:firstLineChars="213"/>
        <w:jc w:val="left"/>
        <w:rPr>
          <w:rFonts w:hint="eastAsia" w:ascii="宋体" w:hAnsi="宋体" w:eastAsia="宋体" w:cs="宋体"/>
          <w:b/>
          <w:bCs/>
          <w:color w:val="auto"/>
          <w:highlight w:val="none"/>
        </w:rPr>
      </w:pPr>
      <w:r>
        <w:rPr>
          <w:rFonts w:hint="eastAsia" w:ascii="宋体" w:hAnsi="宋体" w:eastAsia="宋体" w:cs="宋体"/>
          <w:b/>
          <w:bCs/>
          <w:color w:val="auto"/>
          <w:szCs w:val="21"/>
          <w:highlight w:val="none"/>
        </w:rPr>
        <w:t>▲</w:t>
      </w:r>
      <w:r>
        <w:rPr>
          <w:rFonts w:hint="eastAsia" w:ascii="宋体" w:hAnsi="宋体" w:cs="宋体"/>
          <w:b/>
          <w:bCs/>
          <w:color w:val="auto"/>
          <w:szCs w:val="21"/>
          <w:highlight w:val="none"/>
          <w:u w:val="single"/>
          <w:lang w:eastAsia="zh-CN"/>
        </w:rPr>
        <w:t>宁波市公安局交通警察局2023年特种专业技术用车购置项目</w:t>
      </w:r>
      <w:r>
        <w:rPr>
          <w:rFonts w:hint="eastAsia" w:ascii="宋体" w:hAnsi="宋体" w:eastAsia="宋体" w:cs="宋体"/>
          <w:b/>
          <w:bCs/>
          <w:color w:val="auto"/>
          <w:highlight w:val="none"/>
        </w:rPr>
        <w:t>，属于</w:t>
      </w:r>
      <w:r>
        <w:rPr>
          <w:rFonts w:hint="eastAsia" w:ascii="宋体" w:hAnsi="宋体" w:eastAsia="宋体" w:cs="宋体"/>
          <w:b/>
          <w:bCs/>
          <w:color w:val="auto"/>
          <w:highlight w:val="none"/>
          <w:u w:val="single"/>
        </w:rPr>
        <w:t>工业 行业</w:t>
      </w:r>
      <w:r>
        <w:rPr>
          <w:rFonts w:hint="eastAsia" w:ascii="宋体" w:hAnsi="宋体" w:eastAsia="宋体" w:cs="宋体"/>
          <w:b/>
          <w:bCs/>
          <w:color w:val="auto"/>
          <w:highlight w:val="none"/>
        </w:rPr>
        <w:t>；投标人不得改变本项目的所属行业。</w:t>
      </w:r>
    </w:p>
    <w:p>
      <w:pPr>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（3）中小企业划分标准以《工业和信息化部、国家统计局、国家发展和改革委员会、财政部关于印发中小企业划型标准规定的通知》（工信部联企业[2011]300号）规定的划分标准为准。</w:t>
      </w:r>
    </w:p>
    <w:p>
      <w:pPr>
        <w:ind w:firstLine="420" w:firstLineChars="200"/>
        <w:rPr>
          <w:rFonts w:asciiTheme="minorEastAsia" w:hAnsiTheme="minorEastAsia" w:eastAsiaTheme="minorEastAsia"/>
          <w:color w:val="auto"/>
          <w:szCs w:val="21"/>
          <w:highlight w:val="none"/>
        </w:rPr>
      </w:pPr>
      <w:r>
        <w:rPr>
          <w:rFonts w:hint="eastAsia" w:ascii="宋体" w:hAnsi="宋体"/>
          <w:color w:val="auto"/>
          <w:highlight w:val="none"/>
        </w:rPr>
        <w:t>（4）参加政府采购活动的</w:t>
      </w:r>
      <w:r>
        <w:rPr>
          <w:rFonts w:hint="eastAsia" w:ascii="宋体" w:hAnsi="宋体"/>
          <w:b/>
          <w:color w:val="auto"/>
          <w:highlight w:val="none"/>
        </w:rPr>
        <w:t>中、小型企业和微型企业</w:t>
      </w:r>
      <w:r>
        <w:rPr>
          <w:rFonts w:hint="eastAsia" w:ascii="宋体" w:hAnsi="宋体"/>
          <w:color w:val="auto"/>
          <w:highlight w:val="none"/>
        </w:rPr>
        <w:t>应当在响应文件中提供《中小企业声明函》，否则不予认可。</w:t>
      </w:r>
    </w:p>
    <w:p>
      <w:pPr>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（5）监狱企业、残疾人福利性单位</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1.在政府采购活动中，监狱企业视同</w:t>
      </w:r>
      <w:r>
        <w:rPr>
          <w:rFonts w:hint="eastAsia" w:ascii="宋体" w:hAnsi="宋体" w:eastAsia="宋体" w:cs="宋体"/>
          <w:b/>
          <w:color w:val="auto"/>
          <w:highlight w:val="none"/>
        </w:rPr>
        <w:t>小型、微型企业</w:t>
      </w:r>
      <w:r>
        <w:rPr>
          <w:rFonts w:hint="eastAsia" w:ascii="宋体" w:hAnsi="宋体" w:eastAsia="宋体" w:cs="宋体"/>
          <w:color w:val="auto"/>
          <w:highlight w:val="none"/>
        </w:rPr>
        <w:t>。</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监狱企业参加政府采购活动时，应当在投标文件中提供由省级以上监狱管理局、戒毒管理局（含新疆生产建设兵团）出具的属于监狱企业的证明文件，否则不予认可。</w:t>
      </w:r>
    </w:p>
    <w:p>
      <w:pPr>
        <w:ind w:firstLine="420" w:firstLineChars="200"/>
        <w:rPr>
          <w:rFonts w:hint="eastAsia" w:ascii="宋体" w:hAnsi="宋体" w:eastAsia="宋体" w:cs="宋体"/>
          <w:b/>
          <w:color w:val="auto"/>
          <w:highlight w:val="none"/>
        </w:rPr>
      </w:pPr>
      <w:r>
        <w:rPr>
          <w:rFonts w:hint="eastAsia" w:ascii="宋体" w:hAnsi="宋体" w:eastAsia="宋体" w:cs="宋体"/>
          <w:color w:val="auto"/>
          <w:highlight w:val="none"/>
        </w:rPr>
        <w:t>2．在政府采购活动中，残疾人福利性单位视同</w:t>
      </w:r>
      <w:r>
        <w:rPr>
          <w:rFonts w:hint="eastAsia" w:ascii="宋体" w:hAnsi="宋体" w:eastAsia="宋体" w:cs="宋体"/>
          <w:b/>
          <w:color w:val="auto"/>
          <w:highlight w:val="none"/>
        </w:rPr>
        <w:t>小型、微型企业</w:t>
      </w:r>
      <w:r>
        <w:rPr>
          <w:rFonts w:hint="eastAsia" w:ascii="宋体" w:hAnsi="宋体" w:eastAsia="宋体" w:cs="宋体"/>
          <w:color w:val="auto"/>
          <w:highlight w:val="none"/>
        </w:rPr>
        <w:t>。</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根据《关于促进残疾人就业政府采购政策的通知》（财库[2017]141号）的规定，符合条件的残疾人福利性单位在参加政府采购活动时，在投标文件中提供该通知规定的《残疾人福利性单位声明函》，并对声明的真实性负责。</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成交供应商为残疾人福利性单位的，采购人或采购代理机构随采购结果同时公告其《残疾人福利性单位声明函》，接受社会监督。</w:t>
      </w:r>
    </w:p>
    <w:p>
      <w:pPr>
        <w:ind w:firstLine="420" w:firstLineChars="200"/>
        <w:rPr>
          <w:rFonts w:hint="eastAsia" w:ascii="宋体" w:hAnsi="宋体" w:eastAsia="宋体" w:cs="宋体"/>
          <w:b/>
          <w:color w:val="auto"/>
          <w:highlight w:val="none"/>
        </w:rPr>
      </w:pPr>
      <w:r>
        <w:rPr>
          <w:rFonts w:hint="eastAsia" w:ascii="宋体" w:hAnsi="宋体" w:eastAsia="宋体" w:cs="宋体"/>
          <w:color w:val="auto"/>
          <w:highlight w:val="none"/>
        </w:rPr>
        <w:t>投标人提供的《残疾人福利性单位声明函》与事实不符的，依照《政府采购法》第七十七条第一款的规定追究法律责任。</w:t>
      </w:r>
    </w:p>
    <w:p>
      <w:pPr>
        <w:ind w:firstLine="422" w:firstLineChars="200"/>
        <w:rPr>
          <w:rFonts w:ascii="宋体" w:hAnsi="宋体"/>
          <w:b/>
          <w:color w:val="auto"/>
          <w:highlight w:val="none"/>
        </w:rPr>
      </w:pPr>
      <w:r>
        <w:rPr>
          <w:rFonts w:hint="eastAsia" w:ascii="宋体" w:hAnsi="宋体"/>
          <w:b/>
          <w:color w:val="auto"/>
          <w:highlight w:val="none"/>
        </w:rPr>
        <w:t>三、报价修正</w:t>
      </w:r>
    </w:p>
    <w:p>
      <w:pPr>
        <w:ind w:firstLine="420" w:firstLineChars="200"/>
        <w:rPr>
          <w:rFonts w:ascii="宋体" w:hAnsi="宋体"/>
          <w:color w:val="auto"/>
          <w:highlight w:val="none"/>
        </w:rPr>
      </w:pPr>
      <w:r>
        <w:rPr>
          <w:rFonts w:hint="eastAsia" w:ascii="宋体" w:hAnsi="宋体"/>
          <w:color w:val="auto"/>
          <w:highlight w:val="none"/>
        </w:rPr>
        <w:t>响应文件报价出现前后不一致的，按照下列规定修正：</w:t>
      </w:r>
    </w:p>
    <w:p>
      <w:pPr>
        <w:ind w:firstLine="420" w:firstLineChars="200"/>
        <w:rPr>
          <w:rFonts w:ascii="宋体" w:hAnsi="宋体"/>
          <w:color w:val="auto"/>
          <w:highlight w:val="none"/>
        </w:rPr>
      </w:pPr>
      <w:r>
        <w:rPr>
          <w:rFonts w:hint="eastAsia" w:ascii="宋体" w:hAnsi="宋体"/>
          <w:color w:val="auto"/>
          <w:highlight w:val="none"/>
        </w:rPr>
        <w:t>1）响应文件中报价表内容与响应文件中相应内容不一致的，以报价表为准；</w:t>
      </w:r>
    </w:p>
    <w:p>
      <w:pPr>
        <w:ind w:firstLine="420" w:firstLineChars="200"/>
        <w:rPr>
          <w:rFonts w:ascii="宋体" w:hAnsi="宋体"/>
          <w:color w:val="auto"/>
          <w:highlight w:val="none"/>
        </w:rPr>
      </w:pPr>
      <w:r>
        <w:rPr>
          <w:rFonts w:hint="eastAsia" w:ascii="宋体" w:hAnsi="宋体"/>
          <w:color w:val="auto"/>
          <w:highlight w:val="none"/>
        </w:rPr>
        <w:t>2）大写金额和小写金额不一致的，以大写金额为准；</w:t>
      </w:r>
    </w:p>
    <w:p>
      <w:pPr>
        <w:ind w:firstLine="420" w:firstLineChars="200"/>
        <w:rPr>
          <w:rFonts w:ascii="宋体" w:hAnsi="宋体"/>
          <w:color w:val="auto"/>
          <w:highlight w:val="none"/>
        </w:rPr>
      </w:pPr>
      <w:r>
        <w:rPr>
          <w:rFonts w:hint="eastAsia" w:ascii="宋体" w:hAnsi="宋体"/>
          <w:color w:val="auto"/>
          <w:highlight w:val="none"/>
        </w:rPr>
        <w:t>3）单价金额小数点或者百分比有明显错位的，以报价表的总价为准，并修改单价；</w:t>
      </w:r>
    </w:p>
    <w:p>
      <w:pPr>
        <w:ind w:firstLine="420" w:firstLineChars="200"/>
        <w:rPr>
          <w:rFonts w:ascii="宋体" w:hAnsi="宋体"/>
          <w:color w:val="auto"/>
          <w:highlight w:val="none"/>
        </w:rPr>
      </w:pPr>
      <w:r>
        <w:rPr>
          <w:rFonts w:hint="eastAsia" w:ascii="宋体" w:hAnsi="宋体"/>
          <w:color w:val="auto"/>
          <w:highlight w:val="none"/>
        </w:rPr>
        <w:t>4）总价金额与按单价汇总金额不一致的，以单价金额计算结果为准。</w:t>
      </w:r>
    </w:p>
    <w:p>
      <w:pPr>
        <w:ind w:firstLine="420" w:firstLineChars="200"/>
        <w:rPr>
          <w:rFonts w:ascii="宋体" w:hAnsi="宋体"/>
          <w:color w:val="auto"/>
          <w:highlight w:val="none"/>
        </w:rPr>
      </w:pPr>
      <w:r>
        <w:rPr>
          <w:rFonts w:hint="eastAsia" w:ascii="宋体" w:hAnsi="宋体"/>
          <w:color w:val="auto"/>
          <w:highlight w:val="none"/>
        </w:rPr>
        <w:t>同时出现两种以上不一致的，按照前款规定的顺序修正。修正后的报价由供应商确认，采用书面形式，并加盖公章，或者由法定代表人或其授权代表签字。经供应商确认后产生约束力，供应商不确认的，其响应无效。</w:t>
      </w:r>
    </w:p>
    <w:p>
      <w:pPr>
        <w:ind w:firstLine="420" w:firstLineChars="200"/>
        <w:rPr>
          <w:rFonts w:ascii="宋体" w:hAnsi="宋体"/>
          <w:color w:val="auto"/>
          <w:highlight w:val="none"/>
        </w:rPr>
      </w:pPr>
      <w:r>
        <w:rPr>
          <w:rFonts w:hint="eastAsia" w:ascii="宋体" w:hAnsi="宋体"/>
          <w:color w:val="auto"/>
          <w:highlight w:val="none"/>
        </w:rPr>
        <w:t>询价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询价小组将其作为无效响应处理。</w:t>
      </w:r>
    </w:p>
    <w:p>
      <w:pPr>
        <w:snapToGrid w:val="0"/>
        <w:ind w:firstLine="420" w:firstLineChars="200"/>
        <w:rPr>
          <w:rFonts w:ascii="宋体" w:hAnsi="宋体" w:cs="Arial"/>
          <w:color w:val="auto"/>
          <w:highlight w:val="none"/>
        </w:rPr>
      </w:pPr>
    </w:p>
    <w:bookmarkEnd w:id="8"/>
    <w:p>
      <w:pPr>
        <w:pStyle w:val="3"/>
        <w:rPr>
          <w:rFonts w:ascii="宋体" w:hAnsi="宋体"/>
          <w:color w:val="auto"/>
          <w:highlight w:val="none"/>
        </w:rPr>
      </w:pPr>
      <w:r>
        <w:rPr>
          <w:rFonts w:ascii="宋体" w:hAnsi="宋体"/>
          <w:color w:val="auto"/>
          <w:highlight w:val="none"/>
        </w:rPr>
        <w:br w:type="page"/>
      </w:r>
      <w:bookmarkStart w:id="30" w:name="_Toc23519157"/>
      <w:bookmarkStart w:id="31" w:name="_Toc23519006"/>
      <w:bookmarkStart w:id="32" w:name="_Toc84582100"/>
      <w:bookmarkStart w:id="33" w:name="_Toc84581859"/>
      <w:bookmarkStart w:id="34" w:name="_Toc482633076"/>
      <w:r>
        <w:rPr>
          <w:rFonts w:hint="eastAsia"/>
          <w:color w:val="auto"/>
          <w:highlight w:val="none"/>
        </w:rPr>
        <w:t>第五章</w:t>
      </w:r>
      <w:r>
        <w:rPr>
          <w:color w:val="auto"/>
          <w:highlight w:val="none"/>
        </w:rPr>
        <w:t xml:space="preserve">  </w:t>
      </w:r>
      <w:r>
        <w:rPr>
          <w:rFonts w:hint="eastAsia"/>
          <w:color w:val="auto"/>
          <w:highlight w:val="none"/>
        </w:rPr>
        <w:t>合同文本</w:t>
      </w:r>
      <w:bookmarkEnd w:id="30"/>
      <w:bookmarkEnd w:id="31"/>
      <w:bookmarkEnd w:id="32"/>
      <w:bookmarkEnd w:id="33"/>
    </w:p>
    <w:p>
      <w:pPr>
        <w:pStyle w:val="159"/>
        <w:spacing w:line="360" w:lineRule="auto"/>
        <w:ind w:left="0" w:leftChars="0" w:firstLine="480"/>
        <w:rPr>
          <w:rFonts w:ascii="宋体" w:hAnsi="宋体"/>
          <w:color w:val="auto"/>
          <w:highlight w:val="none"/>
        </w:rPr>
      </w:pPr>
      <w:bookmarkStart w:id="35" w:name="_Toc103956895"/>
      <w:bookmarkEnd w:id="35"/>
      <w:r>
        <w:rPr>
          <w:rFonts w:hint="eastAsia" w:ascii="宋体" w:hAnsi="宋体"/>
          <w:color w:val="auto"/>
          <w:highlight w:val="none"/>
        </w:rPr>
        <w:t>甲方（采购人）：</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乙方（成交供应商）：</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根据</w:t>
      </w:r>
      <w:r>
        <w:rPr>
          <w:rFonts w:hint="eastAsia" w:ascii="宋体" w:hAnsi="宋体" w:cs="宋体"/>
          <w:b w:val="0"/>
          <w:bCs w:val="0"/>
          <w:color w:val="auto"/>
          <w:szCs w:val="21"/>
          <w:highlight w:val="none"/>
          <w:u w:val="none"/>
          <w:lang w:eastAsia="zh-CN"/>
        </w:rPr>
        <w:t>宁波市公安局交通警察局2023年特种专业技术用车购置项目</w:t>
      </w:r>
      <w:r>
        <w:rPr>
          <w:rFonts w:hint="eastAsia" w:ascii="宋体" w:hAnsi="宋体" w:eastAsia="宋体" w:cs="宋体"/>
          <w:b w:val="0"/>
          <w:bCs w:val="0"/>
          <w:color w:val="auto"/>
          <w:szCs w:val="21"/>
          <w:highlight w:val="none"/>
          <w:u w:val="none"/>
        </w:rPr>
        <w:t>（项目编号：CBNB-20232467G询）的采购结果，按照中华人民共和国相关法律法规的规定，经双</w:t>
      </w:r>
      <w:r>
        <w:rPr>
          <w:rFonts w:hint="eastAsia" w:ascii="宋体" w:hAnsi="宋体"/>
          <w:b w:val="0"/>
          <w:bCs w:val="0"/>
          <w:color w:val="auto"/>
          <w:highlight w:val="none"/>
          <w:u w:val="none"/>
        </w:rPr>
        <w:t>方</w:t>
      </w:r>
      <w:r>
        <w:rPr>
          <w:rFonts w:hint="eastAsia" w:ascii="宋体" w:hAnsi="宋体"/>
          <w:color w:val="auto"/>
          <w:highlight w:val="none"/>
        </w:rPr>
        <w:t>协商，本着平等互利和诚实信用的原则，一致同意签订本合同如下。</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一、合同标的、数量</w:t>
      </w:r>
    </w:p>
    <w:tbl>
      <w:tblPr>
        <w:tblStyle w:val="4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31"/>
        <w:gridCol w:w="4280"/>
        <w:gridCol w:w="1843"/>
        <w:gridCol w:w="19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3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序号</w:t>
            </w:r>
          </w:p>
        </w:tc>
        <w:tc>
          <w:tcPr>
            <w:tcW w:w="4280" w:type="dxa"/>
            <w:tcBorders>
              <w:top w:val="single" w:color="000000" w:sz="4" w:space="0"/>
              <w:left w:val="single" w:color="000000" w:sz="4" w:space="0"/>
              <w:bottom w:val="single" w:color="000000" w:sz="4" w:space="0"/>
              <w:right w:val="single" w:color="auto"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产品名称</w:t>
            </w:r>
          </w:p>
        </w:tc>
        <w:tc>
          <w:tcPr>
            <w:tcW w:w="1843" w:type="dxa"/>
            <w:tcBorders>
              <w:top w:val="single" w:color="000000" w:sz="4" w:space="0"/>
              <w:left w:val="nil"/>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规格</w:t>
            </w:r>
          </w:p>
        </w:tc>
        <w:tc>
          <w:tcPr>
            <w:tcW w:w="19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3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1</w:t>
            </w:r>
          </w:p>
        </w:tc>
        <w:tc>
          <w:tcPr>
            <w:tcW w:w="4280" w:type="dxa"/>
            <w:tcBorders>
              <w:top w:val="single" w:color="000000" w:sz="4" w:space="0"/>
              <w:left w:val="single" w:color="000000" w:sz="4" w:space="0"/>
              <w:bottom w:val="single" w:color="000000" w:sz="4" w:space="0"/>
              <w:right w:val="single" w:color="auto" w:sz="4" w:space="0"/>
            </w:tcBorders>
            <w:vAlign w:val="center"/>
          </w:tcPr>
          <w:p>
            <w:pPr>
              <w:jc w:val="center"/>
              <w:rPr>
                <w:rFonts w:ascii="宋体" w:hAnsi="宋体"/>
                <w:color w:val="auto"/>
                <w:szCs w:val="21"/>
                <w:highlight w:val="none"/>
              </w:rPr>
            </w:pPr>
          </w:p>
        </w:tc>
        <w:tc>
          <w:tcPr>
            <w:tcW w:w="1843" w:type="dxa"/>
            <w:tcBorders>
              <w:top w:val="single" w:color="000000" w:sz="4" w:space="0"/>
              <w:left w:val="nil"/>
              <w:bottom w:val="single" w:color="000000" w:sz="4" w:space="0"/>
              <w:right w:val="single" w:color="000000" w:sz="4" w:space="0"/>
            </w:tcBorders>
            <w:vAlign w:val="center"/>
          </w:tcPr>
          <w:p>
            <w:pPr>
              <w:jc w:val="center"/>
              <w:rPr>
                <w:rFonts w:ascii="宋体" w:hAnsi="宋体"/>
                <w:color w:val="auto"/>
                <w:szCs w:val="21"/>
                <w:highlight w:val="none"/>
              </w:rPr>
            </w:pPr>
          </w:p>
        </w:tc>
        <w:tc>
          <w:tcPr>
            <w:tcW w:w="19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3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2</w:t>
            </w:r>
          </w:p>
        </w:tc>
        <w:tc>
          <w:tcPr>
            <w:tcW w:w="4280" w:type="dxa"/>
            <w:tcBorders>
              <w:top w:val="single" w:color="000000" w:sz="4" w:space="0"/>
              <w:left w:val="single" w:color="000000" w:sz="4" w:space="0"/>
              <w:bottom w:val="single" w:color="000000" w:sz="4" w:space="0"/>
              <w:right w:val="single" w:color="auto" w:sz="4" w:space="0"/>
            </w:tcBorders>
            <w:vAlign w:val="center"/>
          </w:tcPr>
          <w:p>
            <w:pPr>
              <w:jc w:val="center"/>
              <w:rPr>
                <w:rFonts w:ascii="宋体" w:hAnsi="宋体"/>
                <w:color w:val="auto"/>
                <w:szCs w:val="21"/>
                <w:highlight w:val="none"/>
              </w:rPr>
            </w:pPr>
          </w:p>
        </w:tc>
        <w:tc>
          <w:tcPr>
            <w:tcW w:w="1843" w:type="dxa"/>
            <w:tcBorders>
              <w:top w:val="single" w:color="000000" w:sz="4" w:space="0"/>
              <w:left w:val="nil"/>
              <w:bottom w:val="single" w:color="000000" w:sz="4" w:space="0"/>
              <w:right w:val="single" w:color="000000" w:sz="4" w:space="0"/>
            </w:tcBorders>
            <w:vAlign w:val="center"/>
          </w:tcPr>
          <w:p>
            <w:pPr>
              <w:jc w:val="center"/>
              <w:rPr>
                <w:rFonts w:ascii="宋体" w:hAnsi="宋体"/>
                <w:color w:val="auto"/>
                <w:szCs w:val="21"/>
                <w:highlight w:val="none"/>
              </w:rPr>
            </w:pPr>
          </w:p>
        </w:tc>
        <w:tc>
          <w:tcPr>
            <w:tcW w:w="19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3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w:t>
            </w:r>
          </w:p>
        </w:tc>
        <w:tc>
          <w:tcPr>
            <w:tcW w:w="4280" w:type="dxa"/>
            <w:tcBorders>
              <w:top w:val="single" w:color="000000" w:sz="4" w:space="0"/>
              <w:left w:val="single" w:color="000000" w:sz="4" w:space="0"/>
              <w:bottom w:val="single" w:color="000000" w:sz="4" w:space="0"/>
              <w:right w:val="single" w:color="auto" w:sz="4" w:space="0"/>
            </w:tcBorders>
            <w:vAlign w:val="center"/>
          </w:tcPr>
          <w:p>
            <w:pPr>
              <w:jc w:val="center"/>
              <w:rPr>
                <w:rFonts w:ascii="宋体" w:hAnsi="宋体"/>
                <w:color w:val="auto"/>
                <w:szCs w:val="21"/>
                <w:highlight w:val="none"/>
              </w:rPr>
            </w:pPr>
          </w:p>
        </w:tc>
        <w:tc>
          <w:tcPr>
            <w:tcW w:w="1843" w:type="dxa"/>
            <w:tcBorders>
              <w:top w:val="single" w:color="000000" w:sz="4" w:space="0"/>
              <w:left w:val="nil"/>
              <w:bottom w:val="single" w:color="000000" w:sz="4" w:space="0"/>
              <w:right w:val="single" w:color="000000" w:sz="4" w:space="0"/>
            </w:tcBorders>
            <w:vAlign w:val="center"/>
          </w:tcPr>
          <w:p>
            <w:pPr>
              <w:jc w:val="center"/>
              <w:rPr>
                <w:rFonts w:ascii="宋体" w:hAnsi="宋体"/>
                <w:color w:val="auto"/>
                <w:szCs w:val="21"/>
                <w:highlight w:val="none"/>
              </w:rPr>
            </w:pPr>
          </w:p>
        </w:tc>
        <w:tc>
          <w:tcPr>
            <w:tcW w:w="19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p>
        </w:tc>
      </w:tr>
    </w:tbl>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二、合同金额</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合同金额为（大写）：</w:t>
      </w:r>
      <w:r>
        <w:rPr>
          <w:rFonts w:hint="eastAsia" w:ascii="宋体" w:hAnsi="宋体"/>
          <w:color w:val="auto"/>
          <w:highlight w:val="none"/>
          <w:u w:val="single"/>
        </w:rPr>
        <w:t xml:space="preserve">           </w:t>
      </w:r>
      <w:r>
        <w:rPr>
          <w:rFonts w:hint="eastAsia" w:ascii="宋体" w:hAnsi="宋体"/>
          <w:color w:val="auto"/>
          <w:highlight w:val="none"/>
        </w:rPr>
        <w:t>元（￥</w:t>
      </w:r>
      <w:r>
        <w:rPr>
          <w:rFonts w:hint="eastAsia" w:ascii="宋体" w:hAnsi="宋体"/>
          <w:color w:val="auto"/>
          <w:highlight w:val="none"/>
          <w:u w:val="single"/>
        </w:rPr>
        <w:t xml:space="preserve">           </w:t>
      </w:r>
      <w:r>
        <w:rPr>
          <w:rFonts w:hint="eastAsia" w:ascii="宋体" w:hAnsi="宋体"/>
          <w:color w:val="auto"/>
          <w:highlight w:val="none"/>
        </w:rPr>
        <w:t>），本合同金额已包含但不仅限于产品费、人工费、包装费、运费、装卸费、改装调试费、培训费、质保服务费、税费、利润等在内所有与之相关的费用，除合同另有约定外，甲方无其他付款义务。</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三、质量要求</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1、产品质量必须执行国家相关标准、行业标准、地方标准或者其它标准、规范（从严）：具有国家规定的标准及规范的，按最新的标准及规范执行；具有行业标准及规范的，按最新的标准及规范执行；具有其他标准及规范的，按照最新的标准及规范执行。</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2、质保期：</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四、履行期限、履行地点和方式</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1、履行期限：合同签订生效之日起</w:t>
      </w:r>
      <w:r>
        <w:rPr>
          <w:rFonts w:hint="eastAsia" w:ascii="宋体" w:hAnsi="宋体"/>
          <w:color w:val="auto"/>
          <w:highlight w:val="none"/>
          <w:lang w:val="en-US" w:eastAsia="zh-CN"/>
        </w:rPr>
        <w:t>30</w:t>
      </w:r>
      <w:r>
        <w:rPr>
          <w:rFonts w:hint="eastAsia" w:ascii="宋体" w:hAnsi="宋体"/>
          <w:color w:val="auto"/>
          <w:highlight w:val="none"/>
        </w:rPr>
        <w:t>天内完成改装、供货调试并提交采购人验收合格。</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2、履行地点：采购人指定地点</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3、履行方式：供货方式</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五、付款方式</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1、付款进度安排：</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2、乙方收款账户信息：</w:t>
      </w:r>
    </w:p>
    <w:p>
      <w:pPr>
        <w:pStyle w:val="159"/>
        <w:spacing w:line="360" w:lineRule="auto"/>
        <w:ind w:left="0" w:leftChars="0" w:firstLine="447" w:firstLineChars="213"/>
        <w:rPr>
          <w:rFonts w:ascii="宋体" w:hAnsi="宋体"/>
          <w:bCs/>
          <w:color w:val="auto"/>
          <w:highlight w:val="none"/>
        </w:rPr>
      </w:pPr>
      <w:r>
        <w:rPr>
          <w:rFonts w:hint="eastAsia" w:ascii="宋体" w:hAnsi="宋体"/>
          <w:bCs/>
          <w:color w:val="auto"/>
          <w:highlight w:val="none"/>
        </w:rPr>
        <w:t>开户银行：</w:t>
      </w:r>
    </w:p>
    <w:p>
      <w:pPr>
        <w:pStyle w:val="159"/>
        <w:spacing w:line="360" w:lineRule="auto"/>
        <w:ind w:left="0" w:leftChars="0" w:firstLine="447" w:firstLineChars="213"/>
        <w:rPr>
          <w:rFonts w:ascii="宋体" w:hAnsi="宋体"/>
          <w:bCs/>
          <w:color w:val="auto"/>
          <w:highlight w:val="none"/>
        </w:rPr>
      </w:pPr>
      <w:r>
        <w:rPr>
          <w:rFonts w:hint="eastAsia" w:ascii="宋体" w:hAnsi="宋体"/>
          <w:bCs/>
          <w:color w:val="auto"/>
          <w:highlight w:val="none"/>
        </w:rPr>
        <w:t>户名：</w:t>
      </w:r>
    </w:p>
    <w:p>
      <w:pPr>
        <w:pStyle w:val="159"/>
        <w:spacing w:line="360" w:lineRule="auto"/>
        <w:ind w:left="0" w:leftChars="0" w:firstLine="447" w:firstLineChars="213"/>
        <w:rPr>
          <w:rFonts w:ascii="宋体" w:hAnsi="宋体"/>
          <w:color w:val="auto"/>
          <w:highlight w:val="none"/>
        </w:rPr>
      </w:pPr>
      <w:r>
        <w:rPr>
          <w:rFonts w:hint="eastAsia" w:ascii="宋体" w:hAnsi="宋体"/>
          <w:bCs/>
          <w:color w:val="auto"/>
          <w:highlight w:val="none"/>
        </w:rPr>
        <w:t>账号：</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3、收款方、出具发票方、合同乙方均必须与成交供应商名称一致。</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4、乙方凭以下有效文件与甲方结算：1）合同；2）乙方开具的合格的发票；3）成交通知书。</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六、包装方式：产品的外包装为产品制造商的出厂原包装，拆零产品可以为其他有效保护产品的可靠包装。</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七、验收要求（检验标准和方法）</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按照询价通知书要求、乙方的响应文件（承诺）及合同约定进行验收。</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八、知识产权归属</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乙方保证本项目的技术、服务或其任何一部分不会产生因第三方提出侵犯其专利权、商标权或其他知识产权而引起的法律和经济纠纷；如因第三方提出其专利权、商标权或其他知识产权的侵权之诉，则一切法律及经济责任由乙方承担。</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九、保密</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乙方在本协议履行期间获悉的甲方未向社会公开或只在一定范围内公开的信息、经验、技术、资料等，均为甲方商业秘密，乙方及其雇员负有严格保密义务。乙方在项目实施过程中，对甲方所提供的商业秘密，乙方及其雇员负有严格保密义务，未经甲方书面同意不得向任何第三人泄露，且保密责任不因合同的终止或解除而失效。如甲方提出要求，乙方须无条件与甲方签定保密协议。项目完成后，乙方须把甲方提供的所有资料、数据完整归还甲方，并不得留存任何形式的复制品。</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十、违约责任与赔偿损失</w:t>
      </w:r>
    </w:p>
    <w:p>
      <w:pPr>
        <w:ind w:firstLine="424" w:firstLineChars="202"/>
        <w:rPr>
          <w:rFonts w:ascii="宋体" w:hAnsi="宋体"/>
          <w:color w:val="auto"/>
          <w:highlight w:val="none"/>
        </w:rPr>
      </w:pPr>
      <w:r>
        <w:rPr>
          <w:rFonts w:hint="eastAsia" w:ascii="宋体" w:hAnsi="宋体"/>
          <w:color w:val="auto"/>
          <w:highlight w:val="none"/>
        </w:rPr>
        <w:t>1、本合同项下产品在交货、安装调试、验收及质保期等任何阶段内不符合合同约定的技术规范要求和验收标准的，甲方有权向乙方索赔。</w:t>
      </w:r>
    </w:p>
    <w:p>
      <w:pPr>
        <w:ind w:firstLine="424" w:firstLineChars="202"/>
        <w:rPr>
          <w:rFonts w:ascii="宋体" w:hAnsi="宋体"/>
          <w:color w:val="auto"/>
          <w:highlight w:val="none"/>
        </w:rPr>
      </w:pPr>
      <w:r>
        <w:rPr>
          <w:rFonts w:hint="eastAsia" w:ascii="宋体" w:hAnsi="宋体"/>
          <w:color w:val="auto"/>
          <w:highlight w:val="none"/>
        </w:rPr>
        <w:t>并选择下列一项或多项补救措施：</w:t>
      </w:r>
    </w:p>
    <w:p>
      <w:pPr>
        <w:ind w:firstLine="424" w:firstLineChars="202"/>
        <w:rPr>
          <w:rFonts w:ascii="宋体" w:hAnsi="宋体"/>
          <w:color w:val="auto"/>
          <w:highlight w:val="none"/>
        </w:rPr>
      </w:pPr>
      <w:r>
        <w:rPr>
          <w:rFonts w:hint="eastAsia" w:ascii="宋体" w:hAnsi="宋体"/>
          <w:color w:val="auto"/>
          <w:highlight w:val="none"/>
        </w:rPr>
        <w:t>（1）由乙方采取措施消除设备缺陷或不符合合同之处，如果乙方不能及时消除缺陷，甲方有权自行消除缺陷或不符合合同之处，由此产生的一切费用均由乙方承担。</w:t>
      </w:r>
    </w:p>
    <w:p>
      <w:pPr>
        <w:ind w:firstLine="424" w:firstLineChars="202"/>
        <w:rPr>
          <w:rFonts w:ascii="宋体" w:hAnsi="宋体"/>
          <w:color w:val="auto"/>
          <w:highlight w:val="none"/>
        </w:rPr>
      </w:pPr>
      <w:r>
        <w:rPr>
          <w:rFonts w:hint="eastAsia" w:ascii="宋体" w:hAnsi="宋体"/>
          <w:color w:val="auto"/>
          <w:highlight w:val="none"/>
        </w:rPr>
        <w:t>（2）由乙方在接到甲方通知后</w:t>
      </w:r>
      <w:r>
        <w:rPr>
          <w:rFonts w:hint="eastAsia" w:ascii="宋体" w:hAnsi="宋体"/>
          <w:color w:val="auto"/>
          <w:highlight w:val="none"/>
          <w:u w:val="single"/>
        </w:rPr>
        <w:t xml:space="preserve"> 2 </w:t>
      </w:r>
      <w:r>
        <w:rPr>
          <w:rFonts w:hint="eastAsia" w:ascii="宋体" w:hAnsi="宋体"/>
          <w:color w:val="auto"/>
          <w:highlight w:val="none"/>
        </w:rPr>
        <w:t>日内用符合合同规定的规格、质量和性能要求的新零件、部件和设备更换有缺陷的设备或用新的技术资料替换有错误的技术资料或补供遗漏的设备或技术资料等，乙方应承担一切费用和风险并负担给甲方造成的全部损失。</w:t>
      </w:r>
    </w:p>
    <w:p>
      <w:pPr>
        <w:ind w:firstLine="424" w:firstLineChars="202"/>
        <w:rPr>
          <w:rFonts w:ascii="宋体" w:hAnsi="宋体"/>
          <w:color w:val="auto"/>
          <w:highlight w:val="none"/>
        </w:rPr>
      </w:pPr>
      <w:r>
        <w:rPr>
          <w:rFonts w:hint="eastAsia" w:ascii="宋体" w:hAnsi="宋体"/>
          <w:color w:val="auto"/>
          <w:highlight w:val="none"/>
        </w:rPr>
        <w:t>（3）退货，乙方应退还甲方支付的全部合同款，同时应承担该产品的直接费用（运输、装卸、保险、检验、货款利息及银行手续费等）。</w:t>
      </w:r>
    </w:p>
    <w:p>
      <w:pPr>
        <w:ind w:firstLine="424" w:firstLineChars="202"/>
        <w:rPr>
          <w:rFonts w:ascii="宋体" w:hAnsi="宋体"/>
          <w:color w:val="auto"/>
          <w:highlight w:val="none"/>
        </w:rPr>
      </w:pPr>
      <w:r>
        <w:rPr>
          <w:rFonts w:hint="eastAsia" w:ascii="宋体" w:hAnsi="宋体"/>
          <w:color w:val="auto"/>
          <w:highlight w:val="none"/>
        </w:rPr>
        <w:t>2、甲方无正当理由拒收产品的，应向乙方偿付拒收产品总值</w:t>
      </w:r>
      <w:r>
        <w:rPr>
          <w:rFonts w:hint="eastAsia" w:ascii="宋体" w:hAnsi="宋体"/>
          <w:color w:val="auto"/>
          <w:highlight w:val="none"/>
          <w:u w:val="single"/>
        </w:rPr>
        <w:t xml:space="preserve"> 5 %</w:t>
      </w:r>
      <w:r>
        <w:rPr>
          <w:rFonts w:hint="eastAsia" w:ascii="宋体" w:hAnsi="宋体"/>
          <w:color w:val="auto"/>
          <w:highlight w:val="none"/>
        </w:rPr>
        <w:t>的违约金。</w:t>
      </w:r>
    </w:p>
    <w:p>
      <w:pPr>
        <w:ind w:firstLine="424" w:firstLineChars="202"/>
        <w:rPr>
          <w:rFonts w:ascii="宋体" w:hAnsi="宋体"/>
          <w:color w:val="auto"/>
          <w:highlight w:val="none"/>
        </w:rPr>
      </w:pPr>
      <w:r>
        <w:rPr>
          <w:rFonts w:hint="eastAsia" w:ascii="宋体" w:hAnsi="宋体"/>
          <w:color w:val="auto"/>
          <w:highlight w:val="none"/>
        </w:rPr>
        <w:t>3、甲方无故逾期验收和办理合同款支付手续的，每逾期一日，应按逾期付款总额</w:t>
      </w:r>
      <w:r>
        <w:rPr>
          <w:rFonts w:hint="eastAsia" w:ascii="宋体" w:hAnsi="宋体"/>
          <w:color w:val="auto"/>
          <w:highlight w:val="none"/>
          <w:u w:val="single"/>
        </w:rPr>
        <w:t xml:space="preserve"> 0.5 ‰</w:t>
      </w:r>
      <w:r>
        <w:rPr>
          <w:rFonts w:hint="eastAsia" w:ascii="宋体" w:hAnsi="宋体"/>
          <w:color w:val="auto"/>
          <w:highlight w:val="none"/>
        </w:rPr>
        <w:t>向乙方支付违约金，违约金以合同总额的5%为上限。</w:t>
      </w:r>
    </w:p>
    <w:p>
      <w:pPr>
        <w:ind w:firstLine="424" w:firstLineChars="202"/>
        <w:rPr>
          <w:rFonts w:ascii="宋体" w:hAnsi="宋体"/>
          <w:color w:val="auto"/>
          <w:highlight w:val="none"/>
        </w:rPr>
      </w:pPr>
      <w:r>
        <w:rPr>
          <w:rFonts w:hint="eastAsia" w:ascii="宋体" w:hAnsi="宋体"/>
          <w:color w:val="auto"/>
          <w:highlight w:val="none"/>
        </w:rPr>
        <w:t>4、乙方逾期完工的，每逾期一日，应按合同总额</w:t>
      </w:r>
      <w:r>
        <w:rPr>
          <w:rFonts w:hint="eastAsia" w:ascii="宋体" w:hAnsi="宋体"/>
          <w:color w:val="auto"/>
          <w:highlight w:val="none"/>
          <w:u w:val="single"/>
        </w:rPr>
        <w:t xml:space="preserve"> 0.5 ‰</w:t>
      </w:r>
      <w:r>
        <w:rPr>
          <w:rFonts w:hint="eastAsia" w:ascii="宋体" w:hAnsi="宋体"/>
          <w:color w:val="auto"/>
          <w:highlight w:val="none"/>
        </w:rPr>
        <w:t>向甲方支付违约金。逾期超过约定日期</w:t>
      </w:r>
      <w:r>
        <w:rPr>
          <w:rFonts w:hint="eastAsia" w:ascii="宋体" w:hAnsi="宋体"/>
          <w:color w:val="auto"/>
          <w:highlight w:val="none"/>
          <w:u w:val="single"/>
        </w:rPr>
        <w:t xml:space="preserve"> 5 </w:t>
      </w:r>
      <w:r>
        <w:rPr>
          <w:rFonts w:hint="eastAsia" w:ascii="宋体" w:hAnsi="宋体"/>
          <w:color w:val="auto"/>
          <w:highlight w:val="none"/>
        </w:rPr>
        <w:t>日不能完工的，甲方有权解除本合同，并要求乙方支付合同总额</w:t>
      </w:r>
      <w:r>
        <w:rPr>
          <w:rFonts w:hint="eastAsia" w:ascii="宋体" w:hAnsi="宋体"/>
          <w:color w:val="auto"/>
          <w:highlight w:val="none"/>
          <w:u w:val="single"/>
        </w:rPr>
        <w:t xml:space="preserve"> 5 %</w:t>
      </w:r>
      <w:r>
        <w:rPr>
          <w:rFonts w:hint="eastAsia" w:ascii="宋体" w:hAnsi="宋体"/>
          <w:color w:val="auto"/>
          <w:highlight w:val="none"/>
        </w:rPr>
        <w:t>的违约金。</w:t>
      </w:r>
    </w:p>
    <w:p>
      <w:pPr>
        <w:ind w:firstLine="424" w:firstLineChars="202"/>
        <w:rPr>
          <w:rFonts w:ascii="宋体" w:hAnsi="宋体"/>
          <w:color w:val="auto"/>
          <w:highlight w:val="none"/>
        </w:rPr>
      </w:pPr>
      <w:r>
        <w:rPr>
          <w:rFonts w:hint="eastAsia" w:ascii="宋体" w:hAnsi="宋体"/>
          <w:color w:val="auto"/>
          <w:highlight w:val="none"/>
        </w:rPr>
        <w:t>乙方未在约定时间内完成安装调试的，参照前款约定承担违约责任。</w:t>
      </w:r>
    </w:p>
    <w:p>
      <w:pPr>
        <w:ind w:firstLine="424" w:firstLineChars="202"/>
        <w:rPr>
          <w:rFonts w:ascii="宋体" w:hAnsi="宋体"/>
          <w:color w:val="auto"/>
          <w:highlight w:val="none"/>
        </w:rPr>
      </w:pPr>
      <w:r>
        <w:rPr>
          <w:rFonts w:hint="eastAsia" w:ascii="宋体" w:hAnsi="宋体"/>
          <w:color w:val="auto"/>
          <w:highlight w:val="none"/>
        </w:rPr>
        <w:t>5、乙方所交付的产品品种、型号、规格、技术参数、质量不符合合同规定及询价通知书规定标准的，甲方有权拒收该产品，乙方愿意更换但逾期交货的，按乙方逾期交货处理。乙方拒绝更换产品的，甲方可单方面解除合同，并要求乙方支付合同总额</w:t>
      </w:r>
      <w:r>
        <w:rPr>
          <w:rFonts w:hint="eastAsia" w:ascii="宋体" w:hAnsi="宋体"/>
          <w:color w:val="auto"/>
          <w:highlight w:val="none"/>
          <w:u w:val="single"/>
        </w:rPr>
        <w:t xml:space="preserve"> 5 %</w:t>
      </w:r>
      <w:r>
        <w:rPr>
          <w:rFonts w:hint="eastAsia" w:ascii="宋体" w:hAnsi="宋体"/>
          <w:color w:val="auto"/>
          <w:highlight w:val="none"/>
        </w:rPr>
        <w:t>的违约金，违约金不足以弥补甲方损失的，乙方还应负责赔偿。</w:t>
      </w:r>
    </w:p>
    <w:p>
      <w:pPr>
        <w:ind w:firstLine="424" w:firstLineChars="202"/>
        <w:rPr>
          <w:rFonts w:ascii="宋体" w:hAnsi="宋体"/>
          <w:color w:val="auto"/>
          <w:highlight w:val="none"/>
        </w:rPr>
      </w:pPr>
      <w:r>
        <w:rPr>
          <w:rFonts w:hint="eastAsia" w:ascii="宋体" w:hAnsi="宋体"/>
          <w:color w:val="auto"/>
          <w:highlight w:val="none"/>
        </w:rPr>
        <w:t>6、乙方未能按约定要求履行保修义务的，每发生一次应向甲方支付</w:t>
      </w:r>
      <w:r>
        <w:rPr>
          <w:rFonts w:hint="eastAsia" w:ascii="宋体" w:hAnsi="宋体"/>
          <w:color w:val="auto"/>
          <w:highlight w:val="none"/>
          <w:u w:val="single"/>
        </w:rPr>
        <w:t xml:space="preserve"> 500 </w:t>
      </w:r>
      <w:r>
        <w:rPr>
          <w:rFonts w:hint="eastAsia" w:ascii="宋体" w:hAnsi="宋体"/>
          <w:color w:val="auto"/>
          <w:highlight w:val="none"/>
        </w:rPr>
        <w:t>元的违约金，同时，甲方有权委托第三方进行保修，所产生的费用由乙方承担。若因产品缺陷或乙方服务质量等问题造成甲方或任何人员人身、财产损害的，乙方应承担有关责任并作出相应赔偿。</w:t>
      </w:r>
    </w:p>
    <w:p>
      <w:pPr>
        <w:ind w:firstLine="424" w:firstLineChars="202"/>
        <w:rPr>
          <w:rFonts w:ascii="宋体" w:hAnsi="宋体"/>
          <w:color w:val="auto"/>
          <w:highlight w:val="none"/>
        </w:rPr>
      </w:pPr>
      <w:r>
        <w:rPr>
          <w:rFonts w:hint="eastAsia" w:ascii="宋体" w:hAnsi="宋体"/>
          <w:color w:val="auto"/>
          <w:highlight w:val="none"/>
        </w:rPr>
        <w:t>7、因乙方其他违约行为导致甲方解除合同的，乙方应向甲方支付合同总额</w:t>
      </w:r>
      <w:r>
        <w:rPr>
          <w:rFonts w:hint="eastAsia" w:ascii="宋体" w:hAnsi="宋体"/>
          <w:color w:val="auto"/>
          <w:highlight w:val="none"/>
          <w:u w:val="single"/>
        </w:rPr>
        <w:t xml:space="preserve"> 5 %</w:t>
      </w:r>
      <w:r>
        <w:rPr>
          <w:rFonts w:hint="eastAsia" w:ascii="宋体" w:hAnsi="宋体"/>
          <w:color w:val="auto"/>
          <w:highlight w:val="none"/>
        </w:rPr>
        <w:t>的违约金，如造成甲方损失超过违约金的，超出部分由乙方继续承担赔偿责任。</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8、乙方违规出现转包和分包的情况，甲方有权解除合同，并由乙方承担全部赔偿责任，按合同总额30%承担违约责任并赔偿相应损失。</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9、本合同项下损失包括直接损失与间接损失，包括但不限于：另行采购的费用、另行采购费的差额、维修费、向第三人支付的赔付款以及为主张自身权利所支出的律师费、保全费、担保费、公证费、检测费、差旅费等。</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十一、争端的解决</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合同执行过程中发生的任何争议，如双方不能通过友好协商解决可向甲方所在地人民法院提起诉讼。</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十二、不可抗力</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任何一方由于不可抗力原因不能履行合同时，应在不可抗力事件发生后 2 日内向对方通报，以减轻可能给对方造成的损失，在取得有关机构的不可抗力证明或双方谅解确认后，允许延期履行或修订合同，并根据情况可部分或全部免于承担违约责任。</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十三、税费</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在中国境内、外发生的与本合同执行有关的税费由乙方负担。</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十四、其它</w:t>
      </w:r>
    </w:p>
    <w:p>
      <w:pPr>
        <w:pStyle w:val="159"/>
        <w:spacing w:line="360" w:lineRule="auto"/>
        <w:ind w:left="0" w:leftChars="0" w:firstLine="447" w:firstLineChars="213"/>
        <w:rPr>
          <w:rFonts w:ascii="宋体" w:hAnsi="宋体" w:cs="等线"/>
          <w:bCs/>
          <w:color w:val="auto"/>
          <w:highlight w:val="none"/>
        </w:rPr>
      </w:pPr>
      <w:r>
        <w:rPr>
          <w:rFonts w:hint="eastAsia" w:ascii="宋体" w:hAnsi="宋体"/>
          <w:color w:val="auto"/>
          <w:highlight w:val="none"/>
        </w:rPr>
        <w:t>1、</w:t>
      </w:r>
      <w:r>
        <w:rPr>
          <w:rFonts w:hint="eastAsia" w:ascii="宋体" w:hAnsi="宋体" w:cs="等线"/>
          <w:bCs/>
          <w:color w:val="auto"/>
          <w:highlight w:val="none"/>
        </w:rPr>
        <w:t>本项目询价通知书及乙方响应文件为本合同附属文件，合同中未明确的以询价通知书为准。</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2、在执行本合同的过程中，所有经双方签署确认的文件（包括会议纪要、补充协议、往来信函）即成为本合同的有效组成部分。</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3、本合同文尾所载的联系方式为有效的联系方式，同时作为日后发生纠纷时包括法律文书在内的一切文件、信息送达的地址。相关文件、</w:t>
      </w:r>
      <w:r>
        <w:rPr>
          <w:rFonts w:hint="eastAsia" w:ascii="宋体" w:hAnsi="宋体" w:cs="仿宋_GB2312"/>
          <w:color w:val="auto"/>
          <w:highlight w:val="none"/>
        </w:rPr>
        <w:t>信息</w:t>
      </w:r>
      <w:r>
        <w:rPr>
          <w:rFonts w:hint="eastAsia" w:ascii="宋体" w:hAnsi="宋体"/>
          <w:color w:val="auto"/>
          <w:highlight w:val="none"/>
        </w:rPr>
        <w:t>通过电子方式发送成功或/及投邮后5日即视为送达。如一方联系方式有变更，应及时书面通知对方，否则，由未通知或未及时通知方自行承担不利后果。</w:t>
      </w:r>
    </w:p>
    <w:p>
      <w:pPr>
        <w:pStyle w:val="159"/>
        <w:spacing w:line="360" w:lineRule="auto"/>
        <w:ind w:left="0" w:leftChars="0" w:firstLine="447" w:firstLineChars="213"/>
        <w:rPr>
          <w:rFonts w:hAnsi="宋体" w:cs="等线"/>
          <w:bCs/>
          <w:color w:val="auto"/>
          <w:highlight w:val="none"/>
        </w:rPr>
      </w:pPr>
      <w:r>
        <w:rPr>
          <w:rFonts w:hint="eastAsia" w:hAnsi="宋体" w:cs="等线"/>
          <w:bCs/>
          <w:color w:val="auto"/>
          <w:highlight w:val="none"/>
        </w:rPr>
        <w:t>4、除甲方事先书面同意外，乙方不得部分或全部转让其应履行的合同项下的义务。</w:t>
      </w:r>
    </w:p>
    <w:p>
      <w:pPr>
        <w:pStyle w:val="159"/>
        <w:spacing w:line="360" w:lineRule="auto"/>
        <w:ind w:left="0" w:leftChars="0" w:firstLine="447" w:firstLineChars="213"/>
        <w:rPr>
          <w:rFonts w:hAnsi="宋体" w:cs="等线"/>
          <w:bCs/>
          <w:color w:val="auto"/>
          <w:highlight w:val="none"/>
        </w:rPr>
      </w:pPr>
      <w:r>
        <w:rPr>
          <w:rFonts w:hint="eastAsia" w:hAnsi="宋体" w:cs="等线"/>
          <w:bCs/>
          <w:color w:val="auto"/>
          <w:highlight w:val="none"/>
        </w:rPr>
        <w:t>5、在合同执行过程中，乙方应自行承担由于其行为所造成的自身以及第三方的人身伤害、财产损失或损坏的责任。</w:t>
      </w:r>
    </w:p>
    <w:p>
      <w:pPr>
        <w:pStyle w:val="159"/>
        <w:spacing w:line="360" w:lineRule="auto"/>
        <w:ind w:left="0" w:leftChars="0" w:firstLine="447" w:firstLineChars="213"/>
        <w:rPr>
          <w:rFonts w:hAnsi="宋体" w:cs="等线"/>
          <w:bCs/>
          <w:color w:val="auto"/>
          <w:highlight w:val="none"/>
        </w:rPr>
      </w:pPr>
      <w:r>
        <w:rPr>
          <w:rFonts w:hint="eastAsia" w:hAnsi="宋体" w:cs="等线"/>
          <w:bCs/>
          <w:color w:val="auto"/>
          <w:highlight w:val="none"/>
        </w:rPr>
        <w:t>6、本合同出现下列情况时终止：期限届满时自行终止；出现合同中列出的终止事由；法律规定的终止事由。</w:t>
      </w:r>
    </w:p>
    <w:p>
      <w:pPr>
        <w:pStyle w:val="159"/>
        <w:spacing w:line="360" w:lineRule="auto"/>
        <w:ind w:left="0" w:leftChars="0" w:firstLine="447" w:firstLineChars="213"/>
        <w:rPr>
          <w:rFonts w:hAnsi="宋体" w:cs="等线"/>
          <w:bCs/>
          <w:color w:val="auto"/>
          <w:highlight w:val="none"/>
        </w:rPr>
      </w:pPr>
      <w:r>
        <w:rPr>
          <w:rFonts w:hint="eastAsia" w:hAnsi="宋体" w:cs="等线"/>
          <w:bCs/>
          <w:color w:val="auto"/>
          <w:highlight w:val="none"/>
        </w:rPr>
        <w:t>7、合同文件的组成及解释顺序：合同；成交通知书；询价通知书、响应文件及其附件。</w:t>
      </w:r>
    </w:p>
    <w:p>
      <w:pPr>
        <w:pStyle w:val="159"/>
        <w:spacing w:line="360" w:lineRule="auto"/>
        <w:ind w:left="0" w:leftChars="0" w:firstLine="447" w:firstLineChars="213"/>
        <w:rPr>
          <w:rFonts w:hAnsi="宋体" w:cs="等线"/>
          <w:bCs/>
          <w:color w:val="auto"/>
          <w:highlight w:val="none"/>
        </w:rPr>
      </w:pPr>
      <w:r>
        <w:rPr>
          <w:rFonts w:hint="eastAsia" w:hAnsi="宋体" w:cs="等线"/>
          <w:bCs/>
          <w:color w:val="auto"/>
          <w:highlight w:val="none"/>
        </w:rPr>
        <w:t>8、本合同未尽事宜，遵照《中华人民共和国民法典》有关条文执行。双方可签补充协议作为附件，补充协议与本合同具有同等效力。</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十五、合同生效</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1、</w:t>
      </w:r>
      <w:r>
        <w:rPr>
          <w:rFonts w:hint="eastAsia" w:ascii="宋体" w:hAnsi="宋体" w:cs="等线"/>
          <w:bCs/>
          <w:color w:val="auto"/>
          <w:highlight w:val="none"/>
        </w:rPr>
        <w:t>本合同自甲乙双方法定代表人或委托代理人签字、盖章之日起生效。</w:t>
      </w:r>
    </w:p>
    <w:p>
      <w:pPr>
        <w:pStyle w:val="22"/>
        <w:spacing w:before="120" w:after="120" w:line="360" w:lineRule="auto"/>
        <w:ind w:firstLine="420" w:firstLineChars="200"/>
        <w:rPr>
          <w:rFonts w:hAnsi="宋体" w:cs="等线"/>
          <w:bCs/>
          <w:color w:val="auto"/>
          <w:sz w:val="21"/>
          <w:szCs w:val="21"/>
          <w:highlight w:val="none"/>
        </w:rPr>
      </w:pPr>
      <w:r>
        <w:rPr>
          <w:rFonts w:hint="eastAsia" w:hAnsi="宋体"/>
          <w:color w:val="auto"/>
          <w:sz w:val="21"/>
          <w:szCs w:val="21"/>
          <w:highlight w:val="none"/>
        </w:rPr>
        <w:t>2、</w:t>
      </w:r>
      <w:r>
        <w:rPr>
          <w:rFonts w:hint="eastAsia" w:hAnsi="宋体" w:cs="等线"/>
          <w:bCs/>
          <w:color w:val="auto"/>
          <w:sz w:val="21"/>
          <w:szCs w:val="21"/>
          <w:highlight w:val="none"/>
        </w:rPr>
        <w:t>本合同正本一式</w:t>
      </w:r>
      <w:r>
        <w:rPr>
          <w:rFonts w:hint="eastAsia" w:hAnsi="宋体" w:cs="等线"/>
          <w:bCs/>
          <w:color w:val="auto"/>
          <w:sz w:val="21"/>
          <w:szCs w:val="21"/>
          <w:highlight w:val="none"/>
          <w:u w:val="single"/>
        </w:rPr>
        <w:t xml:space="preserve">    </w:t>
      </w:r>
      <w:r>
        <w:rPr>
          <w:rFonts w:hint="eastAsia" w:hAnsi="宋体" w:cs="等线"/>
          <w:bCs/>
          <w:color w:val="auto"/>
          <w:sz w:val="21"/>
          <w:szCs w:val="21"/>
          <w:highlight w:val="none"/>
        </w:rPr>
        <w:t>份，甲乙双方各执</w:t>
      </w:r>
      <w:r>
        <w:rPr>
          <w:rFonts w:hint="eastAsia" w:hAnsi="宋体" w:cs="等线"/>
          <w:bCs/>
          <w:color w:val="auto"/>
          <w:sz w:val="21"/>
          <w:szCs w:val="21"/>
          <w:highlight w:val="none"/>
          <w:u w:val="single"/>
        </w:rPr>
        <w:t xml:space="preserve">    </w:t>
      </w:r>
      <w:r>
        <w:rPr>
          <w:rFonts w:hint="eastAsia" w:hAnsi="宋体" w:cs="等线"/>
          <w:bCs/>
          <w:color w:val="auto"/>
          <w:sz w:val="21"/>
          <w:szCs w:val="21"/>
          <w:highlight w:val="none"/>
        </w:rPr>
        <w:t>份，具有同等法律效力。</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3、合同签订时间：      年   月   日</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4、合同订立地点：</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 xml:space="preserve"> </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甲方：                              乙方：</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地址：                              地址：</w:t>
      </w:r>
    </w:p>
    <w:p>
      <w:pPr>
        <w:pStyle w:val="159"/>
        <w:spacing w:line="360" w:lineRule="auto"/>
        <w:ind w:left="0" w:leftChars="0" w:firstLine="447" w:firstLineChars="213"/>
        <w:rPr>
          <w:rFonts w:ascii="宋体" w:hAnsi="宋体"/>
          <w:color w:val="auto"/>
          <w:highlight w:val="none"/>
        </w:rPr>
      </w:pPr>
      <w:r>
        <w:rPr>
          <w:rFonts w:hint="eastAsia" w:ascii="宋体" w:hAnsi="宋体"/>
          <w:color w:val="auto"/>
          <w:highlight w:val="none"/>
        </w:rPr>
        <w:t>法定代表人或授权代表：              法定代表人或授权代表：</w:t>
      </w:r>
    </w:p>
    <w:p>
      <w:pPr>
        <w:pStyle w:val="159"/>
        <w:spacing w:line="360" w:lineRule="auto"/>
        <w:ind w:left="0" w:leftChars="0" w:firstLine="447" w:firstLineChars="213"/>
        <w:rPr>
          <w:rFonts w:ascii="宋体" w:hAnsi="宋体"/>
          <w:color w:val="auto"/>
          <w:highlight w:val="none"/>
          <w:u w:val="single"/>
        </w:rPr>
      </w:pPr>
      <w:r>
        <w:rPr>
          <w:rFonts w:hint="eastAsia" w:ascii="宋体" w:hAnsi="宋体"/>
          <w:color w:val="auto"/>
          <w:highlight w:val="none"/>
        </w:rPr>
        <w:t>联系方式：                          联系方式：</w:t>
      </w:r>
    </w:p>
    <w:p>
      <w:pPr>
        <w:pStyle w:val="159"/>
        <w:spacing w:line="360" w:lineRule="auto"/>
        <w:ind w:left="0" w:leftChars="0" w:firstLine="447" w:firstLineChars="213"/>
        <w:rPr>
          <w:rFonts w:ascii="宋体" w:hAnsi="宋体"/>
          <w:color w:val="auto"/>
          <w:highlight w:val="none"/>
          <w:u w:val="single"/>
        </w:rPr>
      </w:pPr>
    </w:p>
    <w:p>
      <w:pPr>
        <w:pStyle w:val="3"/>
        <w:rPr>
          <w:rFonts w:ascii="宋体" w:hAnsi="宋体"/>
          <w:color w:val="auto"/>
          <w:highlight w:val="none"/>
        </w:rPr>
      </w:pPr>
      <w:r>
        <w:rPr>
          <w:rFonts w:ascii="宋体" w:hAnsi="宋体"/>
          <w:snapToGrid w:val="0"/>
          <w:color w:val="auto"/>
          <w:highlight w:val="none"/>
        </w:rPr>
        <w:br w:type="page"/>
      </w:r>
      <w:bookmarkStart w:id="36" w:name="_Toc84581860"/>
      <w:bookmarkStart w:id="37" w:name="_Toc23519158"/>
      <w:bookmarkStart w:id="38" w:name="_Toc23519007"/>
      <w:bookmarkStart w:id="39" w:name="_Toc84582101"/>
      <w:r>
        <w:rPr>
          <w:rFonts w:hint="eastAsia"/>
          <w:color w:val="auto"/>
          <w:highlight w:val="none"/>
        </w:rPr>
        <w:t>第六章</w:t>
      </w:r>
      <w:r>
        <w:rPr>
          <w:color w:val="auto"/>
          <w:highlight w:val="none"/>
        </w:rPr>
        <w:t xml:space="preserve"> </w:t>
      </w:r>
      <w:r>
        <w:rPr>
          <w:rFonts w:hint="eastAsia"/>
          <w:color w:val="auto"/>
          <w:highlight w:val="none"/>
        </w:rPr>
        <w:t xml:space="preserve"> 响应文件格式</w:t>
      </w:r>
      <w:bookmarkEnd w:id="34"/>
      <w:bookmarkEnd w:id="36"/>
      <w:bookmarkEnd w:id="37"/>
      <w:bookmarkEnd w:id="38"/>
      <w:bookmarkEnd w:id="39"/>
    </w:p>
    <w:p>
      <w:pPr>
        <w:snapToGrid w:val="0"/>
        <w:ind w:left="-23" w:leftChars="-11" w:right="-214" w:rightChars="-102" w:firstLine="21" w:firstLineChars="10"/>
        <w:jc w:val="left"/>
        <w:rPr>
          <w:rFonts w:ascii="宋体" w:hAnsi="宋体"/>
          <w:b/>
          <w:color w:val="auto"/>
          <w:highlight w:val="none"/>
        </w:rPr>
      </w:pPr>
      <w:r>
        <w:rPr>
          <w:rFonts w:hint="eastAsia" w:ascii="宋体" w:hAnsi="宋体"/>
          <w:b/>
          <w:color w:val="auto"/>
          <w:highlight w:val="none"/>
        </w:rPr>
        <w:t>1、资格要求响应文件的有关格式</w:t>
      </w:r>
    </w:p>
    <w:p>
      <w:pPr>
        <w:snapToGrid w:val="0"/>
        <w:ind w:left="-23" w:leftChars="-11" w:right="-214" w:rightChars="-102" w:firstLine="21" w:firstLineChars="10"/>
        <w:jc w:val="center"/>
        <w:rPr>
          <w:rFonts w:ascii="宋体" w:hAnsi="宋体"/>
          <w:b/>
          <w:color w:val="auto"/>
          <w:highlight w:val="none"/>
        </w:rPr>
      </w:pPr>
      <w:r>
        <w:rPr>
          <w:rFonts w:hint="eastAsia" w:ascii="宋体" w:hAnsi="宋体"/>
          <w:b/>
          <w:color w:val="auto"/>
          <w:highlight w:val="none"/>
        </w:rPr>
        <w:t>1.1）供应商资格声明函</w:t>
      </w:r>
    </w:p>
    <w:p>
      <w:pPr>
        <w:rPr>
          <w:rFonts w:ascii="宋体" w:hAnsi="宋体"/>
          <w:b/>
          <w:color w:val="auto"/>
          <w:highlight w:val="none"/>
        </w:rPr>
      </w:pPr>
      <w:r>
        <w:rPr>
          <w:rFonts w:hint="eastAsia" w:ascii="宋体" w:hAnsi="宋体"/>
          <w:bCs/>
          <w:color w:val="auto"/>
          <w:highlight w:val="none"/>
        </w:rPr>
        <w:t>致：</w:t>
      </w:r>
      <w:r>
        <w:rPr>
          <w:rFonts w:hint="eastAsia" w:ascii="宋体" w:hAnsi="宋体"/>
          <w:color w:val="auto"/>
          <w:highlight w:val="none"/>
          <w:u w:val="single"/>
          <w:lang w:val="en-US" w:eastAsia="zh-CN"/>
        </w:rPr>
        <w:t>宁波市公安局交通警察局</w:t>
      </w:r>
      <w:r>
        <w:rPr>
          <w:rFonts w:hint="eastAsia" w:ascii="宋体" w:hAnsi="宋体"/>
          <w:color w:val="auto"/>
          <w:highlight w:val="none"/>
          <w:u w:val="single"/>
        </w:rPr>
        <w:t>、宁波</w:t>
      </w:r>
      <w:r>
        <w:rPr>
          <w:rFonts w:hint="eastAsia" w:ascii="宋体" w:hAnsi="宋体"/>
          <w:color w:val="auto"/>
          <w:highlight w:val="none"/>
          <w:u w:val="single"/>
          <w:lang w:val="en-US" w:eastAsia="zh-CN"/>
        </w:rPr>
        <w:t>中基国际</w:t>
      </w:r>
      <w:r>
        <w:rPr>
          <w:rFonts w:hint="eastAsia" w:ascii="宋体" w:hAnsi="宋体"/>
          <w:color w:val="auto"/>
          <w:highlight w:val="none"/>
          <w:u w:val="single"/>
        </w:rPr>
        <w:t>招标代理有限公司</w:t>
      </w:r>
    </w:p>
    <w:p>
      <w:pPr>
        <w:ind w:firstLine="424"/>
        <w:rPr>
          <w:rFonts w:ascii="宋体" w:hAnsi="宋体"/>
          <w:b/>
          <w:bCs/>
          <w:color w:val="auto"/>
          <w:highlight w:val="none"/>
        </w:rPr>
      </w:pPr>
      <w:r>
        <w:rPr>
          <w:rFonts w:hint="eastAsia" w:ascii="宋体" w:hAnsi="宋体"/>
          <w:b/>
          <w:color w:val="auto"/>
          <w:highlight w:val="none"/>
        </w:rPr>
        <w:t>本单位自愿参加询价响应并声明</w:t>
      </w:r>
      <w:r>
        <w:rPr>
          <w:rFonts w:hint="eastAsia" w:ascii="宋体" w:hAnsi="宋体"/>
          <w:b/>
          <w:bCs/>
          <w:color w:val="auto"/>
          <w:highlight w:val="none"/>
        </w:rPr>
        <w:t>：</w:t>
      </w:r>
    </w:p>
    <w:p>
      <w:pPr>
        <w:ind w:firstLine="424"/>
        <w:rPr>
          <w:rFonts w:ascii="宋体" w:hAnsi="宋体" w:cs="Arial"/>
          <w:color w:val="auto"/>
          <w:highlight w:val="none"/>
        </w:rPr>
      </w:pPr>
      <w:r>
        <w:rPr>
          <w:rFonts w:hint="eastAsia" w:ascii="宋体" w:hAnsi="宋体" w:cs="Arial"/>
          <w:color w:val="auto"/>
          <w:highlight w:val="none"/>
        </w:rPr>
        <w:t>1、具有独立承担民事责任的能力；</w:t>
      </w:r>
    </w:p>
    <w:p>
      <w:pPr>
        <w:ind w:firstLine="424"/>
        <w:rPr>
          <w:rFonts w:ascii="宋体" w:hAnsi="宋体" w:cs="Arial"/>
          <w:color w:val="auto"/>
          <w:highlight w:val="none"/>
        </w:rPr>
      </w:pPr>
      <w:r>
        <w:rPr>
          <w:rFonts w:hint="eastAsia" w:ascii="宋体" w:hAnsi="宋体" w:cs="Arial"/>
          <w:color w:val="auto"/>
          <w:highlight w:val="none"/>
        </w:rPr>
        <w:t>2、具有良好的商业信誉和健全的财务会计制度；</w:t>
      </w:r>
    </w:p>
    <w:p>
      <w:pPr>
        <w:ind w:firstLine="424"/>
        <w:rPr>
          <w:rFonts w:ascii="宋体" w:hAnsi="宋体" w:cs="Arial"/>
          <w:color w:val="auto"/>
          <w:highlight w:val="none"/>
        </w:rPr>
      </w:pPr>
      <w:r>
        <w:rPr>
          <w:rFonts w:hint="eastAsia" w:ascii="宋体" w:hAnsi="宋体" w:cs="Arial"/>
          <w:color w:val="auto"/>
          <w:highlight w:val="none"/>
        </w:rPr>
        <w:t>3、具有履行本项目合同所必需的设备和专业技术能力；</w:t>
      </w:r>
    </w:p>
    <w:p>
      <w:pPr>
        <w:ind w:firstLine="424"/>
        <w:rPr>
          <w:rFonts w:ascii="宋体" w:hAnsi="宋体" w:cs="Arial"/>
          <w:color w:val="auto"/>
          <w:highlight w:val="none"/>
        </w:rPr>
      </w:pPr>
      <w:r>
        <w:rPr>
          <w:rFonts w:hint="eastAsia" w:ascii="宋体" w:hAnsi="宋体" w:cs="Arial"/>
          <w:color w:val="auto"/>
          <w:highlight w:val="none"/>
        </w:rPr>
        <w:t>4、已依法缴纳了税收和社会保障资金；</w:t>
      </w:r>
    </w:p>
    <w:p>
      <w:pPr>
        <w:ind w:firstLine="424"/>
        <w:rPr>
          <w:rFonts w:ascii="宋体" w:hAnsi="宋体" w:cs="Arial"/>
          <w:color w:val="auto"/>
          <w:highlight w:val="none"/>
        </w:rPr>
      </w:pPr>
      <w:r>
        <w:rPr>
          <w:rFonts w:hint="eastAsia" w:ascii="宋体" w:hAnsi="宋体" w:cs="Arial"/>
          <w:color w:val="auto"/>
          <w:highlight w:val="none"/>
        </w:rPr>
        <w:t>5、在参加本次政府采购活动前三年内，在经营活动中没有重大违法记录（没有因违法经营受到刑事处罚或者责令停产停业、吊销许可证或者执照、较大数额罚款等行政处罚）；</w:t>
      </w:r>
    </w:p>
    <w:p>
      <w:pPr>
        <w:ind w:firstLine="424"/>
        <w:rPr>
          <w:rFonts w:ascii="宋体" w:hAnsi="宋体" w:cs="Arial"/>
          <w:color w:val="auto"/>
          <w:highlight w:val="none"/>
        </w:rPr>
      </w:pPr>
      <w:r>
        <w:rPr>
          <w:rFonts w:hint="eastAsia" w:ascii="宋体" w:hAnsi="宋体" w:cs="Arial"/>
          <w:color w:val="auto"/>
          <w:highlight w:val="none"/>
        </w:rPr>
        <w:t>6、本单位至响应截止日未被列入“信用中国”网站(www.creditchina.gov.cn)“失信被执行人</w:t>
      </w:r>
      <w:r>
        <w:rPr>
          <w:rFonts w:hint="eastAsia" w:ascii="宋体" w:hAnsi="宋体" w:eastAsia="宋体" w:cs="Arial"/>
          <w:color w:val="auto"/>
          <w:highlight w:val="none"/>
        </w:rPr>
        <w:t>或重大税收违法失信主体或政府采购严</w:t>
      </w:r>
      <w:r>
        <w:rPr>
          <w:rFonts w:hint="eastAsia" w:ascii="宋体" w:hAnsi="宋体" w:cs="Arial"/>
          <w:color w:val="auto"/>
          <w:highlight w:val="none"/>
        </w:rPr>
        <w:t>重违法失信名单”且不处于中国政府采购网(www.ccgp.gov.cn)“政府采购严重违法失信行为信息记录”中的禁止参加政府采购活动期间；</w:t>
      </w:r>
    </w:p>
    <w:p>
      <w:pPr>
        <w:ind w:firstLine="424"/>
        <w:rPr>
          <w:rFonts w:ascii="宋体" w:hAnsi="宋体" w:cs="Arial"/>
          <w:color w:val="auto"/>
          <w:highlight w:val="none"/>
        </w:rPr>
      </w:pPr>
      <w:r>
        <w:rPr>
          <w:rFonts w:hint="eastAsia" w:ascii="宋体" w:hAnsi="宋体" w:cs="Arial"/>
          <w:color w:val="auto"/>
          <w:highlight w:val="none"/>
        </w:rPr>
        <w:t>7、具有法律、行政法规规定的其他条件；</w:t>
      </w:r>
    </w:p>
    <w:p>
      <w:pPr>
        <w:ind w:firstLine="424"/>
        <w:rPr>
          <w:rFonts w:ascii="宋体" w:hAnsi="宋体" w:cs="Arial"/>
          <w:color w:val="auto"/>
          <w:highlight w:val="none"/>
        </w:rPr>
      </w:pPr>
      <w:r>
        <w:rPr>
          <w:rFonts w:hint="eastAsia" w:ascii="宋体" w:hAnsi="宋体" w:cs="Arial"/>
          <w:color w:val="auto"/>
          <w:highlight w:val="none"/>
        </w:rPr>
        <w:t>8、未采用联合体形式提交报价；</w:t>
      </w:r>
    </w:p>
    <w:p>
      <w:pPr>
        <w:ind w:firstLine="424"/>
        <w:rPr>
          <w:rFonts w:ascii="宋体" w:hAnsi="宋体" w:cs="Arial"/>
          <w:color w:val="auto"/>
          <w:highlight w:val="none"/>
        </w:rPr>
      </w:pPr>
      <w:r>
        <w:rPr>
          <w:rFonts w:hint="eastAsia" w:ascii="宋体" w:hAnsi="宋体" w:cs="Arial"/>
          <w:color w:val="auto"/>
          <w:highlight w:val="none"/>
        </w:rPr>
        <w:t>9、本单位的法定代表人或单位负责人与所参与本项目询价的其他供应商的法定代表人或单位负责人不为同一人且与其他供应商之间不存在直接控股、管理关系；</w:t>
      </w:r>
    </w:p>
    <w:p>
      <w:pPr>
        <w:ind w:firstLine="424"/>
        <w:rPr>
          <w:rFonts w:ascii="宋体" w:hAnsi="宋体" w:cs="Arial"/>
          <w:color w:val="auto"/>
          <w:highlight w:val="none"/>
        </w:rPr>
      </w:pPr>
      <w:r>
        <w:rPr>
          <w:rFonts w:hint="eastAsia" w:ascii="宋体" w:hAnsi="宋体" w:cs="Arial"/>
          <w:color w:val="auto"/>
          <w:highlight w:val="none"/>
        </w:rPr>
        <w:t>10、本单位不是为本项目提供整体设计、规范编制或者项目管理、监理、检测等服务的供应商。</w:t>
      </w:r>
    </w:p>
    <w:p>
      <w:pPr>
        <w:ind w:firstLine="420"/>
        <w:rPr>
          <w:rFonts w:ascii="宋体" w:hAnsi="宋体"/>
          <w:b/>
          <w:color w:val="auto"/>
          <w:highlight w:val="none"/>
        </w:rPr>
      </w:pPr>
      <w:r>
        <w:rPr>
          <w:rFonts w:hint="eastAsia" w:ascii="宋体" w:hAnsi="宋体"/>
          <w:b/>
          <w:color w:val="auto"/>
          <w:highlight w:val="none"/>
        </w:rPr>
        <w:t xml:space="preserve"> </w:t>
      </w:r>
    </w:p>
    <w:p>
      <w:pPr>
        <w:ind w:left="425"/>
        <w:rPr>
          <w:rFonts w:ascii="宋体" w:hAnsi="宋体"/>
          <w:color w:val="auto"/>
          <w:spacing w:val="4"/>
          <w:highlight w:val="none"/>
        </w:rPr>
      </w:pPr>
      <w:r>
        <w:rPr>
          <w:rFonts w:hint="eastAsia" w:ascii="宋体" w:hAnsi="宋体"/>
          <w:color w:val="auto"/>
          <w:spacing w:val="4"/>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rPr>
          <w:rFonts w:ascii="宋体" w:hAnsi="宋体"/>
          <w:color w:val="auto"/>
          <w:highlight w:val="none"/>
        </w:rPr>
      </w:pPr>
      <w:r>
        <w:rPr>
          <w:rFonts w:hint="eastAsia" w:ascii="宋体" w:hAnsi="宋体"/>
          <w:color w:val="auto"/>
          <w:highlight w:val="none"/>
        </w:rPr>
        <w:t xml:space="preserve"> </w:t>
      </w:r>
    </w:p>
    <w:p>
      <w:pPr>
        <w:snapToGrid w:val="0"/>
        <w:ind w:left="-23" w:leftChars="-11" w:right="-214" w:rightChars="-102" w:firstLine="21" w:firstLineChars="10"/>
        <w:jc w:val="left"/>
        <w:rPr>
          <w:rFonts w:ascii="宋体" w:hAnsi="宋体"/>
          <w:b/>
          <w:color w:val="auto"/>
          <w:highlight w:val="none"/>
        </w:rPr>
      </w:pPr>
      <w:r>
        <w:rPr>
          <w:rFonts w:hint="eastAsia" w:ascii="宋体" w:hAnsi="宋体"/>
          <w:b/>
          <w:color w:val="auto"/>
          <w:highlight w:val="none"/>
        </w:rPr>
        <w:t xml:space="preserve"> </w:t>
      </w:r>
    </w:p>
    <w:p>
      <w:pPr>
        <w:widowControl/>
        <w:spacing w:line="240" w:lineRule="auto"/>
        <w:jc w:val="left"/>
        <w:rPr>
          <w:rFonts w:ascii="宋体" w:hAnsi="宋体"/>
          <w:b/>
          <w:color w:val="auto"/>
          <w:highlight w:val="none"/>
        </w:rPr>
      </w:pPr>
      <w:r>
        <w:rPr>
          <w:rFonts w:ascii="宋体" w:hAnsi="宋体"/>
          <w:b/>
          <w:color w:val="auto"/>
          <w:highlight w:val="none"/>
        </w:rPr>
        <w:br w:type="page"/>
      </w:r>
    </w:p>
    <w:p>
      <w:pPr>
        <w:snapToGrid w:val="0"/>
        <w:ind w:left="-23" w:leftChars="-11" w:right="-214" w:rightChars="-102" w:firstLine="21" w:firstLineChars="10"/>
        <w:jc w:val="center"/>
        <w:rPr>
          <w:rFonts w:ascii="宋体" w:hAnsi="宋体"/>
          <w:b/>
          <w:color w:val="auto"/>
          <w:highlight w:val="none"/>
        </w:rPr>
      </w:pPr>
      <w:r>
        <w:rPr>
          <w:rFonts w:hint="eastAsia" w:ascii="宋体" w:hAnsi="宋体"/>
          <w:b/>
          <w:color w:val="auto"/>
          <w:highlight w:val="none"/>
        </w:rPr>
        <w:t>1.2）法人或者其他组织的营业执照等登记证明文件复印件</w:t>
      </w:r>
    </w:p>
    <w:p>
      <w:pPr>
        <w:snapToGrid w:val="0"/>
        <w:ind w:left="-23" w:leftChars="-11" w:right="-214" w:rightChars="-102" w:firstLine="21" w:firstLineChars="10"/>
        <w:rPr>
          <w:rFonts w:ascii="宋体" w:hAnsi="宋体"/>
          <w:b/>
          <w:color w:val="auto"/>
          <w:highlight w:val="none"/>
        </w:rPr>
      </w:pPr>
    </w:p>
    <w:p>
      <w:pPr>
        <w:widowControl/>
        <w:spacing w:line="240" w:lineRule="auto"/>
        <w:jc w:val="left"/>
        <w:rPr>
          <w:rFonts w:ascii="宋体" w:hAnsi="宋体"/>
          <w:b/>
          <w:color w:val="auto"/>
          <w:highlight w:val="none"/>
        </w:rPr>
      </w:pPr>
      <w:r>
        <w:rPr>
          <w:rFonts w:ascii="宋体" w:hAnsi="宋体"/>
          <w:b/>
          <w:color w:val="auto"/>
          <w:highlight w:val="none"/>
        </w:rPr>
        <w:br w:type="page"/>
      </w:r>
    </w:p>
    <w:p>
      <w:pPr>
        <w:pStyle w:val="17"/>
        <w:spacing w:line="360" w:lineRule="auto"/>
        <w:jc w:val="center"/>
        <w:rPr>
          <w:rFonts w:hint="eastAsia" w:hAnsi="宋体" w:cs="宋体"/>
          <w:b/>
          <w:color w:val="auto"/>
          <w:sz w:val="21"/>
          <w:szCs w:val="21"/>
          <w:highlight w:val="none"/>
        </w:rPr>
      </w:pPr>
    </w:p>
    <w:p>
      <w:pPr>
        <w:pStyle w:val="17"/>
        <w:spacing w:line="360" w:lineRule="auto"/>
        <w:jc w:val="center"/>
        <w:rPr>
          <w:rFonts w:hAnsi="宋体" w:cs="宋体"/>
          <w:b/>
          <w:color w:val="auto"/>
          <w:sz w:val="21"/>
          <w:szCs w:val="21"/>
          <w:highlight w:val="none"/>
        </w:rPr>
      </w:pPr>
      <w:r>
        <w:rPr>
          <w:rFonts w:hint="eastAsia" w:hAnsi="宋体" w:cs="宋体"/>
          <w:b/>
          <w:color w:val="auto"/>
          <w:sz w:val="21"/>
          <w:szCs w:val="21"/>
          <w:highlight w:val="none"/>
        </w:rPr>
        <w:t>1.3）</w:t>
      </w:r>
      <w:r>
        <w:rPr>
          <w:rFonts w:hAnsi="宋体" w:cs="宋体"/>
          <w:b/>
          <w:color w:val="auto"/>
          <w:sz w:val="21"/>
          <w:szCs w:val="21"/>
          <w:highlight w:val="none"/>
        </w:rPr>
        <w:t>中小企业声明函</w:t>
      </w:r>
    </w:p>
    <w:p>
      <w:pPr>
        <w:pStyle w:val="17"/>
        <w:spacing w:line="360" w:lineRule="auto"/>
        <w:jc w:val="center"/>
        <w:rPr>
          <w:rFonts w:hAnsi="宋体" w:cs="宋体"/>
          <w:b/>
          <w:color w:val="auto"/>
          <w:sz w:val="21"/>
          <w:szCs w:val="21"/>
          <w:highlight w:val="none"/>
        </w:rPr>
      </w:pPr>
    </w:p>
    <w:p>
      <w:pPr>
        <w:snapToGrid w:val="0"/>
        <w:spacing w:line="360" w:lineRule="auto"/>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本公司（联合体）郑重声明，根据《政府采购促进中小企业发展管理办法》（财库﹝2020﹞46号）的规定，本公司（联合体）参加</w:t>
      </w:r>
      <w:r>
        <w:rPr>
          <w:rFonts w:hint="eastAsia" w:ascii="宋体" w:hAnsi="宋体" w:eastAsia="宋体" w:cs="宋体"/>
          <w:i/>
          <w:color w:val="auto"/>
          <w:highlight w:val="none"/>
          <w:u w:val="single"/>
        </w:rPr>
        <w:t>（</w:t>
      </w:r>
      <w:r>
        <w:rPr>
          <w:rFonts w:hint="eastAsia" w:ascii="宋体" w:hAnsi="宋体" w:eastAsia="宋体" w:cs="宋体"/>
          <w:b w:val="0"/>
          <w:bCs w:val="0"/>
          <w:color w:val="auto"/>
          <w:szCs w:val="21"/>
          <w:highlight w:val="none"/>
          <w:u w:val="single"/>
        </w:rPr>
        <w:t>宁波市公安局交通警察局</w:t>
      </w:r>
      <w:r>
        <w:rPr>
          <w:rFonts w:hint="eastAsia" w:ascii="宋体" w:hAnsi="宋体" w:eastAsia="宋体" w:cs="宋体"/>
          <w:i/>
          <w:color w:val="auto"/>
          <w:highlight w:val="none"/>
          <w:u w:val="single"/>
        </w:rPr>
        <w:t>）</w:t>
      </w:r>
      <w:r>
        <w:rPr>
          <w:rFonts w:hint="eastAsia" w:ascii="宋体" w:hAnsi="宋体" w:eastAsia="宋体" w:cs="宋体"/>
          <w:color w:val="auto"/>
          <w:highlight w:val="none"/>
        </w:rPr>
        <w:t>的</w:t>
      </w:r>
      <w:r>
        <w:rPr>
          <w:rFonts w:hint="eastAsia" w:ascii="宋体" w:hAnsi="宋体" w:eastAsia="宋体" w:cs="宋体"/>
          <w:i/>
          <w:color w:val="auto"/>
          <w:highlight w:val="none"/>
          <w:u w:val="single"/>
        </w:rPr>
        <w:t>（</w:t>
      </w:r>
      <w:r>
        <w:rPr>
          <w:rFonts w:hint="eastAsia" w:ascii="宋体" w:hAnsi="宋体" w:cs="宋体"/>
          <w:b w:val="0"/>
          <w:bCs w:val="0"/>
          <w:color w:val="auto"/>
          <w:szCs w:val="21"/>
          <w:highlight w:val="none"/>
          <w:u w:val="single"/>
          <w:lang w:eastAsia="zh-CN"/>
        </w:rPr>
        <w:t>宁波市公安局交通警察局2023年特种专业技术用车购置项目</w:t>
      </w:r>
      <w:r>
        <w:rPr>
          <w:rFonts w:hint="eastAsia" w:ascii="宋体" w:hAnsi="宋体" w:eastAsia="宋体" w:cs="宋体"/>
          <w:i/>
          <w:color w:val="auto"/>
          <w:highlight w:val="none"/>
          <w:u w:val="single"/>
        </w:rPr>
        <w:t>）</w:t>
      </w:r>
      <w:r>
        <w:rPr>
          <w:rFonts w:hint="eastAsia" w:ascii="宋体" w:hAnsi="宋体" w:eastAsia="宋体" w:cs="宋体"/>
          <w:color w:val="auto"/>
          <w:highlight w:val="none"/>
        </w:rPr>
        <w:t>采购活动，</w:t>
      </w:r>
      <w:r>
        <w:rPr>
          <w:rFonts w:hint="eastAsia" w:ascii="宋体" w:hAnsi="宋体" w:eastAsia="宋体" w:cs="宋体"/>
          <w:b/>
          <w:color w:val="auto"/>
          <w:highlight w:val="none"/>
        </w:rPr>
        <w:t>提供的货物全部由符合政策要求的中小企业制造</w:t>
      </w:r>
      <w:r>
        <w:rPr>
          <w:rFonts w:hint="eastAsia" w:ascii="宋体" w:hAnsi="宋体" w:eastAsia="宋体" w:cs="宋体"/>
          <w:color w:val="auto"/>
          <w:highlight w:val="none"/>
        </w:rPr>
        <w:t>。相关企业（含联合体中的中小企业、签订分包意向协议的中小企业）的具体情况如下：</w:t>
      </w:r>
    </w:p>
    <w:p>
      <w:pPr>
        <w:snapToGrid w:val="0"/>
        <w:spacing w:line="360" w:lineRule="auto"/>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b/>
          <w:color w:val="auto"/>
          <w:highlight w:val="none"/>
        </w:rPr>
        <w:t xml:space="preserve"> </w:t>
      </w:r>
      <w:r>
        <w:rPr>
          <w:rFonts w:hint="eastAsia" w:ascii="宋体" w:hAnsi="宋体" w:cs="宋体"/>
          <w:b/>
          <w:color w:val="auto"/>
          <w:highlight w:val="none"/>
          <w:u w:val="single"/>
          <w:lang w:val="en-US" w:eastAsia="zh-CN"/>
        </w:rPr>
        <w:t xml:space="preserve"> </w:t>
      </w:r>
      <w:r>
        <w:rPr>
          <w:rFonts w:hint="eastAsia" w:ascii="宋体" w:hAnsi="宋体" w:eastAsia="宋体" w:cs="宋体"/>
          <w:b/>
          <w:color w:val="auto"/>
          <w:highlight w:val="none"/>
          <w:u w:val="single"/>
          <w:lang w:val="en-US" w:eastAsia="zh-CN"/>
        </w:rPr>
        <w:t>牡丹牌MD5037TXU1型巡逻车</w:t>
      </w:r>
      <w:r>
        <w:rPr>
          <w:rFonts w:hint="eastAsia" w:ascii="宋体" w:hAnsi="宋体" w:eastAsia="宋体" w:cs="宋体"/>
          <w:b/>
          <w:color w:val="auto"/>
          <w:highlight w:val="none"/>
          <w:u w:val="none"/>
          <w:lang w:val="en-US" w:eastAsia="zh-CN"/>
        </w:rPr>
        <w:t>，</w:t>
      </w:r>
      <w:r>
        <w:rPr>
          <w:rFonts w:hint="eastAsia" w:ascii="宋体" w:hAnsi="宋体" w:eastAsia="宋体" w:cs="宋体"/>
          <w:color w:val="auto"/>
          <w:highlight w:val="none"/>
        </w:rPr>
        <w:t>属于</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u w:val="single"/>
        </w:rPr>
        <w:t xml:space="preserve">工业  </w:t>
      </w:r>
      <w:r>
        <w:rPr>
          <w:rFonts w:hint="eastAsia" w:ascii="宋体" w:hAnsi="宋体" w:eastAsia="宋体" w:cs="宋体"/>
          <w:color w:val="auto"/>
          <w:highlight w:val="none"/>
          <w:u w:val="single"/>
        </w:rPr>
        <w:t>行业</w:t>
      </w:r>
      <w:r>
        <w:rPr>
          <w:rFonts w:hint="eastAsia" w:ascii="宋体" w:hAnsi="宋体" w:eastAsia="宋体" w:cs="宋体"/>
          <w:color w:val="auto"/>
          <w:highlight w:val="none"/>
        </w:rPr>
        <w:t>；制造商为</w:t>
      </w:r>
      <w:r>
        <w:rPr>
          <w:rFonts w:hint="eastAsia" w:ascii="宋体" w:hAnsi="宋体" w:eastAsia="宋体" w:cs="宋体"/>
          <w:i/>
          <w:color w:val="auto"/>
          <w:highlight w:val="none"/>
          <w:u w:val="single"/>
        </w:rPr>
        <w:t>（企业名称）</w:t>
      </w:r>
      <w:r>
        <w:rPr>
          <w:rFonts w:hint="eastAsia" w:ascii="宋体" w:hAnsi="宋体" w:eastAsia="宋体" w:cs="宋体"/>
          <w:color w:val="auto"/>
          <w:highlight w:val="none"/>
        </w:rPr>
        <w:t>，从业人员</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人，营业收入为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万元，资产总额为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万元，属于</w:t>
      </w:r>
      <w:r>
        <w:rPr>
          <w:rFonts w:hint="eastAsia" w:ascii="宋体" w:hAnsi="宋体" w:eastAsia="宋体" w:cs="宋体"/>
          <w:i/>
          <w:color w:val="auto"/>
          <w:highlight w:val="none"/>
          <w:u w:val="single"/>
        </w:rPr>
        <w:t>（中型企业、小型企业、微型企业）</w:t>
      </w:r>
      <w:r>
        <w:rPr>
          <w:rFonts w:hint="eastAsia" w:ascii="宋体" w:hAnsi="宋体" w:eastAsia="宋体" w:cs="宋体"/>
          <w:color w:val="auto"/>
          <w:highlight w:val="none"/>
        </w:rPr>
        <w:t>；</w:t>
      </w:r>
    </w:p>
    <w:p>
      <w:pPr>
        <w:snapToGrid w:val="0"/>
        <w:spacing w:line="360" w:lineRule="auto"/>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b/>
          <w:color w:val="auto"/>
          <w:highlight w:val="none"/>
        </w:rPr>
        <w:t xml:space="preserve"> </w:t>
      </w:r>
      <w:r>
        <w:rPr>
          <w:rFonts w:hint="eastAsia" w:ascii="宋体" w:hAnsi="宋体" w:cs="宋体"/>
          <w:b/>
          <w:color w:val="auto"/>
          <w:highlight w:val="none"/>
          <w:u w:val="single"/>
          <w:lang w:val="en-US" w:eastAsia="zh-CN"/>
        </w:rPr>
        <w:t xml:space="preserve"> </w:t>
      </w:r>
      <w:r>
        <w:rPr>
          <w:rFonts w:hint="eastAsia" w:ascii="宋体" w:hAnsi="宋体" w:eastAsia="宋体" w:cs="宋体"/>
          <w:b/>
          <w:color w:val="auto"/>
          <w:highlight w:val="none"/>
          <w:u w:val="single"/>
          <w:lang w:val="en-US" w:eastAsia="zh-CN"/>
        </w:rPr>
        <w:t>牡丹牌MD5027TXU1型巡逻车</w:t>
      </w:r>
      <w:r>
        <w:rPr>
          <w:rFonts w:hint="eastAsia" w:ascii="宋体" w:hAnsi="宋体" w:cs="宋体"/>
          <w:b/>
          <w:color w:val="auto"/>
          <w:highlight w:val="none"/>
          <w:u w:val="single"/>
          <w:lang w:val="en-US" w:eastAsia="zh-CN"/>
        </w:rPr>
        <w:t xml:space="preserve"> </w:t>
      </w:r>
      <w:r>
        <w:rPr>
          <w:rFonts w:hint="eastAsia" w:ascii="宋体" w:hAnsi="宋体" w:eastAsia="宋体" w:cs="宋体"/>
          <w:color w:val="auto"/>
          <w:highlight w:val="none"/>
        </w:rPr>
        <w:t>，属于</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u w:val="single"/>
        </w:rPr>
        <w:t xml:space="preserve">工业  </w:t>
      </w:r>
      <w:r>
        <w:rPr>
          <w:rFonts w:hint="eastAsia" w:ascii="宋体" w:hAnsi="宋体" w:eastAsia="宋体" w:cs="宋体"/>
          <w:color w:val="auto"/>
          <w:highlight w:val="none"/>
          <w:u w:val="single"/>
        </w:rPr>
        <w:t>行业</w:t>
      </w:r>
      <w:r>
        <w:rPr>
          <w:rFonts w:hint="eastAsia" w:ascii="宋体" w:hAnsi="宋体" w:eastAsia="宋体" w:cs="宋体"/>
          <w:color w:val="auto"/>
          <w:highlight w:val="none"/>
        </w:rPr>
        <w:t>；制造商为</w:t>
      </w:r>
      <w:r>
        <w:rPr>
          <w:rFonts w:hint="eastAsia" w:ascii="宋体" w:hAnsi="宋体" w:eastAsia="宋体" w:cs="宋体"/>
          <w:i/>
          <w:color w:val="auto"/>
          <w:highlight w:val="none"/>
          <w:u w:val="single"/>
        </w:rPr>
        <w:t>（企业名称）</w:t>
      </w:r>
      <w:r>
        <w:rPr>
          <w:rFonts w:hint="eastAsia" w:ascii="宋体" w:hAnsi="宋体" w:eastAsia="宋体" w:cs="宋体"/>
          <w:color w:val="auto"/>
          <w:highlight w:val="none"/>
        </w:rPr>
        <w:t>，从业人员</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人，营业收入为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万元，资产总额为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万元，属于</w:t>
      </w:r>
      <w:r>
        <w:rPr>
          <w:rFonts w:hint="eastAsia" w:ascii="宋体" w:hAnsi="宋体" w:eastAsia="宋体" w:cs="宋体"/>
          <w:i/>
          <w:color w:val="auto"/>
          <w:highlight w:val="none"/>
          <w:u w:val="single"/>
        </w:rPr>
        <w:t>（中型企业、小型企业、微型企业）</w:t>
      </w:r>
      <w:r>
        <w:rPr>
          <w:rFonts w:hint="eastAsia" w:ascii="宋体" w:hAnsi="宋体" w:eastAsia="宋体" w:cs="宋体"/>
          <w:color w:val="auto"/>
          <w:highlight w:val="none"/>
        </w:rPr>
        <w:t>；</w:t>
      </w:r>
    </w:p>
    <w:p>
      <w:pPr>
        <w:snapToGrid w:val="0"/>
        <w:spacing w:line="360" w:lineRule="auto"/>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w:t>
      </w:r>
      <w:r>
        <w:rPr>
          <w:rFonts w:hint="eastAsia" w:ascii="宋体" w:hAnsi="宋体" w:eastAsia="宋体" w:cs="宋体"/>
          <w:b/>
          <w:color w:val="auto"/>
          <w:highlight w:val="none"/>
        </w:rPr>
        <w:t xml:space="preserve"> </w:t>
      </w:r>
      <w:r>
        <w:rPr>
          <w:rFonts w:hint="eastAsia" w:ascii="宋体" w:hAnsi="宋体" w:eastAsia="宋体" w:cs="宋体"/>
          <w:b/>
          <w:color w:val="auto"/>
          <w:highlight w:val="none"/>
          <w:u w:val="single"/>
          <w:lang w:val="en-US" w:eastAsia="zh-CN"/>
        </w:rPr>
        <w:t>牡丹牌MD5028TXU7型巡逻车</w:t>
      </w:r>
      <w:r>
        <w:rPr>
          <w:rFonts w:hint="eastAsia" w:ascii="宋体" w:hAnsi="宋体" w:eastAsia="宋体" w:cs="宋体"/>
          <w:color w:val="auto"/>
          <w:highlight w:val="none"/>
        </w:rPr>
        <w:t>，属于</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u w:val="single"/>
        </w:rPr>
        <w:t xml:space="preserve">工业  </w:t>
      </w:r>
      <w:r>
        <w:rPr>
          <w:rFonts w:hint="eastAsia" w:ascii="宋体" w:hAnsi="宋体" w:eastAsia="宋体" w:cs="宋体"/>
          <w:color w:val="auto"/>
          <w:highlight w:val="none"/>
          <w:u w:val="single"/>
        </w:rPr>
        <w:t>行业</w:t>
      </w:r>
      <w:r>
        <w:rPr>
          <w:rFonts w:hint="eastAsia" w:ascii="宋体" w:hAnsi="宋体" w:eastAsia="宋体" w:cs="宋体"/>
          <w:color w:val="auto"/>
          <w:highlight w:val="none"/>
        </w:rPr>
        <w:t>；制造商为</w:t>
      </w:r>
      <w:r>
        <w:rPr>
          <w:rFonts w:hint="eastAsia" w:ascii="宋体" w:hAnsi="宋体" w:eastAsia="宋体" w:cs="宋体"/>
          <w:i/>
          <w:color w:val="auto"/>
          <w:highlight w:val="none"/>
          <w:u w:val="single"/>
        </w:rPr>
        <w:t>（企业名称）</w:t>
      </w:r>
      <w:r>
        <w:rPr>
          <w:rFonts w:hint="eastAsia" w:ascii="宋体" w:hAnsi="宋体" w:eastAsia="宋体" w:cs="宋体"/>
          <w:color w:val="auto"/>
          <w:highlight w:val="none"/>
        </w:rPr>
        <w:t>，从业人员</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人，营业收入为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万元，资产总额为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万元，属于</w:t>
      </w:r>
      <w:r>
        <w:rPr>
          <w:rFonts w:hint="eastAsia" w:ascii="宋体" w:hAnsi="宋体" w:eastAsia="宋体" w:cs="宋体"/>
          <w:i/>
          <w:color w:val="auto"/>
          <w:highlight w:val="none"/>
          <w:u w:val="single"/>
        </w:rPr>
        <w:t>（中型企业、小型企业、微型企业）</w:t>
      </w:r>
      <w:r>
        <w:rPr>
          <w:rFonts w:hint="eastAsia" w:ascii="宋体" w:hAnsi="宋体" w:eastAsia="宋体" w:cs="宋体"/>
          <w:color w:val="auto"/>
          <w:highlight w:val="none"/>
        </w:rPr>
        <w:t>；</w:t>
      </w:r>
    </w:p>
    <w:p>
      <w:pPr>
        <w:pStyle w:val="53"/>
        <w:rPr>
          <w:rFonts w:hint="eastAsia"/>
          <w:color w:val="auto"/>
          <w:highlight w:val="none"/>
        </w:rPr>
      </w:pPr>
    </w:p>
    <w:p>
      <w:pPr>
        <w:snapToGrid w:val="0"/>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w:t>
      </w:r>
    </w:p>
    <w:p>
      <w:pPr>
        <w:snapToGrid w:val="0"/>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以上企业，不属于大企业的分支机构，不存在控股股东为大企业的情形，也不存在与大企业的负责人为同一人的情形。</w:t>
      </w:r>
    </w:p>
    <w:p>
      <w:pPr>
        <w:snapToGrid w:val="0"/>
        <w:ind w:left="-23" w:leftChars="-11" w:right="-214" w:rightChars="-102" w:firstLine="447" w:firstLineChars="213"/>
        <w:jc w:val="left"/>
        <w:rPr>
          <w:rFonts w:hint="eastAsia" w:ascii="宋体" w:hAnsi="宋体" w:eastAsia="宋体" w:cs="宋体"/>
          <w:color w:val="auto"/>
          <w:highlight w:val="none"/>
        </w:rPr>
      </w:pPr>
      <w:r>
        <w:rPr>
          <w:rFonts w:hint="eastAsia" w:ascii="宋体" w:hAnsi="宋体" w:eastAsia="宋体" w:cs="宋体"/>
          <w:color w:val="auto"/>
          <w:highlight w:val="none"/>
        </w:rPr>
        <w:t>本企业对上述声明内容的真实性负责。如有虚假，将依法承担相应责任。</w:t>
      </w:r>
    </w:p>
    <w:p>
      <w:pPr>
        <w:snapToGrid w:val="0"/>
        <w:ind w:left="-23" w:leftChars="-11" w:right="-214" w:rightChars="-102" w:firstLine="447" w:firstLineChars="213"/>
        <w:jc w:val="left"/>
        <w:rPr>
          <w:rFonts w:hint="eastAsia" w:ascii="宋体" w:hAnsi="宋体" w:eastAsia="宋体" w:cs="宋体"/>
          <w:color w:val="auto"/>
          <w:highlight w:val="none"/>
        </w:rPr>
      </w:pPr>
    </w:p>
    <w:p>
      <w:pPr>
        <w:snapToGrid w:val="0"/>
        <w:ind w:left="-23" w:leftChars="-11" w:right="-214" w:rightChars="-102" w:firstLine="447" w:firstLineChars="213"/>
        <w:jc w:val="left"/>
        <w:rPr>
          <w:rFonts w:hint="eastAsia" w:ascii="宋体" w:hAnsi="宋体" w:eastAsia="宋体" w:cs="宋体"/>
          <w:color w:val="auto"/>
          <w:highlight w:val="none"/>
        </w:rPr>
      </w:pPr>
    </w:p>
    <w:p>
      <w:pPr>
        <w:snapToGrid w:val="0"/>
        <w:ind w:left="-23" w:leftChars="-11" w:right="-214" w:rightChars="-102" w:firstLine="4416" w:firstLineChars="2103"/>
        <w:jc w:val="left"/>
        <w:rPr>
          <w:rFonts w:hint="eastAsia" w:ascii="宋体" w:hAnsi="宋体" w:eastAsia="宋体" w:cs="宋体"/>
          <w:color w:val="auto"/>
          <w:highlight w:val="none"/>
        </w:rPr>
      </w:pPr>
      <w:r>
        <w:rPr>
          <w:rFonts w:hint="eastAsia" w:ascii="宋体" w:hAnsi="宋体" w:eastAsia="宋体" w:cs="宋体"/>
          <w:color w:val="auto"/>
          <w:highlight w:val="none"/>
        </w:rPr>
        <w:t>投标人（盖章）：</w:t>
      </w:r>
    </w:p>
    <w:p>
      <w:pPr>
        <w:snapToGrid w:val="0"/>
        <w:ind w:left="-23" w:leftChars="-11" w:right="-214" w:rightChars="-102" w:firstLine="4416" w:firstLineChars="2103"/>
        <w:jc w:val="left"/>
        <w:rPr>
          <w:rFonts w:hint="eastAsia" w:ascii="宋体" w:hAnsi="宋体" w:eastAsia="宋体" w:cs="宋体"/>
          <w:color w:val="auto"/>
          <w:highlight w:val="none"/>
        </w:rPr>
      </w:pPr>
      <w:r>
        <w:rPr>
          <w:rFonts w:hint="eastAsia" w:ascii="宋体" w:hAnsi="宋体" w:eastAsia="宋体" w:cs="宋体"/>
          <w:color w:val="auto"/>
          <w:highlight w:val="none"/>
        </w:rPr>
        <w:t>日  期：</w:t>
      </w:r>
    </w:p>
    <w:p>
      <w:pPr>
        <w:snapToGrid w:val="0"/>
        <w:ind w:left="-23" w:leftChars="-11" w:right="-214" w:rightChars="-102" w:firstLine="4416" w:firstLineChars="2103"/>
        <w:jc w:val="left"/>
        <w:rPr>
          <w:rFonts w:hint="eastAsia" w:ascii="宋体" w:hAnsi="宋体" w:eastAsia="宋体" w:cs="宋体"/>
          <w:color w:val="auto"/>
          <w:highlight w:val="none"/>
        </w:rPr>
      </w:pPr>
    </w:p>
    <w:p>
      <w:pPr>
        <w:snapToGrid w:val="0"/>
        <w:ind w:left="-23" w:leftChars="-11" w:right="-214" w:rightChars="-102" w:firstLine="4416" w:firstLineChars="2103"/>
        <w:jc w:val="left"/>
        <w:rPr>
          <w:rFonts w:hint="eastAsia" w:ascii="宋体" w:hAnsi="宋体" w:eastAsia="宋体" w:cs="宋体"/>
          <w:color w:val="auto"/>
          <w:highlight w:val="none"/>
        </w:rPr>
      </w:pPr>
    </w:p>
    <w:p>
      <w:pPr>
        <w:snapToGrid w:val="0"/>
        <w:spacing w:before="50" w:after="50"/>
        <w:ind w:left="-23" w:leftChars="-11" w:right="-214" w:rightChars="-102" w:firstLine="21" w:firstLineChars="10"/>
        <w:jc w:val="left"/>
        <w:rPr>
          <w:rFonts w:hint="eastAsia" w:ascii="宋体" w:hAnsi="宋体" w:eastAsia="宋体" w:cs="宋体"/>
          <w:color w:val="auto"/>
          <w:highlight w:val="none"/>
        </w:rPr>
      </w:pPr>
      <w:r>
        <w:rPr>
          <w:rFonts w:hint="eastAsia" w:ascii="宋体" w:hAnsi="宋体" w:eastAsia="宋体" w:cs="宋体"/>
          <w:color w:val="auto"/>
          <w:highlight w:val="none"/>
        </w:rPr>
        <w:t>注：1、从业人员、营业收入、资产总额填报上一年度数据，无上一年度数据的新成立企业可不填报。</w:t>
      </w:r>
    </w:p>
    <w:p>
      <w:pPr>
        <w:snapToGrid w:val="0"/>
        <w:spacing w:before="50" w:after="50"/>
        <w:ind w:left="-23" w:leftChars="-11" w:right="-214" w:rightChars="-102" w:firstLine="21" w:firstLineChars="10"/>
        <w:jc w:val="left"/>
        <w:rPr>
          <w:rFonts w:hint="eastAsia" w:ascii="宋体" w:hAnsi="宋体" w:eastAsia="宋体" w:cs="宋体"/>
          <w:color w:val="auto"/>
          <w:highlight w:val="none"/>
        </w:rPr>
      </w:pPr>
      <w:r>
        <w:rPr>
          <w:rFonts w:hint="eastAsia" w:ascii="宋体" w:hAnsi="宋体" w:eastAsia="宋体" w:cs="宋体"/>
          <w:color w:val="auto"/>
          <w:highlight w:val="none"/>
        </w:rPr>
        <w:t>2、投标人应当对其出具的《中小企业声明函》真实性负责，投标人出具的《中小企业声明函》内容不实的，属于提供虚假材料谋取中标。投标人在填写本表前，</w:t>
      </w:r>
      <w:r>
        <w:rPr>
          <w:rFonts w:hint="eastAsia" w:ascii="宋体" w:hAnsi="宋体" w:eastAsia="宋体" w:cs="宋体"/>
          <w:b/>
          <w:color w:val="auto"/>
          <w:highlight w:val="none"/>
        </w:rPr>
        <w:t>应从所有产品制造商处获得充分、准确的信息。</w:t>
      </w:r>
      <w:r>
        <w:rPr>
          <w:rFonts w:hint="eastAsia" w:ascii="宋体" w:hAnsi="宋体" w:eastAsia="宋体" w:cs="宋体"/>
          <w:color w:val="auto"/>
          <w:highlight w:val="none"/>
        </w:rPr>
        <w:t>对相关制造商信息了解不充分，或者不能确定相关信息真实、准确的，不建议出具《中小企业声明函》。</w:t>
      </w:r>
    </w:p>
    <w:p>
      <w:pPr>
        <w:snapToGrid w:val="0"/>
        <w:spacing w:before="50" w:after="50"/>
        <w:ind w:left="-23" w:leftChars="-11" w:right="-214" w:rightChars="-102" w:firstLine="443" w:firstLineChars="210"/>
        <w:jc w:val="left"/>
        <w:rPr>
          <w:rFonts w:hint="eastAsia" w:ascii="宋体" w:hAnsi="宋体" w:eastAsia="宋体" w:cs="宋体"/>
          <w:b/>
          <w:color w:val="auto"/>
          <w:highlight w:val="none"/>
        </w:rPr>
      </w:pPr>
      <w:r>
        <w:rPr>
          <w:rFonts w:hint="eastAsia" w:ascii="宋体" w:hAnsi="宋体" w:eastAsia="宋体" w:cs="宋体"/>
          <w:b/>
          <w:color w:val="auto"/>
          <w:highlight w:val="none"/>
        </w:rPr>
        <w:t>备注说明：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4860"/>
        </w:tabs>
        <w:ind w:right="1560" w:firstLine="420" w:firstLineChars="200"/>
        <w:jc w:val="center"/>
        <w:rPr>
          <w:rFonts w:ascii="宋体" w:hAnsi="宋体"/>
          <w:color w:val="auto"/>
          <w:szCs w:val="21"/>
          <w:highlight w:val="none"/>
        </w:rPr>
      </w:pPr>
    </w:p>
    <w:p>
      <w:pPr>
        <w:pStyle w:val="17"/>
        <w:spacing w:line="360" w:lineRule="auto"/>
        <w:jc w:val="center"/>
        <w:rPr>
          <w:rFonts w:hAnsi="宋体"/>
          <w:color w:val="auto"/>
          <w:szCs w:val="21"/>
          <w:highlight w:val="none"/>
        </w:rPr>
      </w:pPr>
      <w:bookmarkStart w:id="40" w:name="OLE_LINK13"/>
      <w:bookmarkStart w:id="41" w:name="OLE_LINK14"/>
      <w:r>
        <w:rPr>
          <w:rFonts w:hAnsi="宋体"/>
          <w:color w:val="auto"/>
          <w:szCs w:val="21"/>
          <w:highlight w:val="none"/>
        </w:rPr>
        <w:br w:type="page"/>
      </w:r>
    </w:p>
    <w:p>
      <w:pPr>
        <w:pStyle w:val="17"/>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1.4）残疾人福利性单位声明函</w:t>
      </w:r>
      <w:bookmarkEnd w:id="40"/>
      <w:bookmarkEnd w:id="41"/>
      <w:r>
        <w:rPr>
          <w:rFonts w:hint="eastAsia" w:ascii="宋体" w:hAnsi="宋体" w:eastAsia="宋体" w:cs="宋体"/>
          <w:b/>
          <w:color w:val="auto"/>
          <w:sz w:val="21"/>
          <w:szCs w:val="21"/>
          <w:highlight w:val="none"/>
        </w:rPr>
        <w:t>（如符合可提供）</w:t>
      </w:r>
    </w:p>
    <w:p>
      <w:pPr>
        <w:ind w:firstLine="444" w:firstLineChars="200"/>
        <w:rPr>
          <w:rFonts w:hint="eastAsia" w:ascii="宋体" w:hAnsi="宋体" w:eastAsia="宋体" w:cs="宋体"/>
          <w:color w:val="auto"/>
          <w:spacing w:val="6"/>
          <w:highlight w:val="none"/>
        </w:rPr>
      </w:pPr>
    </w:p>
    <w:p>
      <w:pPr>
        <w:ind w:firstLine="444" w:firstLineChars="200"/>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本单位郑重声明，根据《财政部 民政部 中国残疾人联合会关于促进残疾人就业政府采购政策的通知》（财库</w:t>
      </w:r>
      <w:r>
        <w:rPr>
          <w:rFonts w:hint="eastAsia" w:ascii="宋体" w:hAnsi="宋体" w:eastAsia="宋体" w:cs="宋体"/>
          <w:color w:val="auto"/>
          <w:highlight w:val="none"/>
        </w:rPr>
        <w:t>〔2017〕 141</w:t>
      </w:r>
      <w:r>
        <w:rPr>
          <w:rFonts w:hint="eastAsia" w:ascii="宋体" w:hAnsi="宋体" w:eastAsia="宋体" w:cs="宋体"/>
          <w:color w:val="auto"/>
          <w:spacing w:val="6"/>
          <w:highlight w:val="none"/>
        </w:rPr>
        <w:t>号）的规定，本单位为符合条件的残疾人福利性单位，且本单位参加</w:t>
      </w:r>
      <w:r>
        <w:rPr>
          <w:rFonts w:hint="eastAsia" w:ascii="宋体" w:hAnsi="宋体" w:eastAsia="宋体" w:cs="宋体"/>
          <w:color w:val="auto"/>
          <w:spacing w:val="6"/>
          <w:highlight w:val="none"/>
          <w:u w:val="single"/>
        </w:rPr>
        <w:t>宁波市公安局巡（特）警支队</w:t>
      </w:r>
      <w:r>
        <w:rPr>
          <w:rFonts w:hint="eastAsia" w:ascii="宋体" w:hAnsi="宋体" w:eastAsia="宋体" w:cs="宋体"/>
          <w:color w:val="auto"/>
          <w:spacing w:val="6"/>
          <w:highlight w:val="none"/>
        </w:rPr>
        <w:t>单位的</w:t>
      </w:r>
      <w:r>
        <w:rPr>
          <w:rFonts w:hint="eastAsia" w:ascii="宋体" w:hAnsi="宋体" w:eastAsia="宋体" w:cs="宋体"/>
          <w:color w:val="auto"/>
          <w:spacing w:val="6"/>
          <w:highlight w:val="none"/>
          <w:u w:val="single"/>
        </w:rPr>
        <w:t>宁波市公安局巡（特）警支队特种车辆采购</w:t>
      </w:r>
      <w:r>
        <w:rPr>
          <w:rFonts w:hint="eastAsia" w:ascii="宋体" w:hAnsi="宋体" w:eastAsia="宋体" w:cs="宋体"/>
          <w:color w:val="auto"/>
          <w:spacing w:val="6"/>
          <w:highlight w:val="none"/>
        </w:rPr>
        <w:t>项目采购活动提供本单位制造的货物（由本单位承担工程/提供服务），或者提供其他残疾人福利性单位制造的货物（不包括使用非残疾人福利性单位注册商标的货物）。</w:t>
      </w:r>
    </w:p>
    <w:p>
      <w:pPr>
        <w:ind w:firstLine="444" w:firstLineChars="200"/>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本单位对上述声明的真实性负责。如有虚假，将依法承担相应责任。</w:t>
      </w:r>
    </w:p>
    <w:p>
      <w:pPr>
        <w:ind w:firstLine="444" w:firstLineChars="200"/>
        <w:rPr>
          <w:rFonts w:hint="eastAsia" w:ascii="宋体" w:hAnsi="宋体" w:eastAsia="宋体" w:cs="宋体"/>
          <w:color w:val="auto"/>
          <w:spacing w:val="6"/>
          <w:highlight w:val="none"/>
        </w:rPr>
      </w:pPr>
    </w:p>
    <w:p>
      <w:pPr>
        <w:ind w:firstLine="444" w:firstLineChars="200"/>
        <w:jc w:val="right"/>
        <w:rPr>
          <w:rFonts w:asciiTheme="minorEastAsia" w:hAnsiTheme="minorEastAsia" w:eastAsiaTheme="minorEastAsia"/>
          <w:color w:val="auto"/>
          <w:spacing w:val="6"/>
          <w:highlight w:val="none"/>
        </w:rPr>
      </w:pPr>
    </w:p>
    <w:p>
      <w:pPr>
        <w:tabs>
          <w:tab w:val="left" w:pos="4860"/>
        </w:tabs>
        <w:ind w:right="1560" w:firstLine="444" w:firstLineChars="200"/>
        <w:jc w:val="right"/>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单位名称（盖章）：</w:t>
      </w:r>
    </w:p>
    <w:p>
      <w:pPr>
        <w:tabs>
          <w:tab w:val="left" w:pos="4860"/>
        </w:tabs>
        <w:ind w:right="1560" w:firstLine="444" w:firstLineChars="200"/>
        <w:jc w:val="right"/>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日  期：</w:t>
      </w:r>
    </w:p>
    <w:p>
      <w:pPr>
        <w:pStyle w:val="17"/>
        <w:snapToGrid w:val="0"/>
        <w:spacing w:line="360" w:lineRule="auto"/>
        <w:ind w:firstLine="437" w:firstLineChars="196"/>
        <w:rPr>
          <w:rFonts w:hAnsi="宋体" w:cs="宋体"/>
          <w:b/>
          <w:color w:val="auto"/>
          <w:spacing w:val="6"/>
          <w:sz w:val="21"/>
          <w:szCs w:val="21"/>
          <w:highlight w:val="none"/>
        </w:rPr>
      </w:pPr>
    </w:p>
    <w:p>
      <w:pPr>
        <w:pStyle w:val="17"/>
        <w:snapToGrid w:val="0"/>
        <w:spacing w:line="360" w:lineRule="auto"/>
        <w:ind w:firstLine="437" w:firstLineChars="196"/>
        <w:rPr>
          <w:rFonts w:hAnsi="宋体" w:cs="宋体"/>
          <w:b/>
          <w:color w:val="auto"/>
          <w:spacing w:val="6"/>
          <w:sz w:val="21"/>
          <w:szCs w:val="21"/>
          <w:highlight w:val="none"/>
        </w:rPr>
      </w:pPr>
    </w:p>
    <w:p>
      <w:pPr>
        <w:pStyle w:val="17"/>
        <w:snapToGrid w:val="0"/>
        <w:spacing w:line="360" w:lineRule="auto"/>
        <w:ind w:firstLine="437" w:firstLineChars="196"/>
        <w:rPr>
          <w:rFonts w:hAnsi="宋体" w:cs="宋体"/>
          <w:b/>
          <w:color w:val="auto"/>
          <w:spacing w:val="6"/>
          <w:sz w:val="21"/>
          <w:szCs w:val="21"/>
          <w:highlight w:val="none"/>
        </w:rPr>
      </w:pPr>
    </w:p>
    <w:p>
      <w:pPr>
        <w:rPr>
          <w:rFonts w:ascii="宋体" w:hAnsi="宋体"/>
          <w:b/>
          <w:color w:val="auto"/>
          <w:highlight w:val="none"/>
        </w:rPr>
      </w:pPr>
    </w:p>
    <w:p>
      <w:pPr>
        <w:rPr>
          <w:rFonts w:ascii="宋体" w:hAnsi="宋体"/>
          <w:b/>
          <w:color w:val="auto"/>
          <w:highlight w:val="none"/>
        </w:rPr>
      </w:pPr>
      <w:r>
        <w:rPr>
          <w:rFonts w:hint="eastAsia" w:ascii="宋体" w:hAnsi="宋体"/>
          <w:b/>
          <w:color w:val="auto"/>
          <w:highlight w:val="none"/>
        </w:rPr>
        <w:t>说明：不属于残疾人福利性单位无需且不应当提供本声明函，否则自行承担相应的责任。</w:t>
      </w:r>
    </w:p>
    <w:p>
      <w:pPr>
        <w:widowControl/>
        <w:jc w:val="left"/>
        <w:rPr>
          <w:rFonts w:ascii="宋体" w:hAnsi="宋体"/>
          <w:b/>
          <w:color w:val="auto"/>
          <w:szCs w:val="21"/>
          <w:highlight w:val="none"/>
        </w:rPr>
      </w:pPr>
      <w:r>
        <w:rPr>
          <w:rFonts w:hint="eastAsia" w:ascii="宋体" w:hAnsi="宋体"/>
          <w:b/>
          <w:color w:val="auto"/>
          <w:highlight w:val="none"/>
        </w:rPr>
        <w:br w:type="page"/>
      </w:r>
      <w:r>
        <w:rPr>
          <w:rFonts w:hint="eastAsia" w:ascii="宋体" w:hAnsi="宋体"/>
          <w:b/>
          <w:color w:val="auto"/>
          <w:highlight w:val="none"/>
        </w:rPr>
        <w:t>2、商务技术文件的有关格式</w:t>
      </w:r>
    </w:p>
    <w:p>
      <w:pPr>
        <w:snapToGrid w:val="0"/>
        <w:spacing w:beforeLines="50" w:after="50"/>
        <w:jc w:val="center"/>
        <w:rPr>
          <w:rFonts w:ascii="宋体" w:hAnsi="宋体"/>
          <w:b/>
          <w:color w:val="auto"/>
          <w:highlight w:val="none"/>
        </w:rPr>
      </w:pPr>
      <w:r>
        <w:rPr>
          <w:rFonts w:hint="eastAsia" w:ascii="宋体" w:hAnsi="宋体"/>
          <w:b/>
          <w:color w:val="auto"/>
          <w:highlight w:val="none"/>
        </w:rPr>
        <w:t>1）询价响应函</w:t>
      </w:r>
    </w:p>
    <w:p>
      <w:pPr>
        <w:snapToGrid w:val="0"/>
        <w:rPr>
          <w:rFonts w:ascii="宋体" w:hAnsi="宋体"/>
          <w:color w:val="auto"/>
          <w:highlight w:val="none"/>
        </w:rPr>
      </w:pPr>
      <w:r>
        <w:rPr>
          <w:rFonts w:hint="eastAsia" w:ascii="宋体" w:hAnsi="宋体"/>
          <w:color w:val="auto"/>
          <w:highlight w:val="none"/>
        </w:rPr>
        <w:t>致：</w:t>
      </w:r>
      <w:r>
        <w:rPr>
          <w:rFonts w:hint="eastAsia" w:ascii="宋体" w:hAnsi="宋体"/>
          <w:color w:val="auto"/>
          <w:highlight w:val="none"/>
          <w:u w:val="single"/>
          <w:lang w:val="en-US" w:eastAsia="zh-CN"/>
        </w:rPr>
        <w:t>宁波市公安局交通警察局</w:t>
      </w:r>
      <w:r>
        <w:rPr>
          <w:rFonts w:hint="eastAsia" w:ascii="宋体" w:hAnsi="宋体"/>
          <w:color w:val="auto"/>
          <w:highlight w:val="none"/>
          <w:u w:val="single"/>
        </w:rPr>
        <w:t>、宁波</w:t>
      </w:r>
      <w:r>
        <w:rPr>
          <w:rFonts w:hint="eastAsia" w:ascii="宋体" w:hAnsi="宋体"/>
          <w:color w:val="auto"/>
          <w:highlight w:val="none"/>
          <w:u w:val="single"/>
          <w:lang w:val="en-US" w:eastAsia="zh-CN"/>
        </w:rPr>
        <w:t>中基国际</w:t>
      </w:r>
      <w:r>
        <w:rPr>
          <w:rFonts w:hint="eastAsia" w:ascii="宋体" w:hAnsi="宋体"/>
          <w:color w:val="auto"/>
          <w:highlight w:val="none"/>
          <w:u w:val="single"/>
        </w:rPr>
        <w:t>招标代理有限公司</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我方确认获取贵方关于</w:t>
      </w:r>
      <w:r>
        <w:rPr>
          <w:rFonts w:hint="eastAsia" w:ascii="宋体" w:hAnsi="宋体"/>
          <w:color w:val="auto"/>
          <w:highlight w:val="none"/>
          <w:u w:val="single"/>
        </w:rPr>
        <w:t xml:space="preserve">  </w:t>
      </w:r>
      <w:r>
        <w:rPr>
          <w:rFonts w:hint="eastAsia" w:ascii="宋体" w:hAnsi="宋体" w:cs="宋体"/>
          <w:b w:val="0"/>
          <w:bCs w:val="0"/>
          <w:color w:val="auto"/>
          <w:szCs w:val="21"/>
          <w:highlight w:val="none"/>
          <w:u w:val="single"/>
          <w:lang w:eastAsia="zh-CN"/>
        </w:rPr>
        <w:t>宁波市公安局交通警察局2023年特种专业技术用车购置项目</w:t>
      </w:r>
      <w:r>
        <w:rPr>
          <w:rFonts w:hint="eastAsia" w:ascii="宋体" w:hAnsi="宋体"/>
          <w:color w:val="auto"/>
          <w:highlight w:val="none"/>
          <w:u w:val="single"/>
        </w:rPr>
        <w:t xml:space="preserve">  </w:t>
      </w:r>
      <w:r>
        <w:rPr>
          <w:rFonts w:hint="eastAsia" w:ascii="宋体" w:hAnsi="宋体"/>
          <w:color w:val="auto"/>
          <w:highlight w:val="none"/>
        </w:rPr>
        <w:t>的询价通知书（项目编号：</w:t>
      </w:r>
      <w:r>
        <w:rPr>
          <w:rFonts w:hint="eastAsia" w:ascii="宋体" w:hAnsi="宋体"/>
          <w:color w:val="auto"/>
          <w:highlight w:val="none"/>
          <w:u w:val="single"/>
        </w:rPr>
        <w:t xml:space="preserve"> </w:t>
      </w:r>
      <w:r>
        <w:rPr>
          <w:rFonts w:hint="eastAsia" w:ascii="宋体" w:hAnsi="宋体" w:eastAsia="宋体" w:cs="宋体"/>
          <w:b w:val="0"/>
          <w:bCs w:val="0"/>
          <w:color w:val="auto"/>
          <w:szCs w:val="21"/>
          <w:highlight w:val="none"/>
          <w:u w:val="single"/>
        </w:rPr>
        <w:t>CBNB-20232467G询</w:t>
      </w:r>
      <w:r>
        <w:rPr>
          <w:rFonts w:hint="eastAsia" w:ascii="宋体" w:hAnsi="宋体"/>
          <w:color w:val="auto"/>
          <w:highlight w:val="none"/>
          <w:u w:val="single"/>
        </w:rPr>
        <w:t xml:space="preserve"> </w:t>
      </w:r>
      <w:r>
        <w:rPr>
          <w:rFonts w:hint="eastAsia" w:ascii="宋体" w:hAnsi="宋体"/>
          <w:color w:val="auto"/>
          <w:highlight w:val="none"/>
        </w:rPr>
        <w:t>），法定代表人（或《法人代表人授权委托书》中的授权代表）</w:t>
      </w:r>
      <w:r>
        <w:rPr>
          <w:rFonts w:hint="eastAsia" w:ascii="宋体" w:hAnsi="宋体"/>
          <w:color w:val="auto"/>
          <w:highlight w:val="none"/>
          <w:u w:val="single"/>
        </w:rPr>
        <w:t xml:space="preserve"> （姓名）  </w:t>
      </w:r>
      <w:r>
        <w:rPr>
          <w:rFonts w:hint="eastAsia" w:ascii="宋体" w:hAnsi="宋体"/>
          <w:color w:val="auto"/>
          <w:highlight w:val="none"/>
        </w:rPr>
        <w:t>作为我方代表，在此声明并同意：</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1.我方已详细审查并理解询价通知书的要求，包括询价通知书的澄清及修改文件（如有）以及全部参考资料和有关附件，我们同意放弃对询价通知书提出不明或误解的一切权力。</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2.响应文件从提交响应文件的截止之日起</w:t>
      </w:r>
      <w:r>
        <w:rPr>
          <w:rFonts w:hint="eastAsia" w:ascii="宋体" w:hAnsi="宋体"/>
          <w:color w:val="auto"/>
          <w:highlight w:val="none"/>
          <w:u w:val="single"/>
        </w:rPr>
        <w:t xml:space="preserve">  90   </w:t>
      </w:r>
      <w:r>
        <w:rPr>
          <w:rFonts w:hint="eastAsia" w:ascii="宋体" w:hAnsi="宋体"/>
          <w:color w:val="auto"/>
          <w:highlight w:val="none"/>
        </w:rPr>
        <w:t>日历天内有效。</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3.我方愿意提供采购人、采购代理机构与询价小组要求的有关报价响应的一切数据或资料。</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4.我方提交的一切文件，无论是原件还是复印件均为准确、真实、有效的，绝无任何虚假、伪造或者夸大。我方在此郑重承诺：在本次询价采购活动中，如有违法、违规、弄虚作假及违背诚信的行为，所造成的损失、不良后果及法律责任，一律由我方承担。</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5.如果我方提供的声明或承诺不真实，则完全同意被认定为提供虚假材料，并作相应处理。</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6.如我方获得成交，承诺按照询价通知书规定的金额、时间和方式支付采购代理服务费。因我方违约致使采购代理机构采取诉讼或仲裁等方式实现债权，为此支付的律师费、诉讼费、执行费、公证费、认证费、鉴定费、保全费、担保费、差旅费等为实现债权的一切费用由我方承担。</w:t>
      </w:r>
    </w:p>
    <w:p>
      <w:pPr>
        <w:snapToGrid w:val="0"/>
        <w:ind w:left="-23" w:leftChars="-11" w:right="27" w:rightChars="13" w:firstLine="447" w:firstLineChars="213"/>
        <w:jc w:val="left"/>
        <w:rPr>
          <w:rFonts w:ascii="宋体" w:hAnsi="宋体"/>
          <w:color w:val="auto"/>
          <w:highlight w:val="none"/>
        </w:rPr>
      </w:pPr>
      <w:r>
        <w:rPr>
          <w:rFonts w:hint="eastAsia" w:ascii="宋体" w:hAnsi="宋体"/>
          <w:color w:val="auto"/>
          <w:highlight w:val="none"/>
        </w:rPr>
        <w:t>7.所有有关本项目的函电请寄：</w:t>
      </w:r>
    </w:p>
    <w:p>
      <w:pPr>
        <w:snapToGrid w:val="0"/>
        <w:rPr>
          <w:rFonts w:ascii="宋体" w:hAnsi="宋体"/>
          <w:color w:val="auto"/>
          <w:highlight w:val="none"/>
          <w:u w:val="single"/>
        </w:rPr>
      </w:pPr>
      <w:r>
        <w:rPr>
          <w:rFonts w:hint="eastAsia" w:ascii="宋体" w:hAnsi="宋体"/>
          <w:color w:val="auto"/>
          <w:highlight w:val="none"/>
        </w:rPr>
        <w:t>地址：</w:t>
      </w:r>
      <w:r>
        <w:rPr>
          <w:rFonts w:hint="eastAsia" w:ascii="宋体" w:hAnsi="宋体"/>
          <w:color w:val="auto"/>
          <w:highlight w:val="none"/>
          <w:u w:val="single"/>
        </w:rPr>
        <w:t xml:space="preserve">              </w:t>
      </w:r>
      <w:r>
        <w:rPr>
          <w:rFonts w:hint="eastAsia" w:ascii="宋体" w:hAnsi="宋体"/>
          <w:color w:val="auto"/>
          <w:highlight w:val="none"/>
        </w:rPr>
        <w:t>邮编：</w:t>
      </w:r>
      <w:r>
        <w:rPr>
          <w:rFonts w:hint="eastAsia" w:ascii="宋体" w:hAnsi="宋体"/>
          <w:color w:val="auto"/>
          <w:highlight w:val="none"/>
          <w:u w:val="single"/>
        </w:rPr>
        <w:t xml:space="preserve">           </w:t>
      </w:r>
    </w:p>
    <w:p>
      <w:pPr>
        <w:snapToGrid w:val="0"/>
        <w:rPr>
          <w:rFonts w:ascii="宋体" w:hAnsi="宋体"/>
          <w:color w:val="auto"/>
          <w:highlight w:val="none"/>
        </w:rPr>
      </w:pPr>
      <w:r>
        <w:rPr>
          <w:rFonts w:hint="eastAsia" w:ascii="宋体" w:hAnsi="宋体"/>
          <w:color w:val="auto"/>
          <w:highlight w:val="none"/>
        </w:rPr>
        <w:t>电话：</w:t>
      </w:r>
      <w:r>
        <w:rPr>
          <w:rFonts w:hint="eastAsia" w:ascii="宋体" w:hAnsi="宋体"/>
          <w:color w:val="auto"/>
          <w:highlight w:val="none"/>
          <w:u w:val="single"/>
        </w:rPr>
        <w:t xml:space="preserve">              </w:t>
      </w:r>
      <w:r>
        <w:rPr>
          <w:rFonts w:hint="eastAsia" w:ascii="宋体" w:hAnsi="宋体"/>
          <w:color w:val="auto"/>
          <w:highlight w:val="none"/>
        </w:rPr>
        <w:t>电子邮箱：</w:t>
      </w:r>
      <w:r>
        <w:rPr>
          <w:rFonts w:hint="eastAsia" w:ascii="宋体" w:hAnsi="宋体"/>
          <w:color w:val="auto"/>
          <w:highlight w:val="none"/>
          <w:u w:val="single"/>
        </w:rPr>
        <w:t xml:space="preserve">           </w:t>
      </w:r>
    </w:p>
    <w:p>
      <w:pPr>
        <w:snapToGrid w:val="0"/>
        <w:rPr>
          <w:rFonts w:ascii="宋体" w:hAnsi="宋体"/>
          <w:color w:val="auto"/>
          <w:highlight w:val="none"/>
        </w:rPr>
      </w:pPr>
      <w:r>
        <w:rPr>
          <w:rFonts w:hint="eastAsia" w:ascii="宋体" w:hAnsi="宋体"/>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ind w:firstLine="2975" w:firstLineChars="1417"/>
        <w:rPr>
          <w:rFonts w:ascii="宋体" w:hAnsi="宋体"/>
          <w:color w:val="auto"/>
          <w:highlight w:val="none"/>
        </w:rPr>
      </w:pPr>
      <w:r>
        <w:rPr>
          <w:rFonts w:hint="eastAsia" w:ascii="宋体" w:hAnsi="宋体"/>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 xml:space="preserve"> </w:t>
      </w:r>
    </w:p>
    <w:p>
      <w:pPr>
        <w:snapToGrid w:val="0"/>
        <w:spacing w:before="50" w:after="50"/>
        <w:jc w:val="center"/>
        <w:rPr>
          <w:rFonts w:hint="eastAsia" w:ascii="宋体" w:hAnsi="宋体"/>
          <w:b/>
          <w:color w:val="auto"/>
          <w:highlight w:val="none"/>
        </w:rPr>
      </w:pPr>
      <w:r>
        <w:rPr>
          <w:rFonts w:hint="eastAsia" w:ascii="宋体" w:hAnsi="宋体"/>
          <w:b/>
          <w:color w:val="auto"/>
          <w:highlight w:val="none"/>
        </w:rPr>
        <w:br w:type="page"/>
      </w:r>
      <w:r>
        <w:rPr>
          <w:rFonts w:hint="eastAsia" w:ascii="宋体" w:hAnsi="宋体"/>
          <w:b/>
          <w:color w:val="auto"/>
          <w:highlight w:val="none"/>
        </w:rPr>
        <w:t>2）</w:t>
      </w:r>
      <w:r>
        <w:rPr>
          <w:rFonts w:hint="eastAsia" w:ascii="宋体" w:hAnsi="宋体"/>
          <w:b/>
          <w:color w:val="auto"/>
          <w:szCs w:val="21"/>
          <w:highlight w:val="none"/>
        </w:rPr>
        <w:t>法定代表人身份证明</w:t>
      </w:r>
      <w:r>
        <w:rPr>
          <w:rFonts w:hint="eastAsia" w:ascii="宋体" w:hAnsi="宋体"/>
          <w:b/>
          <w:color w:val="auto"/>
          <w:highlight w:val="none"/>
        </w:rPr>
        <w:t>书</w:t>
      </w:r>
    </w:p>
    <w:p>
      <w:pPr>
        <w:pStyle w:val="53"/>
        <w:rPr>
          <w:color w:val="auto"/>
          <w:highlight w:val="none"/>
        </w:rPr>
      </w:pPr>
    </w:p>
    <w:p>
      <w:pPr>
        <w:pStyle w:val="159"/>
        <w:spacing w:line="360" w:lineRule="auto"/>
        <w:rPr>
          <w:rFonts w:ascii="宋体" w:hAnsi="宋体"/>
          <w:color w:val="auto"/>
          <w:highlight w:val="none"/>
        </w:rPr>
      </w:pPr>
      <w:r>
        <w:rPr>
          <w:rFonts w:hint="eastAsia" w:ascii="宋体" w:hAnsi="宋体"/>
          <w:color w:val="auto"/>
          <w:highlight w:val="none"/>
          <w:u w:val="single"/>
        </w:rPr>
        <w:t xml:space="preserve">（姓名）  </w:t>
      </w:r>
      <w:r>
        <w:rPr>
          <w:rFonts w:hint="eastAsia" w:ascii="宋体" w:hAnsi="宋体"/>
          <w:color w:val="auto"/>
          <w:highlight w:val="none"/>
        </w:rPr>
        <w:t>，身份证号为</w:t>
      </w:r>
      <w:r>
        <w:rPr>
          <w:rFonts w:hint="eastAsia" w:ascii="宋体" w:hAnsi="宋体"/>
          <w:color w:val="auto"/>
          <w:highlight w:val="none"/>
          <w:u w:val="single"/>
        </w:rPr>
        <w:t xml:space="preserve">                    </w:t>
      </w:r>
      <w:r>
        <w:rPr>
          <w:rFonts w:hint="eastAsia" w:ascii="宋体" w:hAnsi="宋体"/>
          <w:color w:val="auto"/>
          <w:highlight w:val="none"/>
        </w:rPr>
        <w:t>，系</w:t>
      </w:r>
      <w:r>
        <w:rPr>
          <w:rFonts w:hint="eastAsia" w:ascii="宋体" w:hAnsi="宋体"/>
          <w:color w:val="auto"/>
          <w:highlight w:val="none"/>
          <w:u w:val="single"/>
        </w:rPr>
        <w:t>（供应商名称）</w:t>
      </w:r>
      <w:r>
        <w:rPr>
          <w:rFonts w:hint="eastAsia" w:ascii="宋体" w:hAnsi="宋体"/>
          <w:color w:val="auto"/>
          <w:highlight w:val="none"/>
        </w:rPr>
        <w:t>的法定代表人，特此证明。</w:t>
      </w:r>
    </w:p>
    <w:p>
      <w:pPr>
        <w:pStyle w:val="159"/>
        <w:spacing w:line="360" w:lineRule="auto"/>
        <w:rPr>
          <w:rFonts w:ascii="宋体" w:hAnsi="宋体"/>
          <w:color w:val="auto"/>
          <w:highlight w:val="none"/>
        </w:rPr>
      </w:pPr>
    </w:p>
    <w:p>
      <w:pPr>
        <w:snapToGrid w:val="0"/>
        <w:ind w:left="-23" w:leftChars="-11" w:right="-214" w:rightChars="-102" w:firstLine="21" w:firstLineChars="10"/>
        <w:jc w:val="center"/>
        <w:rPr>
          <w:rFonts w:ascii="宋体" w:hAnsi="宋体"/>
          <w:b/>
          <w:color w:val="auto"/>
          <w:szCs w:val="21"/>
          <w:highlight w:val="none"/>
        </w:rPr>
      </w:pPr>
    </w:p>
    <w:p>
      <w:pPr>
        <w:tabs>
          <w:tab w:val="left" w:pos="426"/>
        </w:tabs>
        <w:snapToGrid w:val="0"/>
        <w:ind w:firstLine="141" w:firstLineChars="67"/>
        <w:rPr>
          <w:rFonts w:ascii="宋体" w:hAnsi="宋体"/>
          <w:b/>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ind w:left="-23" w:leftChars="-11" w:right="-214" w:rightChars="-102" w:firstLine="21" w:firstLineChars="10"/>
        <w:jc w:val="center"/>
        <w:rPr>
          <w:rFonts w:ascii="宋体" w:hAnsi="宋体"/>
          <w:b/>
          <w:color w:val="auto"/>
          <w:szCs w:val="21"/>
          <w:highlight w:val="none"/>
        </w:rPr>
      </w:pPr>
    </w:p>
    <w:p>
      <w:pPr>
        <w:snapToGrid w:val="0"/>
        <w:ind w:left="-23" w:leftChars="-11" w:right="-214" w:rightChars="-102" w:firstLine="21" w:firstLineChars="10"/>
        <w:jc w:val="center"/>
        <w:rPr>
          <w:rFonts w:ascii="宋体" w:hAnsi="宋体"/>
          <w:b/>
          <w:color w:val="auto"/>
          <w:szCs w:val="21"/>
          <w:highlight w:val="none"/>
        </w:rPr>
      </w:pPr>
    </w:p>
    <w:p>
      <w:pPr>
        <w:snapToGrid w:val="0"/>
        <w:ind w:left="-23" w:leftChars="-11" w:right="-214" w:rightChars="-102" w:firstLine="21" w:firstLineChars="10"/>
        <w:jc w:val="center"/>
        <w:rPr>
          <w:rFonts w:ascii="宋体" w:hAnsi="宋体"/>
          <w:b/>
          <w:color w:val="auto"/>
          <w:szCs w:val="21"/>
          <w:highlight w:val="none"/>
        </w:rPr>
      </w:pPr>
    </w:p>
    <w:p>
      <w:pPr>
        <w:pStyle w:val="159"/>
        <w:rPr>
          <w:rFonts w:ascii="宋体" w:hAnsi="宋体"/>
          <w:color w:val="auto"/>
          <w:highlight w:val="none"/>
        </w:rPr>
      </w:pPr>
    </w:p>
    <w:p>
      <w:pPr>
        <w:pStyle w:val="159"/>
        <w:rPr>
          <w:rFonts w:ascii="宋体" w:hAnsi="宋体"/>
          <w:color w:val="auto"/>
          <w:highlight w:val="none"/>
        </w:rPr>
      </w:pPr>
    </w:p>
    <w:p>
      <w:pPr>
        <w:pStyle w:val="159"/>
        <w:rPr>
          <w:rFonts w:ascii="宋体" w:hAnsi="宋体"/>
          <w:color w:val="auto"/>
          <w:highlight w:val="none"/>
        </w:rPr>
      </w:pPr>
    </w:p>
    <w:p>
      <w:pPr>
        <w:pStyle w:val="159"/>
        <w:rPr>
          <w:rFonts w:ascii="宋体" w:hAnsi="宋体"/>
          <w:color w:val="auto"/>
          <w:highlight w:val="none"/>
        </w:rPr>
      </w:pPr>
    </w:p>
    <w:p>
      <w:pPr>
        <w:pStyle w:val="159"/>
        <w:rPr>
          <w:rFonts w:ascii="宋体" w:hAnsi="宋体"/>
          <w:color w:val="auto"/>
          <w:highlight w:val="none"/>
        </w:rPr>
      </w:pPr>
    </w:p>
    <w:p>
      <w:pPr>
        <w:pStyle w:val="159"/>
        <w:rPr>
          <w:rFonts w:ascii="宋体" w:hAnsi="宋体"/>
          <w:color w:val="auto"/>
          <w:highlight w:val="none"/>
        </w:rPr>
      </w:pPr>
    </w:p>
    <w:p>
      <w:pPr>
        <w:pStyle w:val="159"/>
        <w:rPr>
          <w:rFonts w:ascii="宋体" w:hAnsi="宋体"/>
          <w:color w:val="auto"/>
          <w:highlight w:val="none"/>
        </w:rPr>
      </w:pPr>
    </w:p>
    <w:p>
      <w:pPr>
        <w:snapToGrid w:val="0"/>
        <w:jc w:val="left"/>
        <w:rPr>
          <w:rFonts w:ascii="宋体" w:hAnsi="宋体"/>
          <w:b/>
          <w:color w:val="auto"/>
          <w:szCs w:val="21"/>
          <w:highlight w:val="none"/>
        </w:rPr>
      </w:pPr>
      <w:r>
        <w:rPr>
          <w:rFonts w:hint="eastAsia" w:ascii="宋体" w:hAnsi="宋体"/>
          <w:b/>
          <w:color w:val="auto"/>
          <w:szCs w:val="21"/>
          <w:highlight w:val="none"/>
        </w:rPr>
        <w:t>注：后附</w:t>
      </w:r>
      <w:r>
        <w:rPr>
          <w:rFonts w:hint="eastAsia" w:ascii="宋体" w:hAnsi="宋体" w:cs="宋体"/>
          <w:b/>
          <w:bCs/>
          <w:color w:val="auto"/>
          <w:szCs w:val="32"/>
          <w:highlight w:val="none"/>
        </w:rPr>
        <w:t>法定代表人</w:t>
      </w:r>
      <w:r>
        <w:rPr>
          <w:rFonts w:hint="eastAsia" w:ascii="宋体" w:hAnsi="宋体"/>
          <w:b/>
          <w:color w:val="auto"/>
          <w:szCs w:val="21"/>
          <w:highlight w:val="none"/>
        </w:rPr>
        <w:t>身份证正反面复印件</w:t>
      </w:r>
    </w:p>
    <w:p>
      <w:pPr>
        <w:snapToGrid w:val="0"/>
        <w:spacing w:beforeLines="50" w:after="50"/>
        <w:jc w:val="center"/>
        <w:rPr>
          <w:rFonts w:ascii="宋体" w:hAnsi="宋体"/>
          <w:b/>
          <w:color w:val="auto"/>
          <w:highlight w:val="none"/>
        </w:rPr>
      </w:pPr>
      <w:r>
        <w:rPr>
          <w:rFonts w:ascii="宋体" w:hAnsi="宋体"/>
          <w:b/>
          <w:color w:val="auto"/>
          <w:highlight w:val="none"/>
        </w:rPr>
        <w:br w:type="page"/>
      </w:r>
      <w:r>
        <w:rPr>
          <w:rFonts w:hint="eastAsia" w:ascii="宋体" w:hAnsi="宋体"/>
          <w:b/>
          <w:color w:val="auto"/>
          <w:highlight w:val="none"/>
        </w:rPr>
        <w:t>3）法定代表人授权委托书</w:t>
      </w:r>
    </w:p>
    <w:p>
      <w:pPr>
        <w:snapToGrid w:val="0"/>
        <w:rPr>
          <w:rFonts w:ascii="宋体" w:hAnsi="宋体"/>
          <w:b/>
          <w:bCs/>
          <w:color w:val="auto"/>
          <w:highlight w:val="none"/>
        </w:rPr>
      </w:pPr>
      <w:r>
        <w:rPr>
          <w:rFonts w:hint="eastAsia" w:ascii="宋体" w:hAnsi="宋体"/>
          <w:color w:val="auto"/>
          <w:highlight w:val="none"/>
        </w:rPr>
        <w:t>致</w:t>
      </w:r>
      <w:r>
        <w:rPr>
          <w:rFonts w:hint="eastAsia" w:ascii="宋体" w:hAnsi="宋体"/>
          <w:bCs/>
          <w:color w:val="auto"/>
          <w:highlight w:val="none"/>
        </w:rPr>
        <w:t>：</w:t>
      </w:r>
      <w:r>
        <w:rPr>
          <w:rFonts w:hint="eastAsia" w:ascii="宋体" w:hAnsi="宋体"/>
          <w:color w:val="auto"/>
          <w:highlight w:val="none"/>
          <w:u w:val="single"/>
          <w:lang w:val="en-US" w:eastAsia="zh-CN"/>
        </w:rPr>
        <w:t>宁波市公安局交通警察局</w:t>
      </w:r>
      <w:r>
        <w:rPr>
          <w:rFonts w:hint="eastAsia" w:ascii="宋体" w:hAnsi="宋体"/>
          <w:color w:val="auto"/>
          <w:highlight w:val="none"/>
          <w:u w:val="single"/>
        </w:rPr>
        <w:t>、宁波</w:t>
      </w:r>
      <w:r>
        <w:rPr>
          <w:rFonts w:hint="eastAsia" w:ascii="宋体" w:hAnsi="宋体"/>
          <w:color w:val="auto"/>
          <w:highlight w:val="none"/>
          <w:u w:val="single"/>
          <w:lang w:val="en-US" w:eastAsia="zh-CN"/>
        </w:rPr>
        <w:t>中基国际</w:t>
      </w:r>
      <w:r>
        <w:rPr>
          <w:rFonts w:hint="eastAsia" w:ascii="宋体" w:hAnsi="宋体"/>
          <w:color w:val="auto"/>
          <w:highlight w:val="none"/>
          <w:u w:val="single"/>
        </w:rPr>
        <w:t>招标代理有限公司</w:t>
      </w:r>
    </w:p>
    <w:p>
      <w:pPr>
        <w:snapToGrid w:val="0"/>
        <w:ind w:firstLine="424" w:firstLineChars="202"/>
        <w:rPr>
          <w:rFonts w:ascii="宋体" w:hAnsi="宋体"/>
          <w:color w:val="auto"/>
          <w:highlight w:val="none"/>
        </w:rPr>
      </w:pPr>
      <w:r>
        <w:rPr>
          <w:rFonts w:hint="eastAsia" w:ascii="宋体" w:hAnsi="宋体"/>
          <w:color w:val="auto"/>
          <w:highlight w:val="none"/>
        </w:rPr>
        <w:t>我</w:t>
      </w:r>
      <w:r>
        <w:rPr>
          <w:rFonts w:hint="eastAsia" w:ascii="宋体" w:hAnsi="宋体"/>
          <w:color w:val="auto"/>
          <w:highlight w:val="none"/>
          <w:u w:val="single"/>
        </w:rPr>
        <w:t xml:space="preserve">    （姓名）     </w:t>
      </w:r>
      <w:r>
        <w:rPr>
          <w:rFonts w:hint="eastAsia" w:ascii="宋体" w:hAnsi="宋体"/>
          <w:color w:val="auto"/>
          <w:highlight w:val="none"/>
        </w:rPr>
        <w:t>系</w:t>
      </w:r>
      <w:r>
        <w:rPr>
          <w:rFonts w:hint="eastAsia" w:ascii="宋体" w:hAnsi="宋体"/>
          <w:color w:val="auto"/>
          <w:highlight w:val="none"/>
          <w:u w:val="single"/>
        </w:rPr>
        <w:t xml:space="preserve">    （供应商名称）   </w:t>
      </w:r>
      <w:r>
        <w:rPr>
          <w:rFonts w:hint="eastAsia" w:ascii="宋体" w:hAnsi="宋体"/>
          <w:color w:val="auto"/>
          <w:highlight w:val="none"/>
        </w:rPr>
        <w:t xml:space="preserve">的法定代表人，现授权委托 </w:t>
      </w:r>
      <w:r>
        <w:rPr>
          <w:rFonts w:hint="eastAsia" w:ascii="宋体" w:hAnsi="宋体"/>
          <w:color w:val="auto"/>
          <w:highlight w:val="none"/>
          <w:u w:val="single"/>
        </w:rPr>
        <w:t xml:space="preserve">  （姓名）   </w:t>
      </w:r>
      <w:r>
        <w:rPr>
          <w:rFonts w:hint="eastAsia" w:ascii="宋体" w:hAnsi="宋体"/>
          <w:color w:val="auto"/>
          <w:highlight w:val="none"/>
        </w:rPr>
        <w:t>、身份证号：</w:t>
      </w:r>
      <w:r>
        <w:rPr>
          <w:rFonts w:hint="eastAsia" w:ascii="宋体" w:hAnsi="宋体"/>
          <w:color w:val="auto"/>
          <w:highlight w:val="none"/>
          <w:u w:val="single"/>
        </w:rPr>
        <w:t xml:space="preserve">                    </w:t>
      </w:r>
      <w:r>
        <w:rPr>
          <w:rFonts w:hint="eastAsia" w:ascii="宋体" w:hAnsi="宋体"/>
          <w:color w:val="auto"/>
          <w:highlight w:val="none"/>
        </w:rPr>
        <w:t>以我方的名义参加</w:t>
      </w:r>
      <w:r>
        <w:rPr>
          <w:rFonts w:hint="eastAsia" w:ascii="宋体" w:hAnsi="宋体"/>
          <w:color w:val="auto"/>
          <w:highlight w:val="none"/>
          <w:u w:val="single"/>
        </w:rPr>
        <w:t xml:space="preserve">   </w:t>
      </w:r>
      <w:r>
        <w:rPr>
          <w:rFonts w:hint="eastAsia" w:ascii="宋体" w:hAnsi="宋体" w:cs="宋体"/>
          <w:b w:val="0"/>
          <w:bCs w:val="0"/>
          <w:color w:val="auto"/>
          <w:szCs w:val="21"/>
          <w:highlight w:val="none"/>
          <w:u w:val="single"/>
          <w:lang w:eastAsia="zh-CN"/>
        </w:rPr>
        <w:t>宁波市公安局交通警察局2023年特种专业技术用车购置项目</w:t>
      </w:r>
      <w:r>
        <w:rPr>
          <w:rFonts w:hint="eastAsia" w:ascii="宋体" w:hAnsi="宋体"/>
          <w:color w:val="auto"/>
          <w:highlight w:val="none"/>
          <w:u w:val="single"/>
        </w:rPr>
        <w:t xml:space="preserve">（项目编号： </w:t>
      </w:r>
      <w:r>
        <w:rPr>
          <w:rFonts w:hint="eastAsia" w:ascii="宋体" w:hAnsi="宋体" w:eastAsia="宋体" w:cs="宋体"/>
          <w:b w:val="0"/>
          <w:bCs w:val="0"/>
          <w:color w:val="auto"/>
          <w:szCs w:val="21"/>
          <w:highlight w:val="none"/>
          <w:u w:val="single"/>
        </w:rPr>
        <w:t>CBNB-20232467G询</w:t>
      </w:r>
      <w:r>
        <w:rPr>
          <w:rFonts w:hint="eastAsia" w:ascii="宋体" w:hAnsi="宋体"/>
          <w:color w:val="auto"/>
          <w:highlight w:val="none"/>
          <w:u w:val="single"/>
        </w:rPr>
        <w:t xml:space="preserve">）  </w:t>
      </w:r>
      <w:r>
        <w:rPr>
          <w:rFonts w:hint="eastAsia" w:ascii="宋体" w:hAnsi="宋体"/>
          <w:color w:val="auto"/>
          <w:highlight w:val="none"/>
        </w:rPr>
        <w:t>的报价响应，并代表我方全权办理针对上述项目询价采购有关的具体事务办理并签署相关文件。</w:t>
      </w:r>
    </w:p>
    <w:p>
      <w:pPr>
        <w:snapToGrid w:val="0"/>
        <w:ind w:firstLine="424" w:firstLineChars="202"/>
        <w:rPr>
          <w:rFonts w:ascii="宋体" w:hAnsi="宋体"/>
          <w:color w:val="auto"/>
          <w:highlight w:val="none"/>
        </w:rPr>
      </w:pPr>
      <w:r>
        <w:rPr>
          <w:rFonts w:hint="eastAsia" w:ascii="宋体" w:hAnsi="宋体"/>
          <w:color w:val="auto"/>
          <w:highlight w:val="none"/>
        </w:rPr>
        <w:t>我方对授权代表的签名事项负全部责任。</w:t>
      </w:r>
    </w:p>
    <w:p>
      <w:pPr>
        <w:snapToGrid w:val="0"/>
        <w:ind w:firstLine="424" w:firstLineChars="202"/>
        <w:rPr>
          <w:rFonts w:ascii="宋体" w:hAnsi="宋体"/>
          <w:color w:val="auto"/>
          <w:highlight w:val="none"/>
        </w:rPr>
      </w:pPr>
      <w:r>
        <w:rPr>
          <w:rFonts w:hint="eastAsia" w:ascii="宋体" w:hAnsi="宋体"/>
          <w:color w:val="auto"/>
          <w:highlight w:val="none"/>
        </w:rPr>
        <w:t>在撤销授权的书面通知以前，本授权委托书一直有效。授权代表在授权委托书有效期内签署的所有文件不因授权的撤销而失效。</w:t>
      </w:r>
    </w:p>
    <w:p>
      <w:pPr>
        <w:snapToGrid w:val="0"/>
        <w:ind w:firstLine="424" w:firstLineChars="202"/>
        <w:rPr>
          <w:rFonts w:ascii="宋体" w:hAnsi="宋体"/>
          <w:color w:val="auto"/>
          <w:highlight w:val="none"/>
        </w:rPr>
      </w:pPr>
      <w:r>
        <w:rPr>
          <w:rFonts w:hint="eastAsia" w:ascii="宋体" w:hAnsi="宋体"/>
          <w:color w:val="auto"/>
          <w:highlight w:val="none"/>
        </w:rPr>
        <w:t>授权代表无转委托权，特此委托。</w:t>
      </w:r>
    </w:p>
    <w:p>
      <w:pPr>
        <w:snapToGrid w:val="0"/>
        <w:rPr>
          <w:rFonts w:ascii="宋体" w:hAnsi="宋体"/>
          <w:color w:val="auto"/>
          <w:highlight w:val="none"/>
        </w:rPr>
      </w:pPr>
      <w:r>
        <w:rPr>
          <w:rFonts w:hint="eastAsia" w:ascii="宋体" w:hAnsi="宋体"/>
          <w:color w:val="auto"/>
          <w:highlight w:val="none"/>
        </w:rPr>
        <w:t xml:space="preserve"> </w:t>
      </w:r>
    </w:p>
    <w:p>
      <w:pPr>
        <w:snapToGrid w:val="0"/>
        <w:ind w:firstLine="3685" w:firstLineChars="1755"/>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3685" w:firstLineChars="1755"/>
        <w:rPr>
          <w:rFonts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szCs w:val="21"/>
          <w:highlight w:val="none"/>
          <w:u w:val="single"/>
        </w:rPr>
        <w:t>签字或签章</w:t>
      </w:r>
      <w:r>
        <w:rPr>
          <w:rFonts w:hint="eastAsia" w:ascii="宋体" w:hAnsi="宋体"/>
          <w:color w:val="auto"/>
          <w:highlight w:val="none"/>
          <w:u w:val="single"/>
        </w:rPr>
        <w:t xml:space="preserve">）             </w:t>
      </w:r>
    </w:p>
    <w:p>
      <w:pPr>
        <w:snapToGrid w:val="0"/>
        <w:ind w:firstLine="3685" w:firstLineChars="1755"/>
        <w:rPr>
          <w:rFonts w:ascii="宋体" w:hAnsi="宋体"/>
          <w:color w:val="auto"/>
          <w:highlight w:val="none"/>
          <w:u w:val="single"/>
        </w:rPr>
      </w:pPr>
      <w:r>
        <w:rPr>
          <w:rFonts w:hint="eastAsia" w:ascii="宋体" w:hAnsi="宋体"/>
          <w:color w:val="auto"/>
          <w:highlight w:val="none"/>
        </w:rPr>
        <w:t>授权代表：</w:t>
      </w:r>
      <w:r>
        <w:rPr>
          <w:rFonts w:hint="eastAsia" w:ascii="宋体" w:hAnsi="宋体"/>
          <w:color w:val="auto"/>
          <w:highlight w:val="none"/>
          <w:u w:val="single"/>
        </w:rPr>
        <w:t xml:space="preserve">             （</w:t>
      </w:r>
      <w:r>
        <w:rPr>
          <w:rFonts w:hint="eastAsia" w:ascii="宋体" w:hAnsi="宋体"/>
          <w:color w:val="auto"/>
          <w:szCs w:val="21"/>
          <w:highlight w:val="none"/>
          <w:u w:val="single"/>
        </w:rPr>
        <w:t>签字或签章</w:t>
      </w:r>
      <w:r>
        <w:rPr>
          <w:rFonts w:hint="eastAsia" w:ascii="宋体" w:hAnsi="宋体"/>
          <w:color w:val="auto"/>
          <w:highlight w:val="none"/>
          <w:u w:val="single"/>
        </w:rPr>
        <w:t xml:space="preserve">）             </w:t>
      </w:r>
    </w:p>
    <w:p>
      <w:pPr>
        <w:snapToGrid w:val="0"/>
        <w:ind w:firstLine="3685" w:firstLineChars="1755"/>
        <w:rPr>
          <w:rFonts w:ascii="宋体" w:hAnsi="宋体"/>
          <w:color w:val="auto"/>
          <w:highlight w:val="none"/>
        </w:rPr>
      </w:pPr>
      <w:r>
        <w:rPr>
          <w:rFonts w:hint="eastAsia" w:ascii="宋体" w:hAnsi="宋体"/>
          <w:color w:val="auto"/>
          <w:highlight w:val="none"/>
        </w:rPr>
        <w:t>授权委托日期：</w:t>
      </w:r>
      <w:r>
        <w:rPr>
          <w:rFonts w:hint="eastAsia" w:ascii="宋体" w:hAnsi="宋体"/>
          <w:color w:val="auto"/>
          <w:highlight w:val="none"/>
          <w:u w:val="single"/>
        </w:rPr>
        <w:t xml:space="preserve">        </w:t>
      </w:r>
      <w:r>
        <w:rPr>
          <w:rFonts w:hint="eastAsia" w:ascii="宋体" w:hAnsi="宋体"/>
          <w:color w:val="auto"/>
          <w:highlight w:val="none"/>
        </w:rPr>
        <w:t>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w:t>
      </w:r>
    </w:p>
    <w:p>
      <w:pPr>
        <w:snapToGrid w:val="0"/>
        <w:jc w:val="left"/>
        <w:rPr>
          <w:rFonts w:ascii="宋体" w:hAnsi="宋体"/>
          <w:color w:val="auto"/>
          <w:highlight w:val="none"/>
        </w:rPr>
      </w:pPr>
      <w:r>
        <w:rPr>
          <w:rFonts w:hint="eastAsia" w:ascii="宋体" w:hAnsi="宋体"/>
          <w:color w:val="auto"/>
          <w:highlight w:val="none"/>
        </w:rPr>
        <w:t xml:space="preserve"> </w:t>
      </w:r>
    </w:p>
    <w:p>
      <w:pPr>
        <w:rPr>
          <w:rFonts w:ascii="宋体" w:hAnsi="宋体"/>
          <w:color w:val="auto"/>
          <w:highlight w:val="none"/>
        </w:rPr>
      </w:pPr>
      <w:r>
        <w:rPr>
          <w:rFonts w:hint="eastAsia" w:ascii="宋体" w:hAnsi="宋体"/>
          <w:color w:val="auto"/>
          <w:highlight w:val="none"/>
        </w:rPr>
        <w:t xml:space="preserve"> </w:t>
      </w:r>
    </w:p>
    <w:p>
      <w:pPr>
        <w:rPr>
          <w:rFonts w:ascii="宋体" w:hAnsi="宋体"/>
          <w:color w:val="auto"/>
          <w:highlight w:val="none"/>
        </w:rPr>
      </w:pPr>
      <w:r>
        <w:rPr>
          <w:rFonts w:hint="eastAsia" w:ascii="宋体" w:hAnsi="宋体"/>
          <w:color w:val="auto"/>
          <w:highlight w:val="none"/>
        </w:rPr>
        <w:t xml:space="preserve"> </w:t>
      </w:r>
    </w:p>
    <w:p>
      <w:pPr>
        <w:rPr>
          <w:rFonts w:ascii="宋体" w:hAnsi="宋体"/>
          <w:b/>
          <w:color w:val="auto"/>
          <w:highlight w:val="none"/>
        </w:rPr>
      </w:pPr>
      <w:r>
        <w:rPr>
          <w:rFonts w:hint="eastAsia" w:ascii="宋体" w:hAnsi="宋体"/>
          <w:b/>
          <w:color w:val="auto"/>
          <w:highlight w:val="none"/>
        </w:rPr>
        <w:t xml:space="preserve"> </w:t>
      </w:r>
    </w:p>
    <w:p>
      <w:pPr>
        <w:snapToGrid w:val="0"/>
        <w:jc w:val="left"/>
        <w:rPr>
          <w:rFonts w:ascii="宋体" w:hAnsi="宋体"/>
          <w:b/>
          <w:color w:val="auto"/>
          <w:highlight w:val="none"/>
        </w:rPr>
      </w:pPr>
      <w:r>
        <w:rPr>
          <w:rFonts w:hint="eastAsia" w:ascii="宋体" w:hAnsi="宋体"/>
          <w:b/>
          <w:color w:val="auto"/>
          <w:highlight w:val="none"/>
        </w:rPr>
        <w:t>注：后附授权代表身份证正反面复印件</w:t>
      </w:r>
    </w:p>
    <w:p>
      <w:pPr>
        <w:pStyle w:val="17"/>
        <w:spacing w:line="360" w:lineRule="auto"/>
        <w:ind w:firstLine="0"/>
        <w:jc w:val="center"/>
        <w:rPr>
          <w:rFonts w:hAnsi="宋体"/>
          <w:b/>
          <w:color w:val="auto"/>
          <w:sz w:val="21"/>
          <w:szCs w:val="21"/>
          <w:highlight w:val="none"/>
        </w:rPr>
      </w:pPr>
      <w:r>
        <w:rPr>
          <w:rFonts w:hint="eastAsia" w:hAnsi="宋体"/>
          <w:color w:val="auto"/>
          <w:highlight w:val="none"/>
        </w:rPr>
        <w:br w:type="page"/>
      </w:r>
      <w:r>
        <w:rPr>
          <w:rFonts w:hint="eastAsia" w:hAnsi="宋体"/>
          <w:b/>
          <w:color w:val="auto"/>
          <w:sz w:val="21"/>
          <w:szCs w:val="21"/>
          <w:highlight w:val="none"/>
        </w:rPr>
        <w:t>4）</w:t>
      </w:r>
      <w:r>
        <w:rPr>
          <w:rFonts w:hAnsi="宋体" w:cs="宋体"/>
          <w:b/>
          <w:color w:val="auto"/>
          <w:sz w:val="21"/>
          <w:szCs w:val="21"/>
          <w:highlight w:val="none"/>
        </w:rPr>
        <w:t>技术要求响应</w:t>
      </w:r>
      <w:r>
        <w:rPr>
          <w:rFonts w:hint="eastAsia" w:hAnsi="宋体" w:cs="宋体"/>
          <w:b/>
          <w:color w:val="auto"/>
          <w:sz w:val="21"/>
          <w:szCs w:val="21"/>
          <w:highlight w:val="none"/>
        </w:rPr>
        <w:t>表</w:t>
      </w:r>
    </w:p>
    <w:tbl>
      <w:tblPr>
        <w:tblStyle w:val="43"/>
        <w:tblW w:w="8964"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68"/>
        <w:gridCol w:w="1175"/>
        <w:gridCol w:w="2410"/>
        <w:gridCol w:w="1701"/>
        <w:gridCol w:w="1385"/>
        <w:gridCol w:w="1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s="Arial"/>
                <w:color w:val="auto"/>
                <w:kern w:val="0"/>
                <w:szCs w:val="21"/>
                <w:highlight w:val="none"/>
              </w:rPr>
            </w:pPr>
            <w:r>
              <w:rPr>
                <w:rFonts w:hint="eastAsia" w:ascii="宋体" w:hAnsi="宋体" w:cs="Arial"/>
                <w:color w:val="auto"/>
                <w:kern w:val="0"/>
                <w:highlight w:val="none"/>
              </w:rPr>
              <w:t>序号</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s="Arial"/>
                <w:color w:val="auto"/>
                <w:kern w:val="0"/>
                <w:szCs w:val="21"/>
                <w:highlight w:val="none"/>
              </w:rPr>
            </w:pPr>
            <w:r>
              <w:rPr>
                <w:rFonts w:hint="eastAsia" w:ascii="宋体" w:hAnsi="宋体" w:cs="Arial"/>
                <w:color w:val="auto"/>
                <w:kern w:val="0"/>
                <w:highlight w:val="none"/>
              </w:rPr>
              <w:t>产品名称</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s="Arial"/>
                <w:color w:val="auto"/>
                <w:kern w:val="0"/>
                <w:szCs w:val="21"/>
                <w:highlight w:val="none"/>
              </w:rPr>
            </w:pPr>
            <w:r>
              <w:rPr>
                <w:rFonts w:hint="eastAsia" w:ascii="宋体" w:hAnsi="宋体"/>
                <w:color w:val="auto"/>
                <w:highlight w:val="none"/>
              </w:rPr>
              <w:t>询价通知书的</w:t>
            </w:r>
            <w:r>
              <w:rPr>
                <w:rFonts w:hint="eastAsia" w:ascii="宋体" w:hAnsi="宋体" w:cs="Arial"/>
                <w:color w:val="auto"/>
                <w:kern w:val="0"/>
                <w:highlight w:val="none"/>
              </w:rPr>
              <w:t>技术要求</w:t>
            </w:r>
          </w:p>
        </w:tc>
        <w:tc>
          <w:tcPr>
            <w:tcW w:w="1701"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s="Arial"/>
                <w:color w:val="auto"/>
                <w:kern w:val="0"/>
                <w:szCs w:val="21"/>
                <w:highlight w:val="none"/>
              </w:rPr>
            </w:pPr>
            <w:r>
              <w:rPr>
                <w:rFonts w:hint="eastAsia" w:ascii="宋体" w:hAnsi="宋体"/>
                <w:color w:val="auto"/>
                <w:highlight w:val="none"/>
              </w:rPr>
              <w:t>响应的参数情况</w:t>
            </w:r>
          </w:p>
        </w:tc>
        <w:tc>
          <w:tcPr>
            <w:tcW w:w="138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响应情况</w:t>
            </w:r>
          </w:p>
        </w:tc>
        <w:tc>
          <w:tcPr>
            <w:tcW w:w="16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jc w:val="center"/>
              <w:rPr>
                <w:rFonts w:ascii="宋体" w:hAnsi="宋体" w:cs="Arial"/>
                <w:color w:val="auto"/>
                <w:kern w:val="0"/>
                <w:szCs w:val="21"/>
                <w:highlight w:val="none"/>
              </w:rPr>
            </w:pPr>
            <w:r>
              <w:rPr>
                <w:rFonts w:hint="eastAsia" w:ascii="宋体" w:hAnsi="宋体"/>
                <w:color w:val="auto"/>
                <w:highlight w:val="none"/>
              </w:rPr>
              <w:t>偏离情况说明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w:t>
            </w:r>
          </w:p>
        </w:tc>
        <w:tc>
          <w:tcPr>
            <w:tcW w:w="117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s="Arial"/>
                <w:color w:val="auto"/>
                <w:kern w:val="0"/>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w:t>
            </w:r>
          </w:p>
        </w:tc>
        <w:tc>
          <w:tcPr>
            <w:tcW w:w="117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3</w:t>
            </w:r>
          </w:p>
        </w:tc>
        <w:tc>
          <w:tcPr>
            <w:tcW w:w="117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s="Arial"/>
                <w:color w:val="auto"/>
                <w:kern w:val="0"/>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4</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5</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6</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7</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8</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9</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10</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68"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jc w:val="center"/>
              <w:rPr>
                <w:rFonts w:ascii="宋体" w:hAnsi="宋体"/>
                <w:color w:val="auto"/>
                <w:highlight w:val="none"/>
              </w:rPr>
            </w:pPr>
            <w:r>
              <w:rPr>
                <w:rFonts w:hint="eastAsia" w:ascii="宋体" w:hAnsi="宋体"/>
                <w:color w:val="auto"/>
                <w:highlight w:val="none"/>
              </w:rPr>
              <w:t>...</w:t>
            </w:r>
          </w:p>
        </w:tc>
        <w:tc>
          <w:tcPr>
            <w:tcW w:w="117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rPr>
                <w:rFonts w:ascii="宋体" w:hAnsi="宋体" w:cs="Arial"/>
                <w:color w:val="auto"/>
                <w:kern w:val="0"/>
                <w:szCs w:val="21"/>
                <w:highlight w:val="none"/>
              </w:rPr>
            </w:pPr>
          </w:p>
        </w:tc>
        <w:tc>
          <w:tcPr>
            <w:tcW w:w="1701"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38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c>
          <w:tcPr>
            <w:tcW w:w="1625" w:type="dxa"/>
            <w:tcBorders>
              <w:top w:val="single" w:color="000000" w:sz="4" w:space="0"/>
              <w:left w:val="single" w:color="000000" w:sz="4" w:space="0"/>
              <w:bottom w:val="single" w:color="000000" w:sz="4" w:space="0"/>
              <w:right w:val="single" w:color="000000" w:sz="4" w:space="0"/>
            </w:tcBorders>
            <w:vAlign w:val="center"/>
          </w:tcPr>
          <w:p>
            <w:pPr>
              <w:pStyle w:val="159"/>
              <w:ind w:left="0" w:leftChars="0" w:firstLine="0"/>
              <w:rPr>
                <w:rFonts w:ascii="宋体" w:hAnsi="宋体"/>
                <w:color w:val="auto"/>
                <w:highlight w:val="none"/>
              </w:rPr>
            </w:pPr>
          </w:p>
        </w:tc>
      </w:tr>
    </w:tbl>
    <w:p>
      <w:pPr>
        <w:snapToGrid w:val="0"/>
        <w:spacing w:before="50" w:after="50"/>
        <w:ind w:left="-23" w:leftChars="-11" w:right="27" w:rightChars="13" w:firstLine="21" w:firstLineChars="10"/>
        <w:rPr>
          <w:rFonts w:ascii="宋体" w:hAnsi="宋体"/>
          <w:b/>
          <w:bCs/>
          <w:color w:val="auto"/>
          <w:szCs w:val="21"/>
          <w:highlight w:val="none"/>
        </w:rPr>
      </w:pPr>
      <w:r>
        <w:rPr>
          <w:rFonts w:hint="eastAsia" w:ascii="宋体" w:hAnsi="宋体"/>
          <w:b/>
          <w:bCs/>
          <w:color w:val="auto"/>
          <w:highlight w:val="none"/>
        </w:rPr>
        <w:t>注：1、供应商应将响应产品的实际技术参数和性能指标进行针对性的描述，以证明响应产品对询价通知书要求的技术参数和性能指标</w:t>
      </w:r>
      <w:r>
        <w:rPr>
          <w:rFonts w:hint="eastAsia" w:ascii="宋体" w:hAnsi="宋体"/>
          <w:b/>
          <w:bCs/>
          <w:color w:val="auto"/>
          <w:highlight w:val="none"/>
          <w:lang w:val="en-US" w:eastAsia="zh-CN"/>
        </w:rPr>
        <w:t>作</w:t>
      </w:r>
      <w:r>
        <w:rPr>
          <w:rFonts w:hint="eastAsia" w:ascii="宋体" w:hAnsi="宋体"/>
          <w:b/>
          <w:bCs/>
          <w:color w:val="auto"/>
          <w:highlight w:val="none"/>
        </w:rPr>
        <w:t>出实质性响应。</w:t>
      </w:r>
    </w:p>
    <w:p>
      <w:pPr>
        <w:snapToGrid w:val="0"/>
        <w:spacing w:before="50" w:after="50"/>
        <w:ind w:left="-23" w:leftChars="-11" w:right="27" w:rightChars="13" w:firstLine="21" w:firstLineChars="10"/>
        <w:rPr>
          <w:rFonts w:ascii="宋体" w:hAnsi="宋体"/>
          <w:b/>
          <w:bCs/>
          <w:color w:val="auto"/>
          <w:highlight w:val="none"/>
        </w:rPr>
      </w:pPr>
      <w:r>
        <w:rPr>
          <w:rFonts w:hint="eastAsia" w:ascii="宋体" w:hAnsi="宋体"/>
          <w:b/>
          <w:bCs/>
          <w:color w:val="auto"/>
          <w:highlight w:val="none"/>
        </w:rPr>
        <w:t>2、响应情况栏填写“响应”即为满足询价通知书要求，填写“正偏离”为优于询价通知书要求，填写“负偏离”为不能满足询价通知书要求。</w:t>
      </w:r>
    </w:p>
    <w:p>
      <w:pPr>
        <w:snapToGrid w:val="0"/>
        <w:spacing w:before="50" w:after="50"/>
        <w:ind w:left="-23" w:leftChars="-11" w:right="-57" w:rightChars="-27" w:firstLine="21" w:firstLineChars="10"/>
        <w:rPr>
          <w:rFonts w:ascii="宋体" w:hAnsi="宋体"/>
          <w:b/>
          <w:color w:val="auto"/>
          <w:highlight w:val="none"/>
        </w:rPr>
      </w:pPr>
      <w:r>
        <w:rPr>
          <w:rFonts w:hint="eastAsia" w:ascii="宋体" w:hAnsi="宋体"/>
          <w:b/>
          <w:bCs/>
          <w:color w:val="auto"/>
          <w:highlight w:val="none"/>
        </w:rPr>
        <w:t>3、</w:t>
      </w:r>
      <w:r>
        <w:rPr>
          <w:rFonts w:hint="eastAsia" w:ascii="宋体" w:hAnsi="宋体"/>
          <w:b/>
          <w:color w:val="auto"/>
          <w:highlight w:val="none"/>
        </w:rPr>
        <w:t>响应条款与询价通知书技术要求不一致（包括</w:t>
      </w:r>
      <w:r>
        <w:rPr>
          <w:rFonts w:hint="eastAsia" w:ascii="宋体" w:hAnsi="宋体"/>
          <w:b/>
          <w:bCs/>
          <w:color w:val="auto"/>
          <w:highlight w:val="none"/>
        </w:rPr>
        <w:t>正偏离</w:t>
      </w:r>
      <w:r>
        <w:rPr>
          <w:rFonts w:hint="eastAsia" w:ascii="宋体" w:hAnsi="宋体"/>
          <w:b/>
          <w:color w:val="auto"/>
          <w:highlight w:val="none"/>
        </w:rPr>
        <w:t>或</w:t>
      </w:r>
      <w:r>
        <w:rPr>
          <w:rFonts w:hint="eastAsia" w:ascii="宋体" w:hAnsi="宋体"/>
          <w:b/>
          <w:bCs/>
          <w:color w:val="auto"/>
          <w:highlight w:val="none"/>
        </w:rPr>
        <w:t>负偏离</w:t>
      </w:r>
      <w:r>
        <w:rPr>
          <w:rFonts w:hint="eastAsia" w:ascii="宋体" w:hAnsi="宋体"/>
          <w:b/>
          <w:color w:val="auto"/>
          <w:highlight w:val="none"/>
        </w:rPr>
        <w:t>）的具体条款内容应当在“偏离情况说明”栏进行描述，响应情况由询价小组认定。</w:t>
      </w:r>
    </w:p>
    <w:p>
      <w:pPr>
        <w:snapToGrid w:val="0"/>
        <w:spacing w:before="50" w:after="50"/>
        <w:ind w:left="-23" w:leftChars="-11" w:right="27" w:rightChars="13" w:firstLine="21" w:firstLineChars="10"/>
        <w:rPr>
          <w:rFonts w:ascii="宋体" w:hAnsi="宋体"/>
          <w:b/>
          <w:bCs/>
          <w:color w:val="auto"/>
          <w:highlight w:val="none"/>
        </w:rPr>
      </w:pPr>
    </w:p>
    <w:p>
      <w:pPr>
        <w:snapToGrid w:val="0"/>
        <w:spacing w:before="50" w:after="50"/>
        <w:ind w:left="-23" w:leftChars="-11" w:right="27" w:rightChars="13" w:firstLine="21" w:firstLineChars="10"/>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pStyle w:val="17"/>
        <w:spacing w:line="360" w:lineRule="auto"/>
        <w:jc w:val="center"/>
        <w:rPr>
          <w:rFonts w:hAnsi="宋体"/>
          <w:b/>
          <w:color w:val="auto"/>
          <w:sz w:val="21"/>
          <w:szCs w:val="21"/>
          <w:highlight w:val="none"/>
        </w:rPr>
      </w:pPr>
      <w:r>
        <w:rPr>
          <w:rFonts w:hint="eastAsia" w:hAnsi="宋体"/>
          <w:color w:val="auto"/>
          <w:highlight w:val="none"/>
        </w:rPr>
        <w:br w:type="page"/>
      </w:r>
      <w:r>
        <w:rPr>
          <w:rFonts w:hint="eastAsia" w:hAnsi="宋体" w:cs="宋体"/>
          <w:b/>
          <w:color w:val="auto"/>
          <w:sz w:val="21"/>
          <w:szCs w:val="21"/>
          <w:highlight w:val="none"/>
        </w:rPr>
        <w:t>5</w:t>
      </w:r>
      <w:r>
        <w:rPr>
          <w:rFonts w:hAnsi="宋体" w:cs="宋体"/>
          <w:b/>
          <w:color w:val="auto"/>
          <w:sz w:val="21"/>
          <w:szCs w:val="21"/>
          <w:highlight w:val="none"/>
        </w:rPr>
        <w:t>）商务要求响应</w:t>
      </w:r>
      <w:r>
        <w:rPr>
          <w:rFonts w:hint="eastAsia" w:hAnsi="宋体" w:cs="宋体"/>
          <w:b/>
          <w:color w:val="auto"/>
          <w:sz w:val="21"/>
          <w:szCs w:val="21"/>
          <w:highlight w:val="none"/>
        </w:rPr>
        <w:t>表</w:t>
      </w:r>
    </w:p>
    <w:tbl>
      <w:tblPr>
        <w:tblStyle w:val="43"/>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993"/>
        <w:gridCol w:w="5244"/>
        <w:gridCol w:w="1134"/>
        <w:gridCol w:w="99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序号</w:t>
            </w: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项目</w:t>
            </w:r>
          </w:p>
        </w:tc>
        <w:tc>
          <w:tcPr>
            <w:tcW w:w="5244" w:type="dxa"/>
            <w:tcBorders>
              <w:top w:val="single" w:color="auto" w:sz="4" w:space="0"/>
              <w:left w:val="nil"/>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询价通知书的条款描述</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响应情况</w:t>
            </w: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偏离情况说明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1</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产品及服务质量保证</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1）供应商所供应的产品及其所有部件必须是全新原装合格产品,在中国境内采购人拥有合法的产权和使用权。如发生产品与合同不符,采购人有权拒收或退货,由此产生的一切责任和后果由成交供应商承担。</w:t>
            </w:r>
          </w:p>
          <w:p>
            <w:pPr>
              <w:spacing w:line="320" w:lineRule="exact"/>
              <w:rPr>
                <w:rFonts w:ascii="宋体" w:hAnsi="宋体"/>
                <w:color w:val="auto"/>
                <w:szCs w:val="21"/>
                <w:highlight w:val="none"/>
              </w:rPr>
            </w:pPr>
            <w:r>
              <w:rPr>
                <w:rFonts w:hint="eastAsia" w:ascii="宋体" w:hAnsi="宋体"/>
                <w:color w:val="auto"/>
                <w:szCs w:val="21"/>
                <w:highlight w:val="none"/>
              </w:rPr>
              <w:t>2）属于国家强制性产品认证范围的产品，必须获得国家法定认证机构颁发的“CCC”认证证书。</w:t>
            </w:r>
          </w:p>
          <w:p>
            <w:pPr>
              <w:spacing w:line="320" w:lineRule="exact"/>
              <w:rPr>
                <w:rFonts w:ascii="宋体" w:hAnsi="宋体"/>
                <w:color w:val="auto"/>
                <w:szCs w:val="21"/>
                <w:highlight w:val="none"/>
              </w:rPr>
            </w:pPr>
            <w:r>
              <w:rPr>
                <w:rFonts w:hint="eastAsia" w:ascii="宋体" w:hAnsi="宋体"/>
                <w:color w:val="auto"/>
                <w:szCs w:val="21"/>
                <w:highlight w:val="none"/>
              </w:rPr>
              <w:t>3）在产品交付时，成交供应商必须向采购人提供必备的相关资料。</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2</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质量保证期</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提供整车至少三年的质量保证期，质量保证期自项目终验合格之日开始计算。</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3</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合同履约期限</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合同签订生效之日起</w:t>
            </w:r>
            <w:r>
              <w:rPr>
                <w:rFonts w:hint="eastAsia" w:ascii="宋体" w:hAnsi="宋体"/>
                <w:color w:val="auto"/>
                <w:szCs w:val="21"/>
                <w:highlight w:val="none"/>
                <w:lang w:val="en-US" w:eastAsia="zh-CN"/>
              </w:rPr>
              <w:t>3</w:t>
            </w:r>
            <w:r>
              <w:rPr>
                <w:rFonts w:hint="eastAsia" w:ascii="宋体" w:hAnsi="宋体"/>
                <w:color w:val="auto"/>
                <w:szCs w:val="21"/>
                <w:highlight w:val="none"/>
              </w:rPr>
              <w:t>0天内完成改装、供货调试并提交采购人验收合格。</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4</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交付地点</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采购人指定地点。</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5</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质量标准</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产品质量必须执行国家相关标准、行业标准、地方标准或者其它标准、规范（从严）：具有国家标准及规范的，按最新的标准及规范执行；具有行业标准及规范的，按最新的标准及规范执行；具有其他标准及规范的，按照最新的标准及规范执行。</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6</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验收</w:t>
            </w:r>
          </w:p>
        </w:tc>
        <w:tc>
          <w:tcPr>
            <w:tcW w:w="5244"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按照询价通知书要求、成交供应商的响应文件（承诺）及签订的合同约定进行验收。</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nil"/>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7</w:t>
            </w:r>
          </w:p>
        </w:tc>
        <w:tc>
          <w:tcPr>
            <w:tcW w:w="993" w:type="dxa"/>
            <w:tcBorders>
              <w:top w:val="single" w:color="auto" w:sz="4" w:space="0"/>
              <w:left w:val="nil"/>
              <w:bottom w:val="nil"/>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签订合同时间</w:t>
            </w:r>
          </w:p>
        </w:tc>
        <w:tc>
          <w:tcPr>
            <w:tcW w:w="5244" w:type="dxa"/>
            <w:tcBorders>
              <w:top w:val="single" w:color="auto" w:sz="4" w:space="0"/>
              <w:left w:val="nil"/>
              <w:bottom w:val="nil"/>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成交通知书发出之日起30日内签订合同，具体签约时间以采购人通知为准。</w:t>
            </w:r>
          </w:p>
        </w:tc>
        <w:tc>
          <w:tcPr>
            <w:tcW w:w="1134"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nil"/>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8</w:t>
            </w:r>
          </w:p>
        </w:tc>
        <w:tc>
          <w:tcPr>
            <w:tcW w:w="993" w:type="dxa"/>
            <w:tcBorders>
              <w:top w:val="single" w:color="auto" w:sz="4" w:space="0"/>
              <w:left w:val="nil"/>
              <w:bottom w:val="nil"/>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合同款项支付条件及方式</w:t>
            </w:r>
          </w:p>
        </w:tc>
        <w:tc>
          <w:tcPr>
            <w:tcW w:w="5244" w:type="dxa"/>
            <w:tcBorders>
              <w:top w:val="single" w:color="auto" w:sz="4" w:space="0"/>
              <w:left w:val="nil"/>
              <w:bottom w:val="nil"/>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1）合同签订并生效之日起7个工作日内支付合同总金额的</w:t>
            </w:r>
            <w:r>
              <w:rPr>
                <w:rFonts w:hint="eastAsia" w:ascii="宋体" w:hAnsi="宋体"/>
                <w:color w:val="auto"/>
                <w:szCs w:val="21"/>
                <w:highlight w:val="none"/>
                <w:lang w:val="en-US" w:eastAsia="zh-CN"/>
              </w:rPr>
              <w:t>5</w:t>
            </w:r>
            <w:r>
              <w:rPr>
                <w:rFonts w:hint="eastAsia" w:ascii="宋体" w:hAnsi="宋体"/>
                <w:color w:val="auto"/>
                <w:szCs w:val="21"/>
                <w:highlight w:val="none"/>
              </w:rPr>
              <w:t>0%作为预付款；</w:t>
            </w:r>
          </w:p>
          <w:p>
            <w:pPr>
              <w:spacing w:line="320" w:lineRule="exact"/>
              <w:rPr>
                <w:rFonts w:ascii="宋体" w:hAnsi="宋体"/>
                <w:color w:val="auto"/>
                <w:szCs w:val="21"/>
                <w:highlight w:val="none"/>
              </w:rPr>
            </w:pPr>
            <w:r>
              <w:rPr>
                <w:rFonts w:hint="eastAsia" w:ascii="宋体" w:hAnsi="宋体"/>
                <w:color w:val="auto"/>
                <w:szCs w:val="21"/>
                <w:highlight w:val="none"/>
              </w:rPr>
              <w:t>2）整体验收合格后7个工作日内一次性支付剩余合同款；</w:t>
            </w:r>
          </w:p>
          <w:p>
            <w:pPr>
              <w:spacing w:line="320" w:lineRule="exact"/>
              <w:rPr>
                <w:rFonts w:ascii="宋体" w:hAnsi="宋体"/>
                <w:color w:val="auto"/>
                <w:szCs w:val="21"/>
                <w:highlight w:val="none"/>
              </w:rPr>
            </w:pPr>
            <w:r>
              <w:rPr>
                <w:rFonts w:hint="eastAsia" w:ascii="宋体" w:hAnsi="宋体"/>
                <w:color w:val="auto"/>
                <w:szCs w:val="21"/>
                <w:highlight w:val="none"/>
              </w:rPr>
              <w:t>3）合同款项以银行转账方式支付至合同约定的账户。</w:t>
            </w:r>
          </w:p>
        </w:tc>
        <w:tc>
          <w:tcPr>
            <w:tcW w:w="1134"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nil"/>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9</w:t>
            </w:r>
          </w:p>
        </w:tc>
        <w:tc>
          <w:tcPr>
            <w:tcW w:w="993" w:type="dxa"/>
            <w:tcBorders>
              <w:top w:val="single" w:color="auto" w:sz="4" w:space="0"/>
              <w:left w:val="nil"/>
              <w:bottom w:val="nil"/>
              <w:right w:val="single" w:color="auto" w:sz="4" w:space="0"/>
            </w:tcBorders>
            <w:vAlign w:val="center"/>
          </w:tcPr>
          <w:p>
            <w:pPr>
              <w:spacing w:line="320" w:lineRule="exact"/>
              <w:jc w:val="left"/>
              <w:rPr>
                <w:rFonts w:ascii="宋体" w:hAnsi="宋体"/>
                <w:color w:val="auto"/>
                <w:szCs w:val="21"/>
                <w:highlight w:val="none"/>
              </w:rPr>
            </w:pPr>
            <w:r>
              <w:rPr>
                <w:rFonts w:hint="eastAsia" w:ascii="宋体" w:hAnsi="宋体"/>
                <w:color w:val="auto"/>
                <w:szCs w:val="21"/>
                <w:highlight w:val="none"/>
              </w:rPr>
              <w:t>发票要求</w:t>
            </w:r>
          </w:p>
        </w:tc>
        <w:tc>
          <w:tcPr>
            <w:tcW w:w="5244" w:type="dxa"/>
            <w:tcBorders>
              <w:top w:val="single" w:color="auto" w:sz="4" w:space="0"/>
              <w:left w:val="nil"/>
              <w:bottom w:val="nil"/>
              <w:right w:val="single" w:color="auto"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成交供应商应在采购人每次支付费用前，依据相应的金额，先行向采购人提供足额且符合税法规定的发票。采购人在收到成交供应商提供的发票后在合同约定的时间支付相应款项，否则采购人有权延迟支付相应费用而不被视为违约，亦无须承担任何违约责任。</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本项目合同签署的成交供应商名称与发票开具单位及收款单位一致，成交供应商不得以其他理由在合同执行过程中要求调整发票开具单位或收款单位（依法变更单位名称除外），否则视为成交供应商违约并自行承担相关责任，且须承担由此对采购人造成的一切损失。</w:t>
            </w:r>
          </w:p>
        </w:tc>
        <w:tc>
          <w:tcPr>
            <w:tcW w:w="1134"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nil"/>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10</w:t>
            </w:r>
          </w:p>
        </w:tc>
        <w:tc>
          <w:tcPr>
            <w:tcW w:w="993" w:type="dxa"/>
            <w:tcBorders>
              <w:top w:val="single" w:color="auto" w:sz="4" w:space="0"/>
              <w:left w:val="nil"/>
              <w:bottom w:val="nil"/>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履约保证金</w:t>
            </w:r>
          </w:p>
        </w:tc>
        <w:tc>
          <w:tcPr>
            <w:tcW w:w="5244" w:type="dxa"/>
            <w:tcBorders>
              <w:top w:val="single" w:color="auto" w:sz="4" w:space="0"/>
              <w:left w:val="nil"/>
              <w:bottom w:val="nil"/>
              <w:right w:val="single" w:color="auto" w:sz="4" w:space="0"/>
            </w:tcBorders>
            <w:vAlign w:val="center"/>
          </w:tcPr>
          <w:p>
            <w:pPr>
              <w:spacing w:line="320" w:lineRule="exact"/>
              <w:ind w:right="34" w:rightChars="16"/>
              <w:jc w:val="left"/>
              <w:rPr>
                <w:rFonts w:ascii="宋体" w:hAnsi="宋体"/>
                <w:b/>
                <w:color w:val="auto"/>
                <w:szCs w:val="21"/>
                <w:highlight w:val="none"/>
              </w:rPr>
            </w:pPr>
            <w:r>
              <w:rPr>
                <w:rFonts w:hint="eastAsia" w:ascii="宋体" w:hAnsi="宋体"/>
                <w:color w:val="auto"/>
                <w:szCs w:val="21"/>
                <w:highlight w:val="none"/>
              </w:rPr>
              <w:t>不适用。</w:t>
            </w:r>
          </w:p>
        </w:tc>
        <w:tc>
          <w:tcPr>
            <w:tcW w:w="1134"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nil"/>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szCs w:val="21"/>
                <w:highlight w:val="none"/>
              </w:rPr>
            </w:pPr>
            <w:r>
              <w:rPr>
                <w:rFonts w:hint="eastAsia" w:ascii="宋体" w:hAnsi="宋体"/>
                <w:color w:val="auto"/>
                <w:highlight w:val="none"/>
              </w:rPr>
              <w:t>11</w:t>
            </w:r>
          </w:p>
        </w:tc>
        <w:tc>
          <w:tcPr>
            <w:tcW w:w="993" w:type="dxa"/>
            <w:tcBorders>
              <w:top w:val="single" w:color="auto" w:sz="4" w:space="0"/>
              <w:left w:val="nil"/>
              <w:bottom w:val="single" w:color="auto" w:sz="4" w:space="0"/>
              <w:right w:val="single" w:color="auto" w:sz="4" w:space="0"/>
            </w:tcBorders>
            <w:vAlign w:val="center"/>
          </w:tcPr>
          <w:p>
            <w:pPr>
              <w:spacing w:line="320" w:lineRule="exact"/>
              <w:jc w:val="left"/>
              <w:rPr>
                <w:rFonts w:ascii="宋体" w:hAnsi="宋体"/>
                <w:color w:val="auto"/>
                <w:szCs w:val="21"/>
                <w:highlight w:val="none"/>
              </w:rPr>
            </w:pPr>
            <w:r>
              <w:rPr>
                <w:rFonts w:hint="eastAsia" w:ascii="宋体" w:hAnsi="宋体"/>
                <w:color w:val="auto"/>
                <w:szCs w:val="21"/>
                <w:highlight w:val="none"/>
              </w:rPr>
              <w:t>售后服务要求</w:t>
            </w:r>
          </w:p>
        </w:tc>
        <w:tc>
          <w:tcPr>
            <w:tcW w:w="5244" w:type="dxa"/>
            <w:tcBorders>
              <w:top w:val="single" w:color="auto" w:sz="4" w:space="0"/>
              <w:left w:val="nil"/>
              <w:bottom w:val="single" w:color="auto" w:sz="4" w:space="0"/>
              <w:right w:val="single" w:color="auto"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1）成交供应商必须为本项目范围内的产品提供相应的售后服务。</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2）在质量保证期内由于产品本身质量原因造成的任何损伤或损坏，供应商须免费负责修理或更换。</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3）质量保证期内接到故障通知后，供应商必须在30分钟内响应。对于影响产品正常运行的故障，成交供应商或产品制造商的工程师及其它相关技术人员必须在接到故障通知后2小时内赶到现场，查找原因，提出解决方案，并工作至故障修妥完全恢复正常使用为止，一般故障要求保证在4小时之内修复，重大故障一般应当在24小时内修复，特殊情况要确保48小时内解决。</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质量保证期内成交供应商未能按照要求提供售后服务的，采购人有权委托第三方服务，所有与之相关的费用均由成交供应商承担。</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4）在质量保证期结束前，须由成交供应商的工程师和采购人代表对产品进行一次全面检查，发现的任何缺陷必须由成交供应商负责修复。在修复之后，成交供应商应将缺陷原因、修复内容等情况向采购人提交报告。</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highlight w:val="none"/>
              </w:rPr>
            </w:pPr>
            <w:r>
              <w:rPr>
                <w:rFonts w:hint="eastAsia" w:ascii="宋体" w:hAnsi="宋体"/>
                <w:color w:val="auto"/>
                <w:highlight w:val="none"/>
              </w:rPr>
              <w:t>12</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培训</w:t>
            </w:r>
          </w:p>
        </w:tc>
        <w:tc>
          <w:tcPr>
            <w:tcW w:w="5244" w:type="dxa"/>
            <w:tcBorders>
              <w:top w:val="single" w:color="auto" w:sz="4" w:space="0"/>
              <w:left w:val="nil"/>
              <w:bottom w:val="single" w:color="auto" w:sz="4" w:space="0"/>
              <w:right w:val="single" w:color="auto" w:sz="4" w:space="0"/>
            </w:tcBorders>
            <w:vAlign w:val="center"/>
          </w:tcPr>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1）项目通过最终验收后，在采购人指定地点，由成交供应商的专业技术人员对采购人的相关人员进行培训，培训所产生的所有费用由成交供应商承担。</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2）培训效果达到采购人的使用人员能熟练使用本项目的设备。</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3）培训结束后，供应商须继续提供技术咨询服务。</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4）培训期间的技术资料由成交供应商提供。</w:t>
            </w:r>
          </w:p>
          <w:p>
            <w:pPr>
              <w:spacing w:line="320" w:lineRule="exact"/>
              <w:ind w:right="34" w:rightChars="16"/>
              <w:jc w:val="left"/>
              <w:rPr>
                <w:rFonts w:ascii="宋体" w:hAnsi="宋体"/>
                <w:color w:val="auto"/>
                <w:szCs w:val="21"/>
                <w:highlight w:val="none"/>
              </w:rPr>
            </w:pPr>
            <w:r>
              <w:rPr>
                <w:rFonts w:hint="eastAsia" w:ascii="宋体" w:hAnsi="宋体"/>
                <w:color w:val="auto"/>
                <w:szCs w:val="21"/>
                <w:highlight w:val="none"/>
              </w:rPr>
              <w:t>5）提供产品的终身免费电话和邮件技术支持。</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ascii="宋体" w:hAnsi="宋体"/>
                <w:color w:val="auto"/>
                <w:highlight w:val="none"/>
              </w:rPr>
            </w:pPr>
            <w:r>
              <w:rPr>
                <w:rFonts w:hint="eastAsia" w:ascii="宋体" w:hAnsi="宋体"/>
                <w:color w:val="auto"/>
                <w:highlight w:val="none"/>
              </w:rPr>
              <w:t>13</w:t>
            </w:r>
          </w:p>
        </w:tc>
        <w:tc>
          <w:tcPr>
            <w:tcW w:w="993" w:type="dxa"/>
            <w:tcBorders>
              <w:top w:val="single" w:color="auto" w:sz="4" w:space="0"/>
              <w:left w:val="nil"/>
              <w:bottom w:val="single" w:color="auto" w:sz="4" w:space="0"/>
              <w:right w:val="single" w:color="auto" w:sz="4" w:space="0"/>
            </w:tcBorders>
            <w:vAlign w:val="center"/>
          </w:tcPr>
          <w:p>
            <w:pPr>
              <w:spacing w:line="320" w:lineRule="exact"/>
              <w:rPr>
                <w:rFonts w:ascii="宋体" w:hAnsi="宋体"/>
                <w:color w:val="auto"/>
                <w:szCs w:val="21"/>
                <w:highlight w:val="none"/>
              </w:rPr>
            </w:pPr>
            <w:r>
              <w:rPr>
                <w:rFonts w:hint="eastAsia" w:ascii="宋体" w:hAnsi="宋体"/>
                <w:color w:val="auto"/>
                <w:szCs w:val="21"/>
                <w:highlight w:val="none"/>
              </w:rPr>
              <w:t>其他</w:t>
            </w:r>
          </w:p>
        </w:tc>
        <w:tc>
          <w:tcPr>
            <w:tcW w:w="5244" w:type="dxa"/>
            <w:tcBorders>
              <w:top w:val="single" w:color="auto" w:sz="4" w:space="0"/>
              <w:left w:val="nil"/>
              <w:bottom w:val="single" w:color="auto" w:sz="4" w:space="0"/>
              <w:right w:val="single" w:color="auto" w:sz="4" w:space="0"/>
            </w:tcBorders>
            <w:vAlign w:val="center"/>
          </w:tcPr>
          <w:p>
            <w:pPr>
              <w:spacing w:line="320" w:lineRule="exact"/>
              <w:ind w:right="34" w:rightChars="16"/>
              <w:jc w:val="left"/>
              <w:rPr>
                <w:rFonts w:ascii="宋体" w:hAnsi="宋体"/>
                <w:b/>
                <w:color w:val="auto"/>
                <w:szCs w:val="21"/>
                <w:highlight w:val="none"/>
              </w:rPr>
            </w:pPr>
            <w:r>
              <w:rPr>
                <w:rFonts w:hint="eastAsia" w:ascii="宋体" w:hAnsi="宋体"/>
                <w:color w:val="auto"/>
                <w:szCs w:val="21"/>
                <w:highlight w:val="none"/>
              </w:rPr>
              <w:t>在合同执行过程中，成交供应商应承担由于其行为所造成的采购人或第三人的人身伤害、财产损失或损坏的责任，无论何种原因所造成，采购人均不负责。</w:t>
            </w:r>
          </w:p>
        </w:tc>
        <w:tc>
          <w:tcPr>
            <w:tcW w:w="1134"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c>
          <w:tcPr>
            <w:tcW w:w="993" w:type="dxa"/>
            <w:tcBorders>
              <w:top w:val="single" w:color="auto" w:sz="4" w:space="0"/>
              <w:left w:val="nil"/>
              <w:bottom w:val="single" w:color="auto" w:sz="4" w:space="0"/>
              <w:right w:val="single" w:color="auto" w:sz="4" w:space="0"/>
            </w:tcBorders>
            <w:vAlign w:val="center"/>
          </w:tcPr>
          <w:p>
            <w:pPr>
              <w:widowControl/>
              <w:spacing w:line="240" w:lineRule="auto"/>
              <w:rPr>
                <w:rFonts w:ascii="宋体" w:hAnsi="宋体"/>
                <w:color w:val="auto"/>
                <w:szCs w:val="21"/>
                <w:highlight w:val="none"/>
              </w:rPr>
            </w:pPr>
          </w:p>
        </w:tc>
      </w:tr>
    </w:tbl>
    <w:p>
      <w:pPr>
        <w:snapToGrid w:val="0"/>
        <w:spacing w:before="50" w:after="50"/>
        <w:ind w:left="-23" w:leftChars="-11" w:right="-57" w:rightChars="-27" w:firstLine="21" w:firstLineChars="10"/>
        <w:rPr>
          <w:rFonts w:ascii="宋体" w:hAnsi="宋体"/>
          <w:b/>
          <w:color w:val="auto"/>
          <w:szCs w:val="21"/>
          <w:highlight w:val="none"/>
        </w:rPr>
      </w:pPr>
      <w:r>
        <w:rPr>
          <w:rFonts w:hint="eastAsia" w:ascii="宋体" w:hAnsi="宋体"/>
          <w:b/>
          <w:color w:val="auto"/>
          <w:highlight w:val="none"/>
        </w:rPr>
        <w:t>注：响应情况栏填写“响应”即为满足询价通知书的要求，填写“正偏离”为优于询价通知书的要求，填写“负偏离”为不能满足询价通知书的要求，响应条款有“正偏离”或“负偏离”的应当在“偏离情况说明”栏进行明确描述，响应情况由询价小组认定。</w:t>
      </w:r>
    </w:p>
    <w:p>
      <w:pPr>
        <w:snapToGrid w:val="0"/>
        <w:spacing w:before="50" w:after="50"/>
        <w:ind w:left="-23" w:leftChars="-11" w:right="27" w:rightChars="13" w:firstLine="21" w:firstLineChars="10"/>
        <w:rPr>
          <w:rFonts w:ascii="宋体" w:hAnsi="宋体"/>
          <w:b/>
          <w:bCs/>
          <w:color w:val="auto"/>
          <w:highlight w:val="none"/>
        </w:rPr>
      </w:pPr>
    </w:p>
    <w:p>
      <w:pPr>
        <w:snapToGrid w:val="0"/>
        <w:spacing w:before="50" w:after="50"/>
        <w:ind w:left="-23" w:leftChars="-11" w:right="27" w:rightChars="13" w:firstLine="21" w:firstLineChars="10"/>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pStyle w:val="17"/>
        <w:spacing w:line="360" w:lineRule="auto"/>
        <w:jc w:val="center"/>
        <w:rPr>
          <w:rFonts w:hAnsi="宋体"/>
          <w:b/>
          <w:color w:val="auto"/>
          <w:highlight w:val="none"/>
        </w:rPr>
      </w:pPr>
      <w:r>
        <w:rPr>
          <w:rFonts w:hint="eastAsia" w:hAnsi="宋体"/>
          <w:b/>
          <w:color w:val="auto"/>
          <w:kern w:val="0"/>
          <w:highlight w:val="none"/>
        </w:rPr>
        <w:br w:type="page"/>
      </w:r>
      <w:r>
        <w:rPr>
          <w:rFonts w:hint="eastAsia" w:hAnsi="宋体" w:cs="宋体"/>
          <w:b/>
          <w:color w:val="auto"/>
          <w:sz w:val="21"/>
          <w:szCs w:val="21"/>
          <w:highlight w:val="none"/>
        </w:rPr>
        <w:t>6）项目实施人员情况表</w:t>
      </w:r>
    </w:p>
    <w:tbl>
      <w:tblPr>
        <w:tblStyle w:val="43"/>
        <w:tblW w:w="93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106"/>
        <w:gridCol w:w="879"/>
        <w:gridCol w:w="3199"/>
        <w:gridCol w:w="1276"/>
        <w:gridCol w:w="2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序号</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姓名</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岗位</w:t>
            </w: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本项目主要工作</w:t>
            </w: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学历</w:t>
            </w: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bCs/>
                <w:color w:val="auto"/>
                <w:szCs w:val="21"/>
                <w:highlight w:val="none"/>
              </w:rPr>
            </w:pPr>
            <w:r>
              <w:rPr>
                <w:rFonts w:hint="eastAsia" w:ascii="宋体" w:hAnsi="宋体"/>
                <w:bCs/>
                <w:color w:val="auto"/>
                <w:highlight w:val="none"/>
              </w:rPr>
              <w:t>职称等能力证明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1</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2</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3</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4</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5</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r>
              <w:rPr>
                <w:rFonts w:hint="eastAsia" w:ascii="宋体" w:hAnsi="宋体"/>
                <w:color w:val="auto"/>
                <w:highlight w:val="none"/>
              </w:rPr>
              <w:t>...</w:t>
            </w:r>
          </w:p>
        </w:tc>
        <w:tc>
          <w:tcPr>
            <w:tcW w:w="110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319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c>
          <w:tcPr>
            <w:tcW w:w="201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olor w:val="auto"/>
                <w:szCs w:val="21"/>
                <w:highlight w:val="none"/>
              </w:rPr>
            </w:pPr>
          </w:p>
        </w:tc>
      </w:tr>
    </w:tbl>
    <w:p>
      <w:pPr>
        <w:ind w:left="924" w:hanging="924" w:hangingChars="440"/>
        <w:rPr>
          <w:rFonts w:ascii="宋体" w:hAnsi="宋体"/>
          <w:b/>
          <w:color w:val="auto"/>
          <w:szCs w:val="21"/>
          <w:highlight w:val="none"/>
        </w:rPr>
      </w:pPr>
      <w:r>
        <w:rPr>
          <w:rFonts w:hint="eastAsia" w:ascii="宋体" w:hAnsi="宋体"/>
          <w:color w:val="auto"/>
          <w:highlight w:val="none"/>
        </w:rPr>
        <w:t>注：</w:t>
      </w:r>
      <w:r>
        <w:rPr>
          <w:rFonts w:hint="eastAsia" w:ascii="宋体" w:hAnsi="宋体"/>
          <w:b/>
          <w:color w:val="auto"/>
          <w:highlight w:val="none"/>
        </w:rPr>
        <w:t>1、项目负责人等与相关的人员必须列入本表并明确，否则在评审中不予认可。</w:t>
      </w:r>
    </w:p>
    <w:p>
      <w:pPr>
        <w:ind w:left="924" w:hanging="924" w:hangingChars="440"/>
        <w:rPr>
          <w:rFonts w:ascii="宋体" w:hAnsi="宋体"/>
          <w:color w:val="auto"/>
          <w:highlight w:val="none"/>
        </w:rPr>
      </w:pPr>
      <w:r>
        <w:rPr>
          <w:rFonts w:hint="eastAsia" w:ascii="宋体" w:hAnsi="宋体"/>
          <w:color w:val="auto"/>
          <w:highlight w:val="none"/>
        </w:rPr>
        <w:t>2、列入本表人员如要更换，需经采购人同意，擅自更换或不到位属于违约行为。</w:t>
      </w:r>
    </w:p>
    <w:p>
      <w:pPr>
        <w:ind w:left="924" w:hanging="924" w:hangingChars="440"/>
        <w:rPr>
          <w:rFonts w:ascii="宋体" w:hAnsi="宋体"/>
          <w:color w:val="auto"/>
          <w:highlight w:val="none"/>
        </w:rPr>
      </w:pPr>
      <w:r>
        <w:rPr>
          <w:rFonts w:hint="eastAsia" w:ascii="宋体" w:hAnsi="宋体"/>
          <w:color w:val="auto"/>
          <w:highlight w:val="none"/>
        </w:rPr>
        <w:t>3、职称证书、执业资格等能力证明材料复印件后附（如有）。</w:t>
      </w:r>
    </w:p>
    <w:p>
      <w:pPr>
        <w:ind w:left="928" w:hanging="928" w:hangingChars="440"/>
        <w:rPr>
          <w:rFonts w:ascii="宋体" w:hAnsi="宋体"/>
          <w:b/>
          <w:color w:val="auto"/>
          <w:highlight w:val="none"/>
        </w:rPr>
      </w:pPr>
      <w:r>
        <w:rPr>
          <w:rFonts w:hint="eastAsia" w:ascii="宋体" w:hAnsi="宋体"/>
          <w:b/>
          <w:color w:val="auto"/>
          <w:highlight w:val="none"/>
        </w:rPr>
        <w:t>4、响应文件内提供询价通知书要求的证明材料。</w:t>
      </w:r>
    </w:p>
    <w:p>
      <w:pPr>
        <w:ind w:left="924" w:hanging="924" w:hangingChars="440"/>
        <w:rPr>
          <w:rFonts w:ascii="宋体" w:hAnsi="宋体"/>
          <w:color w:val="auto"/>
          <w:highlight w:val="none"/>
        </w:rPr>
      </w:pPr>
      <w:r>
        <w:rPr>
          <w:rFonts w:hint="eastAsia" w:ascii="宋体" w:hAnsi="宋体"/>
          <w:color w:val="auto"/>
          <w:highlight w:val="none"/>
        </w:rPr>
        <w:t xml:space="preserve"> </w:t>
      </w:r>
    </w:p>
    <w:p>
      <w:pPr>
        <w:ind w:left="924" w:hanging="924" w:hangingChars="440"/>
        <w:rPr>
          <w:rFonts w:ascii="宋体" w:hAnsi="宋体"/>
          <w:color w:val="auto"/>
          <w:highlight w:val="none"/>
        </w:rPr>
      </w:pPr>
      <w:r>
        <w:rPr>
          <w:rFonts w:hint="eastAsia" w:ascii="宋体" w:hAnsi="宋体"/>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rPr>
          <w:rFonts w:ascii="宋体" w:hAnsi="宋体"/>
          <w:color w:val="auto"/>
          <w:highlight w:val="none"/>
        </w:rPr>
      </w:pPr>
      <w:r>
        <w:rPr>
          <w:rFonts w:hint="eastAsia" w:ascii="宋体" w:hAnsi="宋体"/>
          <w:color w:val="auto"/>
          <w:highlight w:val="none"/>
        </w:rPr>
        <w:t xml:space="preserve"> </w:t>
      </w:r>
    </w:p>
    <w:p>
      <w:pPr>
        <w:snapToGrid w:val="0"/>
        <w:spacing w:before="50" w:after="50"/>
        <w:ind w:left="-23" w:leftChars="-11" w:right="-214" w:rightChars="-102" w:firstLine="21" w:firstLineChars="10"/>
        <w:jc w:val="center"/>
        <w:rPr>
          <w:rFonts w:ascii="宋体" w:hAnsi="宋体"/>
          <w:color w:val="auto"/>
          <w:highlight w:val="none"/>
        </w:rPr>
      </w:pPr>
      <w:r>
        <w:rPr>
          <w:rFonts w:hint="eastAsia" w:ascii="宋体" w:hAnsi="宋体"/>
          <w:color w:val="auto"/>
          <w:highlight w:val="none"/>
        </w:rPr>
        <w:t xml:space="preserve"> </w:t>
      </w:r>
    </w:p>
    <w:p>
      <w:pPr>
        <w:snapToGrid w:val="0"/>
        <w:spacing w:before="50" w:after="50"/>
        <w:ind w:left="-23" w:leftChars="-11" w:right="-214" w:rightChars="-102" w:firstLine="21" w:firstLineChars="10"/>
        <w:jc w:val="left"/>
        <w:rPr>
          <w:rFonts w:ascii="宋体" w:hAnsi="宋体"/>
          <w:color w:val="auto"/>
          <w:highlight w:val="none"/>
        </w:rPr>
      </w:pPr>
      <w:r>
        <w:rPr>
          <w:rFonts w:hint="eastAsia" w:ascii="宋体" w:hAnsi="宋体"/>
          <w:b/>
          <w:color w:val="auto"/>
          <w:highlight w:val="none"/>
        </w:rPr>
        <w:br w:type="page"/>
      </w:r>
      <w:r>
        <w:rPr>
          <w:rFonts w:hint="eastAsia" w:ascii="宋体" w:hAnsi="宋体"/>
          <w:b/>
          <w:color w:val="auto"/>
          <w:highlight w:val="none"/>
        </w:rPr>
        <w:t>3、报价要求响应文件的有关格式</w:t>
      </w:r>
    </w:p>
    <w:p>
      <w:pPr>
        <w:jc w:val="center"/>
        <w:rPr>
          <w:rFonts w:ascii="宋体" w:hAnsi="宋体"/>
          <w:b/>
          <w:color w:val="auto"/>
          <w:highlight w:val="none"/>
        </w:rPr>
      </w:pPr>
      <w:r>
        <w:rPr>
          <w:rFonts w:hint="eastAsia" w:ascii="宋体" w:hAnsi="宋体"/>
          <w:b/>
          <w:color w:val="auto"/>
          <w:highlight w:val="none"/>
        </w:rPr>
        <w:t>1）报价一览表</w:t>
      </w:r>
    </w:p>
    <w:tbl>
      <w:tblPr>
        <w:tblStyle w:val="43"/>
        <w:tblW w:w="89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0"/>
        <w:gridCol w:w="7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1870" w:type="dxa"/>
            <w:tcBorders>
              <w:top w:val="single" w:color="auto" w:sz="4" w:space="0"/>
              <w:left w:val="single" w:color="auto" w:sz="4" w:space="0"/>
              <w:bottom w:val="single" w:color="auto" w:sz="4" w:space="0"/>
              <w:right w:val="single" w:color="auto" w:sz="4" w:space="0"/>
            </w:tcBorders>
            <w:vAlign w:val="center"/>
          </w:tcPr>
          <w:p>
            <w:pPr>
              <w:pStyle w:val="17"/>
              <w:spacing w:line="240" w:lineRule="auto"/>
              <w:ind w:left="440" w:hanging="440" w:hangingChars="218"/>
              <w:jc w:val="center"/>
              <w:rPr>
                <w:rFonts w:hAnsi="宋体"/>
                <w:color w:val="auto"/>
                <w:sz w:val="21"/>
                <w:szCs w:val="21"/>
                <w:highlight w:val="none"/>
              </w:rPr>
            </w:pPr>
            <w:r>
              <w:rPr>
                <w:rFonts w:hint="eastAsia" w:hAnsi="宋体"/>
                <w:color w:val="auto"/>
                <w:sz w:val="21"/>
                <w:szCs w:val="21"/>
                <w:highlight w:val="none"/>
              </w:rPr>
              <w:t>项目名称</w:t>
            </w:r>
          </w:p>
        </w:tc>
        <w:tc>
          <w:tcPr>
            <w:tcW w:w="7069" w:type="dxa"/>
            <w:tcBorders>
              <w:top w:val="single" w:color="auto" w:sz="4" w:space="0"/>
              <w:left w:val="nil"/>
              <w:bottom w:val="single" w:color="auto" w:sz="4" w:space="0"/>
              <w:right w:val="single" w:color="auto" w:sz="4" w:space="0"/>
            </w:tcBorders>
            <w:vAlign w:val="center"/>
          </w:tcPr>
          <w:p>
            <w:pPr>
              <w:pStyle w:val="17"/>
              <w:spacing w:line="240" w:lineRule="auto"/>
              <w:ind w:left="440" w:hanging="440" w:hangingChars="218"/>
              <w:jc w:val="center"/>
              <w:rPr>
                <w:rFonts w:hint="eastAsia" w:ascii="宋体" w:hAnsi="宋体" w:eastAsia="宋体" w:cs="Times New Roman"/>
                <w:color w:val="auto"/>
                <w:sz w:val="21"/>
                <w:szCs w:val="21"/>
                <w:highlight w:val="none"/>
                <w:lang w:eastAsia="zh-CN"/>
              </w:rPr>
            </w:pPr>
            <w:r>
              <w:rPr>
                <w:rFonts w:hint="eastAsia" w:ascii="宋体" w:hAnsi="宋体" w:eastAsia="宋体" w:cs="Times New Roman"/>
                <w:color w:val="auto"/>
                <w:sz w:val="21"/>
                <w:szCs w:val="21"/>
                <w:highlight w:val="none"/>
              </w:rPr>
              <w:t xml:space="preserve"> </w:t>
            </w:r>
            <w:r>
              <w:rPr>
                <w:rFonts w:hint="eastAsia" w:hAnsi="宋体" w:cs="Times New Roman"/>
                <w:color w:val="auto"/>
                <w:sz w:val="21"/>
                <w:szCs w:val="21"/>
                <w:highlight w:val="none"/>
                <w:lang w:eastAsia="zh-CN"/>
              </w:rPr>
              <w:t>宁波市公安局交通警察局2023年特种专业技术用车购置项目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1870" w:type="dxa"/>
            <w:tcBorders>
              <w:top w:val="single" w:color="auto" w:sz="4" w:space="0"/>
              <w:left w:val="single" w:color="auto" w:sz="4" w:space="0"/>
              <w:bottom w:val="single" w:color="auto" w:sz="4" w:space="0"/>
              <w:right w:val="single" w:color="auto" w:sz="4" w:space="0"/>
            </w:tcBorders>
            <w:vAlign w:val="center"/>
          </w:tcPr>
          <w:p>
            <w:pPr>
              <w:pStyle w:val="17"/>
              <w:spacing w:line="240" w:lineRule="auto"/>
              <w:ind w:left="440" w:hanging="440" w:hangingChars="218"/>
              <w:jc w:val="center"/>
              <w:rPr>
                <w:rFonts w:hAnsi="宋体"/>
                <w:color w:val="auto"/>
                <w:sz w:val="21"/>
                <w:szCs w:val="21"/>
                <w:highlight w:val="none"/>
              </w:rPr>
            </w:pPr>
            <w:r>
              <w:rPr>
                <w:rFonts w:hint="eastAsia" w:hAnsi="宋体"/>
                <w:color w:val="auto"/>
                <w:sz w:val="21"/>
                <w:szCs w:val="21"/>
                <w:highlight w:val="none"/>
              </w:rPr>
              <w:t>项目编号</w:t>
            </w:r>
          </w:p>
        </w:tc>
        <w:tc>
          <w:tcPr>
            <w:tcW w:w="7069" w:type="dxa"/>
            <w:tcBorders>
              <w:top w:val="single" w:color="auto" w:sz="4" w:space="0"/>
              <w:left w:val="nil"/>
              <w:bottom w:val="single" w:color="auto" w:sz="4" w:space="0"/>
              <w:right w:val="single" w:color="auto" w:sz="4" w:space="0"/>
            </w:tcBorders>
            <w:vAlign w:val="center"/>
          </w:tcPr>
          <w:p>
            <w:pPr>
              <w:pStyle w:val="17"/>
              <w:spacing w:line="240" w:lineRule="auto"/>
              <w:ind w:left="440" w:hanging="440" w:hangingChars="218"/>
              <w:jc w:val="center"/>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 xml:space="preserve"> CBNB-20232467G询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1870" w:type="dxa"/>
            <w:tcBorders>
              <w:top w:val="single" w:color="auto" w:sz="4" w:space="0"/>
              <w:left w:val="single" w:color="auto" w:sz="4" w:space="0"/>
              <w:bottom w:val="single" w:color="auto" w:sz="4" w:space="0"/>
              <w:right w:val="single" w:color="auto" w:sz="4" w:space="0"/>
            </w:tcBorders>
            <w:vAlign w:val="center"/>
          </w:tcPr>
          <w:p>
            <w:pPr>
              <w:pStyle w:val="17"/>
              <w:spacing w:line="240" w:lineRule="auto"/>
              <w:ind w:left="440" w:hanging="440" w:hangingChars="218"/>
              <w:jc w:val="center"/>
              <w:rPr>
                <w:rFonts w:hAnsi="宋体"/>
                <w:color w:val="auto"/>
                <w:sz w:val="21"/>
                <w:szCs w:val="21"/>
                <w:highlight w:val="none"/>
              </w:rPr>
            </w:pPr>
            <w:r>
              <w:rPr>
                <w:rFonts w:hint="eastAsia" w:hAnsi="宋体"/>
                <w:color w:val="auto"/>
                <w:sz w:val="21"/>
                <w:szCs w:val="21"/>
                <w:highlight w:val="none"/>
              </w:rPr>
              <w:t>报价（元）</w:t>
            </w:r>
          </w:p>
        </w:tc>
        <w:tc>
          <w:tcPr>
            <w:tcW w:w="7069" w:type="dxa"/>
            <w:tcBorders>
              <w:top w:val="single" w:color="auto" w:sz="4" w:space="0"/>
              <w:left w:val="nil"/>
              <w:bottom w:val="single" w:color="auto" w:sz="4" w:space="0"/>
              <w:right w:val="single" w:color="auto" w:sz="4" w:space="0"/>
            </w:tcBorders>
            <w:vAlign w:val="center"/>
          </w:tcPr>
          <w:p>
            <w:pPr>
              <w:pStyle w:val="17"/>
              <w:spacing w:line="240" w:lineRule="auto"/>
              <w:ind w:left="440" w:hanging="440" w:hangingChars="218"/>
              <w:jc w:val="left"/>
              <w:rPr>
                <w:rFonts w:hAnsi="宋体"/>
                <w:color w:val="auto"/>
                <w:sz w:val="21"/>
                <w:szCs w:val="21"/>
                <w:highlight w:val="none"/>
              </w:rPr>
            </w:pPr>
            <w:r>
              <w:rPr>
                <w:rFonts w:hint="eastAsia" w:hAnsi="宋体"/>
                <w:color w:val="auto"/>
                <w:sz w:val="21"/>
                <w:szCs w:val="21"/>
                <w:highlight w:val="none"/>
              </w:rPr>
              <w:t>小写：</w:t>
            </w:r>
          </w:p>
          <w:p>
            <w:pPr>
              <w:pStyle w:val="17"/>
              <w:spacing w:line="240" w:lineRule="auto"/>
              <w:ind w:firstLine="0"/>
              <w:jc w:val="left"/>
              <w:rPr>
                <w:rFonts w:hAnsi="宋体"/>
                <w:color w:val="auto"/>
                <w:sz w:val="21"/>
                <w:szCs w:val="21"/>
                <w:highlight w:val="none"/>
              </w:rPr>
            </w:pPr>
            <w:r>
              <w:rPr>
                <w:rFonts w:hint="eastAsia" w:hAnsi="宋体"/>
                <w:color w:val="auto"/>
                <w:sz w:val="21"/>
                <w:szCs w:val="21"/>
                <w:highlight w:val="none"/>
              </w:rPr>
              <w:t>大写：</w:t>
            </w:r>
          </w:p>
        </w:tc>
      </w:tr>
    </w:tbl>
    <w:p>
      <w:pPr>
        <w:snapToGrid w:val="0"/>
        <w:spacing w:before="50" w:after="50"/>
        <w:ind w:left="-23" w:leftChars="-11" w:right="27" w:rightChars="13" w:firstLine="21" w:firstLineChars="10"/>
        <w:rPr>
          <w:rFonts w:ascii="宋体" w:hAnsi="宋体"/>
          <w:bCs/>
          <w:color w:val="auto"/>
          <w:szCs w:val="21"/>
          <w:highlight w:val="none"/>
        </w:rPr>
      </w:pPr>
      <w:r>
        <w:rPr>
          <w:rFonts w:hint="eastAsia" w:ascii="宋体" w:hAnsi="宋体"/>
          <w:bCs/>
          <w:color w:val="auto"/>
          <w:highlight w:val="none"/>
        </w:rPr>
        <w:t>注:1、报价一经涂改，应在涂改处加盖单位公章或由法定代表人或其授权代表签字。</w:t>
      </w:r>
    </w:p>
    <w:p>
      <w:pPr>
        <w:snapToGrid w:val="0"/>
        <w:spacing w:before="50" w:after="50"/>
        <w:ind w:left="-23" w:leftChars="-11" w:right="27" w:rightChars="13" w:firstLine="21" w:firstLineChars="10"/>
        <w:rPr>
          <w:rFonts w:ascii="宋体" w:hAnsi="宋体"/>
          <w:bCs/>
          <w:color w:val="auto"/>
          <w:highlight w:val="none"/>
        </w:rPr>
      </w:pPr>
      <w:r>
        <w:rPr>
          <w:rFonts w:hint="eastAsia" w:ascii="宋体" w:hAnsi="宋体"/>
          <w:bCs/>
          <w:color w:val="auto"/>
          <w:highlight w:val="none"/>
        </w:rPr>
        <w:t>2、以询价通知书所述的采购（产品及工作）量的总价进行报价。</w:t>
      </w:r>
    </w:p>
    <w:p>
      <w:pPr>
        <w:widowControl/>
        <w:jc w:val="left"/>
        <w:rPr>
          <w:rFonts w:ascii="宋体" w:hAnsi="宋体"/>
          <w:color w:val="auto"/>
          <w:highlight w:val="none"/>
        </w:rPr>
      </w:pPr>
    </w:p>
    <w:p>
      <w:pPr>
        <w:widowControl/>
        <w:jc w:val="left"/>
        <w:rPr>
          <w:rFonts w:ascii="宋体" w:hAnsi="宋体"/>
          <w:color w:val="auto"/>
          <w:highlight w:val="none"/>
        </w:rPr>
      </w:pPr>
      <w:r>
        <w:rPr>
          <w:rFonts w:hint="eastAsia" w:ascii="宋体" w:hAnsi="宋体"/>
          <w:color w:val="auto"/>
          <w:highlight w:val="none"/>
        </w:rPr>
        <w:t xml:space="preserve"> </w:t>
      </w:r>
    </w:p>
    <w:p>
      <w:pPr>
        <w:widowControl/>
        <w:jc w:val="left"/>
        <w:rPr>
          <w:rFonts w:ascii="宋体" w:hAnsi="宋体"/>
          <w:color w:val="auto"/>
          <w:highlight w:val="none"/>
        </w:rPr>
      </w:pPr>
      <w:r>
        <w:rPr>
          <w:rFonts w:hint="eastAsia" w:ascii="宋体" w:hAnsi="宋体"/>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rPr>
          <w:rFonts w:ascii="宋体" w:hAnsi="宋体"/>
          <w:color w:val="auto"/>
          <w:highlight w:val="none"/>
        </w:rPr>
      </w:pPr>
      <w:r>
        <w:rPr>
          <w:rFonts w:hint="eastAsia" w:ascii="宋体" w:hAnsi="宋体"/>
          <w:color w:val="auto"/>
          <w:highlight w:val="none"/>
        </w:rPr>
        <w:t xml:space="preserve"> </w:t>
      </w:r>
    </w:p>
    <w:p>
      <w:pPr>
        <w:snapToGrid w:val="0"/>
        <w:rPr>
          <w:rFonts w:ascii="宋体" w:hAnsi="宋体"/>
          <w:color w:val="auto"/>
          <w:highlight w:val="none"/>
        </w:rPr>
      </w:pPr>
      <w:r>
        <w:rPr>
          <w:rFonts w:hint="eastAsia" w:ascii="宋体" w:hAnsi="宋体"/>
          <w:color w:val="auto"/>
          <w:highlight w:val="none"/>
        </w:rPr>
        <w:t xml:space="preserve"> </w:t>
      </w:r>
    </w:p>
    <w:p>
      <w:pPr>
        <w:snapToGrid w:val="0"/>
        <w:spacing w:before="50" w:after="50"/>
        <w:ind w:left="-23" w:leftChars="-11" w:right="-214" w:rightChars="-102" w:firstLine="21" w:firstLineChars="10"/>
        <w:jc w:val="center"/>
        <w:rPr>
          <w:rFonts w:ascii="宋体" w:hAnsi="宋体"/>
          <w:b/>
          <w:color w:val="auto"/>
          <w:highlight w:val="none"/>
        </w:rPr>
      </w:pPr>
      <w:r>
        <w:rPr>
          <w:rFonts w:hint="eastAsia" w:ascii="宋体" w:hAnsi="宋体"/>
          <w:color w:val="auto"/>
          <w:highlight w:val="none"/>
        </w:rPr>
        <w:br w:type="page"/>
      </w:r>
      <w:r>
        <w:rPr>
          <w:rFonts w:hint="eastAsia" w:ascii="宋体" w:hAnsi="宋体"/>
          <w:b/>
          <w:color w:val="auto"/>
          <w:highlight w:val="none"/>
        </w:rPr>
        <w:t>2）报价</w:t>
      </w:r>
      <w:r>
        <w:rPr>
          <w:rFonts w:hint="eastAsia" w:ascii="宋体" w:hAnsi="宋体"/>
          <w:b/>
          <w:color w:val="auto"/>
          <w:kern w:val="0"/>
          <w:highlight w:val="none"/>
        </w:rPr>
        <w:t>组成</w:t>
      </w:r>
      <w:r>
        <w:rPr>
          <w:rFonts w:hint="eastAsia" w:ascii="宋体" w:hAnsi="宋体"/>
          <w:b/>
          <w:color w:val="auto"/>
          <w:highlight w:val="none"/>
        </w:rPr>
        <w:t>明细表</w:t>
      </w:r>
    </w:p>
    <w:tbl>
      <w:tblPr>
        <w:tblStyle w:val="43"/>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2970"/>
        <w:gridCol w:w="886"/>
        <w:gridCol w:w="1038"/>
        <w:gridCol w:w="1781"/>
        <w:gridCol w:w="1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bCs/>
                <w:color w:val="auto"/>
                <w:highlight w:val="none"/>
              </w:rPr>
              <w:t>序号</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color w:val="auto"/>
                <w:highlight w:val="none"/>
              </w:rPr>
              <w:t>费用名称</w:t>
            </w: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bCs/>
                <w:color w:val="auto"/>
                <w:highlight w:val="none"/>
              </w:rPr>
              <w:t>单位</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bCs/>
                <w:color w:val="auto"/>
                <w:highlight w:val="none"/>
              </w:rPr>
              <w:t>数量</w:t>
            </w: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bCs/>
                <w:color w:val="auto"/>
                <w:highlight w:val="none"/>
              </w:rPr>
              <w:t>单价（元）</w:t>
            </w: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Cs/>
                <w:color w:val="auto"/>
                <w:szCs w:val="21"/>
                <w:highlight w:val="none"/>
              </w:rPr>
            </w:pPr>
            <w:r>
              <w:rPr>
                <w:rFonts w:hint="eastAsia" w:ascii="宋体" w:hAnsi="宋体"/>
                <w:bCs/>
                <w:color w:val="auto"/>
                <w:highlight w:val="none"/>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aps/>
                <w:color w:val="auto"/>
                <w:szCs w:val="21"/>
                <w:highlight w:val="none"/>
              </w:rPr>
            </w:pPr>
            <w:r>
              <w:rPr>
                <w:rFonts w:hint="eastAsia" w:ascii="宋体" w:hAnsi="宋体"/>
                <w:caps/>
                <w:color w:val="auto"/>
                <w:highlight w:val="none"/>
              </w:rPr>
              <w:t>1</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2</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3</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4</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5</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w:t>
            </w:r>
          </w:p>
        </w:tc>
        <w:tc>
          <w:tcPr>
            <w:tcW w:w="2839"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b/>
                <w:bCs/>
                <w:color w:val="auto"/>
                <w:kern w:val="44"/>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490"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szCs w:val="21"/>
                <w:highlight w:val="none"/>
              </w:rPr>
            </w:pPr>
            <w:r>
              <w:rPr>
                <w:rFonts w:hint="eastAsia" w:ascii="宋体" w:hAnsi="宋体"/>
                <w:color w:val="auto"/>
                <w:highlight w:val="none"/>
              </w:rPr>
              <w:t>报价（元）</w:t>
            </w:r>
          </w:p>
        </w:tc>
        <w:tc>
          <w:tcPr>
            <w:tcW w:w="345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olor w:val="auto"/>
                <w:szCs w:val="21"/>
                <w:highlight w:val="none"/>
              </w:rPr>
            </w:pPr>
            <w:r>
              <w:rPr>
                <w:rFonts w:hint="eastAsia" w:ascii="宋体" w:hAnsi="宋体"/>
                <w:color w:val="auto"/>
                <w:highlight w:val="none"/>
              </w:rPr>
              <w:t>小写：</w:t>
            </w:r>
          </w:p>
        </w:tc>
      </w:tr>
    </w:tbl>
    <w:p>
      <w:pPr>
        <w:snapToGrid w:val="0"/>
        <w:spacing w:before="50" w:after="50"/>
        <w:ind w:left="-23" w:leftChars="-11" w:right="27" w:rightChars="13" w:firstLine="21" w:firstLineChars="10"/>
        <w:rPr>
          <w:rFonts w:ascii="宋体" w:hAnsi="宋体"/>
          <w:bCs/>
          <w:color w:val="auto"/>
          <w:szCs w:val="21"/>
          <w:highlight w:val="none"/>
        </w:rPr>
      </w:pPr>
      <w:r>
        <w:rPr>
          <w:rFonts w:hint="eastAsia" w:ascii="宋体" w:hAnsi="宋体"/>
          <w:bCs/>
          <w:color w:val="auto"/>
          <w:highlight w:val="none"/>
        </w:rPr>
        <w:t>注：1、供应商可根据项目实际情况调整本表格式，但必须包含上述内容。</w:t>
      </w:r>
    </w:p>
    <w:p>
      <w:pPr>
        <w:snapToGrid w:val="0"/>
        <w:spacing w:before="50" w:after="50"/>
        <w:ind w:left="-23" w:leftChars="-11" w:right="27" w:rightChars="13" w:firstLine="21" w:firstLineChars="10"/>
        <w:rPr>
          <w:rFonts w:ascii="宋体" w:hAnsi="宋体"/>
          <w:bCs/>
          <w:color w:val="auto"/>
          <w:highlight w:val="none"/>
        </w:rPr>
      </w:pPr>
      <w:r>
        <w:rPr>
          <w:rFonts w:hint="eastAsia" w:ascii="宋体" w:hAnsi="宋体"/>
          <w:bCs/>
          <w:color w:val="auto"/>
          <w:highlight w:val="none"/>
        </w:rPr>
        <w:t>2、上述各项的详细分项报价及具体内容，可另页描述。</w:t>
      </w:r>
    </w:p>
    <w:p>
      <w:pPr>
        <w:snapToGrid w:val="0"/>
        <w:ind w:firstLine="141" w:firstLineChars="67"/>
        <w:rPr>
          <w:rFonts w:ascii="宋体" w:hAnsi="宋体"/>
          <w:b/>
          <w:color w:val="auto"/>
          <w:highlight w:val="none"/>
        </w:rPr>
      </w:pPr>
      <w:r>
        <w:rPr>
          <w:rFonts w:hint="eastAsia" w:ascii="宋体" w:hAnsi="宋体"/>
          <w:b/>
          <w:color w:val="auto"/>
          <w:highlight w:val="none"/>
        </w:rPr>
        <w:t xml:space="preserve"> </w:t>
      </w:r>
    </w:p>
    <w:p>
      <w:pPr>
        <w:snapToGrid w:val="0"/>
        <w:ind w:firstLine="141" w:firstLineChars="67"/>
        <w:rPr>
          <w:rFonts w:ascii="宋体" w:hAnsi="宋体"/>
          <w:b/>
          <w:color w:val="auto"/>
          <w:highlight w:val="none"/>
        </w:rPr>
      </w:pPr>
      <w:r>
        <w:rPr>
          <w:rFonts w:hint="eastAsia" w:ascii="宋体" w:hAnsi="宋体"/>
          <w:b/>
          <w:color w:val="auto"/>
          <w:highlight w:val="none"/>
        </w:rPr>
        <w:t xml:space="preserve"> </w:t>
      </w:r>
    </w:p>
    <w:p>
      <w:pPr>
        <w:snapToGrid w:val="0"/>
        <w:ind w:firstLine="2975" w:firstLineChars="1417"/>
        <w:rPr>
          <w:rFonts w:ascii="宋体" w:hAnsi="宋体"/>
          <w:color w:val="auto"/>
          <w:highlight w:val="none"/>
        </w:rPr>
      </w:pPr>
      <w:r>
        <w:rPr>
          <w:rFonts w:hint="eastAsia" w:ascii="宋体" w:hAnsi="宋体"/>
          <w:color w:val="auto"/>
          <w:highlight w:val="none"/>
        </w:rPr>
        <w:t>供应商：</w:t>
      </w:r>
      <w:r>
        <w:rPr>
          <w:rFonts w:hint="eastAsia" w:ascii="宋体" w:hAnsi="宋体"/>
          <w:color w:val="auto"/>
          <w:highlight w:val="none"/>
          <w:u w:val="single"/>
        </w:rPr>
        <w:t xml:space="preserve">    填写全称并加盖公章         </w:t>
      </w:r>
    </w:p>
    <w:p>
      <w:pPr>
        <w:snapToGrid w:val="0"/>
        <w:ind w:firstLine="2975" w:firstLineChars="1417"/>
        <w:rPr>
          <w:rFonts w:ascii="宋体" w:hAnsi="宋体"/>
          <w:color w:val="auto"/>
          <w:highlight w:val="none"/>
        </w:rPr>
      </w:pPr>
    </w:p>
    <w:p>
      <w:pPr>
        <w:snapToGrid w:val="0"/>
        <w:ind w:firstLine="2975" w:firstLineChars="1417"/>
        <w:rPr>
          <w:rFonts w:ascii="宋体" w:hAnsi="宋体"/>
          <w:color w:val="auto"/>
          <w:highlight w:val="none"/>
        </w:rPr>
      </w:pPr>
      <w:r>
        <w:rPr>
          <w:rFonts w:hint="eastAsia" w:ascii="宋体" w:hAnsi="宋体"/>
          <w:color w:val="auto"/>
          <w:highlight w:val="none"/>
        </w:rPr>
        <w:t>日  期：</w:t>
      </w:r>
    </w:p>
    <w:p>
      <w:pPr>
        <w:snapToGrid w:val="0"/>
        <w:rPr>
          <w:rFonts w:ascii="宋体" w:hAnsi="宋体"/>
          <w:color w:val="auto"/>
          <w:highlight w:val="none"/>
        </w:rPr>
      </w:pPr>
      <w:r>
        <w:rPr>
          <w:rFonts w:hint="eastAsia" w:ascii="宋体" w:hAnsi="宋体"/>
          <w:color w:val="auto"/>
          <w:highlight w:val="none"/>
        </w:rPr>
        <w:t xml:space="preserve"> </w:t>
      </w:r>
    </w:p>
    <w:p>
      <w:pPr>
        <w:snapToGrid w:val="0"/>
        <w:spacing w:before="50" w:after="50"/>
        <w:ind w:left="-23" w:leftChars="-11" w:right="-214" w:rightChars="-102" w:firstLine="21" w:firstLineChars="10"/>
        <w:jc w:val="center"/>
        <w:rPr>
          <w:rFonts w:ascii="宋体" w:hAnsi="宋体"/>
          <w:color w:val="auto"/>
          <w:highlight w:val="none"/>
        </w:rPr>
      </w:pPr>
      <w:r>
        <w:rPr>
          <w:rFonts w:hint="eastAsia" w:ascii="宋体" w:hAnsi="宋体"/>
          <w:color w:val="auto"/>
          <w:highlight w:val="none"/>
        </w:rPr>
        <w:t xml:space="preserve"> </w:t>
      </w:r>
    </w:p>
    <w:p>
      <w:pPr>
        <w:pStyle w:val="17"/>
        <w:spacing w:line="360" w:lineRule="auto"/>
        <w:ind w:firstLine="0"/>
        <w:rPr>
          <w:rFonts w:hAnsi="宋体"/>
          <w:b/>
          <w:color w:val="auto"/>
          <w:highlight w:val="none"/>
        </w:rPr>
      </w:pPr>
    </w:p>
    <w:p>
      <w:pPr>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pStyle w:val="53"/>
        <w:rPr>
          <w:rFonts w:ascii="宋体" w:hAnsi="宋体"/>
          <w:b/>
          <w:color w:val="auto"/>
          <w:highlight w:val="none"/>
        </w:rPr>
      </w:pPr>
    </w:p>
    <w:p>
      <w:pPr>
        <w:adjustRightInd/>
        <w:spacing w:line="360" w:lineRule="auto"/>
        <w:jc w:val="center"/>
        <w:outlineLvl w:val="0"/>
        <w:rPr>
          <w:rFonts w:hint="eastAsia" w:ascii="宋体" w:hAnsi="宋体" w:cs="宋体"/>
          <w:b/>
          <w:color w:val="auto"/>
          <w:sz w:val="24"/>
          <w:highlight w:val="none"/>
        </w:rPr>
      </w:pPr>
      <w:r>
        <w:rPr>
          <w:rFonts w:hint="eastAsia" w:ascii="宋体" w:hAnsi="宋体" w:cs="宋体"/>
          <w:b/>
          <w:color w:val="auto"/>
          <w:sz w:val="24"/>
          <w:highlight w:val="none"/>
        </w:rPr>
        <w:t>政府采购活动现场确认声明书</w:t>
      </w:r>
    </w:p>
    <w:p>
      <w:pPr>
        <w:adjustRightInd/>
        <w:snapToGrid w:val="0"/>
        <w:spacing w:line="360" w:lineRule="auto"/>
        <w:rPr>
          <w:rFonts w:hint="eastAsia" w:ascii="宋体" w:hAnsi="宋体" w:cs="宋体"/>
          <w:color w:val="auto"/>
          <w:spacing w:val="6"/>
          <w:szCs w:val="21"/>
          <w:highlight w:val="none"/>
        </w:rPr>
      </w:pPr>
      <w:r>
        <w:rPr>
          <w:rFonts w:hint="eastAsia" w:ascii="宋体" w:hAnsi="宋体" w:cs="宋体"/>
          <w:color w:val="auto"/>
          <w:spacing w:val="6"/>
          <w:szCs w:val="21"/>
          <w:highlight w:val="none"/>
          <w:u w:val="single"/>
        </w:rPr>
        <w:t xml:space="preserve"> 宁波中基国际招标有限公司</w:t>
      </w:r>
      <w:r>
        <w:rPr>
          <w:rFonts w:hint="eastAsia" w:ascii="宋体" w:hAnsi="宋体" w:cs="宋体"/>
          <w:color w:val="auto"/>
          <w:spacing w:val="6"/>
          <w:szCs w:val="21"/>
          <w:highlight w:val="none"/>
        </w:rPr>
        <w:t>：</w:t>
      </w:r>
    </w:p>
    <w:p>
      <w:pPr>
        <w:adjustRightInd/>
        <w:snapToGrid w:val="0"/>
        <w:spacing w:line="360" w:lineRule="auto"/>
        <w:ind w:firstLine="444" w:firstLineChars="200"/>
        <w:rPr>
          <w:rFonts w:hint="eastAsia" w:ascii="宋体" w:hAnsi="宋体" w:cs="宋体"/>
          <w:color w:val="auto"/>
          <w:spacing w:val="6"/>
          <w:szCs w:val="21"/>
          <w:highlight w:val="none"/>
        </w:rPr>
      </w:pPr>
      <w:r>
        <w:rPr>
          <w:rFonts w:hint="eastAsia" w:ascii="宋体" w:hAnsi="宋体" w:cs="宋体"/>
          <w:color w:val="auto"/>
          <w:spacing w:val="6"/>
          <w:szCs w:val="21"/>
          <w:highlight w:val="none"/>
        </w:rPr>
        <w:t>本人</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（授权代表姓名），经由</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（单位）</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（法定代表人姓名）合法授权参加</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（项目编号：</w:t>
      </w:r>
      <w:r>
        <w:rPr>
          <w:rFonts w:hint="eastAsia" w:ascii="宋体" w:hAnsi="宋体" w:cs="宋体"/>
          <w:color w:val="auto"/>
          <w:spacing w:val="6"/>
          <w:szCs w:val="21"/>
          <w:highlight w:val="none"/>
          <w:u w:val="single"/>
        </w:rPr>
        <w:t xml:space="preserve">CBNB-        </w:t>
      </w:r>
      <w:r>
        <w:rPr>
          <w:rFonts w:hint="eastAsia" w:ascii="宋体" w:hAnsi="宋体" w:cs="宋体"/>
          <w:color w:val="auto"/>
          <w:spacing w:val="6"/>
          <w:szCs w:val="21"/>
          <w:highlight w:val="none"/>
        </w:rPr>
        <w:t xml:space="preserve">）政府采购活动，经与本单位法人代表（负责人）联系确认，现就有关公平竞争事项郑重声明如下： </w:t>
      </w:r>
    </w:p>
    <w:p>
      <w:pPr>
        <w:widowControl/>
        <w:numPr>
          <w:ilvl w:val="0"/>
          <w:numId w:val="1"/>
        </w:num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本单位与采购人之间 （</w:t>
      </w:r>
      <w:r>
        <w:rPr>
          <w:rFonts w:hint="eastAsia" w:ascii="宋体" w:hAnsi="宋体" w:cs="宋体"/>
          <w:color w:val="auto"/>
          <w:kern w:val="0"/>
          <w:szCs w:val="21"/>
          <w:highlight w:val="none"/>
        </w:rPr>
        <w:sym w:font="Wingdings 2" w:char="00A3"/>
      </w:r>
      <w:r>
        <w:rPr>
          <w:rFonts w:hint="eastAsia" w:ascii="宋体" w:hAnsi="宋体" w:cs="宋体"/>
          <w:color w:val="auto"/>
          <w:kern w:val="0"/>
          <w:szCs w:val="21"/>
          <w:highlight w:val="none"/>
        </w:rPr>
        <w:t>不存在利害关系 □存在下列利害关系</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widowControl/>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A.投资关系    B.行政隶属关系    C.业务指导关系</w:t>
      </w:r>
    </w:p>
    <w:p>
      <w:pPr>
        <w:widowControl/>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D.其他可能</w:t>
      </w:r>
      <w:r>
        <w:rPr>
          <w:rFonts w:hint="eastAsia" w:ascii="宋体" w:hAnsi="宋体" w:cs="宋体"/>
          <w:color w:val="auto"/>
          <w:szCs w:val="21"/>
          <w:highlight w:val="none"/>
        </w:rPr>
        <w:t>影响采购公正的</w:t>
      </w:r>
      <w:r>
        <w:rPr>
          <w:rFonts w:hint="eastAsia" w:ascii="宋体" w:hAnsi="宋体" w:cs="宋体"/>
          <w:color w:val="auto"/>
          <w:kern w:val="0"/>
          <w:szCs w:val="21"/>
          <w:highlight w:val="none"/>
        </w:rPr>
        <w:t xml:space="preserve">利害关系（如有，请如实说明）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widowControl/>
        <w:numPr>
          <w:ilvl w:val="0"/>
          <w:numId w:val="1"/>
        </w:num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现已清楚知道参加本项目采购活动的其他所有供应商名称，本单位 □与其他所有供应商之间均不存在利害关系 □与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（供应商名称）之间存在下列利害关系</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A.法定代表人或负责人或实际控制人是同一人</w:t>
      </w:r>
    </w:p>
    <w:p>
      <w:pPr>
        <w:adjustRightInd/>
        <w:snapToGrid w:val="0"/>
        <w:spacing w:line="360" w:lineRule="auto"/>
        <w:ind w:firstLine="420" w:firstLineChars="200"/>
        <w:rPr>
          <w:rFonts w:hint="eastAsia" w:ascii="宋体" w:hAnsi="宋体" w:cs="宋体"/>
          <w:color w:val="auto"/>
          <w:spacing w:val="6"/>
          <w:szCs w:val="21"/>
          <w:highlight w:val="none"/>
        </w:rPr>
      </w:pPr>
      <w:r>
        <w:rPr>
          <w:rFonts w:hint="eastAsia" w:ascii="宋体" w:hAnsi="宋体" w:cs="宋体"/>
          <w:color w:val="auto"/>
          <w:kern w:val="0"/>
          <w:szCs w:val="21"/>
          <w:highlight w:val="none"/>
        </w:rPr>
        <w:t>B.法定代表人或负责人或实际控制人是夫妻关系</w:t>
      </w:r>
    </w:p>
    <w:p>
      <w:pPr>
        <w:adjustRightInd/>
        <w:snapToGrid w:val="0"/>
        <w:spacing w:line="360" w:lineRule="auto"/>
        <w:ind w:firstLine="420" w:firstLineChars="200"/>
        <w:rPr>
          <w:rFonts w:hint="eastAsia" w:ascii="宋体" w:hAnsi="宋体" w:cs="宋体"/>
          <w:color w:val="auto"/>
          <w:spacing w:val="6"/>
          <w:szCs w:val="21"/>
          <w:highlight w:val="none"/>
        </w:rPr>
      </w:pPr>
      <w:r>
        <w:rPr>
          <w:rFonts w:hint="eastAsia" w:ascii="宋体" w:hAnsi="宋体" w:cs="宋体"/>
          <w:color w:val="auto"/>
          <w:kern w:val="0"/>
          <w:szCs w:val="21"/>
          <w:highlight w:val="none"/>
        </w:rPr>
        <w:t>C.法定代表人或负责人或实际控制人是直系血亲关系</w:t>
      </w:r>
    </w:p>
    <w:p>
      <w:pPr>
        <w:adjustRightInd/>
        <w:snapToGrid w:val="0"/>
        <w:spacing w:line="360" w:lineRule="auto"/>
        <w:ind w:firstLine="420" w:firstLineChars="200"/>
        <w:rPr>
          <w:rFonts w:hint="eastAsia" w:ascii="宋体" w:hAnsi="宋体" w:cs="宋体"/>
          <w:color w:val="auto"/>
          <w:spacing w:val="6"/>
          <w:szCs w:val="21"/>
          <w:highlight w:val="none"/>
        </w:rPr>
      </w:pPr>
      <w:r>
        <w:rPr>
          <w:rFonts w:hint="eastAsia" w:ascii="宋体" w:hAnsi="宋体" w:cs="宋体"/>
          <w:color w:val="auto"/>
          <w:kern w:val="0"/>
          <w:szCs w:val="21"/>
          <w:highlight w:val="none"/>
        </w:rPr>
        <w:t>D.法定代表人或负责人或实际控制人存在三代以内旁系血亲关系</w:t>
      </w:r>
    </w:p>
    <w:p>
      <w:p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E.法定代表人或负责人或实际控制人存在近姻亲关系</w:t>
      </w:r>
    </w:p>
    <w:p>
      <w:p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F.法定代表人或负责人或实际控制人存在股份控制或实际控制关系</w:t>
      </w:r>
    </w:p>
    <w:p>
      <w:p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G.存在共同直接或间接投资设立子公司、联营企业和合营企业情况</w:t>
      </w:r>
    </w:p>
    <w:p>
      <w:pPr>
        <w:adjustRightInd/>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kern w:val="0"/>
          <w:szCs w:val="21"/>
          <w:highlight w:val="none"/>
        </w:rPr>
        <w:t>H.存在分级代理或代销关系、同一生产制造商关系、</w:t>
      </w:r>
      <w:r>
        <w:rPr>
          <w:rFonts w:hint="eastAsia" w:ascii="宋体" w:hAnsi="宋体" w:cs="宋体"/>
          <w:color w:val="auto"/>
          <w:szCs w:val="21"/>
          <w:highlight w:val="none"/>
        </w:rPr>
        <w:t>管理关系、重要业务（占主营业务收入50%以上）或重要财务往来关系（如融资）等其他实质性控制关系</w:t>
      </w:r>
    </w:p>
    <w:p>
      <w:pPr>
        <w:adjustRightInd/>
        <w:snapToGrid w:val="0"/>
        <w:spacing w:line="36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I</w:t>
      </w:r>
      <w:r>
        <w:rPr>
          <w:rFonts w:hint="eastAsia" w:ascii="宋体" w:hAnsi="宋体" w:cs="宋体"/>
          <w:color w:val="auto"/>
          <w:kern w:val="0"/>
          <w:szCs w:val="21"/>
          <w:highlight w:val="none"/>
        </w:rPr>
        <w:t>.</w:t>
      </w:r>
      <w:r>
        <w:rPr>
          <w:rFonts w:hint="eastAsia" w:ascii="宋体" w:hAnsi="宋体" w:cs="宋体"/>
          <w:color w:val="auto"/>
          <w:szCs w:val="21"/>
          <w:highlight w:val="none"/>
        </w:rPr>
        <w:t>其他利害关系情况</w:t>
      </w:r>
      <w:r>
        <w:rPr>
          <w:rFonts w:hint="eastAsia" w:ascii="宋体" w:hAnsi="宋体" w:cs="宋体"/>
          <w:color w:val="auto"/>
          <w:szCs w:val="21"/>
          <w:highlight w:val="none"/>
          <w:u w:val="single"/>
        </w:rPr>
        <w:t xml:space="preserve">                              </w:t>
      </w:r>
      <w:r>
        <w:rPr>
          <w:rFonts w:hint="eastAsia" w:ascii="宋体" w:hAnsi="宋体" w:cs="宋体"/>
          <w:color w:val="auto"/>
          <w:kern w:val="0"/>
          <w:szCs w:val="21"/>
          <w:highlight w:val="none"/>
        </w:rPr>
        <w:t>。</w:t>
      </w:r>
    </w:p>
    <w:p>
      <w:pPr>
        <w:widowControl/>
        <w:numPr>
          <w:ilvl w:val="0"/>
          <w:numId w:val="2"/>
        </w:num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szCs w:val="21"/>
          <w:highlight w:val="none"/>
        </w:rPr>
        <w:t>现已清楚知道并</w:t>
      </w:r>
      <w:r>
        <w:rPr>
          <w:rFonts w:hint="eastAsia" w:ascii="宋体" w:hAnsi="宋体" w:cs="宋体"/>
          <w:color w:val="auto"/>
          <w:kern w:val="0"/>
          <w:szCs w:val="21"/>
          <w:highlight w:val="none"/>
        </w:rPr>
        <w:t>严格遵守政府采购法律法规和现场纪律。</w:t>
      </w:r>
    </w:p>
    <w:p>
      <w:pPr>
        <w:widowControl/>
        <w:numPr>
          <w:ilvl w:val="0"/>
          <w:numId w:val="2"/>
        </w:numPr>
        <w:adjustRightInd/>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我发现</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供应商之间存在或可能存在上述第二条第</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项利害关系。</w:t>
      </w:r>
    </w:p>
    <w:p>
      <w:pPr>
        <w:adjustRightInd/>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                                    （供应商代表签名）：</w:t>
      </w:r>
    </w:p>
    <w:p>
      <w:pPr>
        <w:adjustRightInd/>
        <w:spacing w:line="360" w:lineRule="auto"/>
        <w:ind w:firstLine="420" w:firstLineChars="200"/>
        <w:rPr>
          <w:rFonts w:hint="eastAsia" w:ascii="宋体" w:hAnsi="宋体" w:cs="宋体"/>
          <w:b/>
          <w:color w:val="auto"/>
          <w:szCs w:val="21"/>
          <w:highlight w:val="none"/>
        </w:rPr>
      </w:pPr>
      <w:r>
        <w:rPr>
          <w:rFonts w:hint="eastAsia" w:ascii="宋体" w:hAnsi="宋体" w:cs="宋体"/>
          <w:color w:val="auto"/>
          <w:szCs w:val="21"/>
          <w:highlight w:val="none"/>
        </w:rPr>
        <w:t xml:space="preserve">                                    2023年  月  日（请填写磋商日当天日期）</w:t>
      </w:r>
    </w:p>
    <w:p>
      <w:pPr>
        <w:adjustRightInd/>
        <w:spacing w:line="360" w:lineRule="auto"/>
        <w:rPr>
          <w:rFonts w:hint="eastAsia" w:ascii="宋体" w:hAnsi="宋体" w:cs="宋体"/>
          <w:b/>
          <w:bCs/>
          <w:color w:val="auto"/>
          <w:szCs w:val="21"/>
          <w:highlight w:val="none"/>
        </w:rPr>
      </w:pPr>
      <w:r>
        <w:rPr>
          <w:rFonts w:hint="eastAsia" w:ascii="宋体" w:hAnsi="宋体" w:cs="宋体"/>
          <w:b/>
          <w:bCs/>
          <w:color w:val="auto"/>
          <w:szCs w:val="21"/>
          <w:highlight w:val="none"/>
        </w:rPr>
        <w:t>说明：（1）供应商解密响应文件及获知其他供应商信息进行如实声明并盖章或授权代表签名后，以扫描件形式通过邮件方式发送至邮箱：</w:t>
      </w:r>
      <w:r>
        <w:rPr>
          <w:rFonts w:hint="eastAsia" w:ascii="宋体" w:hAnsi="宋体" w:cs="宋体"/>
          <w:b/>
          <w:bCs/>
          <w:color w:val="auto"/>
          <w:szCs w:val="21"/>
          <w:highlight w:val="none"/>
          <w:u w:val="single"/>
          <w:lang w:val="en-US" w:eastAsia="zh-CN"/>
        </w:rPr>
        <w:t>1115194121</w:t>
      </w:r>
      <w:r>
        <w:rPr>
          <w:rFonts w:hint="eastAsia" w:ascii="宋体" w:hAnsi="宋体" w:cs="宋体"/>
          <w:b/>
          <w:bCs/>
          <w:color w:val="auto"/>
          <w:szCs w:val="21"/>
          <w:highlight w:val="none"/>
          <w:u w:val="single"/>
        </w:rPr>
        <w:t>@qq.com</w:t>
      </w:r>
      <w:r>
        <w:rPr>
          <w:rFonts w:hint="eastAsia" w:ascii="宋体" w:hAnsi="宋体" w:cs="宋体"/>
          <w:b/>
          <w:bCs/>
          <w:color w:val="auto"/>
          <w:szCs w:val="21"/>
          <w:highlight w:val="none"/>
        </w:rPr>
        <w:t>。</w:t>
      </w:r>
    </w:p>
    <w:p>
      <w:pPr>
        <w:adjustRightInd/>
        <w:spacing w:line="360" w:lineRule="auto"/>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（2）在电子响应文件解密后供应商可看到所参与标项的供应商名称，在确认与采购人和其他供应商无任何上述关系的情况下，请在一中的“</w:t>
      </w:r>
      <w:r>
        <w:rPr>
          <w:rFonts w:hint="eastAsia" w:ascii="宋体" w:hAnsi="宋体" w:cs="宋体"/>
          <w:b/>
          <w:bCs/>
          <w:color w:val="auto"/>
          <w:kern w:val="0"/>
          <w:szCs w:val="21"/>
          <w:highlight w:val="none"/>
        </w:rPr>
        <w:t>□不存在利害关系</w:t>
      </w:r>
      <w:r>
        <w:rPr>
          <w:rFonts w:hint="eastAsia" w:ascii="宋体" w:hAnsi="宋体" w:cs="宋体"/>
          <w:b/>
          <w:bCs/>
          <w:color w:val="auto"/>
          <w:szCs w:val="21"/>
          <w:highlight w:val="none"/>
        </w:rPr>
        <w:t>”</w:t>
      </w:r>
      <w:r>
        <w:rPr>
          <w:rFonts w:hint="eastAsia" w:ascii="宋体" w:hAnsi="宋体" w:cs="宋体"/>
          <w:b/>
          <w:bCs/>
          <w:color w:val="auto"/>
          <w:kern w:val="0"/>
          <w:szCs w:val="21"/>
          <w:highlight w:val="none"/>
        </w:rPr>
        <w:t>打钩，二中的</w:t>
      </w:r>
      <w:r>
        <w:rPr>
          <w:rFonts w:hint="eastAsia" w:ascii="宋体" w:hAnsi="宋体" w:cs="宋体"/>
          <w:b/>
          <w:bCs/>
          <w:color w:val="auto"/>
          <w:szCs w:val="21"/>
          <w:highlight w:val="none"/>
        </w:rPr>
        <w:t>“</w:t>
      </w:r>
      <w:r>
        <w:rPr>
          <w:rFonts w:hint="eastAsia" w:ascii="宋体" w:hAnsi="宋体" w:cs="宋体"/>
          <w:b/>
          <w:bCs/>
          <w:color w:val="auto"/>
          <w:kern w:val="0"/>
          <w:szCs w:val="21"/>
          <w:highlight w:val="none"/>
        </w:rPr>
        <w:t>□与其他所有供应商之间均不存在利害关系</w:t>
      </w:r>
      <w:r>
        <w:rPr>
          <w:rFonts w:hint="eastAsia" w:ascii="宋体" w:hAnsi="宋体" w:cs="宋体"/>
          <w:b/>
          <w:bCs/>
          <w:color w:val="auto"/>
          <w:szCs w:val="21"/>
          <w:highlight w:val="none"/>
        </w:rPr>
        <w:t>”</w:t>
      </w:r>
      <w:r>
        <w:rPr>
          <w:rFonts w:hint="eastAsia" w:ascii="宋体" w:hAnsi="宋体" w:cs="宋体"/>
          <w:b/>
          <w:bCs/>
          <w:color w:val="auto"/>
          <w:kern w:val="0"/>
          <w:szCs w:val="21"/>
          <w:highlight w:val="none"/>
        </w:rPr>
        <w:t>打钩</w:t>
      </w:r>
      <w:r>
        <w:rPr>
          <w:rFonts w:hint="eastAsia" w:ascii="宋体" w:hAnsi="宋体" w:cs="宋体"/>
          <w:b/>
          <w:bCs/>
          <w:color w:val="auto"/>
          <w:szCs w:val="21"/>
          <w:highlight w:val="none"/>
        </w:rPr>
        <w:t>，四中的2个下划线用斜杠“/”划掉。</w:t>
      </w:r>
    </w:p>
    <w:p>
      <w:pPr>
        <w:pStyle w:val="53"/>
        <w:rPr>
          <w:rFonts w:ascii="宋体" w:hAnsi="宋体"/>
          <w:b/>
          <w:color w:val="auto"/>
          <w:highlight w:val="none"/>
        </w:rPr>
      </w:pPr>
      <w:r>
        <w:rPr>
          <w:rFonts w:hint="eastAsia" w:ascii="宋体" w:hAnsi="宋体" w:cs="宋体"/>
          <w:b/>
          <w:bCs/>
          <w:color w:val="auto"/>
          <w:szCs w:val="21"/>
          <w:highlight w:val="none"/>
        </w:rPr>
        <w:t>（3）此声明书非响应文件的组成内容，无需编入响应文件中。</w:t>
      </w:r>
    </w:p>
    <w:sectPr>
      <w:footerReference r:id="rId11" w:type="first"/>
      <w:pgSz w:w="11906" w:h="16838"/>
      <w:pgMar w:top="1387" w:right="1558" w:bottom="1560" w:left="1440" w:header="851" w:footer="851" w:gutter="0"/>
      <w:pgNumType w:start="1"/>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Univers 57 Condensed">
    <w:altName w:val="Segoe Print"/>
    <w:panose1 w:val="020B0606020202060204"/>
    <w:charset w:val="00"/>
    <w:family w:val="swiss"/>
    <w:pitch w:val="default"/>
    <w:sig w:usb0="00000000" w:usb1="00000000" w:usb2="00000000" w:usb3="00000000" w:csb0="00000000" w:csb1="00000000"/>
  </w:font>
  <w:font w:name="等线">
    <w:panose1 w:val="02010600030101010101"/>
    <w:charset w:val="86"/>
    <w:family w:val="roman"/>
    <w:pitch w:val="default"/>
    <w:sig w:usb0="A00002BF" w:usb1="38CF7CFA" w:usb2="00000016" w:usb3="00000000" w:csb0="0004000F" w:csb1="00000000"/>
  </w:font>
  <w:font w:name="Wingdings 2">
    <w:altName w:val="Wingdings"/>
    <w:panose1 w:val="05020102010507070707"/>
    <w:charset w:val="02"/>
    <w:family w:val="roman"/>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宋体" w:hAnsi="宋体"/>
        <w:sz w:val="21"/>
      </w:rPr>
    </w:pPr>
    <w:r>
      <w:rPr>
        <w:rFonts w:ascii="宋体" w:hAnsi="宋体"/>
        <w:sz w:val="21"/>
      </w:rPr>
      <w:fldChar w:fldCharType="begin"/>
    </w:r>
    <w:r>
      <w:rPr>
        <w:rFonts w:ascii="宋体" w:hAnsi="宋体"/>
        <w:sz w:val="21"/>
      </w:rPr>
      <w:instrText xml:space="preserve"> PAGE   \* MERGEFORMAT </w:instrText>
    </w:r>
    <w:r>
      <w:rPr>
        <w:rFonts w:ascii="宋体" w:hAnsi="宋体"/>
        <w:sz w:val="21"/>
      </w:rPr>
      <w:fldChar w:fldCharType="separate"/>
    </w:r>
    <w:r>
      <w:rPr>
        <w:rFonts w:ascii="宋体" w:hAnsi="宋体"/>
        <w:sz w:val="21"/>
        <w:lang w:val="zh-CN"/>
      </w:rPr>
      <w:t>27</w:t>
    </w:r>
    <w:r>
      <w:rPr>
        <w:rFonts w:ascii="宋体" w:hAnsi="宋体"/>
        <w:sz w:val="2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宋体" w:hAnsi="宋体"/>
        <w:sz w:val="21"/>
      </w:rPr>
    </w:pPr>
    <w:r>
      <w:rPr>
        <w:rFonts w:ascii="宋体" w:hAnsi="宋体"/>
        <w:sz w:val="21"/>
      </w:rPr>
      <w:fldChar w:fldCharType="begin"/>
    </w:r>
    <w:r>
      <w:rPr>
        <w:rFonts w:ascii="宋体" w:hAnsi="宋体"/>
        <w:sz w:val="21"/>
      </w:rPr>
      <w:instrText xml:space="preserve"> PAGE   \* MERGEFORMAT </w:instrText>
    </w:r>
    <w:r>
      <w:rPr>
        <w:rFonts w:ascii="宋体" w:hAnsi="宋体"/>
        <w:sz w:val="21"/>
      </w:rPr>
      <w:fldChar w:fldCharType="separate"/>
    </w:r>
    <w:r>
      <w:rPr>
        <w:rFonts w:ascii="宋体" w:hAnsi="宋体"/>
        <w:sz w:val="21"/>
        <w:lang w:val="zh-CN"/>
      </w:rPr>
      <w:t>1</w:t>
    </w:r>
    <w:r>
      <w:rPr>
        <w:rFonts w:ascii="宋体" w:hAnsi="宋体"/>
        <w:sz w:val="2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F403B5"/>
    <w:multiLevelType w:val="singleLevel"/>
    <w:tmpl w:val="54F403B5"/>
    <w:lvl w:ilvl="0" w:tentative="0">
      <w:start w:val="1"/>
      <w:numFmt w:val="chineseCounting"/>
      <w:suff w:val="nothing"/>
      <w:lvlText w:val="%1、"/>
      <w:lvlJc w:val="left"/>
    </w:lvl>
  </w:abstractNum>
  <w:abstractNum w:abstractNumId="1">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1YWQwMzdhODcxZTQ3NmQxZjc4MmViYmNiZmRhYjEifQ=="/>
  </w:docVars>
  <w:rsids>
    <w:rsidRoot w:val="00837FEC"/>
    <w:rsid w:val="000015A7"/>
    <w:rsid w:val="00001DF3"/>
    <w:rsid w:val="00001E4D"/>
    <w:rsid w:val="0000225E"/>
    <w:rsid w:val="00002515"/>
    <w:rsid w:val="00002817"/>
    <w:rsid w:val="000031B0"/>
    <w:rsid w:val="000032A2"/>
    <w:rsid w:val="00003A97"/>
    <w:rsid w:val="00004E6C"/>
    <w:rsid w:val="00004F23"/>
    <w:rsid w:val="00005AD1"/>
    <w:rsid w:val="000060F1"/>
    <w:rsid w:val="000068F4"/>
    <w:rsid w:val="000069A5"/>
    <w:rsid w:val="00006DD5"/>
    <w:rsid w:val="00007AC3"/>
    <w:rsid w:val="0001108B"/>
    <w:rsid w:val="00011C2B"/>
    <w:rsid w:val="00013292"/>
    <w:rsid w:val="0001411A"/>
    <w:rsid w:val="000144C4"/>
    <w:rsid w:val="00015EF3"/>
    <w:rsid w:val="0001613D"/>
    <w:rsid w:val="000162C3"/>
    <w:rsid w:val="00016FBF"/>
    <w:rsid w:val="00020076"/>
    <w:rsid w:val="00020EA7"/>
    <w:rsid w:val="00021457"/>
    <w:rsid w:val="00022077"/>
    <w:rsid w:val="00022BAB"/>
    <w:rsid w:val="00023562"/>
    <w:rsid w:val="000235B2"/>
    <w:rsid w:val="000245BC"/>
    <w:rsid w:val="000247BC"/>
    <w:rsid w:val="000255DE"/>
    <w:rsid w:val="00025F10"/>
    <w:rsid w:val="00027E9A"/>
    <w:rsid w:val="00031510"/>
    <w:rsid w:val="00031536"/>
    <w:rsid w:val="0003218C"/>
    <w:rsid w:val="00032442"/>
    <w:rsid w:val="00033053"/>
    <w:rsid w:val="000330EB"/>
    <w:rsid w:val="000340F4"/>
    <w:rsid w:val="0003536A"/>
    <w:rsid w:val="000354CB"/>
    <w:rsid w:val="00035834"/>
    <w:rsid w:val="00036A69"/>
    <w:rsid w:val="000406B6"/>
    <w:rsid w:val="00040FF2"/>
    <w:rsid w:val="000410C0"/>
    <w:rsid w:val="00041C5C"/>
    <w:rsid w:val="0004219B"/>
    <w:rsid w:val="00044A97"/>
    <w:rsid w:val="00044F87"/>
    <w:rsid w:val="000451B5"/>
    <w:rsid w:val="00046628"/>
    <w:rsid w:val="000468A7"/>
    <w:rsid w:val="00047891"/>
    <w:rsid w:val="00051D4F"/>
    <w:rsid w:val="00052A1A"/>
    <w:rsid w:val="0005322A"/>
    <w:rsid w:val="00054AA7"/>
    <w:rsid w:val="00056AF3"/>
    <w:rsid w:val="00057BAD"/>
    <w:rsid w:val="00060001"/>
    <w:rsid w:val="00060156"/>
    <w:rsid w:val="000604C5"/>
    <w:rsid w:val="000608D6"/>
    <w:rsid w:val="00060B08"/>
    <w:rsid w:val="00061250"/>
    <w:rsid w:val="0006142C"/>
    <w:rsid w:val="000615FD"/>
    <w:rsid w:val="00064294"/>
    <w:rsid w:val="000646B2"/>
    <w:rsid w:val="000658D5"/>
    <w:rsid w:val="00065DC4"/>
    <w:rsid w:val="00066881"/>
    <w:rsid w:val="000673F4"/>
    <w:rsid w:val="000700E6"/>
    <w:rsid w:val="00070712"/>
    <w:rsid w:val="00070866"/>
    <w:rsid w:val="000715D1"/>
    <w:rsid w:val="00071BCB"/>
    <w:rsid w:val="00071CB8"/>
    <w:rsid w:val="00071D1C"/>
    <w:rsid w:val="0007258D"/>
    <w:rsid w:val="00072B47"/>
    <w:rsid w:val="0007368D"/>
    <w:rsid w:val="000736DB"/>
    <w:rsid w:val="00073857"/>
    <w:rsid w:val="00076AD7"/>
    <w:rsid w:val="00077BA3"/>
    <w:rsid w:val="000811BE"/>
    <w:rsid w:val="0008165D"/>
    <w:rsid w:val="00081F2D"/>
    <w:rsid w:val="000860F6"/>
    <w:rsid w:val="00086B9B"/>
    <w:rsid w:val="00086C25"/>
    <w:rsid w:val="000876EB"/>
    <w:rsid w:val="000909AF"/>
    <w:rsid w:val="00090FD7"/>
    <w:rsid w:val="000917A8"/>
    <w:rsid w:val="00093601"/>
    <w:rsid w:val="00094552"/>
    <w:rsid w:val="00095526"/>
    <w:rsid w:val="00095692"/>
    <w:rsid w:val="000A088A"/>
    <w:rsid w:val="000A2136"/>
    <w:rsid w:val="000A2AEF"/>
    <w:rsid w:val="000A2D68"/>
    <w:rsid w:val="000A2FD5"/>
    <w:rsid w:val="000A3062"/>
    <w:rsid w:val="000A4B4A"/>
    <w:rsid w:val="000A53BD"/>
    <w:rsid w:val="000A5BC5"/>
    <w:rsid w:val="000A5C28"/>
    <w:rsid w:val="000A66AD"/>
    <w:rsid w:val="000A677B"/>
    <w:rsid w:val="000A6992"/>
    <w:rsid w:val="000A6B30"/>
    <w:rsid w:val="000A777E"/>
    <w:rsid w:val="000B024C"/>
    <w:rsid w:val="000B0E4E"/>
    <w:rsid w:val="000B125F"/>
    <w:rsid w:val="000B1BA7"/>
    <w:rsid w:val="000B41B0"/>
    <w:rsid w:val="000B5A37"/>
    <w:rsid w:val="000B62EC"/>
    <w:rsid w:val="000B67C8"/>
    <w:rsid w:val="000C01A4"/>
    <w:rsid w:val="000C0C1C"/>
    <w:rsid w:val="000C1FDB"/>
    <w:rsid w:val="000C278D"/>
    <w:rsid w:val="000C2CCF"/>
    <w:rsid w:val="000C5476"/>
    <w:rsid w:val="000C5CA2"/>
    <w:rsid w:val="000C6385"/>
    <w:rsid w:val="000C6B88"/>
    <w:rsid w:val="000C6F67"/>
    <w:rsid w:val="000D1089"/>
    <w:rsid w:val="000D2880"/>
    <w:rsid w:val="000D2C39"/>
    <w:rsid w:val="000D4819"/>
    <w:rsid w:val="000D4A55"/>
    <w:rsid w:val="000D504A"/>
    <w:rsid w:val="000D5761"/>
    <w:rsid w:val="000E039C"/>
    <w:rsid w:val="000E0D13"/>
    <w:rsid w:val="000E240B"/>
    <w:rsid w:val="000E2F74"/>
    <w:rsid w:val="000E3008"/>
    <w:rsid w:val="000E3153"/>
    <w:rsid w:val="000E324B"/>
    <w:rsid w:val="000E37F1"/>
    <w:rsid w:val="000E4C88"/>
    <w:rsid w:val="000E56F8"/>
    <w:rsid w:val="000F067A"/>
    <w:rsid w:val="000F1CC1"/>
    <w:rsid w:val="000F2711"/>
    <w:rsid w:val="000F3D97"/>
    <w:rsid w:val="000F4C4E"/>
    <w:rsid w:val="000F59E7"/>
    <w:rsid w:val="000F6FD6"/>
    <w:rsid w:val="00100002"/>
    <w:rsid w:val="00100BAE"/>
    <w:rsid w:val="00103167"/>
    <w:rsid w:val="001037CD"/>
    <w:rsid w:val="00105011"/>
    <w:rsid w:val="001060B2"/>
    <w:rsid w:val="001072EF"/>
    <w:rsid w:val="00110C58"/>
    <w:rsid w:val="001119EC"/>
    <w:rsid w:val="00112F3D"/>
    <w:rsid w:val="0011384E"/>
    <w:rsid w:val="00115109"/>
    <w:rsid w:val="00116D2D"/>
    <w:rsid w:val="00117F52"/>
    <w:rsid w:val="00120C95"/>
    <w:rsid w:val="00120CB8"/>
    <w:rsid w:val="001218DE"/>
    <w:rsid w:val="001222FE"/>
    <w:rsid w:val="00126A98"/>
    <w:rsid w:val="001272AA"/>
    <w:rsid w:val="00131E6F"/>
    <w:rsid w:val="00132580"/>
    <w:rsid w:val="00135899"/>
    <w:rsid w:val="001358E4"/>
    <w:rsid w:val="00135EA9"/>
    <w:rsid w:val="00136365"/>
    <w:rsid w:val="00140B60"/>
    <w:rsid w:val="0014185B"/>
    <w:rsid w:val="001419CC"/>
    <w:rsid w:val="00141D64"/>
    <w:rsid w:val="001456C4"/>
    <w:rsid w:val="00146CB7"/>
    <w:rsid w:val="00152BC0"/>
    <w:rsid w:val="00154944"/>
    <w:rsid w:val="001564C8"/>
    <w:rsid w:val="001570A6"/>
    <w:rsid w:val="00157B3A"/>
    <w:rsid w:val="00160084"/>
    <w:rsid w:val="001608EF"/>
    <w:rsid w:val="00161A4D"/>
    <w:rsid w:val="001626EB"/>
    <w:rsid w:val="00164710"/>
    <w:rsid w:val="00164B7F"/>
    <w:rsid w:val="0016718E"/>
    <w:rsid w:val="0016724B"/>
    <w:rsid w:val="0016749B"/>
    <w:rsid w:val="00167BE9"/>
    <w:rsid w:val="00170072"/>
    <w:rsid w:val="00170B0C"/>
    <w:rsid w:val="0017111B"/>
    <w:rsid w:val="001727DC"/>
    <w:rsid w:val="00173524"/>
    <w:rsid w:val="0017412D"/>
    <w:rsid w:val="00176427"/>
    <w:rsid w:val="00176464"/>
    <w:rsid w:val="00176F4D"/>
    <w:rsid w:val="00177501"/>
    <w:rsid w:val="0017772B"/>
    <w:rsid w:val="00180EB6"/>
    <w:rsid w:val="00182506"/>
    <w:rsid w:val="00182848"/>
    <w:rsid w:val="0018286B"/>
    <w:rsid w:val="00182E04"/>
    <w:rsid w:val="00184615"/>
    <w:rsid w:val="001868F1"/>
    <w:rsid w:val="001911DA"/>
    <w:rsid w:val="0019139F"/>
    <w:rsid w:val="00192E1C"/>
    <w:rsid w:val="001930A4"/>
    <w:rsid w:val="00193760"/>
    <w:rsid w:val="00194D39"/>
    <w:rsid w:val="00197BC1"/>
    <w:rsid w:val="001A0A60"/>
    <w:rsid w:val="001A131A"/>
    <w:rsid w:val="001A15E0"/>
    <w:rsid w:val="001A2511"/>
    <w:rsid w:val="001A5A21"/>
    <w:rsid w:val="001A66D2"/>
    <w:rsid w:val="001B010F"/>
    <w:rsid w:val="001B09D0"/>
    <w:rsid w:val="001B0D1B"/>
    <w:rsid w:val="001B1C35"/>
    <w:rsid w:val="001B2B28"/>
    <w:rsid w:val="001B2D45"/>
    <w:rsid w:val="001B3259"/>
    <w:rsid w:val="001B3383"/>
    <w:rsid w:val="001B3C2D"/>
    <w:rsid w:val="001B4297"/>
    <w:rsid w:val="001B49D5"/>
    <w:rsid w:val="001B4B41"/>
    <w:rsid w:val="001B5F49"/>
    <w:rsid w:val="001B657F"/>
    <w:rsid w:val="001C0780"/>
    <w:rsid w:val="001C281D"/>
    <w:rsid w:val="001C32CF"/>
    <w:rsid w:val="001C43FC"/>
    <w:rsid w:val="001C5354"/>
    <w:rsid w:val="001C6136"/>
    <w:rsid w:val="001C678C"/>
    <w:rsid w:val="001C6EDF"/>
    <w:rsid w:val="001D07F5"/>
    <w:rsid w:val="001D2CFF"/>
    <w:rsid w:val="001D5350"/>
    <w:rsid w:val="001D56F0"/>
    <w:rsid w:val="001D5765"/>
    <w:rsid w:val="001E167F"/>
    <w:rsid w:val="001E21C0"/>
    <w:rsid w:val="001E3462"/>
    <w:rsid w:val="001E3660"/>
    <w:rsid w:val="001E4A91"/>
    <w:rsid w:val="001E66F8"/>
    <w:rsid w:val="001E6FD5"/>
    <w:rsid w:val="001E773B"/>
    <w:rsid w:val="001F0619"/>
    <w:rsid w:val="001F1ACD"/>
    <w:rsid w:val="001F29DF"/>
    <w:rsid w:val="001F362D"/>
    <w:rsid w:val="001F3ED3"/>
    <w:rsid w:val="001F3EDB"/>
    <w:rsid w:val="001F43AD"/>
    <w:rsid w:val="001F5D8D"/>
    <w:rsid w:val="001F705C"/>
    <w:rsid w:val="001F7396"/>
    <w:rsid w:val="00200822"/>
    <w:rsid w:val="00202A7A"/>
    <w:rsid w:val="00203AC8"/>
    <w:rsid w:val="00203B32"/>
    <w:rsid w:val="00204B3B"/>
    <w:rsid w:val="00205AC0"/>
    <w:rsid w:val="00205C7F"/>
    <w:rsid w:val="002061FB"/>
    <w:rsid w:val="0020650B"/>
    <w:rsid w:val="002076E7"/>
    <w:rsid w:val="002114CB"/>
    <w:rsid w:val="00211E55"/>
    <w:rsid w:val="002120A0"/>
    <w:rsid w:val="00213FAC"/>
    <w:rsid w:val="002166BC"/>
    <w:rsid w:val="00216C02"/>
    <w:rsid w:val="0022095E"/>
    <w:rsid w:val="0022189B"/>
    <w:rsid w:val="0022209B"/>
    <w:rsid w:val="00222FA6"/>
    <w:rsid w:val="00223A67"/>
    <w:rsid w:val="002243A1"/>
    <w:rsid w:val="00225402"/>
    <w:rsid w:val="00225854"/>
    <w:rsid w:val="00226A89"/>
    <w:rsid w:val="00230CDE"/>
    <w:rsid w:val="00231200"/>
    <w:rsid w:val="002313CE"/>
    <w:rsid w:val="00231491"/>
    <w:rsid w:val="002320BC"/>
    <w:rsid w:val="00232780"/>
    <w:rsid w:val="00232D61"/>
    <w:rsid w:val="00232F42"/>
    <w:rsid w:val="00233403"/>
    <w:rsid w:val="002337F5"/>
    <w:rsid w:val="00233B55"/>
    <w:rsid w:val="002342E7"/>
    <w:rsid w:val="00234D7B"/>
    <w:rsid w:val="00236555"/>
    <w:rsid w:val="00236B64"/>
    <w:rsid w:val="00236EB4"/>
    <w:rsid w:val="0023748D"/>
    <w:rsid w:val="00240EB9"/>
    <w:rsid w:val="002416E4"/>
    <w:rsid w:val="00241B71"/>
    <w:rsid w:val="002431CB"/>
    <w:rsid w:val="00244CD4"/>
    <w:rsid w:val="00245DD7"/>
    <w:rsid w:val="002460C0"/>
    <w:rsid w:val="0024613C"/>
    <w:rsid w:val="00246CBD"/>
    <w:rsid w:val="002506C8"/>
    <w:rsid w:val="002518CB"/>
    <w:rsid w:val="0025268A"/>
    <w:rsid w:val="0025273F"/>
    <w:rsid w:val="00252E58"/>
    <w:rsid w:val="0025383B"/>
    <w:rsid w:val="00253BC2"/>
    <w:rsid w:val="002543D8"/>
    <w:rsid w:val="00254D4C"/>
    <w:rsid w:val="0025608B"/>
    <w:rsid w:val="00257A53"/>
    <w:rsid w:val="00257DEE"/>
    <w:rsid w:val="00260D57"/>
    <w:rsid w:val="00261B0A"/>
    <w:rsid w:val="00261FC3"/>
    <w:rsid w:val="0026224B"/>
    <w:rsid w:val="002622EE"/>
    <w:rsid w:val="0026438C"/>
    <w:rsid w:val="0026579A"/>
    <w:rsid w:val="002663D0"/>
    <w:rsid w:val="002670A5"/>
    <w:rsid w:val="002700E0"/>
    <w:rsid w:val="0027028A"/>
    <w:rsid w:val="0027117B"/>
    <w:rsid w:val="00274774"/>
    <w:rsid w:val="00274935"/>
    <w:rsid w:val="00274EF3"/>
    <w:rsid w:val="00276724"/>
    <w:rsid w:val="00276FC7"/>
    <w:rsid w:val="002770FF"/>
    <w:rsid w:val="00280799"/>
    <w:rsid w:val="00280B83"/>
    <w:rsid w:val="00281BB5"/>
    <w:rsid w:val="00281E27"/>
    <w:rsid w:val="00283707"/>
    <w:rsid w:val="00283845"/>
    <w:rsid w:val="0028689A"/>
    <w:rsid w:val="00286DD2"/>
    <w:rsid w:val="002874A5"/>
    <w:rsid w:val="00287C12"/>
    <w:rsid w:val="00292164"/>
    <w:rsid w:val="00293188"/>
    <w:rsid w:val="00297C24"/>
    <w:rsid w:val="00297C81"/>
    <w:rsid w:val="002A066F"/>
    <w:rsid w:val="002A0B08"/>
    <w:rsid w:val="002A2448"/>
    <w:rsid w:val="002A429E"/>
    <w:rsid w:val="002A42B9"/>
    <w:rsid w:val="002A5B3D"/>
    <w:rsid w:val="002B16A9"/>
    <w:rsid w:val="002B45AD"/>
    <w:rsid w:val="002B5DB1"/>
    <w:rsid w:val="002C07B5"/>
    <w:rsid w:val="002C0912"/>
    <w:rsid w:val="002C14CA"/>
    <w:rsid w:val="002C2B84"/>
    <w:rsid w:val="002C3458"/>
    <w:rsid w:val="002C5CC4"/>
    <w:rsid w:val="002C666E"/>
    <w:rsid w:val="002C69C0"/>
    <w:rsid w:val="002C6E50"/>
    <w:rsid w:val="002D1BE6"/>
    <w:rsid w:val="002D3128"/>
    <w:rsid w:val="002D36EC"/>
    <w:rsid w:val="002D380D"/>
    <w:rsid w:val="002D4687"/>
    <w:rsid w:val="002D4EA0"/>
    <w:rsid w:val="002D62A0"/>
    <w:rsid w:val="002D62A4"/>
    <w:rsid w:val="002D67F3"/>
    <w:rsid w:val="002D7757"/>
    <w:rsid w:val="002E0794"/>
    <w:rsid w:val="002E265A"/>
    <w:rsid w:val="002E28E3"/>
    <w:rsid w:val="002E2CC7"/>
    <w:rsid w:val="002E5219"/>
    <w:rsid w:val="002E7E2D"/>
    <w:rsid w:val="002F0386"/>
    <w:rsid w:val="002F0601"/>
    <w:rsid w:val="002F0C18"/>
    <w:rsid w:val="002F0DD6"/>
    <w:rsid w:val="002F0F4B"/>
    <w:rsid w:val="002F163B"/>
    <w:rsid w:val="002F1F93"/>
    <w:rsid w:val="002F2062"/>
    <w:rsid w:val="002F34CD"/>
    <w:rsid w:val="002F54B0"/>
    <w:rsid w:val="002F677F"/>
    <w:rsid w:val="002F6B2D"/>
    <w:rsid w:val="002F7107"/>
    <w:rsid w:val="002F7763"/>
    <w:rsid w:val="0030182F"/>
    <w:rsid w:val="00302497"/>
    <w:rsid w:val="003026ED"/>
    <w:rsid w:val="00303195"/>
    <w:rsid w:val="003036BC"/>
    <w:rsid w:val="00306B4C"/>
    <w:rsid w:val="00307864"/>
    <w:rsid w:val="0031046B"/>
    <w:rsid w:val="00310D91"/>
    <w:rsid w:val="00312736"/>
    <w:rsid w:val="0031385A"/>
    <w:rsid w:val="00314940"/>
    <w:rsid w:val="00314F2C"/>
    <w:rsid w:val="003154E2"/>
    <w:rsid w:val="00316602"/>
    <w:rsid w:val="00316D02"/>
    <w:rsid w:val="003177D2"/>
    <w:rsid w:val="0031784D"/>
    <w:rsid w:val="00320D63"/>
    <w:rsid w:val="0032121B"/>
    <w:rsid w:val="00324573"/>
    <w:rsid w:val="003255F2"/>
    <w:rsid w:val="0032594B"/>
    <w:rsid w:val="0032631B"/>
    <w:rsid w:val="00330AB8"/>
    <w:rsid w:val="00330C30"/>
    <w:rsid w:val="00332FB5"/>
    <w:rsid w:val="0033442B"/>
    <w:rsid w:val="003347D7"/>
    <w:rsid w:val="00334815"/>
    <w:rsid w:val="003405A0"/>
    <w:rsid w:val="003410B7"/>
    <w:rsid w:val="00342DCB"/>
    <w:rsid w:val="00343839"/>
    <w:rsid w:val="00344A94"/>
    <w:rsid w:val="00344B9E"/>
    <w:rsid w:val="00344D4C"/>
    <w:rsid w:val="00346869"/>
    <w:rsid w:val="003473C1"/>
    <w:rsid w:val="003474AE"/>
    <w:rsid w:val="003474FB"/>
    <w:rsid w:val="00347675"/>
    <w:rsid w:val="003504AD"/>
    <w:rsid w:val="00352782"/>
    <w:rsid w:val="0035330D"/>
    <w:rsid w:val="00354F81"/>
    <w:rsid w:val="00356856"/>
    <w:rsid w:val="00360544"/>
    <w:rsid w:val="0036147E"/>
    <w:rsid w:val="00362314"/>
    <w:rsid w:val="00362A53"/>
    <w:rsid w:val="00363B6B"/>
    <w:rsid w:val="00365169"/>
    <w:rsid w:val="00365B04"/>
    <w:rsid w:val="003661B0"/>
    <w:rsid w:val="003665CB"/>
    <w:rsid w:val="003667B7"/>
    <w:rsid w:val="00367DBB"/>
    <w:rsid w:val="00367F9C"/>
    <w:rsid w:val="003700AA"/>
    <w:rsid w:val="0037217B"/>
    <w:rsid w:val="00373A11"/>
    <w:rsid w:val="00374125"/>
    <w:rsid w:val="003745A2"/>
    <w:rsid w:val="003749A5"/>
    <w:rsid w:val="00375BF1"/>
    <w:rsid w:val="00375D57"/>
    <w:rsid w:val="00376050"/>
    <w:rsid w:val="00376F15"/>
    <w:rsid w:val="00377628"/>
    <w:rsid w:val="003829E3"/>
    <w:rsid w:val="003830D1"/>
    <w:rsid w:val="00383CF1"/>
    <w:rsid w:val="00383F91"/>
    <w:rsid w:val="00384DBD"/>
    <w:rsid w:val="00384E8C"/>
    <w:rsid w:val="00385F17"/>
    <w:rsid w:val="00386B66"/>
    <w:rsid w:val="00387001"/>
    <w:rsid w:val="003873D3"/>
    <w:rsid w:val="00387511"/>
    <w:rsid w:val="00387C75"/>
    <w:rsid w:val="003929E8"/>
    <w:rsid w:val="00392ABD"/>
    <w:rsid w:val="003934C7"/>
    <w:rsid w:val="0039469C"/>
    <w:rsid w:val="00395C6B"/>
    <w:rsid w:val="00397BA7"/>
    <w:rsid w:val="003A0850"/>
    <w:rsid w:val="003A1453"/>
    <w:rsid w:val="003A291C"/>
    <w:rsid w:val="003A3A27"/>
    <w:rsid w:val="003A3A48"/>
    <w:rsid w:val="003A3DCE"/>
    <w:rsid w:val="003A4DA8"/>
    <w:rsid w:val="003A5B66"/>
    <w:rsid w:val="003A6132"/>
    <w:rsid w:val="003A6F07"/>
    <w:rsid w:val="003A7E87"/>
    <w:rsid w:val="003A7F44"/>
    <w:rsid w:val="003B06DD"/>
    <w:rsid w:val="003B0E0F"/>
    <w:rsid w:val="003B1A62"/>
    <w:rsid w:val="003B1C5C"/>
    <w:rsid w:val="003B2268"/>
    <w:rsid w:val="003B3A71"/>
    <w:rsid w:val="003B5308"/>
    <w:rsid w:val="003B6F7E"/>
    <w:rsid w:val="003C1271"/>
    <w:rsid w:val="003C367C"/>
    <w:rsid w:val="003C3F8B"/>
    <w:rsid w:val="003C4409"/>
    <w:rsid w:val="003C65F9"/>
    <w:rsid w:val="003C68C1"/>
    <w:rsid w:val="003C7C6E"/>
    <w:rsid w:val="003D0E02"/>
    <w:rsid w:val="003D1393"/>
    <w:rsid w:val="003D1578"/>
    <w:rsid w:val="003D19E5"/>
    <w:rsid w:val="003D22E1"/>
    <w:rsid w:val="003D3740"/>
    <w:rsid w:val="003D3EDD"/>
    <w:rsid w:val="003D3F3C"/>
    <w:rsid w:val="003D45F8"/>
    <w:rsid w:val="003D52BC"/>
    <w:rsid w:val="003D6640"/>
    <w:rsid w:val="003D7898"/>
    <w:rsid w:val="003E134E"/>
    <w:rsid w:val="003E18CB"/>
    <w:rsid w:val="003E484B"/>
    <w:rsid w:val="003E4A5E"/>
    <w:rsid w:val="003E5631"/>
    <w:rsid w:val="003E592C"/>
    <w:rsid w:val="003E5A85"/>
    <w:rsid w:val="003E669F"/>
    <w:rsid w:val="003E6E5A"/>
    <w:rsid w:val="003E717F"/>
    <w:rsid w:val="003E7D41"/>
    <w:rsid w:val="003F07C3"/>
    <w:rsid w:val="003F12F1"/>
    <w:rsid w:val="003F17A9"/>
    <w:rsid w:val="003F2B54"/>
    <w:rsid w:val="003F2B79"/>
    <w:rsid w:val="003F30B0"/>
    <w:rsid w:val="003F386F"/>
    <w:rsid w:val="003F3FBB"/>
    <w:rsid w:val="003F4342"/>
    <w:rsid w:val="003F45D4"/>
    <w:rsid w:val="003F4661"/>
    <w:rsid w:val="003F4767"/>
    <w:rsid w:val="003F49F8"/>
    <w:rsid w:val="004007B0"/>
    <w:rsid w:val="00402558"/>
    <w:rsid w:val="00403D10"/>
    <w:rsid w:val="00404808"/>
    <w:rsid w:val="00405237"/>
    <w:rsid w:val="00405453"/>
    <w:rsid w:val="004063AE"/>
    <w:rsid w:val="00406985"/>
    <w:rsid w:val="004071C9"/>
    <w:rsid w:val="004104CF"/>
    <w:rsid w:val="00410628"/>
    <w:rsid w:val="0041140E"/>
    <w:rsid w:val="004118C5"/>
    <w:rsid w:val="0041233A"/>
    <w:rsid w:val="00413085"/>
    <w:rsid w:val="00413EBD"/>
    <w:rsid w:val="0041682E"/>
    <w:rsid w:val="00417037"/>
    <w:rsid w:val="00417E27"/>
    <w:rsid w:val="004209BC"/>
    <w:rsid w:val="00420F86"/>
    <w:rsid w:val="00422D49"/>
    <w:rsid w:val="00424612"/>
    <w:rsid w:val="00426A9E"/>
    <w:rsid w:val="00431E18"/>
    <w:rsid w:val="00432A8C"/>
    <w:rsid w:val="00433879"/>
    <w:rsid w:val="00434332"/>
    <w:rsid w:val="0043614F"/>
    <w:rsid w:val="0043703E"/>
    <w:rsid w:val="00437561"/>
    <w:rsid w:val="00437602"/>
    <w:rsid w:val="00440624"/>
    <w:rsid w:val="00441C91"/>
    <w:rsid w:val="004434A0"/>
    <w:rsid w:val="00445402"/>
    <w:rsid w:val="00445506"/>
    <w:rsid w:val="00446470"/>
    <w:rsid w:val="0044668A"/>
    <w:rsid w:val="00447714"/>
    <w:rsid w:val="0045060E"/>
    <w:rsid w:val="00450BBF"/>
    <w:rsid w:val="00450D36"/>
    <w:rsid w:val="00451316"/>
    <w:rsid w:val="00451ACF"/>
    <w:rsid w:val="00451B5F"/>
    <w:rsid w:val="00452E9D"/>
    <w:rsid w:val="00454069"/>
    <w:rsid w:val="0045516D"/>
    <w:rsid w:val="00455D05"/>
    <w:rsid w:val="00456391"/>
    <w:rsid w:val="00456758"/>
    <w:rsid w:val="00460A4F"/>
    <w:rsid w:val="00460ECF"/>
    <w:rsid w:val="0046274F"/>
    <w:rsid w:val="00470FB3"/>
    <w:rsid w:val="00471649"/>
    <w:rsid w:val="00471AFA"/>
    <w:rsid w:val="00471BFF"/>
    <w:rsid w:val="004731DB"/>
    <w:rsid w:val="0047419B"/>
    <w:rsid w:val="00475319"/>
    <w:rsid w:val="00475C4C"/>
    <w:rsid w:val="00475EDB"/>
    <w:rsid w:val="004777A6"/>
    <w:rsid w:val="00477F6C"/>
    <w:rsid w:val="004804EF"/>
    <w:rsid w:val="00480AFC"/>
    <w:rsid w:val="004828DC"/>
    <w:rsid w:val="00482E31"/>
    <w:rsid w:val="00482E95"/>
    <w:rsid w:val="0048438C"/>
    <w:rsid w:val="00484645"/>
    <w:rsid w:val="00484A0C"/>
    <w:rsid w:val="00485921"/>
    <w:rsid w:val="00486131"/>
    <w:rsid w:val="00486EEE"/>
    <w:rsid w:val="00487C91"/>
    <w:rsid w:val="0049001C"/>
    <w:rsid w:val="00490161"/>
    <w:rsid w:val="00492938"/>
    <w:rsid w:val="004933A5"/>
    <w:rsid w:val="004933E5"/>
    <w:rsid w:val="00493BC1"/>
    <w:rsid w:val="00494077"/>
    <w:rsid w:val="00494153"/>
    <w:rsid w:val="00494FC7"/>
    <w:rsid w:val="00496BC4"/>
    <w:rsid w:val="004A0792"/>
    <w:rsid w:val="004A08F5"/>
    <w:rsid w:val="004A1A89"/>
    <w:rsid w:val="004A1F25"/>
    <w:rsid w:val="004A2E34"/>
    <w:rsid w:val="004A4C14"/>
    <w:rsid w:val="004A548D"/>
    <w:rsid w:val="004A5AED"/>
    <w:rsid w:val="004A5DFC"/>
    <w:rsid w:val="004A614D"/>
    <w:rsid w:val="004A669A"/>
    <w:rsid w:val="004A70A7"/>
    <w:rsid w:val="004B0335"/>
    <w:rsid w:val="004B1BB4"/>
    <w:rsid w:val="004B3D9D"/>
    <w:rsid w:val="004B4770"/>
    <w:rsid w:val="004B63CA"/>
    <w:rsid w:val="004B7608"/>
    <w:rsid w:val="004C0CAD"/>
    <w:rsid w:val="004C0E03"/>
    <w:rsid w:val="004C0E4B"/>
    <w:rsid w:val="004C0F27"/>
    <w:rsid w:val="004C1F35"/>
    <w:rsid w:val="004C2055"/>
    <w:rsid w:val="004C2D56"/>
    <w:rsid w:val="004C472C"/>
    <w:rsid w:val="004C627C"/>
    <w:rsid w:val="004C631E"/>
    <w:rsid w:val="004C7227"/>
    <w:rsid w:val="004C77BA"/>
    <w:rsid w:val="004C7B4A"/>
    <w:rsid w:val="004D020C"/>
    <w:rsid w:val="004D2516"/>
    <w:rsid w:val="004D443F"/>
    <w:rsid w:val="004D6B10"/>
    <w:rsid w:val="004D6E18"/>
    <w:rsid w:val="004E078C"/>
    <w:rsid w:val="004E0EDD"/>
    <w:rsid w:val="004E37F9"/>
    <w:rsid w:val="004E3DCB"/>
    <w:rsid w:val="004E52C3"/>
    <w:rsid w:val="004E5670"/>
    <w:rsid w:val="004E633D"/>
    <w:rsid w:val="004E6E07"/>
    <w:rsid w:val="004E71E1"/>
    <w:rsid w:val="004E762E"/>
    <w:rsid w:val="004F00C3"/>
    <w:rsid w:val="004F1105"/>
    <w:rsid w:val="004F17FC"/>
    <w:rsid w:val="004F2CE7"/>
    <w:rsid w:val="004F3900"/>
    <w:rsid w:val="004F3BD9"/>
    <w:rsid w:val="004F4572"/>
    <w:rsid w:val="004F4576"/>
    <w:rsid w:val="004F619E"/>
    <w:rsid w:val="0050072C"/>
    <w:rsid w:val="005010E4"/>
    <w:rsid w:val="005014FB"/>
    <w:rsid w:val="0050278A"/>
    <w:rsid w:val="005074C7"/>
    <w:rsid w:val="005075C5"/>
    <w:rsid w:val="00507E3A"/>
    <w:rsid w:val="00510369"/>
    <w:rsid w:val="00510C9E"/>
    <w:rsid w:val="00512FFE"/>
    <w:rsid w:val="00513D11"/>
    <w:rsid w:val="00513D1A"/>
    <w:rsid w:val="00513FC4"/>
    <w:rsid w:val="005140C5"/>
    <w:rsid w:val="00514506"/>
    <w:rsid w:val="00514661"/>
    <w:rsid w:val="00517253"/>
    <w:rsid w:val="0052059C"/>
    <w:rsid w:val="00522097"/>
    <w:rsid w:val="00522AE7"/>
    <w:rsid w:val="00523D71"/>
    <w:rsid w:val="00524538"/>
    <w:rsid w:val="0052484C"/>
    <w:rsid w:val="00526132"/>
    <w:rsid w:val="00527985"/>
    <w:rsid w:val="00530C19"/>
    <w:rsid w:val="005317A0"/>
    <w:rsid w:val="00532325"/>
    <w:rsid w:val="005341E5"/>
    <w:rsid w:val="00534205"/>
    <w:rsid w:val="00534523"/>
    <w:rsid w:val="00534F22"/>
    <w:rsid w:val="00535281"/>
    <w:rsid w:val="00536AF0"/>
    <w:rsid w:val="005374C2"/>
    <w:rsid w:val="00541069"/>
    <w:rsid w:val="0054201C"/>
    <w:rsid w:val="0054295D"/>
    <w:rsid w:val="0054395C"/>
    <w:rsid w:val="0054414C"/>
    <w:rsid w:val="0054459B"/>
    <w:rsid w:val="00545A02"/>
    <w:rsid w:val="00546920"/>
    <w:rsid w:val="005473B7"/>
    <w:rsid w:val="005477B5"/>
    <w:rsid w:val="00547845"/>
    <w:rsid w:val="00551556"/>
    <w:rsid w:val="00552033"/>
    <w:rsid w:val="00552755"/>
    <w:rsid w:val="00552E51"/>
    <w:rsid w:val="00553541"/>
    <w:rsid w:val="00554799"/>
    <w:rsid w:val="00555091"/>
    <w:rsid w:val="005550C4"/>
    <w:rsid w:val="0055517A"/>
    <w:rsid w:val="005605A7"/>
    <w:rsid w:val="0056079D"/>
    <w:rsid w:val="00560D04"/>
    <w:rsid w:val="0056219B"/>
    <w:rsid w:val="0056227F"/>
    <w:rsid w:val="00562E61"/>
    <w:rsid w:val="00563483"/>
    <w:rsid w:val="00564754"/>
    <w:rsid w:val="00565021"/>
    <w:rsid w:val="005660F2"/>
    <w:rsid w:val="00566E37"/>
    <w:rsid w:val="00566F63"/>
    <w:rsid w:val="00567FEC"/>
    <w:rsid w:val="005702AC"/>
    <w:rsid w:val="00570A58"/>
    <w:rsid w:val="005710AD"/>
    <w:rsid w:val="00571809"/>
    <w:rsid w:val="00571B65"/>
    <w:rsid w:val="00571BC6"/>
    <w:rsid w:val="00572654"/>
    <w:rsid w:val="00572DF5"/>
    <w:rsid w:val="00573F50"/>
    <w:rsid w:val="00574751"/>
    <w:rsid w:val="005747D0"/>
    <w:rsid w:val="005772B9"/>
    <w:rsid w:val="0057731A"/>
    <w:rsid w:val="00580772"/>
    <w:rsid w:val="00580798"/>
    <w:rsid w:val="00580C5E"/>
    <w:rsid w:val="00581CA4"/>
    <w:rsid w:val="00582B2A"/>
    <w:rsid w:val="00582D44"/>
    <w:rsid w:val="005848DA"/>
    <w:rsid w:val="00584B00"/>
    <w:rsid w:val="005853C5"/>
    <w:rsid w:val="005858E1"/>
    <w:rsid w:val="00585B9B"/>
    <w:rsid w:val="00586945"/>
    <w:rsid w:val="005874B7"/>
    <w:rsid w:val="005909A4"/>
    <w:rsid w:val="00590CD3"/>
    <w:rsid w:val="00591E12"/>
    <w:rsid w:val="00591EE8"/>
    <w:rsid w:val="00593873"/>
    <w:rsid w:val="005940D4"/>
    <w:rsid w:val="00594A19"/>
    <w:rsid w:val="005A0F1A"/>
    <w:rsid w:val="005A10B1"/>
    <w:rsid w:val="005A2030"/>
    <w:rsid w:val="005A208B"/>
    <w:rsid w:val="005A3448"/>
    <w:rsid w:val="005A39DE"/>
    <w:rsid w:val="005A4C85"/>
    <w:rsid w:val="005A76D1"/>
    <w:rsid w:val="005B128A"/>
    <w:rsid w:val="005B1D11"/>
    <w:rsid w:val="005B25AB"/>
    <w:rsid w:val="005B2BBF"/>
    <w:rsid w:val="005B2C6D"/>
    <w:rsid w:val="005B2F63"/>
    <w:rsid w:val="005B35CB"/>
    <w:rsid w:val="005B37BC"/>
    <w:rsid w:val="005B38B8"/>
    <w:rsid w:val="005B3B9D"/>
    <w:rsid w:val="005B4246"/>
    <w:rsid w:val="005B4468"/>
    <w:rsid w:val="005B453C"/>
    <w:rsid w:val="005B5E19"/>
    <w:rsid w:val="005B616D"/>
    <w:rsid w:val="005B638B"/>
    <w:rsid w:val="005B6663"/>
    <w:rsid w:val="005B6FC0"/>
    <w:rsid w:val="005B7D9F"/>
    <w:rsid w:val="005C0271"/>
    <w:rsid w:val="005C38F6"/>
    <w:rsid w:val="005C486F"/>
    <w:rsid w:val="005C49ED"/>
    <w:rsid w:val="005C4DCA"/>
    <w:rsid w:val="005C6A4A"/>
    <w:rsid w:val="005C725D"/>
    <w:rsid w:val="005C7DF4"/>
    <w:rsid w:val="005D059F"/>
    <w:rsid w:val="005D06D3"/>
    <w:rsid w:val="005D0DE1"/>
    <w:rsid w:val="005D1086"/>
    <w:rsid w:val="005D135B"/>
    <w:rsid w:val="005D2212"/>
    <w:rsid w:val="005D3A70"/>
    <w:rsid w:val="005D3C9B"/>
    <w:rsid w:val="005D44A0"/>
    <w:rsid w:val="005D477F"/>
    <w:rsid w:val="005D5AC2"/>
    <w:rsid w:val="005D67FD"/>
    <w:rsid w:val="005D6A66"/>
    <w:rsid w:val="005E0019"/>
    <w:rsid w:val="005E17AB"/>
    <w:rsid w:val="005E2573"/>
    <w:rsid w:val="005E28EF"/>
    <w:rsid w:val="005E2C8D"/>
    <w:rsid w:val="005E3803"/>
    <w:rsid w:val="005E5C01"/>
    <w:rsid w:val="005E77AF"/>
    <w:rsid w:val="005E7D22"/>
    <w:rsid w:val="005F07FC"/>
    <w:rsid w:val="005F0D5D"/>
    <w:rsid w:val="005F1FC6"/>
    <w:rsid w:val="005F30D7"/>
    <w:rsid w:val="005F6791"/>
    <w:rsid w:val="005F7B1D"/>
    <w:rsid w:val="00600768"/>
    <w:rsid w:val="006007CF"/>
    <w:rsid w:val="006020A0"/>
    <w:rsid w:val="00603CAD"/>
    <w:rsid w:val="0060625F"/>
    <w:rsid w:val="00606BA3"/>
    <w:rsid w:val="00610AB6"/>
    <w:rsid w:val="00610CEE"/>
    <w:rsid w:val="00610F35"/>
    <w:rsid w:val="00611E22"/>
    <w:rsid w:val="00612E0F"/>
    <w:rsid w:val="00612E76"/>
    <w:rsid w:val="00612E79"/>
    <w:rsid w:val="006131C1"/>
    <w:rsid w:val="00614FF2"/>
    <w:rsid w:val="0061538C"/>
    <w:rsid w:val="006179F6"/>
    <w:rsid w:val="00620484"/>
    <w:rsid w:val="0062075D"/>
    <w:rsid w:val="00620EEA"/>
    <w:rsid w:val="0062158E"/>
    <w:rsid w:val="00621CC0"/>
    <w:rsid w:val="00621CDC"/>
    <w:rsid w:val="00622BE9"/>
    <w:rsid w:val="00623A70"/>
    <w:rsid w:val="00623D78"/>
    <w:rsid w:val="00624D75"/>
    <w:rsid w:val="00624E42"/>
    <w:rsid w:val="006252B2"/>
    <w:rsid w:val="00625C81"/>
    <w:rsid w:val="006263D4"/>
    <w:rsid w:val="00626DE9"/>
    <w:rsid w:val="00627087"/>
    <w:rsid w:val="0062714A"/>
    <w:rsid w:val="0062726E"/>
    <w:rsid w:val="00627FEC"/>
    <w:rsid w:val="00632246"/>
    <w:rsid w:val="00632983"/>
    <w:rsid w:val="0063401F"/>
    <w:rsid w:val="00634C69"/>
    <w:rsid w:val="00637AED"/>
    <w:rsid w:val="00640DB7"/>
    <w:rsid w:val="00642793"/>
    <w:rsid w:val="00642904"/>
    <w:rsid w:val="00644059"/>
    <w:rsid w:val="00644A79"/>
    <w:rsid w:val="00645BBF"/>
    <w:rsid w:val="00651EC9"/>
    <w:rsid w:val="00652561"/>
    <w:rsid w:val="00652763"/>
    <w:rsid w:val="00652B73"/>
    <w:rsid w:val="0065651A"/>
    <w:rsid w:val="00656B5D"/>
    <w:rsid w:val="00660482"/>
    <w:rsid w:val="00660911"/>
    <w:rsid w:val="006614DC"/>
    <w:rsid w:val="006623B0"/>
    <w:rsid w:val="00662FA4"/>
    <w:rsid w:val="00664038"/>
    <w:rsid w:val="0066431A"/>
    <w:rsid w:val="00664DC7"/>
    <w:rsid w:val="006662DE"/>
    <w:rsid w:val="00666A42"/>
    <w:rsid w:val="00666B64"/>
    <w:rsid w:val="006709EB"/>
    <w:rsid w:val="00670E1C"/>
    <w:rsid w:val="00671316"/>
    <w:rsid w:val="0067164A"/>
    <w:rsid w:val="00673D52"/>
    <w:rsid w:val="00674A7D"/>
    <w:rsid w:val="0067540F"/>
    <w:rsid w:val="0067688C"/>
    <w:rsid w:val="006775E7"/>
    <w:rsid w:val="0067781A"/>
    <w:rsid w:val="00677BBF"/>
    <w:rsid w:val="006806E5"/>
    <w:rsid w:val="0068082D"/>
    <w:rsid w:val="006818AC"/>
    <w:rsid w:val="00684E11"/>
    <w:rsid w:val="00684E2A"/>
    <w:rsid w:val="00685731"/>
    <w:rsid w:val="00686BD1"/>
    <w:rsid w:val="006878B1"/>
    <w:rsid w:val="00687CEC"/>
    <w:rsid w:val="006924CF"/>
    <w:rsid w:val="0069563E"/>
    <w:rsid w:val="00695D72"/>
    <w:rsid w:val="00695FCE"/>
    <w:rsid w:val="006A3EB4"/>
    <w:rsid w:val="006A58BE"/>
    <w:rsid w:val="006A62EB"/>
    <w:rsid w:val="006B0266"/>
    <w:rsid w:val="006B0847"/>
    <w:rsid w:val="006B1782"/>
    <w:rsid w:val="006B3B5A"/>
    <w:rsid w:val="006B4441"/>
    <w:rsid w:val="006B4B57"/>
    <w:rsid w:val="006B4CDF"/>
    <w:rsid w:val="006B640E"/>
    <w:rsid w:val="006B7809"/>
    <w:rsid w:val="006C0067"/>
    <w:rsid w:val="006C0E53"/>
    <w:rsid w:val="006C0F6E"/>
    <w:rsid w:val="006C1B67"/>
    <w:rsid w:val="006C1D64"/>
    <w:rsid w:val="006C3F00"/>
    <w:rsid w:val="006C5852"/>
    <w:rsid w:val="006D1FC2"/>
    <w:rsid w:val="006D4A8F"/>
    <w:rsid w:val="006D6042"/>
    <w:rsid w:val="006D7478"/>
    <w:rsid w:val="006D7C44"/>
    <w:rsid w:val="006D7E9D"/>
    <w:rsid w:val="006E0F80"/>
    <w:rsid w:val="006E12FC"/>
    <w:rsid w:val="006E1C0E"/>
    <w:rsid w:val="006E3968"/>
    <w:rsid w:val="006E42A8"/>
    <w:rsid w:val="006E5BE1"/>
    <w:rsid w:val="006E6A91"/>
    <w:rsid w:val="006F0C0D"/>
    <w:rsid w:val="006F1734"/>
    <w:rsid w:val="006F1865"/>
    <w:rsid w:val="006F1BB2"/>
    <w:rsid w:val="006F24E9"/>
    <w:rsid w:val="006F27B0"/>
    <w:rsid w:val="006F27FD"/>
    <w:rsid w:val="006F2A55"/>
    <w:rsid w:val="006F4944"/>
    <w:rsid w:val="006F76A9"/>
    <w:rsid w:val="006F79C2"/>
    <w:rsid w:val="00700DD2"/>
    <w:rsid w:val="00700FD1"/>
    <w:rsid w:val="007019DE"/>
    <w:rsid w:val="00702FD5"/>
    <w:rsid w:val="00706406"/>
    <w:rsid w:val="0071073C"/>
    <w:rsid w:val="00710AA8"/>
    <w:rsid w:val="00710B0A"/>
    <w:rsid w:val="00711753"/>
    <w:rsid w:val="00712412"/>
    <w:rsid w:val="00713279"/>
    <w:rsid w:val="007139BC"/>
    <w:rsid w:val="00713DC5"/>
    <w:rsid w:val="00713EB0"/>
    <w:rsid w:val="00713F90"/>
    <w:rsid w:val="00715EF0"/>
    <w:rsid w:val="007202C5"/>
    <w:rsid w:val="00721737"/>
    <w:rsid w:val="0072271B"/>
    <w:rsid w:val="00722904"/>
    <w:rsid w:val="0072306C"/>
    <w:rsid w:val="00723BC6"/>
    <w:rsid w:val="00723C96"/>
    <w:rsid w:val="00723F26"/>
    <w:rsid w:val="007244B4"/>
    <w:rsid w:val="00724514"/>
    <w:rsid w:val="0072490C"/>
    <w:rsid w:val="007249C3"/>
    <w:rsid w:val="00724B6A"/>
    <w:rsid w:val="00725129"/>
    <w:rsid w:val="0072575D"/>
    <w:rsid w:val="007262CC"/>
    <w:rsid w:val="00726F01"/>
    <w:rsid w:val="007304E5"/>
    <w:rsid w:val="0073071F"/>
    <w:rsid w:val="0073238A"/>
    <w:rsid w:val="007324DE"/>
    <w:rsid w:val="007325B9"/>
    <w:rsid w:val="0073423B"/>
    <w:rsid w:val="00734D9F"/>
    <w:rsid w:val="00735901"/>
    <w:rsid w:val="0073601F"/>
    <w:rsid w:val="00736486"/>
    <w:rsid w:val="00736A1E"/>
    <w:rsid w:val="00737F83"/>
    <w:rsid w:val="00740F33"/>
    <w:rsid w:val="0074301F"/>
    <w:rsid w:val="00744702"/>
    <w:rsid w:val="00746A68"/>
    <w:rsid w:val="007479C8"/>
    <w:rsid w:val="00750EFD"/>
    <w:rsid w:val="0075297C"/>
    <w:rsid w:val="00752D5F"/>
    <w:rsid w:val="00753188"/>
    <w:rsid w:val="007549ED"/>
    <w:rsid w:val="00754ABB"/>
    <w:rsid w:val="0075509C"/>
    <w:rsid w:val="007563BB"/>
    <w:rsid w:val="00757CF4"/>
    <w:rsid w:val="00757E05"/>
    <w:rsid w:val="007619E1"/>
    <w:rsid w:val="0076235C"/>
    <w:rsid w:val="00762CCE"/>
    <w:rsid w:val="007637BF"/>
    <w:rsid w:val="007638C7"/>
    <w:rsid w:val="00763CF5"/>
    <w:rsid w:val="007653F7"/>
    <w:rsid w:val="00765D1A"/>
    <w:rsid w:val="00770F31"/>
    <w:rsid w:val="00771C33"/>
    <w:rsid w:val="00775DEA"/>
    <w:rsid w:val="007768C5"/>
    <w:rsid w:val="007770DA"/>
    <w:rsid w:val="0077713A"/>
    <w:rsid w:val="00777CC0"/>
    <w:rsid w:val="0078079E"/>
    <w:rsid w:val="00780F1B"/>
    <w:rsid w:val="00781362"/>
    <w:rsid w:val="00781406"/>
    <w:rsid w:val="00784246"/>
    <w:rsid w:val="00785219"/>
    <w:rsid w:val="00785A38"/>
    <w:rsid w:val="0078724D"/>
    <w:rsid w:val="0079656C"/>
    <w:rsid w:val="00796CB2"/>
    <w:rsid w:val="0079760E"/>
    <w:rsid w:val="007978C3"/>
    <w:rsid w:val="00797C15"/>
    <w:rsid w:val="007A0DA4"/>
    <w:rsid w:val="007A0E47"/>
    <w:rsid w:val="007A1E50"/>
    <w:rsid w:val="007A49B0"/>
    <w:rsid w:val="007A6403"/>
    <w:rsid w:val="007A64C8"/>
    <w:rsid w:val="007A676A"/>
    <w:rsid w:val="007A67F5"/>
    <w:rsid w:val="007A7F82"/>
    <w:rsid w:val="007B1000"/>
    <w:rsid w:val="007B114E"/>
    <w:rsid w:val="007B432C"/>
    <w:rsid w:val="007B4681"/>
    <w:rsid w:val="007B7BFC"/>
    <w:rsid w:val="007C0F86"/>
    <w:rsid w:val="007C128E"/>
    <w:rsid w:val="007C1294"/>
    <w:rsid w:val="007C35D6"/>
    <w:rsid w:val="007C513F"/>
    <w:rsid w:val="007C6329"/>
    <w:rsid w:val="007C6917"/>
    <w:rsid w:val="007C7932"/>
    <w:rsid w:val="007D0713"/>
    <w:rsid w:val="007D08ED"/>
    <w:rsid w:val="007D092E"/>
    <w:rsid w:val="007D1863"/>
    <w:rsid w:val="007D2230"/>
    <w:rsid w:val="007D3677"/>
    <w:rsid w:val="007D38F5"/>
    <w:rsid w:val="007D3DC8"/>
    <w:rsid w:val="007D43FE"/>
    <w:rsid w:val="007D6362"/>
    <w:rsid w:val="007D646A"/>
    <w:rsid w:val="007D706E"/>
    <w:rsid w:val="007E024C"/>
    <w:rsid w:val="007E0375"/>
    <w:rsid w:val="007E088C"/>
    <w:rsid w:val="007E145D"/>
    <w:rsid w:val="007E21C6"/>
    <w:rsid w:val="007E2FC6"/>
    <w:rsid w:val="007E379D"/>
    <w:rsid w:val="007E3FCB"/>
    <w:rsid w:val="007E4CE5"/>
    <w:rsid w:val="007E5962"/>
    <w:rsid w:val="007E617B"/>
    <w:rsid w:val="007E77D7"/>
    <w:rsid w:val="007E7B3A"/>
    <w:rsid w:val="007F3D3F"/>
    <w:rsid w:val="007F43D0"/>
    <w:rsid w:val="007F4F8D"/>
    <w:rsid w:val="007F5FB4"/>
    <w:rsid w:val="007F655B"/>
    <w:rsid w:val="007F7796"/>
    <w:rsid w:val="0080020F"/>
    <w:rsid w:val="008009A7"/>
    <w:rsid w:val="00801E1B"/>
    <w:rsid w:val="00804731"/>
    <w:rsid w:val="00804D7F"/>
    <w:rsid w:val="008050EF"/>
    <w:rsid w:val="00805E9C"/>
    <w:rsid w:val="008074DB"/>
    <w:rsid w:val="00810D06"/>
    <w:rsid w:val="00811147"/>
    <w:rsid w:val="00811150"/>
    <w:rsid w:val="00813194"/>
    <w:rsid w:val="00813B4F"/>
    <w:rsid w:val="0081511F"/>
    <w:rsid w:val="00817D8F"/>
    <w:rsid w:val="00820249"/>
    <w:rsid w:val="008202EC"/>
    <w:rsid w:val="00821C52"/>
    <w:rsid w:val="00822921"/>
    <w:rsid w:val="00822F52"/>
    <w:rsid w:val="00823423"/>
    <w:rsid w:val="0082355A"/>
    <w:rsid w:val="008235BA"/>
    <w:rsid w:val="00824809"/>
    <w:rsid w:val="00825963"/>
    <w:rsid w:val="00825A3A"/>
    <w:rsid w:val="00826236"/>
    <w:rsid w:val="00830B69"/>
    <w:rsid w:val="0083117E"/>
    <w:rsid w:val="008312DE"/>
    <w:rsid w:val="00831EAF"/>
    <w:rsid w:val="00832385"/>
    <w:rsid w:val="0083247C"/>
    <w:rsid w:val="00833557"/>
    <w:rsid w:val="008339C4"/>
    <w:rsid w:val="00834186"/>
    <w:rsid w:val="0083440B"/>
    <w:rsid w:val="00834CA4"/>
    <w:rsid w:val="00835D4E"/>
    <w:rsid w:val="008369BB"/>
    <w:rsid w:val="00837FEC"/>
    <w:rsid w:val="00840D31"/>
    <w:rsid w:val="00841FB0"/>
    <w:rsid w:val="008427DC"/>
    <w:rsid w:val="00843877"/>
    <w:rsid w:val="00843C7E"/>
    <w:rsid w:val="00843DA0"/>
    <w:rsid w:val="00843EF5"/>
    <w:rsid w:val="00843EF8"/>
    <w:rsid w:val="00844593"/>
    <w:rsid w:val="00844DF4"/>
    <w:rsid w:val="008452E6"/>
    <w:rsid w:val="0084580F"/>
    <w:rsid w:val="00845996"/>
    <w:rsid w:val="00845FAA"/>
    <w:rsid w:val="008468CF"/>
    <w:rsid w:val="008475C5"/>
    <w:rsid w:val="008509A7"/>
    <w:rsid w:val="00850E80"/>
    <w:rsid w:val="00851E83"/>
    <w:rsid w:val="00852673"/>
    <w:rsid w:val="0085331D"/>
    <w:rsid w:val="0085505F"/>
    <w:rsid w:val="00855AE9"/>
    <w:rsid w:val="00856B75"/>
    <w:rsid w:val="00856F15"/>
    <w:rsid w:val="00860170"/>
    <w:rsid w:val="008623F9"/>
    <w:rsid w:val="00863165"/>
    <w:rsid w:val="00863926"/>
    <w:rsid w:val="00863F57"/>
    <w:rsid w:val="00864219"/>
    <w:rsid w:val="008675C1"/>
    <w:rsid w:val="00867918"/>
    <w:rsid w:val="00867C9E"/>
    <w:rsid w:val="0087194C"/>
    <w:rsid w:val="00871BA1"/>
    <w:rsid w:val="008723FD"/>
    <w:rsid w:val="0087252C"/>
    <w:rsid w:val="00874829"/>
    <w:rsid w:val="008757E5"/>
    <w:rsid w:val="00875896"/>
    <w:rsid w:val="00875DCC"/>
    <w:rsid w:val="00880A45"/>
    <w:rsid w:val="008825D0"/>
    <w:rsid w:val="008831FC"/>
    <w:rsid w:val="00884734"/>
    <w:rsid w:val="008868DB"/>
    <w:rsid w:val="00886A2B"/>
    <w:rsid w:val="00886B7B"/>
    <w:rsid w:val="00886C00"/>
    <w:rsid w:val="00891E26"/>
    <w:rsid w:val="00891E9D"/>
    <w:rsid w:val="00891F4B"/>
    <w:rsid w:val="00892115"/>
    <w:rsid w:val="00892B2E"/>
    <w:rsid w:val="00893E88"/>
    <w:rsid w:val="00894001"/>
    <w:rsid w:val="0089408A"/>
    <w:rsid w:val="00894A60"/>
    <w:rsid w:val="008953B0"/>
    <w:rsid w:val="00897585"/>
    <w:rsid w:val="00897C7F"/>
    <w:rsid w:val="008A0893"/>
    <w:rsid w:val="008A0D11"/>
    <w:rsid w:val="008A1605"/>
    <w:rsid w:val="008A2B83"/>
    <w:rsid w:val="008A335E"/>
    <w:rsid w:val="008A4830"/>
    <w:rsid w:val="008A49A5"/>
    <w:rsid w:val="008A60B9"/>
    <w:rsid w:val="008A6E91"/>
    <w:rsid w:val="008A74F7"/>
    <w:rsid w:val="008A7ACA"/>
    <w:rsid w:val="008B2132"/>
    <w:rsid w:val="008B6182"/>
    <w:rsid w:val="008B64FA"/>
    <w:rsid w:val="008C03F3"/>
    <w:rsid w:val="008C0603"/>
    <w:rsid w:val="008C241E"/>
    <w:rsid w:val="008C3F03"/>
    <w:rsid w:val="008C56A2"/>
    <w:rsid w:val="008C7A5E"/>
    <w:rsid w:val="008C7B7B"/>
    <w:rsid w:val="008D0751"/>
    <w:rsid w:val="008D2025"/>
    <w:rsid w:val="008D2923"/>
    <w:rsid w:val="008D2A3D"/>
    <w:rsid w:val="008D40C4"/>
    <w:rsid w:val="008D5C83"/>
    <w:rsid w:val="008E209C"/>
    <w:rsid w:val="008E25EE"/>
    <w:rsid w:val="008E26B7"/>
    <w:rsid w:val="008E2A03"/>
    <w:rsid w:val="008E329B"/>
    <w:rsid w:val="008E3E86"/>
    <w:rsid w:val="008E3EFC"/>
    <w:rsid w:val="008E46E5"/>
    <w:rsid w:val="008E5994"/>
    <w:rsid w:val="008E7944"/>
    <w:rsid w:val="008E7C6F"/>
    <w:rsid w:val="008E7F51"/>
    <w:rsid w:val="008F5C1E"/>
    <w:rsid w:val="008F6335"/>
    <w:rsid w:val="008F6D7B"/>
    <w:rsid w:val="008F75FE"/>
    <w:rsid w:val="00900A3C"/>
    <w:rsid w:val="00901F16"/>
    <w:rsid w:val="00903104"/>
    <w:rsid w:val="009031C9"/>
    <w:rsid w:val="0090378F"/>
    <w:rsid w:val="00904BFF"/>
    <w:rsid w:val="00905A25"/>
    <w:rsid w:val="00906975"/>
    <w:rsid w:val="00907743"/>
    <w:rsid w:val="00907C2D"/>
    <w:rsid w:val="00912725"/>
    <w:rsid w:val="00912B19"/>
    <w:rsid w:val="00912FA0"/>
    <w:rsid w:val="00913F55"/>
    <w:rsid w:val="00914C94"/>
    <w:rsid w:val="00917A29"/>
    <w:rsid w:val="00920F38"/>
    <w:rsid w:val="00921716"/>
    <w:rsid w:val="00921CA6"/>
    <w:rsid w:val="009239B6"/>
    <w:rsid w:val="00925F9B"/>
    <w:rsid w:val="00926878"/>
    <w:rsid w:val="00927BF1"/>
    <w:rsid w:val="00934B80"/>
    <w:rsid w:val="00935593"/>
    <w:rsid w:val="00935FAA"/>
    <w:rsid w:val="0093628B"/>
    <w:rsid w:val="009369C9"/>
    <w:rsid w:val="00937D07"/>
    <w:rsid w:val="00940BF3"/>
    <w:rsid w:val="009418DF"/>
    <w:rsid w:val="00941A3C"/>
    <w:rsid w:val="009427C0"/>
    <w:rsid w:val="00942D08"/>
    <w:rsid w:val="00944BB8"/>
    <w:rsid w:val="009453B9"/>
    <w:rsid w:val="00945C00"/>
    <w:rsid w:val="00945D2E"/>
    <w:rsid w:val="009470FD"/>
    <w:rsid w:val="00947E8D"/>
    <w:rsid w:val="00950BDD"/>
    <w:rsid w:val="009528E3"/>
    <w:rsid w:val="00952C2F"/>
    <w:rsid w:val="00952C94"/>
    <w:rsid w:val="009534E5"/>
    <w:rsid w:val="009537E9"/>
    <w:rsid w:val="009538D4"/>
    <w:rsid w:val="009560C7"/>
    <w:rsid w:val="00956A13"/>
    <w:rsid w:val="00957F7A"/>
    <w:rsid w:val="00962056"/>
    <w:rsid w:val="009622A8"/>
    <w:rsid w:val="00962523"/>
    <w:rsid w:val="00962813"/>
    <w:rsid w:val="00963F8E"/>
    <w:rsid w:val="00964793"/>
    <w:rsid w:val="00964DDE"/>
    <w:rsid w:val="00965DCF"/>
    <w:rsid w:val="00967C5E"/>
    <w:rsid w:val="009740DD"/>
    <w:rsid w:val="00974285"/>
    <w:rsid w:val="0097428E"/>
    <w:rsid w:val="00974762"/>
    <w:rsid w:val="009747E0"/>
    <w:rsid w:val="00975F29"/>
    <w:rsid w:val="00977CDC"/>
    <w:rsid w:val="00977F4A"/>
    <w:rsid w:val="0098237B"/>
    <w:rsid w:val="00983A3B"/>
    <w:rsid w:val="00983F89"/>
    <w:rsid w:val="00985263"/>
    <w:rsid w:val="00985431"/>
    <w:rsid w:val="0098577A"/>
    <w:rsid w:val="0098611C"/>
    <w:rsid w:val="0099184C"/>
    <w:rsid w:val="00992B51"/>
    <w:rsid w:val="00992B5A"/>
    <w:rsid w:val="0099358B"/>
    <w:rsid w:val="00993A3F"/>
    <w:rsid w:val="009951EB"/>
    <w:rsid w:val="009957C7"/>
    <w:rsid w:val="00995F04"/>
    <w:rsid w:val="00995F66"/>
    <w:rsid w:val="00996C8E"/>
    <w:rsid w:val="00996DE4"/>
    <w:rsid w:val="009975B2"/>
    <w:rsid w:val="009978D6"/>
    <w:rsid w:val="009A02F6"/>
    <w:rsid w:val="009A0346"/>
    <w:rsid w:val="009A1281"/>
    <w:rsid w:val="009A1B29"/>
    <w:rsid w:val="009A2B36"/>
    <w:rsid w:val="009A2D89"/>
    <w:rsid w:val="009A2FB4"/>
    <w:rsid w:val="009A37BC"/>
    <w:rsid w:val="009A5D50"/>
    <w:rsid w:val="009A6AB7"/>
    <w:rsid w:val="009B1071"/>
    <w:rsid w:val="009B35A6"/>
    <w:rsid w:val="009B3DC2"/>
    <w:rsid w:val="009B4F6A"/>
    <w:rsid w:val="009B5F58"/>
    <w:rsid w:val="009B7720"/>
    <w:rsid w:val="009B7C60"/>
    <w:rsid w:val="009C0076"/>
    <w:rsid w:val="009C0355"/>
    <w:rsid w:val="009C07A8"/>
    <w:rsid w:val="009C0DFE"/>
    <w:rsid w:val="009C1228"/>
    <w:rsid w:val="009C1740"/>
    <w:rsid w:val="009C2A33"/>
    <w:rsid w:val="009C3499"/>
    <w:rsid w:val="009C365A"/>
    <w:rsid w:val="009C3822"/>
    <w:rsid w:val="009C44E7"/>
    <w:rsid w:val="009C4678"/>
    <w:rsid w:val="009C4C42"/>
    <w:rsid w:val="009C701B"/>
    <w:rsid w:val="009D0C9B"/>
    <w:rsid w:val="009D1F87"/>
    <w:rsid w:val="009D2416"/>
    <w:rsid w:val="009D4080"/>
    <w:rsid w:val="009D40AA"/>
    <w:rsid w:val="009D4649"/>
    <w:rsid w:val="009D591A"/>
    <w:rsid w:val="009D5F17"/>
    <w:rsid w:val="009D76E0"/>
    <w:rsid w:val="009D7821"/>
    <w:rsid w:val="009E095C"/>
    <w:rsid w:val="009E2E21"/>
    <w:rsid w:val="009E34A5"/>
    <w:rsid w:val="009E45B8"/>
    <w:rsid w:val="009E5EA1"/>
    <w:rsid w:val="009F1084"/>
    <w:rsid w:val="009F1791"/>
    <w:rsid w:val="009F262D"/>
    <w:rsid w:val="009F29E0"/>
    <w:rsid w:val="009F3525"/>
    <w:rsid w:val="009F49A1"/>
    <w:rsid w:val="009F4A8B"/>
    <w:rsid w:val="009F61C3"/>
    <w:rsid w:val="009F7A6F"/>
    <w:rsid w:val="00A02A40"/>
    <w:rsid w:val="00A02E5D"/>
    <w:rsid w:val="00A0314C"/>
    <w:rsid w:val="00A04384"/>
    <w:rsid w:val="00A04BD8"/>
    <w:rsid w:val="00A05B2B"/>
    <w:rsid w:val="00A06EDF"/>
    <w:rsid w:val="00A0730F"/>
    <w:rsid w:val="00A0752A"/>
    <w:rsid w:val="00A102F9"/>
    <w:rsid w:val="00A10AB0"/>
    <w:rsid w:val="00A122E9"/>
    <w:rsid w:val="00A129CA"/>
    <w:rsid w:val="00A1370A"/>
    <w:rsid w:val="00A1479A"/>
    <w:rsid w:val="00A15518"/>
    <w:rsid w:val="00A1562A"/>
    <w:rsid w:val="00A178F6"/>
    <w:rsid w:val="00A208F7"/>
    <w:rsid w:val="00A20F57"/>
    <w:rsid w:val="00A219AC"/>
    <w:rsid w:val="00A21D23"/>
    <w:rsid w:val="00A227ED"/>
    <w:rsid w:val="00A23C69"/>
    <w:rsid w:val="00A2700B"/>
    <w:rsid w:val="00A2771E"/>
    <w:rsid w:val="00A30671"/>
    <w:rsid w:val="00A308D1"/>
    <w:rsid w:val="00A3189E"/>
    <w:rsid w:val="00A32215"/>
    <w:rsid w:val="00A329C7"/>
    <w:rsid w:val="00A3403F"/>
    <w:rsid w:val="00A342B8"/>
    <w:rsid w:val="00A351D9"/>
    <w:rsid w:val="00A35562"/>
    <w:rsid w:val="00A370E0"/>
    <w:rsid w:val="00A44C8F"/>
    <w:rsid w:val="00A45FAD"/>
    <w:rsid w:val="00A463B3"/>
    <w:rsid w:val="00A477ED"/>
    <w:rsid w:val="00A52E2D"/>
    <w:rsid w:val="00A5396F"/>
    <w:rsid w:val="00A54664"/>
    <w:rsid w:val="00A5565F"/>
    <w:rsid w:val="00A561C9"/>
    <w:rsid w:val="00A57234"/>
    <w:rsid w:val="00A613B3"/>
    <w:rsid w:val="00A61BD6"/>
    <w:rsid w:val="00A636F0"/>
    <w:rsid w:val="00A63908"/>
    <w:rsid w:val="00A64BAB"/>
    <w:rsid w:val="00A653A4"/>
    <w:rsid w:val="00A657C9"/>
    <w:rsid w:val="00A67C99"/>
    <w:rsid w:val="00A71D72"/>
    <w:rsid w:val="00A72710"/>
    <w:rsid w:val="00A728FD"/>
    <w:rsid w:val="00A73D6E"/>
    <w:rsid w:val="00A73EC1"/>
    <w:rsid w:val="00A73FF9"/>
    <w:rsid w:val="00A7523A"/>
    <w:rsid w:val="00A75A79"/>
    <w:rsid w:val="00A75DDC"/>
    <w:rsid w:val="00A76A06"/>
    <w:rsid w:val="00A7786E"/>
    <w:rsid w:val="00A77E5B"/>
    <w:rsid w:val="00A822CA"/>
    <w:rsid w:val="00A82346"/>
    <w:rsid w:val="00A83D4D"/>
    <w:rsid w:val="00A83E1C"/>
    <w:rsid w:val="00A85AC8"/>
    <w:rsid w:val="00A86FAE"/>
    <w:rsid w:val="00A87EF8"/>
    <w:rsid w:val="00A87FD8"/>
    <w:rsid w:val="00A9309D"/>
    <w:rsid w:val="00A939AB"/>
    <w:rsid w:val="00A9416E"/>
    <w:rsid w:val="00A95161"/>
    <w:rsid w:val="00AA11FC"/>
    <w:rsid w:val="00AA1E2C"/>
    <w:rsid w:val="00AA2322"/>
    <w:rsid w:val="00AA26A6"/>
    <w:rsid w:val="00AA294D"/>
    <w:rsid w:val="00AA2A1E"/>
    <w:rsid w:val="00AA348D"/>
    <w:rsid w:val="00AA3999"/>
    <w:rsid w:val="00AA46AB"/>
    <w:rsid w:val="00AA4BE3"/>
    <w:rsid w:val="00AA54F6"/>
    <w:rsid w:val="00AA6C72"/>
    <w:rsid w:val="00AB0A4A"/>
    <w:rsid w:val="00AB0ECA"/>
    <w:rsid w:val="00AB1BF4"/>
    <w:rsid w:val="00AB2100"/>
    <w:rsid w:val="00AB2632"/>
    <w:rsid w:val="00AB3026"/>
    <w:rsid w:val="00AB3616"/>
    <w:rsid w:val="00AB4513"/>
    <w:rsid w:val="00AB508B"/>
    <w:rsid w:val="00AB5D0B"/>
    <w:rsid w:val="00AB672A"/>
    <w:rsid w:val="00AB6F59"/>
    <w:rsid w:val="00AB7D45"/>
    <w:rsid w:val="00AC0F71"/>
    <w:rsid w:val="00AC1954"/>
    <w:rsid w:val="00AC3511"/>
    <w:rsid w:val="00AC5A45"/>
    <w:rsid w:val="00AC5B20"/>
    <w:rsid w:val="00AC62C7"/>
    <w:rsid w:val="00AC6532"/>
    <w:rsid w:val="00AC66DA"/>
    <w:rsid w:val="00AC72EE"/>
    <w:rsid w:val="00AC75BD"/>
    <w:rsid w:val="00AC7EDF"/>
    <w:rsid w:val="00AD0E32"/>
    <w:rsid w:val="00AD104C"/>
    <w:rsid w:val="00AD19C6"/>
    <w:rsid w:val="00AD20FB"/>
    <w:rsid w:val="00AD61CF"/>
    <w:rsid w:val="00AD6273"/>
    <w:rsid w:val="00AD78E2"/>
    <w:rsid w:val="00AD7D5B"/>
    <w:rsid w:val="00AE1A30"/>
    <w:rsid w:val="00AE2CAD"/>
    <w:rsid w:val="00AE3E1A"/>
    <w:rsid w:val="00AE582D"/>
    <w:rsid w:val="00AE616F"/>
    <w:rsid w:val="00AE67BB"/>
    <w:rsid w:val="00AE75FA"/>
    <w:rsid w:val="00AE7EA2"/>
    <w:rsid w:val="00AF0424"/>
    <w:rsid w:val="00AF112D"/>
    <w:rsid w:val="00AF15E2"/>
    <w:rsid w:val="00AF26C4"/>
    <w:rsid w:val="00AF35A6"/>
    <w:rsid w:val="00AF365E"/>
    <w:rsid w:val="00AF44DE"/>
    <w:rsid w:val="00AF5992"/>
    <w:rsid w:val="00AF71A8"/>
    <w:rsid w:val="00B00D57"/>
    <w:rsid w:val="00B016CA"/>
    <w:rsid w:val="00B021A7"/>
    <w:rsid w:val="00B02862"/>
    <w:rsid w:val="00B028D2"/>
    <w:rsid w:val="00B02A53"/>
    <w:rsid w:val="00B031CD"/>
    <w:rsid w:val="00B03796"/>
    <w:rsid w:val="00B03C4B"/>
    <w:rsid w:val="00B03F48"/>
    <w:rsid w:val="00B0586D"/>
    <w:rsid w:val="00B06E88"/>
    <w:rsid w:val="00B10374"/>
    <w:rsid w:val="00B1115D"/>
    <w:rsid w:val="00B11BD5"/>
    <w:rsid w:val="00B13890"/>
    <w:rsid w:val="00B145E5"/>
    <w:rsid w:val="00B14B71"/>
    <w:rsid w:val="00B14EAB"/>
    <w:rsid w:val="00B17525"/>
    <w:rsid w:val="00B2187B"/>
    <w:rsid w:val="00B21F83"/>
    <w:rsid w:val="00B2201B"/>
    <w:rsid w:val="00B22C3E"/>
    <w:rsid w:val="00B24462"/>
    <w:rsid w:val="00B244AC"/>
    <w:rsid w:val="00B24B76"/>
    <w:rsid w:val="00B25352"/>
    <w:rsid w:val="00B266F5"/>
    <w:rsid w:val="00B30277"/>
    <w:rsid w:val="00B308FB"/>
    <w:rsid w:val="00B31539"/>
    <w:rsid w:val="00B31F9F"/>
    <w:rsid w:val="00B3254D"/>
    <w:rsid w:val="00B32C3F"/>
    <w:rsid w:val="00B33D93"/>
    <w:rsid w:val="00B34749"/>
    <w:rsid w:val="00B34CE7"/>
    <w:rsid w:val="00B35996"/>
    <w:rsid w:val="00B35FF6"/>
    <w:rsid w:val="00B36CC9"/>
    <w:rsid w:val="00B40DD0"/>
    <w:rsid w:val="00B41767"/>
    <w:rsid w:val="00B42365"/>
    <w:rsid w:val="00B43B81"/>
    <w:rsid w:val="00B43DB9"/>
    <w:rsid w:val="00B4454A"/>
    <w:rsid w:val="00B44F38"/>
    <w:rsid w:val="00B46002"/>
    <w:rsid w:val="00B472F4"/>
    <w:rsid w:val="00B47C84"/>
    <w:rsid w:val="00B510B9"/>
    <w:rsid w:val="00B51D9E"/>
    <w:rsid w:val="00B52367"/>
    <w:rsid w:val="00B53C13"/>
    <w:rsid w:val="00B5476C"/>
    <w:rsid w:val="00B56844"/>
    <w:rsid w:val="00B57D02"/>
    <w:rsid w:val="00B61C01"/>
    <w:rsid w:val="00B63ABE"/>
    <w:rsid w:val="00B63B4A"/>
    <w:rsid w:val="00B63E90"/>
    <w:rsid w:val="00B6557E"/>
    <w:rsid w:val="00B65F49"/>
    <w:rsid w:val="00B6710E"/>
    <w:rsid w:val="00B678AA"/>
    <w:rsid w:val="00B701F8"/>
    <w:rsid w:val="00B705F2"/>
    <w:rsid w:val="00B70FA6"/>
    <w:rsid w:val="00B71829"/>
    <w:rsid w:val="00B73D46"/>
    <w:rsid w:val="00B75BA9"/>
    <w:rsid w:val="00B75EF6"/>
    <w:rsid w:val="00B76B14"/>
    <w:rsid w:val="00B77308"/>
    <w:rsid w:val="00B77696"/>
    <w:rsid w:val="00B812E3"/>
    <w:rsid w:val="00B81E89"/>
    <w:rsid w:val="00B822EC"/>
    <w:rsid w:val="00B82736"/>
    <w:rsid w:val="00B827E6"/>
    <w:rsid w:val="00B85335"/>
    <w:rsid w:val="00B85F9E"/>
    <w:rsid w:val="00B87998"/>
    <w:rsid w:val="00B910AA"/>
    <w:rsid w:val="00B9290C"/>
    <w:rsid w:val="00B92BAE"/>
    <w:rsid w:val="00B92F43"/>
    <w:rsid w:val="00B9560D"/>
    <w:rsid w:val="00B96D9A"/>
    <w:rsid w:val="00B9758C"/>
    <w:rsid w:val="00BA17DE"/>
    <w:rsid w:val="00BA2A99"/>
    <w:rsid w:val="00BA2EE7"/>
    <w:rsid w:val="00BA31FB"/>
    <w:rsid w:val="00BA3416"/>
    <w:rsid w:val="00BA3488"/>
    <w:rsid w:val="00BA3C9A"/>
    <w:rsid w:val="00BA4666"/>
    <w:rsid w:val="00BA5CE2"/>
    <w:rsid w:val="00BA6C8D"/>
    <w:rsid w:val="00BA72E1"/>
    <w:rsid w:val="00BA7FF7"/>
    <w:rsid w:val="00BB15F2"/>
    <w:rsid w:val="00BB1DF9"/>
    <w:rsid w:val="00BB3318"/>
    <w:rsid w:val="00BB37AE"/>
    <w:rsid w:val="00BB3BE5"/>
    <w:rsid w:val="00BB5AA6"/>
    <w:rsid w:val="00BB66F8"/>
    <w:rsid w:val="00BB6E92"/>
    <w:rsid w:val="00BB7CC6"/>
    <w:rsid w:val="00BC1288"/>
    <w:rsid w:val="00BC2B6C"/>
    <w:rsid w:val="00BC341F"/>
    <w:rsid w:val="00BC38B7"/>
    <w:rsid w:val="00BC46F7"/>
    <w:rsid w:val="00BC49FB"/>
    <w:rsid w:val="00BC621B"/>
    <w:rsid w:val="00BD2488"/>
    <w:rsid w:val="00BD4374"/>
    <w:rsid w:val="00BD4CD6"/>
    <w:rsid w:val="00BD5332"/>
    <w:rsid w:val="00BD67AC"/>
    <w:rsid w:val="00BD6A47"/>
    <w:rsid w:val="00BD6B44"/>
    <w:rsid w:val="00BD7B80"/>
    <w:rsid w:val="00BE0338"/>
    <w:rsid w:val="00BE1B36"/>
    <w:rsid w:val="00BE1C8B"/>
    <w:rsid w:val="00BE1DE2"/>
    <w:rsid w:val="00BE29FA"/>
    <w:rsid w:val="00BE2C08"/>
    <w:rsid w:val="00BE5E39"/>
    <w:rsid w:val="00BE6180"/>
    <w:rsid w:val="00BE75B5"/>
    <w:rsid w:val="00BE7F4D"/>
    <w:rsid w:val="00BF07B5"/>
    <w:rsid w:val="00BF1E8F"/>
    <w:rsid w:val="00BF3212"/>
    <w:rsid w:val="00BF42F3"/>
    <w:rsid w:val="00BF489F"/>
    <w:rsid w:val="00BF4E30"/>
    <w:rsid w:val="00BF5017"/>
    <w:rsid w:val="00BF51EE"/>
    <w:rsid w:val="00BF52C3"/>
    <w:rsid w:val="00BF562D"/>
    <w:rsid w:val="00BF5FF1"/>
    <w:rsid w:val="00BF762E"/>
    <w:rsid w:val="00C000CC"/>
    <w:rsid w:val="00C0037E"/>
    <w:rsid w:val="00C004FF"/>
    <w:rsid w:val="00C00F09"/>
    <w:rsid w:val="00C01666"/>
    <w:rsid w:val="00C01FAA"/>
    <w:rsid w:val="00C03298"/>
    <w:rsid w:val="00C055F4"/>
    <w:rsid w:val="00C05748"/>
    <w:rsid w:val="00C062E4"/>
    <w:rsid w:val="00C06800"/>
    <w:rsid w:val="00C069F1"/>
    <w:rsid w:val="00C076C8"/>
    <w:rsid w:val="00C106B5"/>
    <w:rsid w:val="00C11164"/>
    <w:rsid w:val="00C11A0F"/>
    <w:rsid w:val="00C13264"/>
    <w:rsid w:val="00C138D6"/>
    <w:rsid w:val="00C143A6"/>
    <w:rsid w:val="00C15B60"/>
    <w:rsid w:val="00C15C29"/>
    <w:rsid w:val="00C15E28"/>
    <w:rsid w:val="00C16125"/>
    <w:rsid w:val="00C2114D"/>
    <w:rsid w:val="00C2236E"/>
    <w:rsid w:val="00C2277F"/>
    <w:rsid w:val="00C23893"/>
    <w:rsid w:val="00C23CDF"/>
    <w:rsid w:val="00C23DB4"/>
    <w:rsid w:val="00C23E32"/>
    <w:rsid w:val="00C24238"/>
    <w:rsid w:val="00C24FF1"/>
    <w:rsid w:val="00C25BE9"/>
    <w:rsid w:val="00C25D1B"/>
    <w:rsid w:val="00C269D6"/>
    <w:rsid w:val="00C26B9F"/>
    <w:rsid w:val="00C27CF4"/>
    <w:rsid w:val="00C27E45"/>
    <w:rsid w:val="00C314FF"/>
    <w:rsid w:val="00C31509"/>
    <w:rsid w:val="00C31CC8"/>
    <w:rsid w:val="00C338FE"/>
    <w:rsid w:val="00C33E76"/>
    <w:rsid w:val="00C34B80"/>
    <w:rsid w:val="00C35FB4"/>
    <w:rsid w:val="00C362A0"/>
    <w:rsid w:val="00C36DA2"/>
    <w:rsid w:val="00C37C6F"/>
    <w:rsid w:val="00C40179"/>
    <w:rsid w:val="00C41779"/>
    <w:rsid w:val="00C41C77"/>
    <w:rsid w:val="00C423ED"/>
    <w:rsid w:val="00C429D7"/>
    <w:rsid w:val="00C42DA6"/>
    <w:rsid w:val="00C42F52"/>
    <w:rsid w:val="00C43A9B"/>
    <w:rsid w:val="00C43AA0"/>
    <w:rsid w:val="00C43B63"/>
    <w:rsid w:val="00C44251"/>
    <w:rsid w:val="00C4610D"/>
    <w:rsid w:val="00C46550"/>
    <w:rsid w:val="00C472A5"/>
    <w:rsid w:val="00C503D9"/>
    <w:rsid w:val="00C507C3"/>
    <w:rsid w:val="00C527B4"/>
    <w:rsid w:val="00C52A19"/>
    <w:rsid w:val="00C535EB"/>
    <w:rsid w:val="00C53669"/>
    <w:rsid w:val="00C538C4"/>
    <w:rsid w:val="00C5529F"/>
    <w:rsid w:val="00C576FE"/>
    <w:rsid w:val="00C57815"/>
    <w:rsid w:val="00C60AA8"/>
    <w:rsid w:val="00C6136D"/>
    <w:rsid w:val="00C63E95"/>
    <w:rsid w:val="00C6485B"/>
    <w:rsid w:val="00C64EE8"/>
    <w:rsid w:val="00C65786"/>
    <w:rsid w:val="00C65E58"/>
    <w:rsid w:val="00C667CA"/>
    <w:rsid w:val="00C703B4"/>
    <w:rsid w:val="00C72098"/>
    <w:rsid w:val="00C72D1F"/>
    <w:rsid w:val="00C72D9E"/>
    <w:rsid w:val="00C73140"/>
    <w:rsid w:val="00C73628"/>
    <w:rsid w:val="00C74AA0"/>
    <w:rsid w:val="00C75210"/>
    <w:rsid w:val="00C77B45"/>
    <w:rsid w:val="00C77D20"/>
    <w:rsid w:val="00C8067E"/>
    <w:rsid w:val="00C80BB9"/>
    <w:rsid w:val="00C82031"/>
    <w:rsid w:val="00C846FB"/>
    <w:rsid w:val="00C865FA"/>
    <w:rsid w:val="00C86AB9"/>
    <w:rsid w:val="00C87535"/>
    <w:rsid w:val="00C87815"/>
    <w:rsid w:val="00C87E74"/>
    <w:rsid w:val="00C91DD7"/>
    <w:rsid w:val="00C9260B"/>
    <w:rsid w:val="00C935D2"/>
    <w:rsid w:val="00C9408A"/>
    <w:rsid w:val="00C949CE"/>
    <w:rsid w:val="00C94DCE"/>
    <w:rsid w:val="00C95A9B"/>
    <w:rsid w:val="00C96CA3"/>
    <w:rsid w:val="00CA0B48"/>
    <w:rsid w:val="00CA151F"/>
    <w:rsid w:val="00CA1708"/>
    <w:rsid w:val="00CA3648"/>
    <w:rsid w:val="00CA38B5"/>
    <w:rsid w:val="00CA3BA6"/>
    <w:rsid w:val="00CA4469"/>
    <w:rsid w:val="00CA4F1C"/>
    <w:rsid w:val="00CA55FE"/>
    <w:rsid w:val="00CA5F07"/>
    <w:rsid w:val="00CA6109"/>
    <w:rsid w:val="00CB0B48"/>
    <w:rsid w:val="00CB283E"/>
    <w:rsid w:val="00CB3FB9"/>
    <w:rsid w:val="00CB5FAB"/>
    <w:rsid w:val="00CB614E"/>
    <w:rsid w:val="00CB6F47"/>
    <w:rsid w:val="00CC00C2"/>
    <w:rsid w:val="00CC032B"/>
    <w:rsid w:val="00CC0EA1"/>
    <w:rsid w:val="00CC10F7"/>
    <w:rsid w:val="00CC13A1"/>
    <w:rsid w:val="00CC1C1E"/>
    <w:rsid w:val="00CC2409"/>
    <w:rsid w:val="00CC37BA"/>
    <w:rsid w:val="00CC4388"/>
    <w:rsid w:val="00CC47FA"/>
    <w:rsid w:val="00CC5DD4"/>
    <w:rsid w:val="00CC67C4"/>
    <w:rsid w:val="00CC68EA"/>
    <w:rsid w:val="00CC74D0"/>
    <w:rsid w:val="00CC7784"/>
    <w:rsid w:val="00CC7CF0"/>
    <w:rsid w:val="00CD0BF5"/>
    <w:rsid w:val="00CD12E6"/>
    <w:rsid w:val="00CD1529"/>
    <w:rsid w:val="00CD16E5"/>
    <w:rsid w:val="00CD1C05"/>
    <w:rsid w:val="00CD21A3"/>
    <w:rsid w:val="00CD3967"/>
    <w:rsid w:val="00CD574D"/>
    <w:rsid w:val="00CD5DFE"/>
    <w:rsid w:val="00CD62CF"/>
    <w:rsid w:val="00CD68B5"/>
    <w:rsid w:val="00CD6F35"/>
    <w:rsid w:val="00CD7984"/>
    <w:rsid w:val="00CE0192"/>
    <w:rsid w:val="00CE0B38"/>
    <w:rsid w:val="00CE1391"/>
    <w:rsid w:val="00CE2268"/>
    <w:rsid w:val="00CE26EB"/>
    <w:rsid w:val="00CE27F5"/>
    <w:rsid w:val="00CE2A18"/>
    <w:rsid w:val="00CE4C0E"/>
    <w:rsid w:val="00CE635E"/>
    <w:rsid w:val="00CE6EC6"/>
    <w:rsid w:val="00CE7399"/>
    <w:rsid w:val="00CF09C2"/>
    <w:rsid w:val="00CF1514"/>
    <w:rsid w:val="00CF15BF"/>
    <w:rsid w:val="00CF19B2"/>
    <w:rsid w:val="00CF1C4D"/>
    <w:rsid w:val="00CF284E"/>
    <w:rsid w:val="00CF2C58"/>
    <w:rsid w:val="00CF38F9"/>
    <w:rsid w:val="00D01BA4"/>
    <w:rsid w:val="00D01F2D"/>
    <w:rsid w:val="00D02545"/>
    <w:rsid w:val="00D02AA5"/>
    <w:rsid w:val="00D03529"/>
    <w:rsid w:val="00D04C13"/>
    <w:rsid w:val="00D05790"/>
    <w:rsid w:val="00D06755"/>
    <w:rsid w:val="00D07088"/>
    <w:rsid w:val="00D078CE"/>
    <w:rsid w:val="00D10226"/>
    <w:rsid w:val="00D11036"/>
    <w:rsid w:val="00D11B9C"/>
    <w:rsid w:val="00D12312"/>
    <w:rsid w:val="00D13285"/>
    <w:rsid w:val="00D1481F"/>
    <w:rsid w:val="00D14AD7"/>
    <w:rsid w:val="00D153C1"/>
    <w:rsid w:val="00D1597D"/>
    <w:rsid w:val="00D15DE0"/>
    <w:rsid w:val="00D218D2"/>
    <w:rsid w:val="00D22ED5"/>
    <w:rsid w:val="00D23D6D"/>
    <w:rsid w:val="00D2565F"/>
    <w:rsid w:val="00D256AA"/>
    <w:rsid w:val="00D25FCD"/>
    <w:rsid w:val="00D263AE"/>
    <w:rsid w:val="00D26C42"/>
    <w:rsid w:val="00D326F8"/>
    <w:rsid w:val="00D3447A"/>
    <w:rsid w:val="00D3521E"/>
    <w:rsid w:val="00D3640F"/>
    <w:rsid w:val="00D3684A"/>
    <w:rsid w:val="00D3687F"/>
    <w:rsid w:val="00D41117"/>
    <w:rsid w:val="00D42979"/>
    <w:rsid w:val="00D44128"/>
    <w:rsid w:val="00D44D01"/>
    <w:rsid w:val="00D47380"/>
    <w:rsid w:val="00D50032"/>
    <w:rsid w:val="00D51518"/>
    <w:rsid w:val="00D519B9"/>
    <w:rsid w:val="00D5227B"/>
    <w:rsid w:val="00D550DD"/>
    <w:rsid w:val="00D55364"/>
    <w:rsid w:val="00D558F1"/>
    <w:rsid w:val="00D55EDE"/>
    <w:rsid w:val="00D57E8B"/>
    <w:rsid w:val="00D604E2"/>
    <w:rsid w:val="00D60C60"/>
    <w:rsid w:val="00D61242"/>
    <w:rsid w:val="00D61943"/>
    <w:rsid w:val="00D619DC"/>
    <w:rsid w:val="00D61F24"/>
    <w:rsid w:val="00D61FE4"/>
    <w:rsid w:val="00D624C3"/>
    <w:rsid w:val="00D6275D"/>
    <w:rsid w:val="00D63168"/>
    <w:rsid w:val="00D63487"/>
    <w:rsid w:val="00D6385E"/>
    <w:rsid w:val="00D65069"/>
    <w:rsid w:val="00D65A96"/>
    <w:rsid w:val="00D66497"/>
    <w:rsid w:val="00D66581"/>
    <w:rsid w:val="00D6715A"/>
    <w:rsid w:val="00D6731C"/>
    <w:rsid w:val="00D67FC0"/>
    <w:rsid w:val="00D7013F"/>
    <w:rsid w:val="00D7229B"/>
    <w:rsid w:val="00D72741"/>
    <w:rsid w:val="00D72D27"/>
    <w:rsid w:val="00D73B21"/>
    <w:rsid w:val="00D73EE8"/>
    <w:rsid w:val="00D7505F"/>
    <w:rsid w:val="00D75B50"/>
    <w:rsid w:val="00D75BFB"/>
    <w:rsid w:val="00D7634C"/>
    <w:rsid w:val="00D7639C"/>
    <w:rsid w:val="00D77194"/>
    <w:rsid w:val="00D7772F"/>
    <w:rsid w:val="00D8072E"/>
    <w:rsid w:val="00D820EE"/>
    <w:rsid w:val="00D828CC"/>
    <w:rsid w:val="00D838E0"/>
    <w:rsid w:val="00D84EE4"/>
    <w:rsid w:val="00D86A68"/>
    <w:rsid w:val="00D925B8"/>
    <w:rsid w:val="00D93B5F"/>
    <w:rsid w:val="00D93E4D"/>
    <w:rsid w:val="00D93FE3"/>
    <w:rsid w:val="00D949A3"/>
    <w:rsid w:val="00D9521B"/>
    <w:rsid w:val="00D95E0B"/>
    <w:rsid w:val="00D96077"/>
    <w:rsid w:val="00D973B3"/>
    <w:rsid w:val="00D9755C"/>
    <w:rsid w:val="00D976A3"/>
    <w:rsid w:val="00DA00B2"/>
    <w:rsid w:val="00DA0C2F"/>
    <w:rsid w:val="00DA1BE8"/>
    <w:rsid w:val="00DA2BFD"/>
    <w:rsid w:val="00DA305F"/>
    <w:rsid w:val="00DA4C05"/>
    <w:rsid w:val="00DA4E29"/>
    <w:rsid w:val="00DA5311"/>
    <w:rsid w:val="00DA6981"/>
    <w:rsid w:val="00DA7466"/>
    <w:rsid w:val="00DA7C58"/>
    <w:rsid w:val="00DA7C6F"/>
    <w:rsid w:val="00DA7EF6"/>
    <w:rsid w:val="00DB0137"/>
    <w:rsid w:val="00DB020A"/>
    <w:rsid w:val="00DB1194"/>
    <w:rsid w:val="00DB1803"/>
    <w:rsid w:val="00DB2A8A"/>
    <w:rsid w:val="00DB2FDB"/>
    <w:rsid w:val="00DB35E5"/>
    <w:rsid w:val="00DB3EB7"/>
    <w:rsid w:val="00DB449F"/>
    <w:rsid w:val="00DB45A6"/>
    <w:rsid w:val="00DB4725"/>
    <w:rsid w:val="00DB6557"/>
    <w:rsid w:val="00DB70A5"/>
    <w:rsid w:val="00DB76E7"/>
    <w:rsid w:val="00DC03AF"/>
    <w:rsid w:val="00DC06E3"/>
    <w:rsid w:val="00DC0952"/>
    <w:rsid w:val="00DC0F1D"/>
    <w:rsid w:val="00DC331F"/>
    <w:rsid w:val="00DC368A"/>
    <w:rsid w:val="00DC38DB"/>
    <w:rsid w:val="00DC3B3B"/>
    <w:rsid w:val="00DC593C"/>
    <w:rsid w:val="00DC6522"/>
    <w:rsid w:val="00DC6640"/>
    <w:rsid w:val="00DD01A0"/>
    <w:rsid w:val="00DD0B7E"/>
    <w:rsid w:val="00DD0CF6"/>
    <w:rsid w:val="00DD0DB8"/>
    <w:rsid w:val="00DD13BF"/>
    <w:rsid w:val="00DD1DA9"/>
    <w:rsid w:val="00DD2709"/>
    <w:rsid w:val="00DD318F"/>
    <w:rsid w:val="00DD3A9E"/>
    <w:rsid w:val="00DD3FF1"/>
    <w:rsid w:val="00DD5787"/>
    <w:rsid w:val="00DD6B8A"/>
    <w:rsid w:val="00DD6FF4"/>
    <w:rsid w:val="00DE1829"/>
    <w:rsid w:val="00DE1C63"/>
    <w:rsid w:val="00DE4804"/>
    <w:rsid w:val="00DE5DEE"/>
    <w:rsid w:val="00DE6DF4"/>
    <w:rsid w:val="00DF06FA"/>
    <w:rsid w:val="00DF07DE"/>
    <w:rsid w:val="00DF0B35"/>
    <w:rsid w:val="00DF4621"/>
    <w:rsid w:val="00DF4893"/>
    <w:rsid w:val="00DF59C2"/>
    <w:rsid w:val="00DF6F50"/>
    <w:rsid w:val="00DF7DF7"/>
    <w:rsid w:val="00E00A57"/>
    <w:rsid w:val="00E01863"/>
    <w:rsid w:val="00E01DD0"/>
    <w:rsid w:val="00E02863"/>
    <w:rsid w:val="00E02E0A"/>
    <w:rsid w:val="00E03CB7"/>
    <w:rsid w:val="00E05C0A"/>
    <w:rsid w:val="00E063A8"/>
    <w:rsid w:val="00E07433"/>
    <w:rsid w:val="00E1062C"/>
    <w:rsid w:val="00E10C86"/>
    <w:rsid w:val="00E10F85"/>
    <w:rsid w:val="00E113CF"/>
    <w:rsid w:val="00E117FB"/>
    <w:rsid w:val="00E12843"/>
    <w:rsid w:val="00E13E1A"/>
    <w:rsid w:val="00E17341"/>
    <w:rsid w:val="00E17622"/>
    <w:rsid w:val="00E20304"/>
    <w:rsid w:val="00E2038B"/>
    <w:rsid w:val="00E208F3"/>
    <w:rsid w:val="00E2090E"/>
    <w:rsid w:val="00E22154"/>
    <w:rsid w:val="00E2253C"/>
    <w:rsid w:val="00E2267C"/>
    <w:rsid w:val="00E22F1C"/>
    <w:rsid w:val="00E2461D"/>
    <w:rsid w:val="00E24A1B"/>
    <w:rsid w:val="00E24CC1"/>
    <w:rsid w:val="00E24CEC"/>
    <w:rsid w:val="00E2521A"/>
    <w:rsid w:val="00E2642F"/>
    <w:rsid w:val="00E2659D"/>
    <w:rsid w:val="00E26669"/>
    <w:rsid w:val="00E27308"/>
    <w:rsid w:val="00E273D2"/>
    <w:rsid w:val="00E277D8"/>
    <w:rsid w:val="00E300FE"/>
    <w:rsid w:val="00E30A85"/>
    <w:rsid w:val="00E311A1"/>
    <w:rsid w:val="00E31F19"/>
    <w:rsid w:val="00E3451E"/>
    <w:rsid w:val="00E36BAF"/>
    <w:rsid w:val="00E40B48"/>
    <w:rsid w:val="00E40C2D"/>
    <w:rsid w:val="00E41143"/>
    <w:rsid w:val="00E41FD6"/>
    <w:rsid w:val="00E4255A"/>
    <w:rsid w:val="00E429A9"/>
    <w:rsid w:val="00E42CA9"/>
    <w:rsid w:val="00E435AF"/>
    <w:rsid w:val="00E44702"/>
    <w:rsid w:val="00E44738"/>
    <w:rsid w:val="00E455F4"/>
    <w:rsid w:val="00E5070A"/>
    <w:rsid w:val="00E50829"/>
    <w:rsid w:val="00E532B8"/>
    <w:rsid w:val="00E5368A"/>
    <w:rsid w:val="00E53983"/>
    <w:rsid w:val="00E53B5D"/>
    <w:rsid w:val="00E55AD0"/>
    <w:rsid w:val="00E57E7B"/>
    <w:rsid w:val="00E60772"/>
    <w:rsid w:val="00E608F5"/>
    <w:rsid w:val="00E631DA"/>
    <w:rsid w:val="00E63421"/>
    <w:rsid w:val="00E63D15"/>
    <w:rsid w:val="00E70060"/>
    <w:rsid w:val="00E70C03"/>
    <w:rsid w:val="00E72A5B"/>
    <w:rsid w:val="00E7456A"/>
    <w:rsid w:val="00E758FA"/>
    <w:rsid w:val="00E76102"/>
    <w:rsid w:val="00E76EFF"/>
    <w:rsid w:val="00E80AA6"/>
    <w:rsid w:val="00E80AF0"/>
    <w:rsid w:val="00E8243A"/>
    <w:rsid w:val="00E826D3"/>
    <w:rsid w:val="00E83677"/>
    <w:rsid w:val="00E83828"/>
    <w:rsid w:val="00E83B99"/>
    <w:rsid w:val="00E84B8C"/>
    <w:rsid w:val="00E85570"/>
    <w:rsid w:val="00E85787"/>
    <w:rsid w:val="00E85A60"/>
    <w:rsid w:val="00E91678"/>
    <w:rsid w:val="00E920AF"/>
    <w:rsid w:val="00E922CA"/>
    <w:rsid w:val="00E92E41"/>
    <w:rsid w:val="00E94064"/>
    <w:rsid w:val="00E94319"/>
    <w:rsid w:val="00E95B0A"/>
    <w:rsid w:val="00E96367"/>
    <w:rsid w:val="00E96B1F"/>
    <w:rsid w:val="00E97181"/>
    <w:rsid w:val="00E972DC"/>
    <w:rsid w:val="00E97DFE"/>
    <w:rsid w:val="00EA0420"/>
    <w:rsid w:val="00EA0561"/>
    <w:rsid w:val="00EA0B2A"/>
    <w:rsid w:val="00EA3A22"/>
    <w:rsid w:val="00EA4341"/>
    <w:rsid w:val="00EA5A17"/>
    <w:rsid w:val="00EA684C"/>
    <w:rsid w:val="00EB149B"/>
    <w:rsid w:val="00EB24AA"/>
    <w:rsid w:val="00EB24AB"/>
    <w:rsid w:val="00EB2969"/>
    <w:rsid w:val="00EB3C74"/>
    <w:rsid w:val="00EB603D"/>
    <w:rsid w:val="00EB635F"/>
    <w:rsid w:val="00EB653E"/>
    <w:rsid w:val="00EC0830"/>
    <w:rsid w:val="00EC14EE"/>
    <w:rsid w:val="00EC21DB"/>
    <w:rsid w:val="00EC2C60"/>
    <w:rsid w:val="00EC41FF"/>
    <w:rsid w:val="00EC4798"/>
    <w:rsid w:val="00EC5D11"/>
    <w:rsid w:val="00EC6D2A"/>
    <w:rsid w:val="00EC6D7F"/>
    <w:rsid w:val="00ED04D8"/>
    <w:rsid w:val="00ED1A05"/>
    <w:rsid w:val="00ED2108"/>
    <w:rsid w:val="00ED2EC0"/>
    <w:rsid w:val="00ED3417"/>
    <w:rsid w:val="00ED42AD"/>
    <w:rsid w:val="00ED6F6F"/>
    <w:rsid w:val="00EE1974"/>
    <w:rsid w:val="00EE25C7"/>
    <w:rsid w:val="00EE3717"/>
    <w:rsid w:val="00EE37F1"/>
    <w:rsid w:val="00EE471D"/>
    <w:rsid w:val="00EE4B0C"/>
    <w:rsid w:val="00EE4BC8"/>
    <w:rsid w:val="00EE5AB6"/>
    <w:rsid w:val="00EE5D8D"/>
    <w:rsid w:val="00EE760D"/>
    <w:rsid w:val="00EF0634"/>
    <w:rsid w:val="00EF1BE5"/>
    <w:rsid w:val="00EF1FBF"/>
    <w:rsid w:val="00EF441F"/>
    <w:rsid w:val="00EF569D"/>
    <w:rsid w:val="00EF5CE7"/>
    <w:rsid w:val="00EF6401"/>
    <w:rsid w:val="00EF6D98"/>
    <w:rsid w:val="00EF7A7D"/>
    <w:rsid w:val="00EF7FCA"/>
    <w:rsid w:val="00F004C5"/>
    <w:rsid w:val="00F00B8E"/>
    <w:rsid w:val="00F02847"/>
    <w:rsid w:val="00F02DF3"/>
    <w:rsid w:val="00F043E9"/>
    <w:rsid w:val="00F05178"/>
    <w:rsid w:val="00F0533C"/>
    <w:rsid w:val="00F0563A"/>
    <w:rsid w:val="00F05A29"/>
    <w:rsid w:val="00F05F76"/>
    <w:rsid w:val="00F064CB"/>
    <w:rsid w:val="00F07588"/>
    <w:rsid w:val="00F07A11"/>
    <w:rsid w:val="00F07FA6"/>
    <w:rsid w:val="00F1009C"/>
    <w:rsid w:val="00F11707"/>
    <w:rsid w:val="00F14258"/>
    <w:rsid w:val="00F1597A"/>
    <w:rsid w:val="00F159AB"/>
    <w:rsid w:val="00F17ACD"/>
    <w:rsid w:val="00F20AC0"/>
    <w:rsid w:val="00F2103F"/>
    <w:rsid w:val="00F21B33"/>
    <w:rsid w:val="00F25CA0"/>
    <w:rsid w:val="00F26D86"/>
    <w:rsid w:val="00F273F9"/>
    <w:rsid w:val="00F316D6"/>
    <w:rsid w:val="00F328E9"/>
    <w:rsid w:val="00F3346F"/>
    <w:rsid w:val="00F33B74"/>
    <w:rsid w:val="00F35011"/>
    <w:rsid w:val="00F366A6"/>
    <w:rsid w:val="00F371E9"/>
    <w:rsid w:val="00F372C4"/>
    <w:rsid w:val="00F41382"/>
    <w:rsid w:val="00F422CB"/>
    <w:rsid w:val="00F427C2"/>
    <w:rsid w:val="00F43D52"/>
    <w:rsid w:val="00F458DD"/>
    <w:rsid w:val="00F4613E"/>
    <w:rsid w:val="00F47DC2"/>
    <w:rsid w:val="00F510BC"/>
    <w:rsid w:val="00F53083"/>
    <w:rsid w:val="00F531D0"/>
    <w:rsid w:val="00F533C6"/>
    <w:rsid w:val="00F546CE"/>
    <w:rsid w:val="00F55EE0"/>
    <w:rsid w:val="00F57608"/>
    <w:rsid w:val="00F57D48"/>
    <w:rsid w:val="00F57F32"/>
    <w:rsid w:val="00F60330"/>
    <w:rsid w:val="00F61805"/>
    <w:rsid w:val="00F61E97"/>
    <w:rsid w:val="00F62EE6"/>
    <w:rsid w:val="00F63D7D"/>
    <w:rsid w:val="00F65813"/>
    <w:rsid w:val="00F65D09"/>
    <w:rsid w:val="00F67ACD"/>
    <w:rsid w:val="00F70E71"/>
    <w:rsid w:val="00F71DEA"/>
    <w:rsid w:val="00F7260E"/>
    <w:rsid w:val="00F72B22"/>
    <w:rsid w:val="00F7355E"/>
    <w:rsid w:val="00F74061"/>
    <w:rsid w:val="00F74F7B"/>
    <w:rsid w:val="00F7543F"/>
    <w:rsid w:val="00F754A2"/>
    <w:rsid w:val="00F76676"/>
    <w:rsid w:val="00F7732B"/>
    <w:rsid w:val="00F77405"/>
    <w:rsid w:val="00F803B3"/>
    <w:rsid w:val="00F803D9"/>
    <w:rsid w:val="00F808D1"/>
    <w:rsid w:val="00F80E3A"/>
    <w:rsid w:val="00F82505"/>
    <w:rsid w:val="00F82EB0"/>
    <w:rsid w:val="00F83950"/>
    <w:rsid w:val="00F85EAD"/>
    <w:rsid w:val="00F86FAD"/>
    <w:rsid w:val="00F878BC"/>
    <w:rsid w:val="00F9164B"/>
    <w:rsid w:val="00F91D74"/>
    <w:rsid w:val="00F928CE"/>
    <w:rsid w:val="00F92B1B"/>
    <w:rsid w:val="00F94108"/>
    <w:rsid w:val="00F94C0B"/>
    <w:rsid w:val="00F9562F"/>
    <w:rsid w:val="00F95B9A"/>
    <w:rsid w:val="00F96000"/>
    <w:rsid w:val="00F96209"/>
    <w:rsid w:val="00F96A96"/>
    <w:rsid w:val="00F96E0B"/>
    <w:rsid w:val="00F97F28"/>
    <w:rsid w:val="00FA02E0"/>
    <w:rsid w:val="00FA0638"/>
    <w:rsid w:val="00FA1A5E"/>
    <w:rsid w:val="00FA210B"/>
    <w:rsid w:val="00FA23B2"/>
    <w:rsid w:val="00FA2CB1"/>
    <w:rsid w:val="00FA39E3"/>
    <w:rsid w:val="00FA3C8D"/>
    <w:rsid w:val="00FA65D4"/>
    <w:rsid w:val="00FA6FC4"/>
    <w:rsid w:val="00FB15AC"/>
    <w:rsid w:val="00FB1C0B"/>
    <w:rsid w:val="00FB49C5"/>
    <w:rsid w:val="00FB60F8"/>
    <w:rsid w:val="00FB76CB"/>
    <w:rsid w:val="00FB774C"/>
    <w:rsid w:val="00FB7CAE"/>
    <w:rsid w:val="00FC0462"/>
    <w:rsid w:val="00FC0966"/>
    <w:rsid w:val="00FC1323"/>
    <w:rsid w:val="00FC1BA2"/>
    <w:rsid w:val="00FC1E61"/>
    <w:rsid w:val="00FC49BC"/>
    <w:rsid w:val="00FC4A57"/>
    <w:rsid w:val="00FC4F38"/>
    <w:rsid w:val="00FC6049"/>
    <w:rsid w:val="00FC6077"/>
    <w:rsid w:val="00FC65C0"/>
    <w:rsid w:val="00FC72C6"/>
    <w:rsid w:val="00FC764D"/>
    <w:rsid w:val="00FC777E"/>
    <w:rsid w:val="00FC7BAA"/>
    <w:rsid w:val="00FD2272"/>
    <w:rsid w:val="00FD27EA"/>
    <w:rsid w:val="00FD2E06"/>
    <w:rsid w:val="00FD30E1"/>
    <w:rsid w:val="00FD6F48"/>
    <w:rsid w:val="00FD6FD3"/>
    <w:rsid w:val="00FE06AA"/>
    <w:rsid w:val="00FE0740"/>
    <w:rsid w:val="00FE1C6C"/>
    <w:rsid w:val="00FE2C9B"/>
    <w:rsid w:val="00FE4210"/>
    <w:rsid w:val="00FE4218"/>
    <w:rsid w:val="00FE45EE"/>
    <w:rsid w:val="00FE4740"/>
    <w:rsid w:val="00FE573A"/>
    <w:rsid w:val="00FE5802"/>
    <w:rsid w:val="00FE5A78"/>
    <w:rsid w:val="00FE6D43"/>
    <w:rsid w:val="00FE7411"/>
    <w:rsid w:val="00FF0123"/>
    <w:rsid w:val="00FF022D"/>
    <w:rsid w:val="00FF1C91"/>
    <w:rsid w:val="00FF2BF3"/>
    <w:rsid w:val="00FF42FA"/>
    <w:rsid w:val="00FF51FD"/>
    <w:rsid w:val="00FF5C54"/>
    <w:rsid w:val="00FF5EF7"/>
    <w:rsid w:val="00FF64E6"/>
    <w:rsid w:val="00FF767A"/>
    <w:rsid w:val="00FF781D"/>
    <w:rsid w:val="04C74B6D"/>
    <w:rsid w:val="1E381817"/>
    <w:rsid w:val="2B357D2F"/>
    <w:rsid w:val="38BB03A5"/>
    <w:rsid w:val="3E19462D"/>
    <w:rsid w:val="468969B7"/>
    <w:rsid w:val="4A011669"/>
    <w:rsid w:val="681029FA"/>
    <w:rsid w:val="6FA81A3C"/>
    <w:rsid w:val="7BC634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Calibri" w:hAnsi="Calibri" w:eastAsia="宋体" w:cs="Times New Roman"/>
      <w:kern w:val="2"/>
      <w:sz w:val="21"/>
      <w:szCs w:val="22"/>
      <w:lang w:val="en-US" w:eastAsia="zh-CN" w:bidi="ar-SA"/>
    </w:rPr>
  </w:style>
  <w:style w:type="paragraph" w:styleId="3">
    <w:name w:val="heading 1"/>
    <w:basedOn w:val="1"/>
    <w:next w:val="1"/>
    <w:link w:val="56"/>
    <w:qFormat/>
    <w:uiPriority w:val="9"/>
    <w:pPr>
      <w:autoSpaceDE w:val="0"/>
      <w:autoSpaceDN w:val="0"/>
      <w:adjustRightInd w:val="0"/>
      <w:jc w:val="center"/>
      <w:outlineLvl w:val="0"/>
    </w:pPr>
    <w:rPr>
      <w:rFonts w:ascii="Times New Roman" w:hAnsi="Times New Roman"/>
      <w:b/>
      <w:bCs/>
      <w:kern w:val="0"/>
      <w:sz w:val="28"/>
      <w:szCs w:val="36"/>
    </w:rPr>
  </w:style>
  <w:style w:type="paragraph" w:styleId="4">
    <w:name w:val="heading 2"/>
    <w:basedOn w:val="1"/>
    <w:next w:val="1"/>
    <w:link w:val="57"/>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link w:val="58"/>
    <w:qFormat/>
    <w:uiPriority w:val="0"/>
    <w:pPr>
      <w:keepNext/>
      <w:keepLines/>
      <w:spacing w:before="260" w:after="260" w:line="413" w:lineRule="auto"/>
      <w:outlineLvl w:val="2"/>
    </w:pPr>
    <w:rPr>
      <w:b/>
      <w:bCs/>
      <w:sz w:val="32"/>
      <w:szCs w:val="32"/>
    </w:rPr>
  </w:style>
  <w:style w:type="paragraph" w:styleId="6">
    <w:name w:val="heading 4"/>
    <w:basedOn w:val="1"/>
    <w:next w:val="1"/>
    <w:link w:val="59"/>
    <w:qFormat/>
    <w:uiPriority w:val="0"/>
    <w:pPr>
      <w:keepNext/>
      <w:keepLines/>
      <w:spacing w:before="280" w:after="290" w:line="372" w:lineRule="auto"/>
      <w:outlineLvl w:val="3"/>
    </w:pPr>
    <w:rPr>
      <w:rFonts w:ascii="Arial" w:hAnsi="Arial" w:eastAsia="黑体"/>
      <w:b/>
      <w:bCs/>
      <w:sz w:val="28"/>
      <w:szCs w:val="28"/>
    </w:rPr>
  </w:style>
  <w:style w:type="paragraph" w:styleId="7">
    <w:name w:val="heading 5"/>
    <w:basedOn w:val="1"/>
    <w:next w:val="1"/>
    <w:link w:val="60"/>
    <w:qFormat/>
    <w:uiPriority w:val="0"/>
    <w:pPr>
      <w:keepNext/>
      <w:keepLines/>
      <w:spacing w:before="280" w:after="290" w:line="372" w:lineRule="auto"/>
      <w:outlineLvl w:val="4"/>
    </w:pPr>
    <w:rPr>
      <w:rFonts w:ascii="Times New Roman" w:hAnsi="Times New Roman"/>
      <w:b/>
      <w:bCs/>
      <w:sz w:val="28"/>
      <w:szCs w:val="28"/>
    </w:rPr>
  </w:style>
  <w:style w:type="paragraph" w:styleId="8">
    <w:name w:val="heading 6"/>
    <w:basedOn w:val="1"/>
    <w:next w:val="1"/>
    <w:link w:val="61"/>
    <w:qFormat/>
    <w:uiPriority w:val="0"/>
    <w:pPr>
      <w:keepNext/>
      <w:keepLines/>
      <w:spacing w:before="240" w:after="64" w:line="317" w:lineRule="auto"/>
      <w:outlineLvl w:val="5"/>
    </w:pPr>
    <w:rPr>
      <w:rFonts w:ascii="Arial" w:hAnsi="Arial" w:eastAsia="黑体"/>
      <w:b/>
      <w:bCs/>
      <w:sz w:val="24"/>
      <w:szCs w:val="24"/>
    </w:rPr>
  </w:style>
  <w:style w:type="paragraph" w:styleId="9">
    <w:name w:val="heading 7"/>
    <w:basedOn w:val="1"/>
    <w:next w:val="1"/>
    <w:link w:val="62"/>
    <w:qFormat/>
    <w:uiPriority w:val="0"/>
    <w:pPr>
      <w:keepNext/>
      <w:keepLines/>
      <w:snapToGrid w:val="0"/>
      <w:spacing w:before="240" w:after="64" w:line="320" w:lineRule="atLeast"/>
      <w:jc w:val="center"/>
      <w:outlineLvl w:val="6"/>
    </w:pPr>
    <w:rPr>
      <w:rFonts w:ascii="宋体" w:hAnsi="宋体"/>
      <w:b/>
      <w:bCs/>
      <w:kern w:val="0"/>
      <w:sz w:val="24"/>
      <w:szCs w:val="24"/>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102"/>
    <w:unhideWhenUsed/>
    <w:qFormat/>
    <w:uiPriority w:val="0"/>
    <w:pPr>
      <w:spacing w:after="120"/>
    </w:pPr>
  </w:style>
  <w:style w:type="paragraph" w:styleId="10">
    <w:name w:val="toc 7"/>
    <w:basedOn w:val="1"/>
    <w:next w:val="1"/>
    <w:qFormat/>
    <w:uiPriority w:val="39"/>
    <w:pPr>
      <w:snapToGrid w:val="0"/>
      <w:spacing w:line="600" w:lineRule="exact"/>
      <w:ind w:left="3120"/>
      <w:jc w:val="left"/>
    </w:pPr>
    <w:rPr>
      <w:rFonts w:ascii="Times New Roman" w:hAnsi="Times New Roman"/>
      <w:kern w:val="0"/>
      <w:sz w:val="18"/>
      <w:szCs w:val="18"/>
    </w:rPr>
  </w:style>
  <w:style w:type="paragraph" w:styleId="11">
    <w:name w:val="List Number"/>
    <w:basedOn w:val="1"/>
    <w:qFormat/>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12">
    <w:name w:val="Normal Indent"/>
    <w:basedOn w:val="1"/>
    <w:link w:val="73"/>
    <w:qFormat/>
    <w:uiPriority w:val="0"/>
    <w:pPr>
      <w:ind w:firstLine="420"/>
    </w:pPr>
    <w:rPr>
      <w:szCs w:val="20"/>
    </w:rPr>
  </w:style>
  <w:style w:type="paragraph" w:styleId="13">
    <w:name w:val="caption"/>
    <w:basedOn w:val="1"/>
    <w:next w:val="1"/>
    <w:link w:val="99"/>
    <w:qFormat/>
    <w:uiPriority w:val="0"/>
    <w:pPr>
      <w:spacing w:before="152" w:after="160"/>
    </w:pPr>
    <w:rPr>
      <w:rFonts w:ascii="Arial" w:hAnsi="Arial" w:eastAsia="黑体"/>
      <w:sz w:val="20"/>
      <w:szCs w:val="20"/>
    </w:rPr>
  </w:style>
  <w:style w:type="paragraph" w:styleId="14">
    <w:name w:val="Document Map"/>
    <w:basedOn w:val="1"/>
    <w:link w:val="68"/>
    <w:qFormat/>
    <w:uiPriority w:val="0"/>
    <w:rPr>
      <w:rFonts w:ascii="宋体"/>
      <w:sz w:val="18"/>
      <w:szCs w:val="18"/>
    </w:rPr>
  </w:style>
  <w:style w:type="paragraph" w:styleId="15">
    <w:name w:val="annotation text"/>
    <w:basedOn w:val="1"/>
    <w:link w:val="100"/>
    <w:unhideWhenUsed/>
    <w:qFormat/>
    <w:uiPriority w:val="0"/>
    <w:pPr>
      <w:jc w:val="left"/>
    </w:pPr>
  </w:style>
  <w:style w:type="paragraph" w:styleId="16">
    <w:name w:val="Body Text 3"/>
    <w:basedOn w:val="1"/>
    <w:link w:val="90"/>
    <w:qFormat/>
    <w:uiPriority w:val="0"/>
    <w:pPr>
      <w:snapToGrid w:val="0"/>
      <w:spacing w:before="50" w:after="50"/>
    </w:pPr>
    <w:rPr>
      <w:rFonts w:ascii="Times New Roman" w:hAnsi="宋体" w:eastAsia="仿宋_GB2312"/>
      <w:b/>
      <w:bCs/>
      <w:sz w:val="24"/>
      <w:szCs w:val="20"/>
    </w:rPr>
  </w:style>
  <w:style w:type="paragraph" w:styleId="17">
    <w:name w:val="Body Text Indent"/>
    <w:basedOn w:val="1"/>
    <w:link w:val="111"/>
    <w:qFormat/>
    <w:uiPriority w:val="0"/>
    <w:pPr>
      <w:spacing w:line="200" w:lineRule="exact"/>
      <w:ind w:firstLine="301"/>
    </w:pPr>
    <w:rPr>
      <w:rFonts w:ascii="宋体" w:hAnsi="Courier New"/>
      <w:spacing w:val="-4"/>
      <w:sz w:val="18"/>
      <w:szCs w:val="20"/>
    </w:rPr>
  </w:style>
  <w:style w:type="paragraph" w:styleId="18">
    <w:name w:val="List Number 3"/>
    <w:basedOn w:val="1"/>
    <w:qFormat/>
    <w:uiPriority w:val="0"/>
    <w:pPr>
      <w:tabs>
        <w:tab w:val="left" w:pos="1200"/>
      </w:tabs>
      <w:ind w:left="1200" w:hanging="360"/>
    </w:pPr>
    <w:rPr>
      <w:rFonts w:ascii="Times New Roman" w:hAnsi="Times New Roman"/>
      <w:szCs w:val="24"/>
    </w:rPr>
  </w:style>
  <w:style w:type="paragraph" w:styleId="19">
    <w:name w:val="List 2"/>
    <w:basedOn w:val="1"/>
    <w:qFormat/>
    <w:uiPriority w:val="0"/>
    <w:pPr>
      <w:ind w:left="100" w:leftChars="200" w:hanging="200" w:hangingChars="200"/>
    </w:pPr>
    <w:rPr>
      <w:rFonts w:ascii="Times New Roman" w:hAnsi="Times New Roman"/>
      <w:sz w:val="28"/>
      <w:szCs w:val="24"/>
    </w:rPr>
  </w:style>
  <w:style w:type="paragraph" w:styleId="20">
    <w:name w:val="toc 5"/>
    <w:basedOn w:val="1"/>
    <w:next w:val="1"/>
    <w:qFormat/>
    <w:uiPriority w:val="39"/>
    <w:pPr>
      <w:snapToGrid w:val="0"/>
      <w:spacing w:line="600" w:lineRule="exact"/>
      <w:ind w:left="2080"/>
      <w:jc w:val="left"/>
    </w:pPr>
    <w:rPr>
      <w:rFonts w:ascii="Times New Roman" w:hAnsi="Times New Roman"/>
      <w:kern w:val="0"/>
      <w:sz w:val="18"/>
      <w:szCs w:val="18"/>
    </w:rPr>
  </w:style>
  <w:style w:type="paragraph" w:styleId="21">
    <w:name w:val="toc 3"/>
    <w:basedOn w:val="1"/>
    <w:next w:val="1"/>
    <w:qFormat/>
    <w:uiPriority w:val="39"/>
    <w:pPr>
      <w:ind w:left="840" w:leftChars="400"/>
    </w:pPr>
  </w:style>
  <w:style w:type="paragraph" w:styleId="22">
    <w:name w:val="Plain Text"/>
    <w:basedOn w:val="1"/>
    <w:link w:val="74"/>
    <w:qFormat/>
    <w:uiPriority w:val="99"/>
    <w:pPr>
      <w:spacing w:beforeLines="50" w:afterLines="50" w:line="400" w:lineRule="exact"/>
    </w:pPr>
    <w:rPr>
      <w:rFonts w:ascii="宋体" w:hAnsi="Courier New"/>
      <w:sz w:val="24"/>
      <w:szCs w:val="24"/>
    </w:rPr>
  </w:style>
  <w:style w:type="paragraph" w:styleId="23">
    <w:name w:val="toc 8"/>
    <w:basedOn w:val="1"/>
    <w:next w:val="1"/>
    <w:qFormat/>
    <w:uiPriority w:val="39"/>
    <w:pPr>
      <w:snapToGrid w:val="0"/>
      <w:spacing w:line="600" w:lineRule="exact"/>
      <w:ind w:left="3640"/>
      <w:jc w:val="left"/>
    </w:pPr>
    <w:rPr>
      <w:rFonts w:ascii="Times New Roman" w:hAnsi="Times New Roman"/>
      <w:kern w:val="0"/>
      <w:sz w:val="18"/>
      <w:szCs w:val="18"/>
    </w:rPr>
  </w:style>
  <w:style w:type="paragraph" w:styleId="24">
    <w:name w:val="Date"/>
    <w:basedOn w:val="1"/>
    <w:next w:val="1"/>
    <w:link w:val="106"/>
    <w:qFormat/>
    <w:uiPriority w:val="0"/>
    <w:pPr>
      <w:ind w:left="2500" w:leftChars="2500"/>
    </w:pPr>
    <w:rPr>
      <w:rFonts w:ascii="Times New Roman" w:hAnsi="Times New Roman" w:eastAsia="楷体_GB2312"/>
      <w:sz w:val="32"/>
      <w:szCs w:val="20"/>
    </w:rPr>
  </w:style>
  <w:style w:type="paragraph" w:styleId="25">
    <w:name w:val="Body Text Indent 2"/>
    <w:basedOn w:val="1"/>
    <w:link w:val="107"/>
    <w:qFormat/>
    <w:uiPriority w:val="0"/>
    <w:pPr>
      <w:snapToGrid w:val="0"/>
      <w:ind w:firstLine="542" w:firstLineChars="225"/>
    </w:pPr>
    <w:rPr>
      <w:rFonts w:ascii="仿宋_GB2312" w:hAnsi="宋体"/>
      <w:b/>
      <w:bCs/>
      <w:color w:val="000000"/>
      <w:sz w:val="24"/>
      <w:szCs w:val="24"/>
    </w:rPr>
  </w:style>
  <w:style w:type="paragraph" w:styleId="26">
    <w:name w:val="Balloon Text"/>
    <w:basedOn w:val="1"/>
    <w:link w:val="105"/>
    <w:qFormat/>
    <w:uiPriority w:val="0"/>
    <w:rPr>
      <w:sz w:val="18"/>
      <w:szCs w:val="18"/>
    </w:rPr>
  </w:style>
  <w:style w:type="paragraph" w:styleId="27">
    <w:name w:val="footer"/>
    <w:basedOn w:val="1"/>
    <w:link w:val="55"/>
    <w:unhideWhenUsed/>
    <w:qFormat/>
    <w:uiPriority w:val="0"/>
    <w:pPr>
      <w:tabs>
        <w:tab w:val="center" w:pos="4153"/>
        <w:tab w:val="right" w:pos="8306"/>
      </w:tabs>
      <w:snapToGrid w:val="0"/>
      <w:jc w:val="left"/>
    </w:pPr>
    <w:rPr>
      <w:kern w:val="0"/>
      <w:sz w:val="18"/>
      <w:szCs w:val="18"/>
    </w:rPr>
  </w:style>
  <w:style w:type="paragraph" w:styleId="28">
    <w:name w:val="header"/>
    <w:basedOn w:val="1"/>
    <w:link w:val="54"/>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qFormat/>
    <w:uiPriority w:val="39"/>
    <w:rPr>
      <w:rFonts w:ascii="Times New Roman" w:hAnsi="Times New Roman"/>
      <w:szCs w:val="24"/>
    </w:rPr>
  </w:style>
  <w:style w:type="paragraph" w:styleId="30">
    <w:name w:val="toc 4"/>
    <w:basedOn w:val="1"/>
    <w:next w:val="1"/>
    <w:qFormat/>
    <w:uiPriority w:val="39"/>
    <w:pPr>
      <w:snapToGrid w:val="0"/>
      <w:spacing w:line="600" w:lineRule="exact"/>
      <w:ind w:left="1560"/>
      <w:jc w:val="left"/>
    </w:pPr>
    <w:rPr>
      <w:rFonts w:ascii="Times New Roman" w:hAnsi="Times New Roman"/>
      <w:kern w:val="0"/>
      <w:sz w:val="18"/>
      <w:szCs w:val="18"/>
    </w:rPr>
  </w:style>
  <w:style w:type="paragraph" w:styleId="31">
    <w:name w:val="List"/>
    <w:basedOn w:val="1"/>
    <w:qFormat/>
    <w:uiPriority w:val="0"/>
    <w:pPr>
      <w:ind w:left="200" w:hanging="200" w:hangingChars="200"/>
    </w:pPr>
    <w:rPr>
      <w:rFonts w:ascii="Times New Roman" w:hAnsi="Times New Roman"/>
      <w:sz w:val="28"/>
      <w:szCs w:val="24"/>
    </w:rPr>
  </w:style>
  <w:style w:type="paragraph" w:styleId="32">
    <w:name w:val="footnote text"/>
    <w:basedOn w:val="1"/>
    <w:link w:val="104"/>
    <w:semiHidden/>
    <w:qFormat/>
    <w:uiPriority w:val="0"/>
    <w:pPr>
      <w:snapToGrid w:val="0"/>
      <w:jc w:val="left"/>
    </w:pPr>
    <w:rPr>
      <w:sz w:val="18"/>
      <w:szCs w:val="18"/>
    </w:rPr>
  </w:style>
  <w:style w:type="paragraph" w:styleId="33">
    <w:name w:val="toc 6"/>
    <w:basedOn w:val="1"/>
    <w:next w:val="1"/>
    <w:qFormat/>
    <w:uiPriority w:val="39"/>
    <w:pPr>
      <w:snapToGrid w:val="0"/>
      <w:spacing w:line="600" w:lineRule="exact"/>
      <w:ind w:left="2600"/>
      <w:jc w:val="left"/>
    </w:pPr>
    <w:rPr>
      <w:rFonts w:ascii="Times New Roman" w:hAnsi="Times New Roman"/>
      <w:kern w:val="0"/>
      <w:sz w:val="18"/>
      <w:szCs w:val="18"/>
    </w:rPr>
  </w:style>
  <w:style w:type="paragraph" w:styleId="34">
    <w:name w:val="Body Text Indent 3"/>
    <w:basedOn w:val="1"/>
    <w:link w:val="110"/>
    <w:qFormat/>
    <w:uiPriority w:val="0"/>
    <w:pPr>
      <w:snapToGrid w:val="0"/>
      <w:ind w:firstLine="480" w:firstLineChars="200"/>
      <w:jc w:val="left"/>
    </w:pPr>
    <w:rPr>
      <w:rFonts w:ascii="仿宋_GB2312" w:hAnsi="宋体" w:eastAsia="仿宋_GB2312"/>
      <w:color w:val="000000"/>
      <w:sz w:val="24"/>
      <w:szCs w:val="24"/>
    </w:rPr>
  </w:style>
  <w:style w:type="paragraph" w:styleId="35">
    <w:name w:val="toc 2"/>
    <w:basedOn w:val="1"/>
    <w:next w:val="1"/>
    <w:qFormat/>
    <w:uiPriority w:val="39"/>
    <w:pPr>
      <w:ind w:left="420" w:leftChars="200"/>
    </w:pPr>
  </w:style>
  <w:style w:type="paragraph" w:styleId="36">
    <w:name w:val="toc 9"/>
    <w:basedOn w:val="1"/>
    <w:next w:val="1"/>
    <w:qFormat/>
    <w:uiPriority w:val="39"/>
    <w:pPr>
      <w:snapToGrid w:val="0"/>
      <w:spacing w:line="600" w:lineRule="exact"/>
      <w:ind w:left="4160"/>
      <w:jc w:val="left"/>
    </w:pPr>
    <w:rPr>
      <w:rFonts w:ascii="Times New Roman" w:hAnsi="Times New Roman"/>
      <w:kern w:val="0"/>
      <w:sz w:val="18"/>
      <w:szCs w:val="18"/>
    </w:rPr>
  </w:style>
  <w:style w:type="paragraph" w:styleId="37">
    <w:name w:val="Body Text 2"/>
    <w:basedOn w:val="1"/>
    <w:link w:val="109"/>
    <w:qFormat/>
    <w:uiPriority w:val="0"/>
    <w:pPr>
      <w:widowControl/>
      <w:snapToGrid w:val="0"/>
      <w:spacing w:before="50" w:afterLines="50" w:line="400" w:lineRule="exact"/>
      <w:jc w:val="left"/>
    </w:pPr>
    <w:rPr>
      <w:rFonts w:ascii="宋体" w:hAnsi="宋体"/>
      <w:color w:val="000000"/>
      <w:sz w:val="24"/>
      <w:szCs w:val="24"/>
    </w:rPr>
  </w:style>
  <w:style w:type="paragraph" w:styleId="38">
    <w:name w:val="HTML Preformatted"/>
    <w:basedOn w:val="1"/>
    <w:link w:val="108"/>
    <w:qFormat/>
    <w:uiPriority w:val="0"/>
    <w:rPr>
      <w:rFonts w:ascii="Courier New" w:hAnsi="Courier New"/>
      <w:sz w:val="20"/>
      <w:szCs w:val="20"/>
    </w:rPr>
  </w:style>
  <w:style w:type="paragraph" w:styleId="3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0">
    <w:name w:val="Title"/>
    <w:basedOn w:val="1"/>
    <w:next w:val="1"/>
    <w:link w:val="88"/>
    <w:qFormat/>
    <w:uiPriority w:val="99"/>
    <w:pPr>
      <w:spacing w:before="240" w:after="60"/>
      <w:jc w:val="center"/>
      <w:outlineLvl w:val="0"/>
    </w:pPr>
    <w:rPr>
      <w:rFonts w:ascii="Cambria" w:hAnsi="Cambria"/>
      <w:b/>
      <w:bCs/>
      <w:kern w:val="0"/>
      <w:sz w:val="32"/>
      <w:szCs w:val="32"/>
    </w:rPr>
  </w:style>
  <w:style w:type="paragraph" w:styleId="41">
    <w:name w:val="annotation subject"/>
    <w:basedOn w:val="15"/>
    <w:next w:val="15"/>
    <w:link w:val="101"/>
    <w:qFormat/>
    <w:uiPriority w:val="0"/>
    <w:rPr>
      <w:b/>
      <w:bCs/>
    </w:rPr>
  </w:style>
  <w:style w:type="paragraph" w:styleId="42">
    <w:name w:val="Body Text First Indent"/>
    <w:basedOn w:val="2"/>
    <w:link w:val="103"/>
    <w:qFormat/>
    <w:uiPriority w:val="0"/>
    <w:pPr>
      <w:ind w:firstLine="420" w:firstLineChars="100"/>
    </w:pPr>
  </w:style>
  <w:style w:type="table" w:styleId="44">
    <w:name w:val="Table Grid"/>
    <w:basedOn w:val="43"/>
    <w:qFormat/>
    <w:uiPriority w:val="0"/>
    <w:pPr>
      <w:widowControl w:val="0"/>
      <w:snapToGrid w:val="0"/>
      <w:spacing w:line="600" w:lineRule="exact"/>
      <w:jc w:val="center"/>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22"/>
    <w:rPr>
      <w:b/>
      <w:bCs/>
    </w:rPr>
  </w:style>
  <w:style w:type="character" w:styleId="47">
    <w:name w:val="page number"/>
    <w:basedOn w:val="45"/>
    <w:qFormat/>
    <w:uiPriority w:val="0"/>
  </w:style>
  <w:style w:type="character" w:styleId="48">
    <w:name w:val="FollowedHyperlink"/>
    <w:unhideWhenUsed/>
    <w:qFormat/>
    <w:uiPriority w:val="99"/>
    <w:rPr>
      <w:color w:val="800080"/>
      <w:u w:val="single"/>
    </w:rPr>
  </w:style>
  <w:style w:type="character" w:styleId="49">
    <w:name w:val="Emphasis"/>
    <w:qFormat/>
    <w:uiPriority w:val="20"/>
    <w:rPr>
      <w:color w:val="CC0033"/>
    </w:rPr>
  </w:style>
  <w:style w:type="character" w:styleId="50">
    <w:name w:val="Hyperlink"/>
    <w:qFormat/>
    <w:uiPriority w:val="99"/>
    <w:rPr>
      <w:color w:val="0000FF"/>
      <w:u w:val="single"/>
    </w:rPr>
  </w:style>
  <w:style w:type="character" w:styleId="51">
    <w:name w:val="annotation reference"/>
    <w:qFormat/>
    <w:uiPriority w:val="0"/>
    <w:rPr>
      <w:sz w:val="21"/>
      <w:szCs w:val="21"/>
    </w:rPr>
  </w:style>
  <w:style w:type="character" w:styleId="52">
    <w:name w:val="footnote reference"/>
    <w:semiHidden/>
    <w:qFormat/>
    <w:uiPriority w:val="0"/>
    <w:rPr>
      <w:vertAlign w:val="superscript"/>
    </w:rPr>
  </w:style>
  <w:style w:type="paragraph" w:styleId="53">
    <w:name w:val="List Paragraph"/>
    <w:basedOn w:val="1"/>
    <w:link w:val="83"/>
    <w:qFormat/>
    <w:uiPriority w:val="0"/>
    <w:pPr>
      <w:ind w:firstLine="420" w:firstLineChars="200"/>
    </w:pPr>
  </w:style>
  <w:style w:type="character" w:customStyle="1" w:styleId="54">
    <w:name w:val="页眉 Char"/>
    <w:link w:val="28"/>
    <w:qFormat/>
    <w:uiPriority w:val="0"/>
    <w:rPr>
      <w:sz w:val="18"/>
      <w:szCs w:val="18"/>
    </w:rPr>
  </w:style>
  <w:style w:type="character" w:customStyle="1" w:styleId="55">
    <w:name w:val="页脚 Char"/>
    <w:link w:val="27"/>
    <w:qFormat/>
    <w:uiPriority w:val="99"/>
    <w:rPr>
      <w:sz w:val="18"/>
      <w:szCs w:val="18"/>
    </w:rPr>
  </w:style>
  <w:style w:type="character" w:customStyle="1" w:styleId="56">
    <w:name w:val="标题 1 Char"/>
    <w:link w:val="3"/>
    <w:qFormat/>
    <w:uiPriority w:val="9"/>
    <w:rPr>
      <w:rFonts w:ascii="Times New Roman" w:hAnsi="Times New Roman"/>
      <w:b/>
      <w:bCs/>
      <w:sz w:val="28"/>
      <w:szCs w:val="36"/>
    </w:rPr>
  </w:style>
  <w:style w:type="character" w:customStyle="1" w:styleId="57">
    <w:name w:val="标题 2 Char"/>
    <w:link w:val="4"/>
    <w:qFormat/>
    <w:uiPriority w:val="0"/>
    <w:rPr>
      <w:rFonts w:ascii="Arial" w:hAnsi="Arial" w:eastAsia="黑体"/>
      <w:b/>
      <w:bCs/>
      <w:kern w:val="2"/>
      <w:sz w:val="32"/>
      <w:szCs w:val="32"/>
    </w:rPr>
  </w:style>
  <w:style w:type="character" w:customStyle="1" w:styleId="58">
    <w:name w:val="标题 3 Char"/>
    <w:link w:val="5"/>
    <w:qFormat/>
    <w:uiPriority w:val="0"/>
    <w:rPr>
      <w:b/>
      <w:bCs/>
      <w:kern w:val="2"/>
      <w:sz w:val="32"/>
      <w:szCs w:val="32"/>
    </w:rPr>
  </w:style>
  <w:style w:type="character" w:customStyle="1" w:styleId="59">
    <w:name w:val="标题 4 Char"/>
    <w:link w:val="6"/>
    <w:qFormat/>
    <w:uiPriority w:val="0"/>
    <w:rPr>
      <w:rFonts w:ascii="Arial" w:hAnsi="Arial" w:eastAsia="黑体"/>
      <w:b/>
      <w:bCs/>
      <w:kern w:val="2"/>
      <w:sz w:val="28"/>
      <w:szCs w:val="28"/>
    </w:rPr>
  </w:style>
  <w:style w:type="character" w:customStyle="1" w:styleId="60">
    <w:name w:val="标题 5 Char"/>
    <w:link w:val="7"/>
    <w:qFormat/>
    <w:uiPriority w:val="0"/>
    <w:rPr>
      <w:rFonts w:ascii="Times New Roman" w:hAnsi="Times New Roman"/>
      <w:b/>
      <w:bCs/>
      <w:kern w:val="2"/>
      <w:sz w:val="28"/>
      <w:szCs w:val="28"/>
    </w:rPr>
  </w:style>
  <w:style w:type="character" w:customStyle="1" w:styleId="61">
    <w:name w:val="标题 6 Char"/>
    <w:link w:val="8"/>
    <w:qFormat/>
    <w:uiPriority w:val="0"/>
    <w:rPr>
      <w:rFonts w:ascii="Arial" w:hAnsi="Arial" w:eastAsia="黑体"/>
      <w:b/>
      <w:bCs/>
      <w:kern w:val="2"/>
      <w:sz w:val="24"/>
      <w:szCs w:val="24"/>
    </w:rPr>
  </w:style>
  <w:style w:type="character" w:customStyle="1" w:styleId="62">
    <w:name w:val="标题 7 Char"/>
    <w:link w:val="9"/>
    <w:qFormat/>
    <w:uiPriority w:val="0"/>
    <w:rPr>
      <w:rFonts w:ascii="宋体" w:hAnsi="宋体"/>
      <w:b/>
      <w:bCs/>
      <w:sz w:val="24"/>
      <w:szCs w:val="24"/>
    </w:rPr>
  </w:style>
  <w:style w:type="character" w:customStyle="1" w:styleId="63">
    <w:name w:val="a Char"/>
    <w:link w:val="64"/>
    <w:qFormat/>
    <w:uiPriority w:val="0"/>
    <w:rPr>
      <w:rFonts w:ascii="宋体" w:hAnsi="宋体" w:eastAsia="仿宋_GB2312"/>
      <w:sz w:val="24"/>
    </w:rPr>
  </w:style>
  <w:style w:type="paragraph" w:customStyle="1" w:styleId="64">
    <w:name w:val="a"/>
    <w:basedOn w:val="1"/>
    <w:link w:val="63"/>
    <w:qFormat/>
    <w:uiPriority w:val="0"/>
    <w:pPr>
      <w:widowControl/>
      <w:spacing w:before="100" w:beforeAutospacing="1" w:after="100" w:afterAutospacing="1"/>
      <w:jc w:val="left"/>
    </w:pPr>
    <w:rPr>
      <w:rFonts w:ascii="宋体" w:hAnsi="宋体" w:eastAsia="仿宋_GB2312"/>
      <w:kern w:val="0"/>
      <w:sz w:val="24"/>
      <w:szCs w:val="20"/>
    </w:rPr>
  </w:style>
  <w:style w:type="character" w:customStyle="1" w:styleId="65">
    <w:name w:val="maywed421"/>
    <w:qFormat/>
    <w:uiPriority w:val="0"/>
    <w:rPr>
      <w:color w:val="366FB6"/>
      <w:u w:val="none"/>
    </w:rPr>
  </w:style>
  <w:style w:type="character" w:customStyle="1" w:styleId="66">
    <w:name w:val="纯文本 Char1"/>
    <w:qFormat/>
    <w:uiPriority w:val="0"/>
    <w:rPr>
      <w:rFonts w:ascii="宋体" w:hAnsi="Courier New"/>
      <w:kern w:val="2"/>
      <w:sz w:val="24"/>
      <w:szCs w:val="24"/>
    </w:rPr>
  </w:style>
  <w:style w:type="character" w:customStyle="1" w:styleId="67">
    <w:name w:val="已访问的超链接1"/>
    <w:qFormat/>
    <w:uiPriority w:val="0"/>
    <w:rPr>
      <w:color w:val="800080"/>
      <w:u w:val="single"/>
    </w:rPr>
  </w:style>
  <w:style w:type="character" w:customStyle="1" w:styleId="68">
    <w:name w:val="文档结构图 Char"/>
    <w:link w:val="14"/>
    <w:qFormat/>
    <w:uiPriority w:val="0"/>
    <w:rPr>
      <w:rFonts w:ascii="宋体"/>
      <w:kern w:val="2"/>
      <w:sz w:val="18"/>
      <w:szCs w:val="18"/>
    </w:rPr>
  </w:style>
  <w:style w:type="character" w:customStyle="1" w:styleId="69">
    <w:name w:val="文档结构图 Char1"/>
    <w:semiHidden/>
    <w:qFormat/>
    <w:uiPriority w:val="99"/>
    <w:rPr>
      <w:rFonts w:ascii="宋体"/>
      <w:kern w:val="2"/>
      <w:sz w:val="18"/>
      <w:szCs w:val="18"/>
    </w:rPr>
  </w:style>
  <w:style w:type="character" w:customStyle="1" w:styleId="70">
    <w:name w:val="normal_text"/>
    <w:basedOn w:val="45"/>
    <w:qFormat/>
    <w:uiPriority w:val="0"/>
  </w:style>
  <w:style w:type="character" w:customStyle="1" w:styleId="71">
    <w:name w:val="style11"/>
    <w:qFormat/>
    <w:uiPriority w:val="0"/>
    <w:rPr>
      <w:b/>
      <w:bCs/>
      <w:sz w:val="27"/>
      <w:szCs w:val="27"/>
    </w:rPr>
  </w:style>
  <w:style w:type="character" w:customStyle="1" w:styleId="72">
    <w:name w:val="Char Char2"/>
    <w:qFormat/>
    <w:uiPriority w:val="0"/>
    <w:rPr>
      <w:rFonts w:ascii="宋体" w:hAnsi="Courier New" w:eastAsia="宋体"/>
      <w:sz w:val="21"/>
      <w:lang w:val="en-US" w:eastAsia="zh-CN" w:bidi="ar-SA"/>
    </w:rPr>
  </w:style>
  <w:style w:type="character" w:customStyle="1" w:styleId="73">
    <w:name w:val="正文缩进 Char"/>
    <w:link w:val="12"/>
    <w:qFormat/>
    <w:uiPriority w:val="0"/>
    <w:rPr>
      <w:kern w:val="2"/>
      <w:sz w:val="21"/>
    </w:rPr>
  </w:style>
  <w:style w:type="character" w:customStyle="1" w:styleId="74">
    <w:name w:val="纯文本 Char"/>
    <w:link w:val="22"/>
    <w:qFormat/>
    <w:uiPriority w:val="99"/>
    <w:rPr>
      <w:rFonts w:ascii="宋体" w:hAnsi="Courier New"/>
      <w:kern w:val="2"/>
      <w:sz w:val="24"/>
      <w:szCs w:val="24"/>
    </w:rPr>
  </w:style>
  <w:style w:type="character" w:customStyle="1" w:styleId="75">
    <w:name w:val="纯文本 Char2"/>
    <w:qFormat/>
    <w:uiPriority w:val="0"/>
    <w:rPr>
      <w:rFonts w:ascii="宋体" w:hAnsi="Courier New" w:cs="Courier New"/>
      <w:kern w:val="2"/>
      <w:sz w:val="21"/>
      <w:szCs w:val="21"/>
    </w:rPr>
  </w:style>
  <w:style w:type="character" w:customStyle="1" w:styleId="76">
    <w:name w:val="spelle"/>
    <w:basedOn w:val="45"/>
    <w:qFormat/>
    <w:uiPriority w:val="0"/>
  </w:style>
  <w:style w:type="character" w:customStyle="1" w:styleId="77">
    <w:name w:val="b titlename wangputoptitle"/>
    <w:basedOn w:val="45"/>
    <w:qFormat/>
    <w:uiPriority w:val="0"/>
  </w:style>
  <w:style w:type="character" w:customStyle="1" w:styleId="78">
    <w:name w:val="样式1 Char"/>
    <w:link w:val="79"/>
    <w:qFormat/>
    <w:uiPriority w:val="0"/>
    <w:rPr>
      <w:rFonts w:ascii="Arial" w:hAnsi="Arial"/>
      <w:kern w:val="2"/>
      <w:sz w:val="21"/>
    </w:rPr>
  </w:style>
  <w:style w:type="paragraph" w:customStyle="1" w:styleId="79">
    <w:name w:val="样式1"/>
    <w:basedOn w:val="1"/>
    <w:link w:val="78"/>
    <w:qFormat/>
    <w:uiPriority w:val="0"/>
    <w:pPr>
      <w:spacing w:line="360" w:lineRule="exact"/>
      <w:ind w:firstLine="200" w:firstLineChars="200"/>
    </w:pPr>
    <w:rPr>
      <w:rFonts w:ascii="Arial" w:hAnsi="Arial"/>
      <w:szCs w:val="20"/>
    </w:rPr>
  </w:style>
  <w:style w:type="character" w:customStyle="1" w:styleId="80">
    <w:name w:val="Char Char1"/>
    <w:qFormat/>
    <w:uiPriority w:val="0"/>
    <w:rPr>
      <w:kern w:val="2"/>
      <w:sz w:val="18"/>
      <w:szCs w:val="18"/>
    </w:rPr>
  </w:style>
  <w:style w:type="character" w:customStyle="1" w:styleId="81">
    <w:name w:val="title14"/>
    <w:basedOn w:val="45"/>
    <w:qFormat/>
    <w:uiPriority w:val="0"/>
  </w:style>
  <w:style w:type="character" w:customStyle="1" w:styleId="82">
    <w:name w:val="apple-style-span"/>
    <w:qFormat/>
    <w:uiPriority w:val="0"/>
  </w:style>
  <w:style w:type="character" w:customStyle="1" w:styleId="83">
    <w:name w:val="列出段落 Char"/>
    <w:link w:val="53"/>
    <w:qFormat/>
    <w:uiPriority w:val="0"/>
    <w:rPr>
      <w:kern w:val="2"/>
      <w:sz w:val="21"/>
      <w:szCs w:val="22"/>
    </w:rPr>
  </w:style>
  <w:style w:type="character" w:customStyle="1" w:styleId="84">
    <w:name w:val="列出段落1 Char"/>
    <w:link w:val="85"/>
    <w:qFormat/>
    <w:uiPriority w:val="0"/>
    <w:rPr>
      <w:szCs w:val="24"/>
    </w:rPr>
  </w:style>
  <w:style w:type="paragraph" w:customStyle="1" w:styleId="85">
    <w:name w:val="列出段落1"/>
    <w:basedOn w:val="1"/>
    <w:link w:val="84"/>
    <w:qFormat/>
    <w:uiPriority w:val="0"/>
    <w:pPr>
      <w:ind w:firstLine="420" w:firstLineChars="200"/>
    </w:pPr>
    <w:rPr>
      <w:kern w:val="0"/>
      <w:sz w:val="20"/>
      <w:szCs w:val="24"/>
    </w:rPr>
  </w:style>
  <w:style w:type="character" w:customStyle="1" w:styleId="86">
    <w:name w:val="paragraph1 Char"/>
    <w:link w:val="87"/>
    <w:qFormat/>
    <w:uiPriority w:val="0"/>
    <w:rPr>
      <w:rFonts w:ascii="Times New Roman" w:hAnsi="Times New Roman" w:eastAsia="楷体_GB2312"/>
      <w:kern w:val="2"/>
      <w:sz w:val="24"/>
    </w:rPr>
  </w:style>
  <w:style w:type="paragraph" w:customStyle="1" w:styleId="87">
    <w:name w:val="paragraph1"/>
    <w:basedOn w:val="1"/>
    <w:link w:val="86"/>
    <w:qFormat/>
    <w:uiPriority w:val="0"/>
    <w:pPr>
      <w:spacing w:afterLines="30"/>
      <w:ind w:firstLine="420" w:firstLineChars="200"/>
    </w:pPr>
    <w:rPr>
      <w:rFonts w:ascii="Times New Roman" w:hAnsi="Times New Roman" w:eastAsia="楷体_GB2312"/>
      <w:sz w:val="24"/>
      <w:szCs w:val="20"/>
    </w:rPr>
  </w:style>
  <w:style w:type="character" w:customStyle="1" w:styleId="88">
    <w:name w:val="标题 Char"/>
    <w:link w:val="40"/>
    <w:qFormat/>
    <w:uiPriority w:val="99"/>
    <w:rPr>
      <w:rFonts w:ascii="Cambria" w:hAnsi="Cambria"/>
      <w:b/>
      <w:bCs/>
      <w:sz w:val="32"/>
      <w:szCs w:val="32"/>
    </w:rPr>
  </w:style>
  <w:style w:type="character" w:customStyle="1" w:styleId="89">
    <w:name w:val="标题 Char1"/>
    <w:qFormat/>
    <w:uiPriority w:val="0"/>
    <w:rPr>
      <w:rFonts w:ascii="Cambria" w:hAnsi="Cambria" w:cs="Times New Roman"/>
      <w:b/>
      <w:bCs/>
      <w:kern w:val="2"/>
      <w:sz w:val="32"/>
      <w:szCs w:val="32"/>
    </w:rPr>
  </w:style>
  <w:style w:type="character" w:customStyle="1" w:styleId="90">
    <w:name w:val="正文文本 3 Char"/>
    <w:link w:val="16"/>
    <w:qFormat/>
    <w:uiPriority w:val="0"/>
    <w:rPr>
      <w:rFonts w:ascii="Times New Roman" w:hAnsi="宋体" w:eastAsia="仿宋_GB2312"/>
      <w:b/>
      <w:bCs/>
      <w:kern w:val="2"/>
      <w:sz w:val="24"/>
    </w:rPr>
  </w:style>
  <w:style w:type="character" w:customStyle="1" w:styleId="91">
    <w:name w:val="正文文本 3 Char1"/>
    <w:semiHidden/>
    <w:qFormat/>
    <w:uiPriority w:val="99"/>
    <w:rPr>
      <w:kern w:val="2"/>
      <w:sz w:val="16"/>
      <w:szCs w:val="16"/>
    </w:rPr>
  </w:style>
  <w:style w:type="character" w:customStyle="1" w:styleId="92">
    <w:name w:val="flname7"/>
    <w:basedOn w:val="45"/>
    <w:qFormat/>
    <w:uiPriority w:val="0"/>
  </w:style>
  <w:style w:type="character" w:customStyle="1" w:styleId="93">
    <w:name w:val="font3"/>
    <w:basedOn w:val="45"/>
    <w:qFormat/>
    <w:uiPriority w:val="0"/>
  </w:style>
  <w:style w:type="character" w:customStyle="1" w:styleId="94">
    <w:name w:val="标题 1 Char Char"/>
    <w:qFormat/>
    <w:uiPriority w:val="0"/>
    <w:rPr>
      <w:rFonts w:eastAsia="宋体"/>
      <w:b/>
      <w:spacing w:val="-2"/>
      <w:sz w:val="24"/>
      <w:lang w:val="en-US" w:eastAsia="zh-CN" w:bidi="ar-SA"/>
    </w:rPr>
  </w:style>
  <w:style w:type="character" w:customStyle="1" w:styleId="95">
    <w:name w:val="para"/>
    <w:basedOn w:val="45"/>
    <w:qFormat/>
    <w:uiPriority w:val="0"/>
  </w:style>
  <w:style w:type="character" w:customStyle="1" w:styleId="96">
    <w:name w:val="正文2 Char"/>
    <w:link w:val="97"/>
    <w:qFormat/>
    <w:uiPriority w:val="0"/>
    <w:rPr>
      <w:rFonts w:ascii="Times New Roman" w:hAnsi="Times New Roman"/>
      <w:sz w:val="24"/>
      <w:szCs w:val="22"/>
      <w:lang w:val="en-US" w:eastAsia="zh-CN" w:bidi="ar-SA"/>
    </w:rPr>
  </w:style>
  <w:style w:type="paragraph" w:customStyle="1" w:styleId="97">
    <w:name w:val="正文2"/>
    <w:next w:val="29"/>
    <w:link w:val="96"/>
    <w:qFormat/>
    <w:uiPriority w:val="0"/>
    <w:pPr>
      <w:widowControl w:val="0"/>
      <w:spacing w:before="156" w:line="360" w:lineRule="auto"/>
      <w:ind w:firstLine="200" w:firstLineChars="200"/>
      <w:jc w:val="both"/>
    </w:pPr>
    <w:rPr>
      <w:rFonts w:ascii="Times New Roman" w:hAnsi="Times New Roman" w:eastAsia="宋体" w:cs="Times New Roman"/>
      <w:sz w:val="24"/>
      <w:szCs w:val="22"/>
      <w:lang w:val="en-US" w:eastAsia="zh-CN" w:bidi="ar-SA"/>
    </w:rPr>
  </w:style>
  <w:style w:type="character" w:customStyle="1" w:styleId="98">
    <w:name w:val="表正文 Char"/>
    <w:qFormat/>
    <w:uiPriority w:val="0"/>
    <w:rPr>
      <w:rFonts w:eastAsia="宋体"/>
      <w:kern w:val="2"/>
      <w:sz w:val="21"/>
      <w:lang w:val="en-US" w:eastAsia="zh-CN" w:bidi="ar-SA"/>
    </w:rPr>
  </w:style>
  <w:style w:type="character" w:customStyle="1" w:styleId="99">
    <w:name w:val="题注 Char"/>
    <w:link w:val="13"/>
    <w:qFormat/>
    <w:uiPriority w:val="0"/>
    <w:rPr>
      <w:rFonts w:ascii="Arial" w:hAnsi="Arial" w:eastAsia="黑体" w:cs="Arial"/>
      <w:kern w:val="2"/>
    </w:rPr>
  </w:style>
  <w:style w:type="character" w:customStyle="1" w:styleId="100">
    <w:name w:val="批注文字 Char"/>
    <w:link w:val="15"/>
    <w:qFormat/>
    <w:uiPriority w:val="0"/>
    <w:rPr>
      <w:kern w:val="2"/>
      <w:sz w:val="21"/>
      <w:szCs w:val="22"/>
    </w:rPr>
  </w:style>
  <w:style w:type="character" w:customStyle="1" w:styleId="101">
    <w:name w:val="批注主题 Char"/>
    <w:link w:val="41"/>
    <w:qFormat/>
    <w:uiPriority w:val="0"/>
    <w:rPr>
      <w:b/>
      <w:bCs/>
      <w:kern w:val="2"/>
      <w:sz w:val="21"/>
      <w:szCs w:val="22"/>
    </w:rPr>
  </w:style>
  <w:style w:type="character" w:customStyle="1" w:styleId="102">
    <w:name w:val="正文文本 Char"/>
    <w:link w:val="2"/>
    <w:qFormat/>
    <w:uiPriority w:val="0"/>
    <w:rPr>
      <w:kern w:val="2"/>
      <w:sz w:val="21"/>
      <w:szCs w:val="22"/>
    </w:rPr>
  </w:style>
  <w:style w:type="character" w:customStyle="1" w:styleId="103">
    <w:name w:val="正文首行缩进 Char"/>
    <w:basedOn w:val="102"/>
    <w:link w:val="42"/>
    <w:qFormat/>
    <w:uiPriority w:val="0"/>
    <w:rPr>
      <w:kern w:val="2"/>
      <w:sz w:val="21"/>
      <w:szCs w:val="22"/>
    </w:rPr>
  </w:style>
  <w:style w:type="character" w:customStyle="1" w:styleId="104">
    <w:name w:val="脚注文本 Char"/>
    <w:link w:val="32"/>
    <w:semiHidden/>
    <w:qFormat/>
    <w:uiPriority w:val="0"/>
    <w:rPr>
      <w:kern w:val="2"/>
      <w:sz w:val="18"/>
      <w:szCs w:val="18"/>
    </w:rPr>
  </w:style>
  <w:style w:type="character" w:customStyle="1" w:styleId="105">
    <w:name w:val="批注框文本 Char"/>
    <w:link w:val="26"/>
    <w:qFormat/>
    <w:uiPriority w:val="0"/>
    <w:rPr>
      <w:kern w:val="2"/>
      <w:sz w:val="18"/>
      <w:szCs w:val="18"/>
    </w:rPr>
  </w:style>
  <w:style w:type="character" w:customStyle="1" w:styleId="106">
    <w:name w:val="日期 Char"/>
    <w:link w:val="24"/>
    <w:qFormat/>
    <w:uiPriority w:val="0"/>
    <w:rPr>
      <w:rFonts w:ascii="Times New Roman" w:hAnsi="Times New Roman" w:eastAsia="楷体_GB2312"/>
      <w:kern w:val="2"/>
      <w:sz w:val="32"/>
    </w:rPr>
  </w:style>
  <w:style w:type="character" w:customStyle="1" w:styleId="107">
    <w:name w:val="正文文本缩进 2 Char"/>
    <w:link w:val="25"/>
    <w:qFormat/>
    <w:uiPriority w:val="0"/>
    <w:rPr>
      <w:rFonts w:ascii="仿宋_GB2312" w:hAnsi="宋体" w:cs="Arial"/>
      <w:b/>
      <w:bCs/>
      <w:color w:val="000000"/>
      <w:kern w:val="2"/>
      <w:sz w:val="24"/>
      <w:szCs w:val="24"/>
    </w:rPr>
  </w:style>
  <w:style w:type="character" w:customStyle="1" w:styleId="108">
    <w:name w:val="HTML 预设格式 Char"/>
    <w:link w:val="38"/>
    <w:qFormat/>
    <w:uiPriority w:val="0"/>
    <w:rPr>
      <w:rFonts w:ascii="Courier New" w:hAnsi="Courier New"/>
      <w:kern w:val="2"/>
    </w:rPr>
  </w:style>
  <w:style w:type="character" w:customStyle="1" w:styleId="109">
    <w:name w:val="正文文本 2 Char"/>
    <w:link w:val="37"/>
    <w:qFormat/>
    <w:uiPriority w:val="0"/>
    <w:rPr>
      <w:rFonts w:ascii="宋体" w:hAnsi="宋体"/>
      <w:color w:val="000000"/>
      <w:kern w:val="2"/>
      <w:sz w:val="24"/>
      <w:szCs w:val="24"/>
    </w:rPr>
  </w:style>
  <w:style w:type="character" w:customStyle="1" w:styleId="110">
    <w:name w:val="正文文本缩进 3 Char"/>
    <w:link w:val="34"/>
    <w:qFormat/>
    <w:uiPriority w:val="0"/>
    <w:rPr>
      <w:rFonts w:ascii="仿宋_GB2312" w:hAnsi="宋体" w:eastAsia="仿宋_GB2312"/>
      <w:color w:val="000000"/>
      <w:kern w:val="2"/>
      <w:sz w:val="24"/>
      <w:szCs w:val="24"/>
    </w:rPr>
  </w:style>
  <w:style w:type="character" w:customStyle="1" w:styleId="111">
    <w:name w:val="正文文本缩进 Char"/>
    <w:link w:val="17"/>
    <w:qFormat/>
    <w:uiPriority w:val="0"/>
    <w:rPr>
      <w:rFonts w:ascii="宋体" w:hAnsi="Courier New"/>
      <w:spacing w:val="-4"/>
      <w:kern w:val="2"/>
      <w:sz w:val="18"/>
    </w:rPr>
  </w:style>
  <w:style w:type="paragraph" w:customStyle="1" w:styleId="112">
    <w:name w:val="Default"/>
    <w:qFormat/>
    <w:uiPriority w:val="0"/>
    <w:pPr>
      <w:widowControl w:val="0"/>
      <w:autoSpaceDE w:val="0"/>
      <w:autoSpaceDN w:val="0"/>
      <w:adjustRightInd w:val="0"/>
      <w:spacing w:line="360" w:lineRule="auto"/>
    </w:pPr>
    <w:rPr>
      <w:rFonts w:ascii="Times New Roman" w:hAnsi="Times New Roman" w:eastAsia="宋体" w:cs="Times New Roman"/>
      <w:color w:val="000000"/>
      <w:sz w:val="24"/>
      <w:szCs w:val="24"/>
      <w:lang w:val="en-US" w:eastAsia="zh-CN" w:bidi="ar-SA"/>
    </w:rPr>
  </w:style>
  <w:style w:type="paragraph" w:customStyle="1" w:styleId="113">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14">
    <w:name w:val="wellhope正文"/>
    <w:basedOn w:val="1"/>
    <w:qFormat/>
    <w:uiPriority w:val="0"/>
    <w:pPr>
      <w:spacing w:before="60" w:after="60"/>
      <w:ind w:firstLine="200" w:firstLineChars="200"/>
    </w:pPr>
    <w:rPr>
      <w:rFonts w:ascii="Times New Roman" w:hAnsi="Times New Roman"/>
      <w:sz w:val="24"/>
      <w:szCs w:val="20"/>
    </w:rPr>
  </w:style>
  <w:style w:type="paragraph" w:customStyle="1" w:styleId="115">
    <w:name w:val="项目圆"/>
    <w:basedOn w:val="1"/>
    <w:qFormat/>
    <w:uiPriority w:val="0"/>
    <w:pPr>
      <w:tabs>
        <w:tab w:val="left" w:pos="840"/>
      </w:tabs>
      <w:spacing w:beforeLines="50" w:afterLines="50"/>
      <w:ind w:left="454"/>
    </w:pPr>
    <w:rPr>
      <w:rFonts w:ascii="Times New Roman" w:hAnsi="Times New Roman"/>
      <w:szCs w:val="24"/>
    </w:rPr>
  </w:style>
  <w:style w:type="paragraph" w:customStyle="1" w:styleId="116">
    <w:name w:val="样式 标题 1标题1(cj) +"/>
    <w:basedOn w:val="3"/>
    <w:qFormat/>
    <w:uiPriority w:val="0"/>
    <w:pPr>
      <w:keepNext/>
      <w:keepLines/>
      <w:tabs>
        <w:tab w:val="left" w:pos="360"/>
      </w:tabs>
      <w:spacing w:before="340" w:after="330"/>
      <w:jc w:val="left"/>
      <w:textAlignment w:val="baseline"/>
    </w:pPr>
    <w:rPr>
      <w:rFonts w:ascii="宋体" w:hAnsi="Arial" w:eastAsia="仿宋_GB2312"/>
      <w:bCs w:val="0"/>
      <w:color w:val="000000"/>
      <w:sz w:val="32"/>
      <w:szCs w:val="20"/>
    </w:rPr>
  </w:style>
  <w:style w:type="paragraph" w:customStyle="1" w:styleId="117">
    <w:name w:val="正文首行缩进:2字符"/>
    <w:basedOn w:val="1"/>
    <w:qFormat/>
    <w:uiPriority w:val="0"/>
    <w:pPr>
      <w:ind w:firstLine="480" w:firstLineChars="200"/>
    </w:pPr>
    <w:rPr>
      <w:rFonts w:ascii="Times New Roman" w:hAnsi="Times New Roman" w:cs="宋体"/>
      <w:szCs w:val="20"/>
    </w:rPr>
  </w:style>
  <w:style w:type="paragraph" w:customStyle="1" w:styleId="118">
    <w:name w:val="序号"/>
    <w:basedOn w:val="1"/>
    <w:qFormat/>
    <w:uiPriority w:val="0"/>
    <w:pPr>
      <w:tabs>
        <w:tab w:val="left" w:pos="840"/>
      </w:tabs>
      <w:ind w:left="840" w:hanging="420"/>
    </w:pPr>
    <w:rPr>
      <w:rFonts w:ascii="Times New Roman" w:hAnsi="Times New Roman"/>
      <w:bCs/>
      <w:szCs w:val="24"/>
    </w:rPr>
  </w:style>
  <w:style w:type="paragraph" w:customStyle="1" w:styleId="119">
    <w:name w:val="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20">
    <w:name w:val="列出段落{858D7CFB-ED40-4347-BF05-701D383B685F}{858D7CFB-ED40-4347-BF05-701D383B685F}"/>
    <w:basedOn w:val="1"/>
    <w:qFormat/>
    <w:uiPriority w:val="0"/>
    <w:pPr>
      <w:ind w:firstLine="200" w:firstLineChars="200"/>
    </w:pPr>
  </w:style>
  <w:style w:type="paragraph" w:customStyle="1" w:styleId="121">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2">
    <w:name w:val="文档正文 Char"/>
    <w:basedOn w:val="1"/>
    <w:qFormat/>
    <w:uiPriority w:val="0"/>
    <w:pPr>
      <w:adjustRightInd w:val="0"/>
      <w:spacing w:line="500" w:lineRule="exact"/>
      <w:ind w:firstLine="567"/>
      <w:textAlignment w:val="baseline"/>
    </w:pPr>
    <w:rPr>
      <w:rFonts w:ascii="仿宋_GB2312" w:hAnsi="Times New Roman" w:eastAsia="仿宋_GB2312"/>
      <w:sz w:val="28"/>
      <w:szCs w:val="24"/>
    </w:rPr>
  </w:style>
  <w:style w:type="paragraph" w:customStyle="1" w:styleId="123">
    <w:name w:val="Char3 Char Char Char"/>
    <w:basedOn w:val="1"/>
    <w:qFormat/>
    <w:uiPriority w:val="0"/>
    <w:pPr>
      <w:widowControl/>
      <w:spacing w:after="160" w:line="240" w:lineRule="exact"/>
      <w:jc w:val="left"/>
    </w:pPr>
    <w:rPr>
      <w:rFonts w:ascii="Times New Roman" w:hAnsi="Times New Roman"/>
      <w:szCs w:val="20"/>
    </w:rPr>
  </w:style>
  <w:style w:type="paragraph" w:customStyle="1" w:styleId="124">
    <w:name w:val="Char Char Char Char Char Char Char"/>
    <w:basedOn w:val="1"/>
    <w:qFormat/>
    <w:uiPriority w:val="0"/>
    <w:pPr>
      <w:tabs>
        <w:tab w:val="left" w:pos="432"/>
      </w:tabs>
      <w:ind w:left="432" w:hanging="432"/>
    </w:pPr>
    <w:rPr>
      <w:rFonts w:ascii="Tahoma" w:hAnsi="Tahoma"/>
      <w:sz w:val="24"/>
      <w:szCs w:val="20"/>
    </w:rPr>
  </w:style>
  <w:style w:type="paragraph" w:customStyle="1" w:styleId="125">
    <w:name w:val="Char Char Char Char Char Char Char Char Char"/>
    <w:basedOn w:val="1"/>
    <w:qFormat/>
    <w:uiPriority w:val="0"/>
  </w:style>
  <w:style w:type="paragraph" w:customStyle="1" w:styleId="126">
    <w:name w:val="7.表小四"/>
    <w:basedOn w:val="1"/>
    <w:qFormat/>
    <w:uiPriority w:val="0"/>
    <w:pPr>
      <w:spacing w:beforeLines="50" w:afterLines="50"/>
    </w:pPr>
    <w:rPr>
      <w:rFonts w:ascii="宋体" w:hAnsi="宋体"/>
      <w:sz w:val="24"/>
      <w:szCs w:val="24"/>
    </w:rPr>
  </w:style>
  <w:style w:type="paragraph" w:styleId="127">
    <w:name w:val="No Spacing"/>
    <w:qFormat/>
    <w:uiPriority w:val="1"/>
    <w:pPr>
      <w:widowControl w:val="0"/>
      <w:spacing w:line="360" w:lineRule="auto"/>
      <w:jc w:val="both"/>
    </w:pPr>
    <w:rPr>
      <w:rFonts w:ascii="Calibri" w:hAnsi="Calibri" w:eastAsia="宋体" w:cs="Times New Roman"/>
      <w:kern w:val="2"/>
      <w:sz w:val="21"/>
      <w:szCs w:val="22"/>
      <w:lang w:val="en-US" w:eastAsia="zh-CN" w:bidi="ar-SA"/>
    </w:rPr>
  </w:style>
  <w:style w:type="paragraph" w:customStyle="1" w:styleId="128">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29">
    <w:name w:val="纯文本1"/>
    <w:basedOn w:val="1"/>
    <w:qFormat/>
    <w:uiPriority w:val="0"/>
    <w:pPr>
      <w:spacing w:beforeLines="50" w:afterLines="50" w:line="400" w:lineRule="exact"/>
    </w:pPr>
    <w:rPr>
      <w:rFonts w:ascii="宋体" w:hAnsi="Courier New" w:eastAsia="黑体"/>
      <w:sz w:val="24"/>
      <w:szCs w:val="24"/>
    </w:rPr>
  </w:style>
  <w:style w:type="paragraph" w:customStyle="1" w:styleId="130">
    <w:name w:val="样式 标题 1 + 段后: 0.5 行"/>
    <w:basedOn w:val="3"/>
    <w:qFormat/>
    <w:uiPriority w:val="0"/>
    <w:pPr>
      <w:keepNext/>
      <w:tabs>
        <w:tab w:val="left" w:pos="360"/>
      </w:tabs>
      <w:autoSpaceDE/>
      <w:autoSpaceDN/>
      <w:adjustRightInd/>
      <w:spacing w:before="120" w:afterLines="50" w:line="240" w:lineRule="auto"/>
      <w:jc w:val="left"/>
    </w:pPr>
    <w:rPr>
      <w:rFonts w:ascii="宋体"/>
      <w:bCs w:val="0"/>
      <w:szCs w:val="20"/>
    </w:rPr>
  </w:style>
  <w:style w:type="paragraph" w:customStyle="1" w:styleId="131">
    <w:name w:val="样式 正文缩进 + 首行缩进:  2 字符"/>
    <w:basedOn w:val="12"/>
    <w:qFormat/>
    <w:uiPriority w:val="0"/>
    <w:pPr>
      <w:tabs>
        <w:tab w:val="left" w:pos="1080"/>
      </w:tabs>
      <w:ind w:left="1080" w:hanging="540"/>
    </w:pPr>
    <w:rPr>
      <w:rFonts w:ascii="宋体" w:hAnsi="宋体"/>
      <w:sz w:val="24"/>
      <w:szCs w:val="24"/>
    </w:rPr>
  </w:style>
  <w:style w:type="paragraph" w:customStyle="1" w:styleId="132">
    <w:name w:val="_Style 64"/>
    <w:basedOn w:val="1"/>
    <w:qFormat/>
    <w:uiPriority w:val="0"/>
    <w:rPr>
      <w:rFonts w:ascii="Times New Roman" w:hAnsi="Times New Roman"/>
      <w:sz w:val="24"/>
      <w:szCs w:val="24"/>
    </w:rPr>
  </w:style>
  <w:style w:type="paragraph" w:customStyle="1" w:styleId="133">
    <w:name w:val="默认段落字体 Para Char Char Char Char Char Char Char Char Char1 Char Char Char Char"/>
    <w:basedOn w:val="1"/>
    <w:qFormat/>
    <w:uiPriority w:val="0"/>
    <w:rPr>
      <w:rFonts w:ascii="Tahoma" w:hAnsi="Tahoma"/>
      <w:sz w:val="24"/>
      <w:szCs w:val="20"/>
    </w:rPr>
  </w:style>
  <w:style w:type="paragraph" w:customStyle="1" w:styleId="134">
    <w:name w:val="Char Char Char Char Char Char Char1"/>
    <w:basedOn w:val="1"/>
    <w:qFormat/>
    <w:uiPriority w:val="0"/>
    <w:pPr>
      <w:tabs>
        <w:tab w:val="left" w:pos="432"/>
      </w:tabs>
      <w:ind w:left="432" w:hanging="432"/>
    </w:pPr>
    <w:rPr>
      <w:rFonts w:ascii="Tahoma" w:hAnsi="Tahoma"/>
      <w:sz w:val="24"/>
      <w:szCs w:val="20"/>
    </w:rPr>
  </w:style>
  <w:style w:type="paragraph" w:customStyle="1" w:styleId="135">
    <w:name w:val="列出段落2"/>
    <w:basedOn w:val="1"/>
    <w:qFormat/>
    <w:uiPriority w:val="0"/>
    <w:pPr>
      <w:ind w:firstLine="420" w:firstLineChars="200"/>
    </w:pPr>
    <w:rPr>
      <w:rFonts w:cs="Calibri"/>
      <w:szCs w:val="21"/>
    </w:rPr>
  </w:style>
  <w:style w:type="paragraph" w:customStyle="1" w:styleId="136">
    <w:name w:val="Char1 Char Char Char"/>
    <w:basedOn w:val="1"/>
    <w:qFormat/>
    <w:uiPriority w:val="0"/>
    <w:rPr>
      <w:rFonts w:ascii="Tahoma" w:hAnsi="Tahoma"/>
      <w:sz w:val="24"/>
      <w:szCs w:val="20"/>
    </w:rPr>
  </w:style>
  <w:style w:type="paragraph" w:customStyle="1" w:styleId="137">
    <w:name w:val="Proposals body"/>
    <w:basedOn w:val="1"/>
    <w:next w:val="1"/>
    <w:qFormat/>
    <w:uiPriority w:val="0"/>
    <w:pPr>
      <w:widowControl/>
      <w:jc w:val="left"/>
    </w:pPr>
    <w:rPr>
      <w:rFonts w:ascii="宋体" w:hAnsi="Times New Roman"/>
      <w:color w:val="000000"/>
      <w:kern w:val="0"/>
      <w:sz w:val="24"/>
      <w:szCs w:val="20"/>
    </w:rPr>
  </w:style>
  <w:style w:type="paragraph" w:customStyle="1" w:styleId="138">
    <w:name w:val="表内文字"/>
    <w:basedOn w:val="1"/>
    <w:qFormat/>
    <w:uiPriority w:val="0"/>
    <w:pPr>
      <w:tabs>
        <w:tab w:val="left" w:pos="1418"/>
      </w:tabs>
      <w:jc w:val="center"/>
    </w:pPr>
    <w:rPr>
      <w:rFonts w:ascii="仿宋_GB2312" w:hAnsi="Times New Roman" w:eastAsia="仿宋_GB2312"/>
      <w:spacing w:val="-20"/>
      <w:kern w:val="0"/>
      <w:sz w:val="24"/>
      <w:szCs w:val="24"/>
    </w:rPr>
  </w:style>
  <w:style w:type="paragraph" w:customStyle="1" w:styleId="139">
    <w:name w:val="大表 mt"/>
    <w:basedOn w:val="1"/>
    <w:qFormat/>
    <w:uiPriority w:val="0"/>
    <w:pPr>
      <w:widowControl/>
      <w:jc w:val="left"/>
    </w:pPr>
    <w:rPr>
      <w:rFonts w:ascii="宋体" w:hAnsi="宋体" w:cs="宋体"/>
      <w:kern w:val="0"/>
      <w:szCs w:val="21"/>
    </w:rPr>
  </w:style>
  <w:style w:type="paragraph" w:customStyle="1" w:styleId="140">
    <w:name w:val="正文段"/>
    <w:basedOn w:val="1"/>
    <w:qFormat/>
    <w:uiPriority w:val="0"/>
    <w:pPr>
      <w:widowControl/>
      <w:snapToGrid w:val="0"/>
      <w:spacing w:afterLines="50"/>
      <w:ind w:firstLine="200" w:firstLineChars="200"/>
    </w:pPr>
    <w:rPr>
      <w:rFonts w:ascii="Times New Roman" w:hAnsi="Times New Roman"/>
      <w:kern w:val="0"/>
      <w:sz w:val="24"/>
      <w:szCs w:val="20"/>
    </w:rPr>
  </w:style>
  <w:style w:type="paragraph" w:customStyle="1" w:styleId="141">
    <w:name w:val="Pa3"/>
    <w:basedOn w:val="1"/>
    <w:next w:val="1"/>
    <w:qFormat/>
    <w:uiPriority w:val="0"/>
    <w:pPr>
      <w:widowControl/>
      <w:autoSpaceDE w:val="0"/>
      <w:autoSpaceDN w:val="0"/>
      <w:adjustRightInd w:val="0"/>
      <w:spacing w:line="141" w:lineRule="atLeast"/>
      <w:jc w:val="left"/>
    </w:pPr>
    <w:rPr>
      <w:rFonts w:ascii="Univers 57 Condensed" w:hAnsi="Times New Roman" w:eastAsia="Univers 57 Condensed"/>
      <w:kern w:val="0"/>
      <w:sz w:val="24"/>
      <w:szCs w:val="24"/>
    </w:rPr>
  </w:style>
  <w:style w:type="paragraph" w:customStyle="1" w:styleId="142">
    <w:name w:val="Char1"/>
    <w:basedOn w:val="1"/>
    <w:qFormat/>
    <w:uiPriority w:val="0"/>
    <w:rPr>
      <w:rFonts w:ascii="仿宋_GB2312" w:hAnsi="Times New Roman" w:eastAsia="仿宋_GB2312"/>
      <w:b/>
      <w:sz w:val="32"/>
      <w:szCs w:val="32"/>
    </w:rPr>
  </w:style>
  <w:style w:type="paragraph" w:customStyle="1" w:styleId="143">
    <w:name w:val="Char11"/>
    <w:basedOn w:val="1"/>
    <w:qFormat/>
    <w:uiPriority w:val="0"/>
    <w:rPr>
      <w:rFonts w:ascii="仿宋_GB2312" w:hAnsi="Times New Roman" w:eastAsia="仿宋_GB2312"/>
      <w:b/>
      <w:sz w:val="32"/>
      <w:szCs w:val="32"/>
    </w:rPr>
  </w:style>
  <w:style w:type="paragraph" w:customStyle="1" w:styleId="144">
    <w:name w:val="表格文字"/>
    <w:basedOn w:val="1"/>
    <w:qFormat/>
    <w:uiPriority w:val="0"/>
    <w:pPr>
      <w:jc w:val="left"/>
      <w:textAlignment w:val="top"/>
    </w:pPr>
    <w:rPr>
      <w:rFonts w:ascii="Times New Roman" w:hAnsi="Times New Roman"/>
      <w:sz w:val="18"/>
      <w:szCs w:val="24"/>
    </w:rPr>
  </w:style>
  <w:style w:type="paragraph" w:customStyle="1" w:styleId="145">
    <w:name w:val="图文框"/>
    <w:basedOn w:val="1"/>
    <w:qFormat/>
    <w:uiPriority w:val="0"/>
    <w:pPr>
      <w:jc w:val="center"/>
    </w:pPr>
    <w:rPr>
      <w:rFonts w:ascii="仿宋_GB2312" w:hAnsi="Times New Roman" w:eastAsia="仿宋_GB2312"/>
      <w:szCs w:val="24"/>
    </w:rPr>
  </w:style>
  <w:style w:type="paragraph" w:customStyle="1" w:styleId="146">
    <w:name w:val="List Paragraph1"/>
    <w:basedOn w:val="1"/>
    <w:qFormat/>
    <w:uiPriority w:val="99"/>
    <w:pPr>
      <w:ind w:firstLine="420" w:firstLineChars="200"/>
    </w:pPr>
    <w:rPr>
      <w:rFonts w:ascii="Times New Roman" w:hAnsi="Times New Roman"/>
      <w:szCs w:val="24"/>
    </w:rPr>
  </w:style>
  <w:style w:type="paragraph" w:customStyle="1" w:styleId="147">
    <w:name w:val="p0"/>
    <w:basedOn w:val="1"/>
    <w:qFormat/>
    <w:uiPriority w:val="0"/>
    <w:pPr>
      <w:widowControl/>
      <w:jc w:val="left"/>
    </w:pPr>
    <w:rPr>
      <w:rFonts w:ascii="Arial" w:hAnsi="Arial" w:cs="Arial"/>
      <w:kern w:val="0"/>
      <w:sz w:val="20"/>
      <w:szCs w:val="20"/>
    </w:rPr>
  </w:style>
  <w:style w:type="paragraph" w:customStyle="1" w:styleId="148">
    <w:name w:val="TOC Heading"/>
    <w:basedOn w:val="3"/>
    <w:next w:val="1"/>
    <w:unhideWhenUsed/>
    <w:qFormat/>
    <w:uiPriority w:val="39"/>
    <w:pPr>
      <w:keepNext/>
      <w:keepLines/>
      <w:widowControl/>
      <w:autoSpaceDE/>
      <w:autoSpaceDN/>
      <w:adjustRightInd/>
      <w:spacing w:before="480" w:line="276" w:lineRule="auto"/>
      <w:jc w:val="left"/>
      <w:outlineLvl w:val="9"/>
    </w:pPr>
    <w:rPr>
      <w:rFonts w:ascii="Cambria" w:hAnsi="Cambria"/>
      <w:color w:val="365F91"/>
      <w:szCs w:val="28"/>
    </w:rPr>
  </w:style>
  <w:style w:type="paragraph" w:customStyle="1" w:styleId="149">
    <w:name w:val="正文5"/>
    <w:qFormat/>
    <w:uiPriority w:val="0"/>
    <w:pPr>
      <w:widowControl w:val="0"/>
      <w:spacing w:after="200" w:line="276" w:lineRule="auto"/>
      <w:jc w:val="both"/>
    </w:pPr>
    <w:rPr>
      <w:rFonts w:ascii="Times New Roman" w:hAnsi="Times New Roman" w:eastAsia="宋体" w:cs="Times New Roman"/>
      <w:kern w:val="2"/>
      <w:sz w:val="21"/>
      <w:lang w:val="en-US" w:eastAsia="zh-CN" w:bidi="ar-SA"/>
    </w:rPr>
  </w:style>
  <w:style w:type="paragraph" w:customStyle="1" w:styleId="150">
    <w:name w:val="宁波正文"/>
    <w:basedOn w:val="1"/>
    <w:link w:val="151"/>
    <w:qFormat/>
    <w:uiPriority w:val="0"/>
    <w:pPr>
      <w:ind w:firstLine="480" w:firstLineChars="200"/>
    </w:pPr>
    <w:rPr>
      <w:rFonts w:ascii="Times New Roman" w:hAnsi="Times New Roman"/>
      <w:sz w:val="24"/>
      <w:szCs w:val="24"/>
    </w:rPr>
  </w:style>
  <w:style w:type="character" w:customStyle="1" w:styleId="151">
    <w:name w:val="宁波正文 Char"/>
    <w:link w:val="150"/>
    <w:qFormat/>
    <w:uiPriority w:val="0"/>
    <w:rPr>
      <w:rFonts w:ascii="Times New Roman" w:hAnsi="Times New Roman"/>
      <w:kern w:val="2"/>
      <w:sz w:val="24"/>
      <w:szCs w:val="24"/>
    </w:rPr>
  </w:style>
  <w:style w:type="paragraph" w:customStyle="1" w:styleId="152">
    <w:name w:val="宁波表头"/>
    <w:basedOn w:val="13"/>
    <w:link w:val="154"/>
    <w:qFormat/>
    <w:uiPriority w:val="0"/>
    <w:pPr>
      <w:spacing w:before="120" w:after="120"/>
      <w:jc w:val="center"/>
    </w:pPr>
    <w:rPr>
      <w:rFonts w:ascii="Cambria" w:hAnsi="Cambria"/>
      <w:color w:val="000000"/>
      <w:sz w:val="24"/>
    </w:rPr>
  </w:style>
  <w:style w:type="paragraph" w:customStyle="1" w:styleId="153">
    <w:name w:val="宁波表格"/>
    <w:basedOn w:val="1"/>
    <w:link w:val="156"/>
    <w:qFormat/>
    <w:uiPriority w:val="0"/>
    <w:pPr>
      <w:widowControl/>
      <w:spacing w:beforeLines="20" w:afterLines="20"/>
      <w:jc w:val="center"/>
    </w:pPr>
    <w:rPr>
      <w:rFonts w:ascii="宋体" w:hAnsi="宋体"/>
      <w:color w:val="000000"/>
      <w:kern w:val="0"/>
      <w:szCs w:val="21"/>
    </w:rPr>
  </w:style>
  <w:style w:type="character" w:customStyle="1" w:styleId="154">
    <w:name w:val="宁波表头 Char"/>
    <w:link w:val="152"/>
    <w:qFormat/>
    <w:uiPriority w:val="0"/>
    <w:rPr>
      <w:rFonts w:ascii="Cambria" w:hAnsi="Cambria" w:eastAsia="黑体"/>
      <w:color w:val="000000"/>
      <w:kern w:val="2"/>
      <w:sz w:val="24"/>
    </w:rPr>
  </w:style>
  <w:style w:type="paragraph" w:customStyle="1" w:styleId="155">
    <w:name w:val="宁波注"/>
    <w:basedOn w:val="1"/>
    <w:link w:val="157"/>
    <w:qFormat/>
    <w:uiPriority w:val="0"/>
    <w:pPr>
      <w:jc w:val="left"/>
    </w:pPr>
    <w:rPr>
      <w:rFonts w:ascii="宋体" w:hAnsi="宋体"/>
      <w:color w:val="000000"/>
      <w:kern w:val="0"/>
      <w:sz w:val="18"/>
      <w:szCs w:val="18"/>
    </w:rPr>
  </w:style>
  <w:style w:type="character" w:customStyle="1" w:styleId="156">
    <w:name w:val="宁波表格 Char"/>
    <w:link w:val="153"/>
    <w:qFormat/>
    <w:uiPriority w:val="0"/>
    <w:rPr>
      <w:rFonts w:ascii="宋体" w:hAnsi="宋体"/>
      <w:color w:val="000000"/>
      <w:sz w:val="21"/>
      <w:szCs w:val="21"/>
    </w:rPr>
  </w:style>
  <w:style w:type="character" w:customStyle="1" w:styleId="157">
    <w:name w:val="宁波注 Char"/>
    <w:link w:val="155"/>
    <w:qFormat/>
    <w:uiPriority w:val="0"/>
    <w:rPr>
      <w:rFonts w:ascii="宋体" w:hAnsi="宋体"/>
      <w:color w:val="000000"/>
      <w:sz w:val="18"/>
      <w:szCs w:val="18"/>
    </w:rPr>
  </w:style>
  <w:style w:type="paragraph" w:customStyle="1" w:styleId="158">
    <w:name w:val="正文首行"/>
    <w:basedOn w:val="1"/>
    <w:qFormat/>
    <w:uiPriority w:val="0"/>
    <w:pPr>
      <w:spacing w:beforeLines="50" w:afterLines="50" w:line="324" w:lineRule="auto"/>
      <w:ind w:firstLine="200" w:firstLineChars="200"/>
    </w:pPr>
    <w:rPr>
      <w:sz w:val="24"/>
    </w:rPr>
  </w:style>
  <w:style w:type="paragraph" w:customStyle="1" w:styleId="159">
    <w:name w:val="Body Text First Indent 21"/>
    <w:basedOn w:val="1"/>
    <w:qFormat/>
    <w:uiPriority w:val="0"/>
    <w:pPr>
      <w:spacing w:line="240" w:lineRule="auto"/>
      <w:ind w:left="420" w:leftChars="200" w:firstLine="420"/>
    </w:pPr>
    <w:rPr>
      <w:rFonts w:ascii="Times New Roman" w:hAnsi="Times New Roman"/>
      <w:szCs w:val="21"/>
    </w:rPr>
  </w:style>
  <w:style w:type="character" w:customStyle="1" w:styleId="160">
    <w:name w:val="Char Char14"/>
    <w:qFormat/>
    <w:uiPriority w:val="0"/>
    <w:rPr>
      <w:rFonts w:eastAsia="宋体"/>
      <w:b/>
      <w:bCs/>
      <w:kern w:val="2"/>
      <w:sz w:val="28"/>
      <w:szCs w:val="28"/>
      <w:lang w:val="en-US" w:eastAsia="zh-CN" w:bidi="ar-SA"/>
    </w:rPr>
  </w:style>
  <w:style w:type="character" w:customStyle="1" w:styleId="161">
    <w:name w:val="页脚 Char2"/>
    <w:qFormat/>
    <w:uiPriority w:val="0"/>
    <w:rPr>
      <w:rFonts w:ascii="Times New Roman" w:hAnsi="Times New Roman" w:eastAsia="黑体" w:cs="Times New Roman"/>
      <w:snapToGrid w:val="0"/>
      <w:kern w:val="0"/>
      <w:sz w:val="18"/>
      <w:szCs w:val="18"/>
    </w:rPr>
  </w:style>
  <w:style w:type="character" w:customStyle="1" w:styleId="162">
    <w:name w:val="页眉 Char2"/>
    <w:qFormat/>
    <w:uiPriority w:val="0"/>
    <w:rPr>
      <w:rFonts w:ascii="Times New Roman" w:hAnsi="Times New Roman" w:eastAsia="仿宋_GB2312" w:cs="Times New Roman"/>
      <w:sz w:val="18"/>
      <w:szCs w:val="20"/>
    </w:rPr>
  </w:style>
  <w:style w:type="character" w:customStyle="1" w:styleId="163">
    <w:name w:val="日期 Char3"/>
    <w:qFormat/>
    <w:uiPriority w:val="0"/>
    <w:rPr>
      <w:rFonts w:ascii="Times New Roman" w:hAnsi="Times New Roman" w:eastAsia="楷体_GB2312" w:cs="Times New Roman"/>
      <w:sz w:val="32"/>
      <w:szCs w:val="20"/>
    </w:rPr>
  </w:style>
  <w:style w:type="character" w:customStyle="1" w:styleId="164">
    <w:name w:val="15"/>
    <w:qFormat/>
    <w:uiPriority w:val="0"/>
    <w:rPr>
      <w:rFonts w:hint="eastAsia" w:ascii="宋体" w:hAnsi="宋体" w:eastAsia="宋体" w:cs="Times New Roman"/>
      <w:color w:val="000000"/>
      <w:sz w:val="32"/>
      <w:szCs w:val="32"/>
    </w:rPr>
  </w:style>
  <w:style w:type="character" w:customStyle="1" w:styleId="165">
    <w:name w:val="font12"/>
    <w:basedOn w:val="45"/>
    <w:qFormat/>
    <w:uiPriority w:val="0"/>
    <w:rPr>
      <w:rFonts w:hint="eastAsia" w:ascii="宋体" w:hAnsi="宋体" w:eastAsia="宋体" w:cs="宋体"/>
      <w:b/>
      <w:bCs/>
      <w:color w:val="000000"/>
      <w:sz w:val="21"/>
      <w:szCs w:val="21"/>
      <w:u w:val="none"/>
    </w:rPr>
  </w:style>
  <w:style w:type="character" w:customStyle="1" w:styleId="166">
    <w:name w:val="font61"/>
    <w:basedOn w:val="45"/>
    <w:qFormat/>
    <w:uiPriority w:val="0"/>
    <w:rPr>
      <w:rFonts w:hint="eastAsia" w:ascii="宋体" w:hAnsi="宋体" w:eastAsia="宋体" w:cs="宋体"/>
      <w:color w:val="000000"/>
      <w:sz w:val="21"/>
      <w:szCs w:val="21"/>
      <w:u w:val="none"/>
    </w:rPr>
  </w:style>
  <w:style w:type="paragraph" w:customStyle="1" w:styleId="167">
    <w:name w:val="Table Paragraph"/>
    <w:basedOn w:val="1"/>
    <w:qFormat/>
    <w:uiPriority w:val="1"/>
    <w:pPr>
      <w:autoSpaceDE w:val="0"/>
      <w:autoSpaceDN w:val="0"/>
      <w:spacing w:line="240" w:lineRule="auto"/>
      <w:jc w:val="left"/>
    </w:pPr>
    <w:rPr>
      <w:rFonts w:ascii="宋体" w:hAnsi="宋体" w:cs="宋体"/>
      <w:kern w:val="0"/>
      <w:sz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7451A9-69F7-40B3-A500-92390F91AE10}">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40</Pages>
  <Words>22783</Words>
  <Characters>24231</Characters>
  <Lines>184</Lines>
  <Paragraphs>51</Paragraphs>
  <TotalTime>16</TotalTime>
  <ScaleCrop>false</ScaleCrop>
  <LinksUpToDate>false</LinksUpToDate>
  <CharactersWithSpaces>25099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2021-10-08T02:37:00Z</dcterms:created>
  <dc:creator>宁波名诚招标代理有限公司</dc:creator>
  <cp:lastModifiedBy>S&amp;W</cp:lastModifiedBy>
  <cp:lastPrinted>2021-01-12T09:24:00Z</cp:lastPrinted>
  <dcterms:modified xsi:type="dcterms:W3CDTF">2023-11-27T01:48:13Z</dcterms:modified>
  <cp:revision>10598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24CEF7A4F86144A281AC95CD0C3801D4_13</vt:lpwstr>
  </property>
</Properties>
</file>