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C3142">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36"/>
          <w:szCs w:val="36"/>
          <w:highlight w:val="none"/>
          <w:lang w:eastAsia="zh-CN"/>
        </w:rPr>
        <w:t xml:space="preserve">杭州市上城区彭埠街道2025年度企退人员自管小组文体活动服务采购项目  </w:t>
      </w:r>
    </w:p>
    <w:p w14:paraId="28CCE7C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C0D3D7C">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84CB2C3">
      <w:pPr>
        <w:snapToGrid w:val="0"/>
        <w:spacing w:line="360" w:lineRule="auto"/>
        <w:jc w:val="center"/>
        <w:rPr>
          <w:rFonts w:ascii="仿宋" w:hAnsi="仿宋" w:eastAsia="仿宋" w:cs="仿宋"/>
          <w:color w:val="auto"/>
          <w:sz w:val="30"/>
          <w:szCs w:val="30"/>
          <w:highlight w:val="none"/>
        </w:rPr>
      </w:pPr>
    </w:p>
    <w:p w14:paraId="2371B340">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HZGS-XM2025-PBJD-0523</w:t>
      </w:r>
    </w:p>
    <w:p w14:paraId="3C0C3968">
      <w:pPr>
        <w:adjustRightInd/>
        <w:spacing w:line="360" w:lineRule="auto"/>
        <w:rPr>
          <w:rFonts w:ascii="仿宋" w:hAnsi="仿宋" w:eastAsia="仿宋" w:cs="仿宋"/>
          <w:color w:val="auto"/>
          <w:sz w:val="28"/>
          <w:szCs w:val="20"/>
          <w:highlight w:val="none"/>
        </w:rPr>
      </w:pPr>
    </w:p>
    <w:p w14:paraId="2D9F4CA4">
      <w:pPr>
        <w:spacing w:line="360" w:lineRule="auto"/>
        <w:jc w:val="center"/>
        <w:rPr>
          <w:rFonts w:ascii="仿宋" w:hAnsi="仿宋" w:eastAsia="仿宋" w:cs="仿宋"/>
          <w:b/>
          <w:color w:val="auto"/>
          <w:sz w:val="44"/>
          <w:szCs w:val="44"/>
          <w:highlight w:val="none"/>
        </w:rPr>
      </w:pPr>
    </w:p>
    <w:p w14:paraId="342182A0">
      <w:pPr>
        <w:pStyle w:val="18"/>
        <w:rPr>
          <w:color w:val="auto"/>
          <w:highlight w:val="none"/>
        </w:rPr>
      </w:pPr>
    </w:p>
    <w:p w14:paraId="76B077C8">
      <w:pPr>
        <w:spacing w:line="360" w:lineRule="auto"/>
        <w:jc w:val="center"/>
        <w:rPr>
          <w:rFonts w:ascii="仿宋" w:hAnsi="仿宋" w:eastAsia="仿宋" w:cs="仿宋"/>
          <w:b/>
          <w:color w:val="auto"/>
          <w:sz w:val="44"/>
          <w:szCs w:val="44"/>
          <w:highlight w:val="none"/>
        </w:rPr>
      </w:pPr>
    </w:p>
    <w:p w14:paraId="7265C1E8">
      <w:pPr>
        <w:spacing w:line="360" w:lineRule="auto"/>
        <w:jc w:val="center"/>
        <w:rPr>
          <w:rFonts w:ascii="仿宋" w:hAnsi="仿宋" w:eastAsia="仿宋" w:cs="仿宋"/>
          <w:color w:val="auto"/>
          <w:sz w:val="24"/>
          <w:highlight w:val="none"/>
        </w:rPr>
      </w:pPr>
    </w:p>
    <w:p w14:paraId="27AEFB46">
      <w:pPr>
        <w:pStyle w:val="18"/>
        <w:rPr>
          <w:rFonts w:ascii="仿宋" w:hAnsi="仿宋" w:eastAsia="仿宋" w:cs="仿宋"/>
          <w:color w:val="auto"/>
          <w:sz w:val="24"/>
          <w:highlight w:val="none"/>
        </w:rPr>
      </w:pPr>
    </w:p>
    <w:p w14:paraId="3959FE67">
      <w:pPr>
        <w:rPr>
          <w:color w:val="auto"/>
          <w:highlight w:val="none"/>
        </w:rPr>
      </w:pPr>
    </w:p>
    <w:p w14:paraId="1AE6346E">
      <w:pPr>
        <w:pStyle w:val="17"/>
        <w:rPr>
          <w:color w:val="auto"/>
          <w:highlight w:val="none"/>
        </w:rPr>
      </w:pPr>
    </w:p>
    <w:p w14:paraId="2FF1761A">
      <w:pPr>
        <w:rPr>
          <w:color w:val="auto"/>
          <w:highlight w:val="none"/>
        </w:rPr>
      </w:pPr>
    </w:p>
    <w:p w14:paraId="72DCDC9E">
      <w:pPr>
        <w:spacing w:line="360" w:lineRule="auto"/>
        <w:rPr>
          <w:rFonts w:ascii="仿宋" w:hAnsi="仿宋" w:eastAsia="仿宋" w:cs="仿宋"/>
          <w:color w:val="auto"/>
          <w:sz w:val="24"/>
          <w:highlight w:val="none"/>
        </w:rPr>
      </w:pPr>
    </w:p>
    <w:p w14:paraId="6C277F6E">
      <w:pPr>
        <w:snapToGrid w:val="0"/>
        <w:spacing w:line="360" w:lineRule="auto"/>
        <w:jc w:val="both"/>
        <w:rPr>
          <w:rFonts w:ascii="仿宋" w:hAnsi="仿宋" w:eastAsia="仿宋" w:cs="仿宋"/>
          <w:color w:val="auto"/>
          <w:sz w:val="32"/>
          <w:szCs w:val="32"/>
          <w:highlight w:val="none"/>
        </w:rPr>
      </w:pPr>
    </w:p>
    <w:p w14:paraId="07956BF6">
      <w:pPr>
        <w:pStyle w:val="45"/>
        <w:rPr>
          <w:color w:val="auto"/>
          <w:highlight w:val="none"/>
        </w:rPr>
      </w:pPr>
    </w:p>
    <w:p w14:paraId="445C3EC0">
      <w:pPr>
        <w:snapToGrid w:val="0"/>
        <w:spacing w:line="360" w:lineRule="auto"/>
        <w:jc w:val="center"/>
        <w:rPr>
          <w:rFonts w:hint="eastAsia" w:ascii="仿宋" w:hAnsi="仿宋" w:eastAsia="仿宋" w:cs="仿宋"/>
          <w:color w:val="auto"/>
          <w:sz w:val="32"/>
          <w:szCs w:val="32"/>
          <w:highlight w:val="none"/>
          <w:lang w:val="en-US" w:eastAsia="zh-CN"/>
        </w:rPr>
      </w:pPr>
    </w:p>
    <w:p w14:paraId="24EADE0E">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lang w:eastAsia="zh-CN"/>
        </w:rPr>
        <w:t xml:space="preserve">杭州市上城区彭埠街道应急消防管理站 </w:t>
      </w:r>
    </w:p>
    <w:p w14:paraId="6252101B">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杭州广厦建筑咨询有限公司</w:t>
      </w:r>
    </w:p>
    <w:p w14:paraId="35C0A49F">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 xml:space="preserve">月  </w:t>
      </w:r>
    </w:p>
    <w:p w14:paraId="6BA9480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FCD06B">
      <w:pPr>
        <w:spacing w:line="360" w:lineRule="auto"/>
        <w:jc w:val="center"/>
        <w:rPr>
          <w:rFonts w:ascii="仿宋" w:hAnsi="仿宋" w:eastAsia="仿宋" w:cs="仿宋"/>
          <w:color w:val="auto"/>
          <w:sz w:val="24"/>
          <w:highlight w:val="none"/>
        </w:rPr>
      </w:pPr>
    </w:p>
    <w:p w14:paraId="05CC919C">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CFAE73">
      <w:pPr>
        <w:spacing w:line="360" w:lineRule="auto"/>
        <w:rPr>
          <w:rFonts w:ascii="仿宋" w:hAnsi="仿宋" w:eastAsia="仿宋" w:cs="仿宋"/>
          <w:color w:val="auto"/>
          <w:sz w:val="32"/>
          <w:szCs w:val="32"/>
          <w:highlight w:val="none"/>
        </w:rPr>
      </w:pPr>
    </w:p>
    <w:p w14:paraId="2203A7D4">
      <w:pPr>
        <w:spacing w:line="360" w:lineRule="auto"/>
        <w:rPr>
          <w:rFonts w:ascii="仿宋" w:hAnsi="仿宋" w:eastAsia="仿宋" w:cs="仿宋"/>
          <w:color w:val="auto"/>
          <w:sz w:val="32"/>
          <w:szCs w:val="32"/>
          <w:highlight w:val="none"/>
        </w:rPr>
      </w:pPr>
    </w:p>
    <w:p w14:paraId="31B1059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5DBEC8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9B0D5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E9765C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714CC9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6C60C4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A1E3DB0">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41CBDE50">
      <w:pPr>
        <w:spacing w:line="360" w:lineRule="auto"/>
        <w:ind w:firstLine="549" w:firstLineChars="229"/>
        <w:rPr>
          <w:rFonts w:ascii="仿宋" w:hAnsi="仿宋" w:eastAsia="仿宋" w:cs="仿宋"/>
          <w:color w:val="auto"/>
          <w:sz w:val="24"/>
          <w:highlight w:val="none"/>
        </w:rPr>
      </w:pPr>
    </w:p>
    <w:p w14:paraId="01B92F47">
      <w:pPr>
        <w:spacing w:line="360" w:lineRule="auto"/>
        <w:ind w:firstLine="549" w:firstLineChars="229"/>
        <w:rPr>
          <w:rFonts w:ascii="仿宋" w:hAnsi="仿宋" w:eastAsia="仿宋" w:cs="仿宋"/>
          <w:color w:val="auto"/>
          <w:sz w:val="24"/>
          <w:highlight w:val="none"/>
        </w:rPr>
      </w:pPr>
    </w:p>
    <w:p w14:paraId="0480F35C">
      <w:pPr>
        <w:spacing w:line="360" w:lineRule="auto"/>
        <w:ind w:firstLine="549" w:firstLineChars="229"/>
        <w:rPr>
          <w:rFonts w:ascii="仿宋" w:hAnsi="仿宋" w:eastAsia="仿宋" w:cs="仿宋"/>
          <w:color w:val="auto"/>
          <w:sz w:val="24"/>
          <w:highlight w:val="none"/>
        </w:rPr>
      </w:pPr>
    </w:p>
    <w:p w14:paraId="16E841FB">
      <w:pPr>
        <w:spacing w:line="360" w:lineRule="auto"/>
        <w:ind w:firstLine="549" w:firstLineChars="229"/>
        <w:rPr>
          <w:rFonts w:ascii="仿宋" w:hAnsi="仿宋" w:eastAsia="仿宋" w:cs="仿宋"/>
          <w:color w:val="auto"/>
          <w:sz w:val="24"/>
          <w:highlight w:val="none"/>
        </w:rPr>
      </w:pPr>
    </w:p>
    <w:p w14:paraId="68AA141E">
      <w:pPr>
        <w:spacing w:line="360" w:lineRule="auto"/>
        <w:ind w:firstLine="549" w:firstLineChars="229"/>
        <w:rPr>
          <w:rFonts w:ascii="仿宋" w:hAnsi="仿宋" w:eastAsia="仿宋" w:cs="仿宋"/>
          <w:color w:val="auto"/>
          <w:sz w:val="24"/>
          <w:highlight w:val="none"/>
        </w:rPr>
      </w:pPr>
    </w:p>
    <w:p w14:paraId="1FE68600">
      <w:pPr>
        <w:spacing w:line="360" w:lineRule="auto"/>
        <w:ind w:firstLine="549" w:firstLineChars="229"/>
        <w:rPr>
          <w:rFonts w:ascii="仿宋" w:hAnsi="仿宋" w:eastAsia="仿宋" w:cs="仿宋"/>
          <w:color w:val="auto"/>
          <w:sz w:val="24"/>
          <w:highlight w:val="none"/>
        </w:rPr>
      </w:pPr>
    </w:p>
    <w:p w14:paraId="3484FDED">
      <w:pPr>
        <w:spacing w:line="360" w:lineRule="auto"/>
        <w:ind w:firstLine="549" w:firstLineChars="229"/>
        <w:rPr>
          <w:rFonts w:ascii="仿宋" w:hAnsi="仿宋" w:eastAsia="仿宋" w:cs="仿宋"/>
          <w:color w:val="auto"/>
          <w:sz w:val="24"/>
          <w:highlight w:val="none"/>
        </w:rPr>
      </w:pPr>
    </w:p>
    <w:p w14:paraId="204FC508">
      <w:pPr>
        <w:spacing w:line="360" w:lineRule="auto"/>
        <w:ind w:firstLine="549" w:firstLineChars="229"/>
        <w:rPr>
          <w:rFonts w:ascii="仿宋" w:hAnsi="仿宋" w:eastAsia="仿宋" w:cs="仿宋"/>
          <w:color w:val="auto"/>
          <w:sz w:val="24"/>
          <w:highlight w:val="none"/>
        </w:rPr>
      </w:pPr>
    </w:p>
    <w:p w14:paraId="4A49C2E6">
      <w:pPr>
        <w:spacing w:line="360" w:lineRule="auto"/>
        <w:ind w:firstLine="549" w:firstLineChars="229"/>
        <w:rPr>
          <w:rFonts w:ascii="仿宋" w:hAnsi="仿宋" w:eastAsia="仿宋" w:cs="仿宋"/>
          <w:color w:val="auto"/>
          <w:sz w:val="24"/>
          <w:highlight w:val="none"/>
        </w:rPr>
      </w:pPr>
    </w:p>
    <w:p w14:paraId="47F2A7C9">
      <w:pPr>
        <w:spacing w:line="360" w:lineRule="auto"/>
        <w:ind w:firstLine="549" w:firstLineChars="229"/>
        <w:rPr>
          <w:rFonts w:ascii="仿宋" w:hAnsi="仿宋" w:eastAsia="仿宋" w:cs="仿宋"/>
          <w:color w:val="auto"/>
          <w:sz w:val="24"/>
          <w:highlight w:val="none"/>
        </w:rPr>
      </w:pPr>
    </w:p>
    <w:p w14:paraId="0BA9F9C0">
      <w:pPr>
        <w:spacing w:line="360" w:lineRule="auto"/>
        <w:ind w:firstLine="549" w:firstLineChars="229"/>
        <w:rPr>
          <w:rFonts w:ascii="仿宋" w:hAnsi="仿宋" w:eastAsia="仿宋" w:cs="仿宋"/>
          <w:color w:val="auto"/>
          <w:sz w:val="24"/>
          <w:highlight w:val="none"/>
        </w:rPr>
      </w:pPr>
    </w:p>
    <w:p w14:paraId="0C70FB4E">
      <w:pPr>
        <w:spacing w:line="360" w:lineRule="auto"/>
        <w:ind w:firstLine="549" w:firstLineChars="229"/>
        <w:rPr>
          <w:rFonts w:ascii="仿宋" w:hAnsi="仿宋" w:eastAsia="仿宋" w:cs="仿宋"/>
          <w:color w:val="auto"/>
          <w:sz w:val="24"/>
          <w:highlight w:val="none"/>
        </w:rPr>
      </w:pPr>
    </w:p>
    <w:p w14:paraId="03E2AA49">
      <w:pPr>
        <w:spacing w:line="360" w:lineRule="auto"/>
        <w:rPr>
          <w:rFonts w:ascii="仿宋" w:hAnsi="仿宋" w:eastAsia="仿宋" w:cs="仿宋"/>
          <w:color w:val="auto"/>
          <w:sz w:val="24"/>
          <w:highlight w:val="none"/>
        </w:rPr>
      </w:pPr>
    </w:p>
    <w:p w14:paraId="5C2B2599">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853A06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E40E6E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杭州市上城区彭埠街道2025年度企退人员自管小组文体活动服务采购项目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"https://www.zcygov.cn/）获取（下载）招标文件，并于2023年%20月%20日10%20点00%20分00秒" </w:instrText>
      </w:r>
      <w:r>
        <w:rPr>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https://www.zcygov.cn/）获取（下载）招标文件，并于202</w:t>
      </w:r>
      <w:r>
        <w:rPr>
          <w:rStyle w:val="79"/>
          <w:rFonts w:hint="eastAsia" w:ascii="仿宋" w:hAnsi="仿宋" w:eastAsia="仿宋" w:cs="仿宋"/>
          <w:snapToGrid/>
          <w:color w:val="auto"/>
          <w:kern w:val="2"/>
          <w:sz w:val="24"/>
          <w:szCs w:val="24"/>
          <w:highlight w:val="non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07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11</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14</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w:t>
      </w:r>
      <w:r>
        <w:rPr>
          <w:rStyle w:val="79"/>
          <w:rFonts w:hint="eastAsia" w:ascii="仿宋" w:hAnsi="仿宋" w:eastAsia="仿宋" w:cs="仿宋"/>
          <w:snapToGrid/>
          <w:color w:val="auto"/>
          <w:kern w:val="2"/>
          <w:sz w:val="24"/>
          <w:szCs w:val="24"/>
          <w:highlight w:val="none"/>
        </w:rPr>
        <w:t>0分</w:t>
      </w:r>
      <w:r>
        <w:rPr>
          <w:rStyle w:val="79"/>
          <w:rFonts w:hint="eastAsia" w:ascii="仿宋" w:hAnsi="仿宋" w:eastAsia="仿宋" w:cs="仿宋"/>
          <w:bCs/>
          <w:snapToGrid/>
          <w:color w:val="auto"/>
          <w:kern w:val="2"/>
          <w:sz w:val="24"/>
          <w:szCs w:val="24"/>
          <w:highlight w:val="none"/>
        </w:rPr>
        <w:t>00秒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3A9C0D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FBD7D8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HZGS-XM2025-PBJD-0523</w:t>
      </w:r>
    </w:p>
    <w:p w14:paraId="7BFB33A8">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 xml:space="preserve">杭州市上城区彭埠街道2025年度企退人员自管小组文体活动服务采购项目  </w:t>
      </w:r>
    </w:p>
    <w:p w14:paraId="7442717F">
      <w:pPr>
        <w:spacing w:line="360" w:lineRule="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预算金额（元）：2665000</w:t>
      </w:r>
    </w:p>
    <w:p w14:paraId="0A8ED234">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最高限价（元）：2665000</w:t>
      </w:r>
    </w:p>
    <w:p w14:paraId="65B7675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采购内容及要求详见招标文件第三部分采购需求。</w:t>
      </w:r>
    </w:p>
    <w:p w14:paraId="56805C19">
      <w:pPr>
        <w:pStyle w:val="17"/>
        <w:spacing w:line="360" w:lineRule="auto"/>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中小企业政策：</w:t>
      </w:r>
      <w:r>
        <w:rPr>
          <w:rFonts w:hint="eastAsia" w:ascii="仿宋" w:hAnsi="仿宋" w:eastAsia="仿宋" w:cs="仿宋"/>
          <w:b w:val="0"/>
          <w:bCs/>
          <w:color w:val="auto"/>
          <w:sz w:val="24"/>
          <w:highlight w:val="none"/>
        </w:rPr>
        <w:t>中小企业预留</w:t>
      </w:r>
    </w:p>
    <w:p w14:paraId="31F9DEF0">
      <w:pPr>
        <w:pStyle w:val="17"/>
        <w:spacing w:line="360" w:lineRule="auto"/>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p>
    <w:p w14:paraId="5447489F">
      <w:pPr>
        <w:pStyle w:val="17"/>
        <w:spacing w:line="360" w:lineRule="auto"/>
        <w:ind w:firstLine="0"/>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：2665000</w:t>
      </w:r>
    </w:p>
    <w:p w14:paraId="5370887F">
      <w:pPr>
        <w:pStyle w:val="17"/>
        <w:spacing w:line="360" w:lineRule="auto"/>
        <w:ind w:firstLine="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合同履约期限：合同签订之日至202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年12月31日。</w:t>
      </w:r>
    </w:p>
    <w:p w14:paraId="6DEBA692">
      <w:pPr>
        <w:pStyle w:val="17"/>
        <w:spacing w:line="360" w:lineRule="auto"/>
        <w:ind w:firstLine="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424937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8859536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58A8F6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6558DB4F">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0680C6">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4A27AB0C">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D11B5AD">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794752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66EAD98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3385074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991722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99431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服务全部由符合政策要求的中小企业承接，提供中小企业声明函；</w:t>
      </w:r>
    </w:p>
    <w:p w14:paraId="7818B3A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服务全部由符合政策要求的小微企业承接，提供中小企业声明函；</w:t>
      </w:r>
    </w:p>
    <w:p w14:paraId="1A69C2D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5187800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3A3BF7C6">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8043403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5CBABF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5F35573">
      <w:pPr>
        <w:snapToGrid w:val="0"/>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highlight w:val="none"/>
        </w:rPr>
        <w:sym w:font="Wingdings" w:char="00FE"/>
      </w:r>
      <w:r>
        <w:rPr>
          <w:rFonts w:hint="eastAsia" w:ascii="仿宋" w:hAnsi="仿宋" w:eastAsia="仿宋" w:cs="仿宋"/>
          <w:color w:val="auto"/>
          <w:sz w:val="24"/>
          <w:highlight w:val="none"/>
        </w:rPr>
        <w:t>无；</w:t>
      </w:r>
    </w:p>
    <w:p w14:paraId="276E9690">
      <w:pPr>
        <w:snapToGrid w:val="0"/>
        <w:spacing w:line="360" w:lineRule="auto"/>
        <w:ind w:firstLine="480" w:firstLineChars="200"/>
        <w:rPr>
          <w:color w:val="auto"/>
          <w:highlight w:val="none"/>
        </w:rPr>
      </w:pPr>
      <w:r>
        <w:rPr>
          <w:rFonts w:hint="eastAsia" w:ascii="Wingdings" w:hAnsi="Wingdings" w:eastAsia="MS Gothic" w:cs="宋体"/>
          <w:color w:val="auto"/>
          <w:kern w:val="0"/>
          <w:sz w:val="24"/>
          <w:highlight w:val="none"/>
        </w:rPr>
        <w:sym w:font="Wingdings" w:char="00A8"/>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rPr>
        <w:t>。</w:t>
      </w:r>
    </w:p>
    <w:p w14:paraId="35D98B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F0D5E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A97A2A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79A2CF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AFDB89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54649E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A052A8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158936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14:paraId="37774A3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E0119D0">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p>
    <w:p w14:paraId="05B45BD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B0180A4">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2FE7C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057CAC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EE6FACD">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13CD76">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E378B0">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C678E8">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1915C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BD80C7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1、采购人联系方式：</w:t>
      </w:r>
    </w:p>
    <w:p w14:paraId="6D0C38C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采购单位名称：</w:t>
      </w:r>
      <w:r>
        <w:rPr>
          <w:rFonts w:hint="eastAsia" w:ascii="仿宋" w:hAnsi="仿宋" w:eastAsia="仿宋" w:cs="仿宋"/>
          <w:color w:val="auto"/>
          <w:sz w:val="24"/>
          <w:highlight w:val="none"/>
          <w:lang w:eastAsia="zh-CN"/>
        </w:rPr>
        <w:t xml:space="preserve">杭州市上城区彭埠街道应急消防管理站 </w:t>
      </w:r>
    </w:p>
    <w:p w14:paraId="040FE5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杭州市上城区备塘中路7号</w:t>
      </w:r>
    </w:p>
    <w:p w14:paraId="742EA5F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赵老师</w:t>
      </w:r>
    </w:p>
    <w:p w14:paraId="63DD9B0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89504088</w:t>
      </w:r>
    </w:p>
    <w:p w14:paraId="7F32E23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严老师</w:t>
      </w:r>
    </w:p>
    <w:p w14:paraId="109F57F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0571-89503907</w:t>
      </w:r>
    </w:p>
    <w:p w14:paraId="7D8596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2、采购代理机构联系方式：</w:t>
      </w:r>
    </w:p>
    <w:p w14:paraId="135F688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lang w:eastAsia="zh-CN"/>
        </w:rPr>
        <w:t>杭州广厦建筑咨询有限公司</w:t>
      </w:r>
    </w:p>
    <w:p w14:paraId="00578F5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地点：杭州市秋涛北路332号佰富时代中心2幢10楼</w:t>
      </w:r>
    </w:p>
    <w:p w14:paraId="0AA1C18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史工</w:t>
      </w:r>
    </w:p>
    <w:p w14:paraId="7B6BC1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项目联系方式（询问）：0571-85092954/15825504457</w:t>
      </w:r>
    </w:p>
    <w:p w14:paraId="51D480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质疑联系人：孟</w:t>
      </w:r>
      <w:r>
        <w:rPr>
          <w:rFonts w:hint="eastAsia" w:ascii="仿宋" w:hAnsi="仿宋" w:eastAsia="仿宋" w:cs="仿宋"/>
          <w:color w:val="auto"/>
          <w:sz w:val="24"/>
          <w:highlight w:val="none"/>
          <w:lang w:val="en-US" w:eastAsia="zh-CN"/>
        </w:rPr>
        <w:t>工</w:t>
      </w:r>
    </w:p>
    <w:p w14:paraId="649EBBC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质疑联系方式：0571-85093236</w:t>
      </w:r>
    </w:p>
    <w:p w14:paraId="542F91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CE83E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同级政府采购监管部门：杭州市上城区财政局、浙江省政府采购行政裁决服务中心（杭州）</w:t>
      </w:r>
    </w:p>
    <w:p w14:paraId="31C501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0B91F0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联系电话：0571-87800218,0571-87227671</w:t>
      </w:r>
    </w:p>
    <w:p w14:paraId="176E94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369B16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BA82863">
      <w:pPr>
        <w:pStyle w:val="34"/>
        <w:spacing w:line="360" w:lineRule="auto"/>
        <w:rPr>
          <w:rFonts w:ascii="仿宋" w:hAnsi="仿宋" w:eastAsia="仿宋" w:cs="仿宋"/>
          <w:color w:val="auto"/>
          <w:sz w:val="24"/>
          <w:highlight w:val="none"/>
        </w:rPr>
      </w:pPr>
    </w:p>
    <w:p w14:paraId="4F24311E">
      <w:pPr>
        <w:pStyle w:val="34"/>
        <w:spacing w:line="360" w:lineRule="auto"/>
        <w:ind w:firstLine="2530" w:firstLineChars="70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4E3DA18">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84"/>
        <w:gridCol w:w="6054"/>
      </w:tblGrid>
      <w:tr w14:paraId="6516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71B12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84" w:type="dxa"/>
            <w:tcBorders>
              <w:top w:val="single" w:color="000000" w:sz="8" w:space="0"/>
              <w:left w:val="single" w:color="auto" w:sz="4" w:space="0"/>
              <w:bottom w:val="single" w:color="000000" w:sz="8" w:space="0"/>
              <w:right w:val="single" w:color="000000" w:sz="8" w:space="0"/>
            </w:tcBorders>
            <w:vAlign w:val="center"/>
          </w:tcPr>
          <w:p w14:paraId="686BA60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54" w:type="dxa"/>
            <w:tcBorders>
              <w:top w:val="single" w:color="000000" w:sz="8" w:space="0"/>
              <w:left w:val="single" w:color="000000" w:sz="2" w:space="0"/>
              <w:bottom w:val="single" w:color="000000" w:sz="8" w:space="0"/>
              <w:right w:val="single" w:color="000000" w:sz="8" w:space="0"/>
            </w:tcBorders>
            <w:vAlign w:val="center"/>
          </w:tcPr>
          <w:p w14:paraId="4FBC85C9">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DEA9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tcPr>
          <w:p w14:paraId="1E9C311F">
            <w:pPr>
              <w:snapToGrid w:val="0"/>
              <w:spacing w:line="360" w:lineRule="auto"/>
              <w:jc w:val="center"/>
              <w:rPr>
                <w:rFonts w:ascii="仿宋" w:hAnsi="仿宋" w:eastAsia="仿宋" w:cs="仿宋"/>
                <w:color w:val="auto"/>
                <w:sz w:val="24"/>
                <w:highlight w:val="none"/>
              </w:rPr>
            </w:pPr>
          </w:p>
          <w:p w14:paraId="3E4AC98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84" w:type="dxa"/>
            <w:tcBorders>
              <w:top w:val="single" w:color="000000" w:sz="8" w:space="0"/>
              <w:left w:val="single" w:color="auto" w:sz="4" w:space="0"/>
              <w:bottom w:val="single" w:color="000000" w:sz="8" w:space="0"/>
              <w:right w:val="single" w:color="000000" w:sz="8" w:space="0"/>
            </w:tcBorders>
            <w:vAlign w:val="center"/>
          </w:tcPr>
          <w:p w14:paraId="68900F7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07073012">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eastAsia="仿宋_GB2312"/>
                <w:color w:val="auto"/>
                <w:highlight w:val="none"/>
                <w:u w:val="single"/>
              </w:rPr>
              <w:t xml:space="preserve">   /   </w:t>
            </w:r>
            <w:r>
              <w:rPr>
                <w:rFonts w:hint="eastAsia" w:ascii="仿宋_GB2312" w:hAnsi="仿宋" w:eastAsia="仿宋_GB2312"/>
                <w:color w:val="auto"/>
                <w:sz w:val="24"/>
                <w:highlight w:val="none"/>
              </w:rPr>
              <w:t>。</w:t>
            </w:r>
          </w:p>
          <w:p w14:paraId="61417CF7">
            <w:pPr>
              <w:spacing w:line="360" w:lineRule="auto"/>
              <w:rPr>
                <w:rFonts w:ascii="仿宋" w:hAnsi="仿宋" w:eastAsia="仿宋" w:cs="仿宋"/>
                <w:color w:val="auto"/>
                <w:kern w:val="0"/>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14:paraId="1D5C3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5A468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619518E9">
            <w:pPr>
              <w:snapToGrid w:val="0"/>
              <w:spacing w:line="360" w:lineRule="auto"/>
              <w:jc w:val="center"/>
              <w:rPr>
                <w:rFonts w:ascii="仿宋" w:hAnsi="仿宋" w:eastAsia="仿宋" w:cs="仿宋"/>
                <w:color w:val="auto"/>
                <w:sz w:val="24"/>
                <w:highlight w:val="none"/>
              </w:rPr>
            </w:pPr>
          </w:p>
        </w:tc>
        <w:tc>
          <w:tcPr>
            <w:tcW w:w="1884" w:type="dxa"/>
            <w:tcBorders>
              <w:top w:val="single" w:color="000000" w:sz="8" w:space="0"/>
              <w:left w:val="single" w:color="auto" w:sz="4" w:space="0"/>
              <w:bottom w:val="single" w:color="000000" w:sz="8" w:space="0"/>
              <w:right w:val="single" w:color="000000" w:sz="8" w:space="0"/>
            </w:tcBorders>
            <w:vAlign w:val="center"/>
          </w:tcPr>
          <w:p w14:paraId="0A40523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54" w:type="dxa"/>
            <w:tcBorders>
              <w:top w:val="single" w:color="000000" w:sz="8" w:space="0"/>
              <w:left w:val="single" w:color="000000" w:sz="2" w:space="0"/>
              <w:bottom w:val="single" w:color="000000" w:sz="8" w:space="0"/>
              <w:right w:val="single" w:color="000000" w:sz="8" w:space="0"/>
            </w:tcBorders>
            <w:vAlign w:val="center"/>
          </w:tcPr>
          <w:p w14:paraId="18A45BF1">
            <w:pPr>
              <w:widowControl/>
              <w:spacing w:line="360" w:lineRule="auto"/>
              <w:outlineLvl w:val="0"/>
              <w:rPr>
                <w:rFonts w:ascii="仿宋" w:hAnsi="仿宋" w:eastAsia="仿宋"/>
                <w:color w:val="auto"/>
                <w:spacing w:val="3"/>
                <w:sz w:val="24"/>
                <w:highlight w:val="none"/>
              </w:rPr>
            </w:pPr>
            <w:r>
              <w:rPr>
                <w:rFonts w:hint="eastAsia" w:ascii="仿宋" w:hAnsi="仿宋" w:eastAsia="仿宋"/>
                <w:color w:val="auto"/>
                <w:spacing w:val="3"/>
                <w:sz w:val="24"/>
                <w:highlight w:val="none"/>
              </w:rPr>
              <w:t>根据《关于印发中小企业划型标准规定的通知》（工信部联企业</w:t>
            </w:r>
            <w:r>
              <w:rPr>
                <w:rFonts w:hint="eastAsia" w:ascii="仿宋" w:hAnsi="仿宋" w:eastAsia="仿宋" w:cs="宋体"/>
                <w:color w:val="auto"/>
                <w:spacing w:val="3"/>
                <w:sz w:val="24"/>
                <w:highlight w:val="none"/>
              </w:rPr>
              <w:t>〔2011〕300</w:t>
            </w:r>
            <w:r>
              <w:rPr>
                <w:rFonts w:hint="eastAsia" w:ascii="仿宋" w:hAnsi="仿宋" w:eastAsia="仿宋"/>
                <w:color w:val="auto"/>
                <w:spacing w:val="3"/>
                <w:sz w:val="24"/>
                <w:highlight w:val="none"/>
              </w:rPr>
              <w:t>号），</w:t>
            </w:r>
            <w:r>
              <w:rPr>
                <w:rFonts w:hint="eastAsia" w:ascii="仿宋" w:hAnsi="仿宋" w:eastAsia="仿宋"/>
                <w:color w:val="auto"/>
                <w:spacing w:val="3"/>
                <w:sz w:val="24"/>
                <w:highlight w:val="none"/>
                <w:u w:val="single"/>
              </w:rPr>
              <w:t>本项目按所属行业为</w:t>
            </w:r>
            <w:r>
              <w:rPr>
                <w:rFonts w:hint="eastAsia" w:ascii="仿宋" w:hAnsi="仿宋" w:eastAsia="仿宋"/>
                <w:b/>
                <w:bCs/>
                <w:color w:val="auto"/>
                <w:spacing w:val="3"/>
                <w:sz w:val="24"/>
                <w:highlight w:val="none"/>
                <w:u w:val="single"/>
              </w:rPr>
              <w:t>“其他未列明行业</w:t>
            </w:r>
            <w:r>
              <w:rPr>
                <w:rFonts w:hint="eastAsia" w:ascii="仿宋" w:hAnsi="仿宋" w:eastAsia="仿宋"/>
                <w:color w:val="auto"/>
                <w:spacing w:val="3"/>
                <w:sz w:val="24"/>
                <w:highlight w:val="none"/>
              </w:rPr>
              <w:t xml:space="preserve">”。  </w:t>
            </w:r>
          </w:p>
          <w:p w14:paraId="7A68BE84">
            <w:pPr>
              <w:pStyle w:val="5"/>
              <w:keepNext w:val="0"/>
              <w:keepLines w:val="0"/>
              <w:adjustRightInd w:val="0"/>
              <w:snapToGrid w:val="0"/>
              <w:spacing w:line="288" w:lineRule="auto"/>
              <w:ind w:left="0" w:firstLine="0"/>
              <w:rPr>
                <w:rFonts w:hint="default" w:ascii="宋体" w:hAnsi="宋体" w:eastAsia="宋体" w:cs="宋体"/>
                <w:color w:val="auto"/>
                <w:spacing w:val="3"/>
                <w:sz w:val="24"/>
                <w:highlight w:val="none"/>
                <w:lang w:val="en-US"/>
              </w:rPr>
            </w:pPr>
            <w:r>
              <w:rPr>
                <w:rFonts w:hint="eastAsia" w:ascii="仿宋" w:eastAsia="仿宋"/>
                <w:color w:val="auto"/>
                <w:sz w:val="24"/>
                <w:szCs w:val="24"/>
                <w:highlight w:val="none"/>
              </w:rPr>
              <w:t>划分标准：</w:t>
            </w:r>
            <w:r>
              <w:rPr>
                <w:rFonts w:hint="eastAsia" w:ascii="仿宋" w:hAnsi="仿宋" w:eastAsia="仿宋" w:cs="Times New Roman"/>
                <w:b w:val="0"/>
                <w:bCs w:val="0"/>
                <w:color w:val="auto"/>
                <w:spacing w:val="3"/>
                <w:kern w:val="2"/>
                <w:sz w:val="24"/>
                <w:szCs w:val="24"/>
                <w:highlight w:val="none"/>
                <w:u w:val="single"/>
                <w:lang w:val="en-US" w:eastAsia="zh-CN" w:bidi="ar-SA"/>
              </w:rPr>
              <w:t>从业人员300人以下的为中小微型企业。其中，从业人员100人及以上的为中型企业；从业人员10人及以上的为小型企业；从业人员10人以下的为微型企业</w:t>
            </w:r>
            <w:r>
              <w:rPr>
                <w:rFonts w:hint="eastAsia" w:ascii="仿宋" w:eastAsia="仿宋" w:cs="Times New Roman"/>
                <w:b w:val="0"/>
                <w:bCs w:val="0"/>
                <w:color w:val="auto"/>
                <w:spacing w:val="3"/>
                <w:kern w:val="2"/>
                <w:sz w:val="24"/>
                <w:szCs w:val="24"/>
                <w:highlight w:val="none"/>
                <w:u w:val="none"/>
                <w:lang w:val="en-US" w:eastAsia="zh-CN" w:bidi="ar-SA"/>
              </w:rPr>
              <w:t>。</w:t>
            </w:r>
          </w:p>
        </w:tc>
      </w:tr>
      <w:tr w14:paraId="4AA6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tcPr>
          <w:p w14:paraId="1BCCB004">
            <w:pPr>
              <w:snapToGrid w:val="0"/>
              <w:spacing w:line="360" w:lineRule="auto"/>
              <w:jc w:val="center"/>
              <w:rPr>
                <w:rFonts w:ascii="仿宋" w:hAnsi="仿宋" w:eastAsia="仿宋" w:cs="仿宋"/>
                <w:color w:val="auto"/>
                <w:sz w:val="24"/>
                <w:highlight w:val="none"/>
              </w:rPr>
            </w:pPr>
          </w:p>
          <w:p w14:paraId="37B4CAFD">
            <w:pPr>
              <w:snapToGrid w:val="0"/>
              <w:spacing w:line="360" w:lineRule="auto"/>
              <w:jc w:val="center"/>
              <w:rPr>
                <w:rFonts w:ascii="仿宋" w:hAnsi="仿宋" w:eastAsia="仿宋" w:cs="仿宋"/>
                <w:color w:val="auto"/>
                <w:sz w:val="24"/>
                <w:highlight w:val="none"/>
              </w:rPr>
            </w:pPr>
          </w:p>
          <w:p w14:paraId="63A7894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84" w:type="dxa"/>
            <w:tcBorders>
              <w:top w:val="single" w:color="000000" w:sz="8" w:space="0"/>
              <w:left w:val="single" w:color="auto" w:sz="4" w:space="0"/>
              <w:bottom w:val="single" w:color="000000" w:sz="8" w:space="0"/>
              <w:right w:val="single" w:color="000000" w:sz="8" w:space="0"/>
            </w:tcBorders>
            <w:vAlign w:val="center"/>
          </w:tcPr>
          <w:p w14:paraId="4671423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64A1DDD7">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27AC8CEA">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可以就采购进口产品。优先采购向我国企业转让技术、与我国企业签订消化吸收再创新方案的供应商的进口产品，详见评分标准。</w:t>
            </w:r>
          </w:p>
        </w:tc>
      </w:tr>
      <w:tr w14:paraId="2A07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CC3D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84" w:type="dxa"/>
            <w:tcBorders>
              <w:top w:val="single" w:color="000000" w:sz="8" w:space="0"/>
              <w:left w:val="single" w:color="auto" w:sz="4" w:space="0"/>
              <w:bottom w:val="single" w:color="000000" w:sz="8" w:space="0"/>
              <w:right w:val="single" w:color="000000" w:sz="8" w:space="0"/>
            </w:tcBorders>
            <w:vAlign w:val="center"/>
          </w:tcPr>
          <w:p w14:paraId="60FD6FDD">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54" w:type="dxa"/>
            <w:tcBorders>
              <w:top w:val="single" w:color="000000" w:sz="8" w:space="0"/>
              <w:left w:val="single" w:color="000000" w:sz="2" w:space="0"/>
              <w:bottom w:val="single" w:color="000000" w:sz="8" w:space="0"/>
              <w:right w:val="single" w:color="000000" w:sz="8" w:space="0"/>
            </w:tcBorders>
            <w:vAlign w:val="center"/>
          </w:tcPr>
          <w:p w14:paraId="3BBFF016">
            <w:pPr>
              <w:spacing w:line="360" w:lineRule="auto"/>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2399C7A7">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不同意分包。注：不得限制大中型企业向小微企业合理分包。</w:t>
            </w:r>
          </w:p>
        </w:tc>
      </w:tr>
      <w:tr w14:paraId="0055B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tcPr>
          <w:p w14:paraId="38064DB1">
            <w:pPr>
              <w:snapToGrid w:val="0"/>
              <w:spacing w:line="360" w:lineRule="auto"/>
              <w:jc w:val="center"/>
              <w:rPr>
                <w:rFonts w:ascii="仿宋" w:hAnsi="仿宋" w:eastAsia="仿宋" w:cs="仿宋"/>
                <w:color w:val="auto"/>
                <w:sz w:val="24"/>
                <w:highlight w:val="none"/>
              </w:rPr>
            </w:pPr>
          </w:p>
          <w:p w14:paraId="5826A6CC">
            <w:pPr>
              <w:snapToGrid w:val="0"/>
              <w:spacing w:line="360" w:lineRule="auto"/>
              <w:jc w:val="center"/>
              <w:rPr>
                <w:rFonts w:ascii="仿宋" w:hAnsi="仿宋" w:eastAsia="仿宋" w:cs="仿宋"/>
                <w:color w:val="auto"/>
                <w:sz w:val="24"/>
                <w:highlight w:val="none"/>
              </w:rPr>
            </w:pPr>
          </w:p>
          <w:p w14:paraId="4977FC3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84" w:type="dxa"/>
            <w:tcBorders>
              <w:top w:val="single" w:color="000000" w:sz="8" w:space="0"/>
              <w:left w:val="single" w:color="auto" w:sz="4" w:space="0"/>
              <w:bottom w:val="single" w:color="000000" w:sz="8" w:space="0"/>
              <w:right w:val="single" w:color="000000" w:sz="8" w:space="0"/>
            </w:tcBorders>
            <w:vAlign w:val="center"/>
          </w:tcPr>
          <w:p w14:paraId="11829AB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54" w:type="dxa"/>
            <w:tcBorders>
              <w:top w:val="single" w:color="000000" w:sz="8" w:space="0"/>
              <w:left w:val="single" w:color="000000" w:sz="2" w:space="0"/>
              <w:bottom w:val="single" w:color="000000" w:sz="8" w:space="0"/>
              <w:right w:val="single" w:color="000000" w:sz="8" w:space="0"/>
            </w:tcBorders>
            <w:vAlign w:val="center"/>
          </w:tcPr>
          <w:p w14:paraId="1789CB73">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152EBBE">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w:t>
            </w:r>
          </w:p>
        </w:tc>
      </w:tr>
      <w:tr w14:paraId="2F615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133BAC">
            <w:pPr>
              <w:snapToGrid w:val="0"/>
              <w:spacing w:line="360" w:lineRule="auto"/>
              <w:jc w:val="center"/>
              <w:rPr>
                <w:rFonts w:ascii="仿宋" w:hAnsi="仿宋" w:eastAsia="仿宋" w:cs="仿宋"/>
                <w:color w:val="auto"/>
                <w:sz w:val="24"/>
                <w:highlight w:val="none"/>
              </w:rPr>
            </w:pPr>
          </w:p>
          <w:p w14:paraId="0FAE0E03">
            <w:pPr>
              <w:snapToGrid w:val="0"/>
              <w:spacing w:line="360" w:lineRule="auto"/>
              <w:jc w:val="center"/>
              <w:rPr>
                <w:rFonts w:ascii="仿宋" w:hAnsi="仿宋" w:eastAsia="仿宋" w:cs="仿宋"/>
                <w:color w:val="auto"/>
                <w:sz w:val="24"/>
                <w:highlight w:val="none"/>
              </w:rPr>
            </w:pPr>
          </w:p>
          <w:p w14:paraId="2B58B623">
            <w:pPr>
              <w:snapToGrid w:val="0"/>
              <w:spacing w:line="360" w:lineRule="auto"/>
              <w:jc w:val="center"/>
              <w:rPr>
                <w:rFonts w:ascii="仿宋" w:hAnsi="仿宋" w:eastAsia="仿宋" w:cs="仿宋"/>
                <w:color w:val="auto"/>
                <w:sz w:val="24"/>
                <w:highlight w:val="none"/>
              </w:rPr>
            </w:pPr>
          </w:p>
          <w:p w14:paraId="67397EFD">
            <w:pPr>
              <w:snapToGrid w:val="0"/>
              <w:spacing w:line="360" w:lineRule="auto"/>
              <w:jc w:val="center"/>
              <w:rPr>
                <w:rFonts w:ascii="仿宋" w:hAnsi="仿宋" w:eastAsia="仿宋" w:cs="仿宋"/>
                <w:color w:val="auto"/>
                <w:sz w:val="24"/>
                <w:highlight w:val="none"/>
              </w:rPr>
            </w:pPr>
          </w:p>
          <w:p w14:paraId="52B9D97E">
            <w:pPr>
              <w:snapToGrid w:val="0"/>
              <w:spacing w:line="360" w:lineRule="auto"/>
              <w:jc w:val="center"/>
              <w:rPr>
                <w:rFonts w:ascii="仿宋" w:hAnsi="仿宋" w:eastAsia="仿宋" w:cs="仿宋"/>
                <w:color w:val="auto"/>
                <w:sz w:val="24"/>
                <w:highlight w:val="none"/>
              </w:rPr>
            </w:pPr>
          </w:p>
          <w:p w14:paraId="772BF071">
            <w:pPr>
              <w:snapToGrid w:val="0"/>
              <w:spacing w:line="360" w:lineRule="auto"/>
              <w:jc w:val="center"/>
              <w:rPr>
                <w:rFonts w:ascii="仿宋" w:hAnsi="仿宋" w:eastAsia="仿宋" w:cs="仿宋"/>
                <w:color w:val="auto"/>
                <w:sz w:val="24"/>
                <w:highlight w:val="none"/>
              </w:rPr>
            </w:pPr>
          </w:p>
          <w:p w14:paraId="2AC2D5CC">
            <w:pPr>
              <w:snapToGrid w:val="0"/>
              <w:spacing w:line="360" w:lineRule="auto"/>
              <w:jc w:val="center"/>
              <w:rPr>
                <w:rFonts w:ascii="仿宋" w:hAnsi="仿宋" w:eastAsia="仿宋" w:cs="仿宋"/>
                <w:color w:val="auto"/>
                <w:sz w:val="24"/>
                <w:highlight w:val="none"/>
              </w:rPr>
            </w:pPr>
          </w:p>
          <w:p w14:paraId="743C8291">
            <w:pPr>
              <w:snapToGrid w:val="0"/>
              <w:spacing w:line="360" w:lineRule="auto"/>
              <w:jc w:val="center"/>
              <w:rPr>
                <w:rFonts w:ascii="仿宋" w:hAnsi="仿宋" w:eastAsia="仿宋" w:cs="仿宋"/>
                <w:color w:val="auto"/>
                <w:sz w:val="24"/>
                <w:highlight w:val="none"/>
              </w:rPr>
            </w:pPr>
          </w:p>
          <w:p w14:paraId="5AD4CBB1">
            <w:pPr>
              <w:snapToGrid w:val="0"/>
              <w:spacing w:line="360" w:lineRule="auto"/>
              <w:jc w:val="center"/>
              <w:rPr>
                <w:rFonts w:ascii="仿宋" w:hAnsi="仿宋" w:eastAsia="仿宋" w:cs="仿宋"/>
                <w:color w:val="auto"/>
                <w:sz w:val="24"/>
                <w:highlight w:val="none"/>
              </w:rPr>
            </w:pPr>
          </w:p>
          <w:p w14:paraId="4603963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84" w:type="dxa"/>
            <w:tcBorders>
              <w:top w:val="single" w:color="000000" w:sz="8" w:space="0"/>
              <w:left w:val="single" w:color="auto" w:sz="4" w:space="0"/>
              <w:bottom w:val="single" w:color="000000" w:sz="8" w:space="0"/>
              <w:right w:val="single" w:color="000000" w:sz="8" w:space="0"/>
            </w:tcBorders>
            <w:vAlign w:val="center"/>
          </w:tcPr>
          <w:p w14:paraId="496D158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54" w:type="dxa"/>
            <w:tcBorders>
              <w:top w:val="single" w:color="000000" w:sz="8" w:space="0"/>
              <w:left w:val="single" w:color="000000" w:sz="2" w:space="0"/>
              <w:bottom w:val="single" w:color="000000" w:sz="8" w:space="0"/>
              <w:right w:val="single" w:color="000000" w:sz="8" w:space="0"/>
            </w:tcBorders>
            <w:vAlign w:val="center"/>
          </w:tcPr>
          <w:p w14:paraId="2EBDAA83">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C737425">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5199514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w:t>
            </w:r>
          </w:p>
          <w:p w14:paraId="40636F2A">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样品：详见</w:t>
            </w:r>
            <w:r>
              <w:rPr>
                <w:rFonts w:hint="eastAsia" w:ascii="仿宋" w:hAnsi="仿宋" w:eastAsia="仿宋" w:cs="仿宋"/>
                <w:snapToGrid w:val="0"/>
                <w:color w:val="auto"/>
                <w:kern w:val="28"/>
                <w:sz w:val="24"/>
                <w:highlight w:val="none"/>
                <w:u w:val="single"/>
              </w:rPr>
              <w:t>采购需求</w:t>
            </w:r>
            <w:r>
              <w:rPr>
                <w:rFonts w:hint="eastAsia" w:ascii="仿宋" w:hAnsi="仿宋" w:eastAsia="仿宋" w:cs="仿宋"/>
                <w:snapToGrid w:val="0"/>
                <w:color w:val="auto"/>
                <w:kern w:val="28"/>
                <w:sz w:val="24"/>
                <w:highlight w:val="none"/>
              </w:rPr>
              <w:t>。</w:t>
            </w:r>
          </w:p>
          <w:p w14:paraId="357A98F8">
            <w:pPr>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样品制作的标准和要求：详见</w:t>
            </w:r>
            <w:r>
              <w:rPr>
                <w:rFonts w:hint="eastAsia" w:ascii="仿宋" w:hAnsi="仿宋" w:eastAsia="仿宋" w:cs="仿宋"/>
                <w:snapToGrid w:val="0"/>
                <w:color w:val="auto"/>
                <w:kern w:val="28"/>
                <w:sz w:val="24"/>
                <w:highlight w:val="none"/>
                <w:u w:val="single"/>
              </w:rPr>
              <w:t>采购需求</w:t>
            </w:r>
            <w:r>
              <w:rPr>
                <w:rFonts w:hint="eastAsia" w:ascii="仿宋" w:hAnsi="仿宋" w:eastAsia="仿宋" w:cs="仿宋"/>
                <w:color w:val="auto"/>
                <w:kern w:val="0"/>
                <w:sz w:val="24"/>
                <w:highlight w:val="none"/>
              </w:rPr>
              <w:t>；</w:t>
            </w:r>
          </w:p>
          <w:p w14:paraId="0DC8A739">
            <w:pPr>
              <w:spacing w:line="360"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p>
          <w:p w14:paraId="7E44C484">
            <w:pPr>
              <w:ind w:firstLine="480" w:firstLineChars="200"/>
              <w:rPr>
                <w:rFonts w:ascii="仿宋" w:hAnsi="仿宋" w:eastAsia="仿宋" w:cs="仿宋"/>
                <w:snapToGrid w:val="0"/>
                <w:color w:val="auto"/>
                <w:kern w:val="28"/>
                <w:sz w:val="24"/>
                <w:highlight w:val="none"/>
              </w:rPr>
            </w:pPr>
            <w:r>
              <w:rPr>
                <w:rFonts w:hint="eastAsia" w:ascii="MS Gothic" w:hAnsi="MS Gothic"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t>样品分未超过价格分的50%；</w:t>
            </w:r>
          </w:p>
          <w:p w14:paraId="09F44E3F">
            <w:pPr>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☐样品分超过价格分的50%，理由；</w:t>
            </w:r>
          </w:p>
          <w:p w14:paraId="30DCD8C7">
            <w:pPr>
              <w:ind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 xml:space="preserve">详见招标文件第四部分评标办法。 </w:t>
            </w:r>
          </w:p>
          <w:p w14:paraId="7170EDE8">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i w:val="0"/>
                <w:iCs w:val="0"/>
                <w:color w:val="auto"/>
                <w:sz w:val="24"/>
                <w:highlight w:val="none"/>
                <w:u w:val="single"/>
                <w:lang w:val="en-US" w:eastAsia="zh-CN"/>
              </w:rPr>
              <w:t>/</w:t>
            </w:r>
            <w:r>
              <w:rPr>
                <w:rFonts w:hint="eastAsia" w:ascii="仿宋" w:hAnsi="仿宋" w:eastAsia="仿宋" w:cs="仿宋"/>
                <w:color w:val="auto"/>
                <w:kern w:val="0"/>
                <w:sz w:val="24"/>
                <w:highlight w:val="none"/>
              </w:rPr>
              <w:t>。</w:t>
            </w:r>
          </w:p>
          <w:p w14:paraId="187FA1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19C276E">
            <w:pPr>
              <w:pStyle w:val="5"/>
              <w:rPr>
                <w:rFonts w:ascii="仿宋" w:eastAsia="仿宋" w:cs="仿宋"/>
                <w:b w:val="0"/>
                <w:bCs w:val="0"/>
                <w:color w:val="auto"/>
                <w:highlight w:val="none"/>
                <w:lang w:val="en-US"/>
              </w:rPr>
            </w:pPr>
            <w:r>
              <w:rPr>
                <w:rFonts w:hint="eastAsia" w:ascii="仿宋" w:eastAsia="仿宋" w:cs="仿宋"/>
                <w:b w:val="0"/>
                <w:bCs w:val="0"/>
                <w:color w:val="auto"/>
                <w:sz w:val="24"/>
                <w:highlight w:val="none"/>
                <w:lang w:val="en-US"/>
              </w:rPr>
              <w:t xml:space="preserve"> </w:t>
            </w:r>
            <w:r>
              <w:rPr>
                <w:rFonts w:hint="eastAsia" w:ascii="仿宋" w:eastAsia="仿宋" w:cs="仿宋"/>
                <w:b w:val="0"/>
                <w:bCs w:val="0"/>
                <w:color w:val="auto"/>
                <w:sz w:val="24"/>
                <w:highlight w:val="none"/>
                <w:lang w:val="en-US" w:eastAsia="zh-CN"/>
              </w:rPr>
              <w:t>（6）</w:t>
            </w:r>
            <w:r>
              <w:rPr>
                <w:rFonts w:hint="eastAsia" w:ascii="仿宋" w:eastAsia="仿宋" w:cs="仿宋"/>
                <w:b w:val="0"/>
                <w:bCs w:val="0"/>
                <w:color w:val="auto"/>
                <w:sz w:val="24"/>
                <w:highlight w:val="none"/>
                <w:lang w:val="en-US"/>
              </w:rPr>
              <w:t>样品中不得标注任何有关投标人的信息，否则，样品分为零分；</w:t>
            </w:r>
          </w:p>
          <w:p w14:paraId="5A0CABA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34F252">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（8）制作、运输、安装和保管样品所发生的一切费用由投标人自理。</w:t>
            </w:r>
          </w:p>
        </w:tc>
      </w:tr>
      <w:tr w14:paraId="4CF0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7" w:hRule="atLeast"/>
          <w:tblHeader/>
        </w:trPr>
        <w:tc>
          <w:tcPr>
            <w:tcW w:w="629" w:type="dxa"/>
            <w:tcBorders>
              <w:top w:val="single" w:color="auto" w:sz="4" w:space="0"/>
              <w:left w:val="single" w:color="auto" w:sz="4" w:space="0"/>
              <w:bottom w:val="single" w:color="auto" w:sz="4" w:space="0"/>
              <w:right w:val="single" w:color="auto" w:sz="4" w:space="0"/>
            </w:tcBorders>
          </w:tcPr>
          <w:p w14:paraId="58B92E4B">
            <w:pPr>
              <w:snapToGrid w:val="0"/>
              <w:spacing w:line="360" w:lineRule="auto"/>
              <w:jc w:val="center"/>
              <w:rPr>
                <w:rFonts w:ascii="仿宋" w:hAnsi="仿宋" w:eastAsia="仿宋" w:cs="仿宋"/>
                <w:color w:val="auto"/>
                <w:sz w:val="24"/>
                <w:highlight w:val="none"/>
              </w:rPr>
            </w:pPr>
          </w:p>
          <w:p w14:paraId="0498C972">
            <w:pPr>
              <w:snapToGrid w:val="0"/>
              <w:spacing w:line="360" w:lineRule="auto"/>
              <w:jc w:val="center"/>
              <w:rPr>
                <w:rFonts w:ascii="仿宋" w:hAnsi="仿宋" w:eastAsia="仿宋" w:cs="仿宋"/>
                <w:color w:val="auto"/>
                <w:sz w:val="24"/>
                <w:highlight w:val="none"/>
              </w:rPr>
            </w:pPr>
          </w:p>
          <w:p w14:paraId="0D2D5746">
            <w:pPr>
              <w:snapToGrid w:val="0"/>
              <w:spacing w:line="360" w:lineRule="auto"/>
              <w:jc w:val="center"/>
              <w:rPr>
                <w:rFonts w:ascii="仿宋" w:hAnsi="仿宋" w:eastAsia="仿宋" w:cs="仿宋"/>
                <w:color w:val="auto"/>
                <w:sz w:val="24"/>
                <w:highlight w:val="none"/>
              </w:rPr>
            </w:pPr>
          </w:p>
          <w:p w14:paraId="2DE50FCF">
            <w:pPr>
              <w:snapToGrid w:val="0"/>
              <w:spacing w:line="360" w:lineRule="auto"/>
              <w:jc w:val="center"/>
              <w:rPr>
                <w:rFonts w:ascii="仿宋" w:hAnsi="仿宋" w:eastAsia="仿宋" w:cs="仿宋"/>
                <w:color w:val="auto"/>
                <w:sz w:val="24"/>
                <w:highlight w:val="none"/>
              </w:rPr>
            </w:pPr>
          </w:p>
          <w:p w14:paraId="1597C899">
            <w:pPr>
              <w:snapToGrid w:val="0"/>
              <w:spacing w:line="360" w:lineRule="auto"/>
              <w:jc w:val="center"/>
              <w:rPr>
                <w:rFonts w:ascii="仿宋" w:hAnsi="仿宋" w:eastAsia="仿宋" w:cs="仿宋"/>
                <w:color w:val="auto"/>
                <w:sz w:val="24"/>
                <w:highlight w:val="none"/>
              </w:rPr>
            </w:pPr>
          </w:p>
          <w:p w14:paraId="581CD7BE">
            <w:pPr>
              <w:snapToGrid w:val="0"/>
              <w:spacing w:line="360" w:lineRule="auto"/>
              <w:jc w:val="center"/>
              <w:rPr>
                <w:rFonts w:ascii="仿宋" w:hAnsi="仿宋" w:eastAsia="仿宋" w:cs="仿宋"/>
                <w:color w:val="auto"/>
                <w:sz w:val="24"/>
                <w:highlight w:val="none"/>
              </w:rPr>
            </w:pPr>
          </w:p>
          <w:p w14:paraId="068E3ABC">
            <w:pPr>
              <w:snapToGrid w:val="0"/>
              <w:spacing w:line="360" w:lineRule="auto"/>
              <w:jc w:val="center"/>
              <w:rPr>
                <w:rFonts w:ascii="仿宋" w:hAnsi="仿宋" w:eastAsia="仿宋" w:cs="仿宋"/>
                <w:color w:val="auto"/>
                <w:sz w:val="24"/>
                <w:highlight w:val="none"/>
              </w:rPr>
            </w:pPr>
          </w:p>
          <w:p w14:paraId="373254B9">
            <w:pPr>
              <w:snapToGrid w:val="0"/>
              <w:spacing w:line="360" w:lineRule="auto"/>
              <w:jc w:val="center"/>
              <w:rPr>
                <w:rFonts w:ascii="仿宋" w:hAnsi="仿宋" w:eastAsia="仿宋" w:cs="仿宋"/>
                <w:color w:val="auto"/>
                <w:sz w:val="24"/>
                <w:highlight w:val="none"/>
              </w:rPr>
            </w:pPr>
          </w:p>
          <w:p w14:paraId="691E441A">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84" w:type="dxa"/>
            <w:tcBorders>
              <w:top w:val="single" w:color="000000" w:sz="8" w:space="0"/>
              <w:left w:val="single" w:color="auto" w:sz="4" w:space="0"/>
              <w:bottom w:val="single" w:color="000000" w:sz="8" w:space="0"/>
              <w:right w:val="single" w:color="000000" w:sz="8" w:space="0"/>
            </w:tcBorders>
            <w:vAlign w:val="center"/>
          </w:tcPr>
          <w:p w14:paraId="1CA04917">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54"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 w:hAnsi="仿宋" w:eastAsia="仿宋" w:cs="仿宋"/>
                <w:color w:val="auto"/>
                <w:kern w:val="0"/>
                <w:sz w:val="24"/>
                <w:highlight w:val="none"/>
              </w:rPr>
              <w:id w:val="1738734499"/>
            </w:sdtPr>
            <w:sdtEndPr>
              <w:rPr>
                <w:rFonts w:hint="eastAsia" w:ascii="仿宋" w:hAnsi="仿宋" w:eastAsia="仿宋" w:cs="仿宋"/>
                <w:color w:val="auto"/>
                <w:kern w:val="0"/>
                <w:sz w:val="24"/>
                <w:highlight w:val="none"/>
              </w:rPr>
            </w:sdtEndPr>
            <w:sdtContent>
              <w:p w14:paraId="6BC9F2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xml:space="preserve">A不组织。 </w:t>
                </w:r>
              </w:p>
              <w:p w14:paraId="53C710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☐B组织。 </w:t>
                </w:r>
              </w:p>
              <w:p w14:paraId="3C69717D">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在评标时安排每个投标人进行方案讲解演示。每个投标人时间不超过20分钟，讲解次序以投标文件解密时间先后次序为准，讲解演示人员不超过3人。讲解演示结束后按要求解答评标委员会提问。 </w:t>
                </w:r>
              </w:p>
              <w:p w14:paraId="10455491">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方案讲解演示可选择以下其中一种方式：方式一：政采云平台在线讲解演示。政采云平台在线讲解需投标人根据政采云平台操作要求做好准备工作，提前完善软硬件配置环境。方式二：交易中心现场讲解演示。现场讲解地点为，讲解演示所用电脑等设备由投标人自备。现场讲解演示人员进场时提供讲解人员名单（加盖公章）及身份证明，否则不得讲解演示。 </w:t>
                </w:r>
              </w:p>
              <w:p w14:paraId="231900FD">
                <w:pPr>
                  <w:numPr>
                    <w:ilvl w:val="0"/>
                    <w:numId w:val="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sdtContent>
          </w:sdt>
          <w:p w14:paraId="2F393F39">
            <w:pPr>
              <w:spacing w:line="360" w:lineRule="auto"/>
              <w:rPr>
                <w:rFonts w:hint="eastAsia" w:eastAsia="仿宋"/>
                <w:color w:val="auto"/>
                <w:highlight w:val="none"/>
                <w:lang w:val="zh-CN" w:eastAsia="zh-CN"/>
              </w:rPr>
            </w:pPr>
            <w:sdt>
              <w:sdtPr>
                <w:rPr>
                  <w:rFonts w:hint="eastAsia" w:ascii="仿宋" w:hAnsi="仿宋" w:eastAsia="仿宋" w:cs="仿宋"/>
                  <w:color w:val="auto"/>
                  <w:kern w:val="0"/>
                  <w:sz w:val="24"/>
                  <w:highlight w:val="none"/>
                </w:rPr>
                <w:id w:val="1217790585"/>
                <w:showingPlcHdr/>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lang w:eastAsia="zh-CN"/>
                  </w:rPr>
                  <w:t xml:space="preserve">     </w:t>
                </w:r>
              </w:sdtContent>
            </w:sdt>
          </w:p>
        </w:tc>
      </w:tr>
      <w:tr w14:paraId="05400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B180E39">
            <w:pPr>
              <w:snapToGrid w:val="0"/>
              <w:spacing w:line="360" w:lineRule="auto"/>
              <w:jc w:val="center"/>
              <w:rPr>
                <w:rFonts w:ascii="仿宋" w:hAnsi="仿宋" w:eastAsia="仿宋" w:cs="仿宋"/>
                <w:color w:val="auto"/>
                <w:sz w:val="24"/>
                <w:highlight w:val="none"/>
              </w:rPr>
            </w:pPr>
          </w:p>
          <w:p w14:paraId="2520262E">
            <w:pPr>
              <w:snapToGrid w:val="0"/>
              <w:spacing w:line="360" w:lineRule="auto"/>
              <w:jc w:val="center"/>
              <w:rPr>
                <w:rFonts w:ascii="仿宋" w:hAnsi="仿宋" w:eastAsia="仿宋" w:cs="仿宋"/>
                <w:color w:val="auto"/>
                <w:sz w:val="24"/>
                <w:highlight w:val="none"/>
              </w:rPr>
            </w:pPr>
          </w:p>
          <w:p w14:paraId="017020C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84" w:type="dxa"/>
            <w:vMerge w:val="restart"/>
            <w:tcBorders>
              <w:top w:val="single" w:color="000000" w:sz="8" w:space="0"/>
              <w:left w:val="single" w:color="auto" w:sz="4" w:space="0"/>
              <w:right w:val="single" w:color="000000" w:sz="8" w:space="0"/>
            </w:tcBorders>
            <w:vAlign w:val="center"/>
          </w:tcPr>
          <w:p w14:paraId="203CB95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54" w:type="dxa"/>
            <w:tcBorders>
              <w:top w:val="single" w:color="000000" w:sz="8" w:space="0"/>
              <w:left w:val="single" w:color="000000" w:sz="2" w:space="0"/>
              <w:bottom w:val="single" w:color="auto" w:sz="4" w:space="0"/>
              <w:right w:val="single" w:color="000000" w:sz="8" w:space="0"/>
            </w:tcBorders>
            <w:vAlign w:val="center"/>
          </w:tcPr>
          <w:p w14:paraId="5ECF54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36AD2AB">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4532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96FD87">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auto" w:sz="4" w:space="0"/>
              <w:bottom w:val="single" w:color="000000" w:sz="8" w:space="0"/>
              <w:right w:val="single" w:color="000000" w:sz="8" w:space="0"/>
            </w:tcBorders>
            <w:vAlign w:val="center"/>
          </w:tcPr>
          <w:p w14:paraId="1CF535AA">
            <w:pPr>
              <w:snapToGrid w:val="0"/>
              <w:spacing w:line="360" w:lineRule="auto"/>
              <w:jc w:val="center"/>
              <w:rPr>
                <w:rFonts w:ascii="仿宋" w:hAnsi="仿宋" w:eastAsia="仿宋" w:cs="仿宋"/>
                <w:b/>
                <w:color w:val="auto"/>
                <w:sz w:val="24"/>
                <w:highlight w:val="none"/>
              </w:rPr>
            </w:pPr>
          </w:p>
        </w:tc>
        <w:tc>
          <w:tcPr>
            <w:tcW w:w="6054" w:type="dxa"/>
            <w:tcBorders>
              <w:top w:val="single" w:color="auto" w:sz="4" w:space="0"/>
              <w:left w:val="single" w:color="000000" w:sz="2" w:space="0"/>
              <w:bottom w:val="single" w:color="000000" w:sz="8" w:space="0"/>
              <w:right w:val="single" w:color="000000" w:sz="8" w:space="0"/>
            </w:tcBorders>
            <w:vAlign w:val="center"/>
          </w:tcPr>
          <w:p w14:paraId="452D9C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87A9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AD597B">
            <w:pPr>
              <w:snapToGrid w:val="0"/>
              <w:spacing w:line="360" w:lineRule="auto"/>
              <w:jc w:val="center"/>
              <w:rPr>
                <w:rFonts w:ascii="仿宋" w:hAnsi="仿宋" w:eastAsia="仿宋" w:cs="仿宋"/>
                <w:color w:val="auto"/>
                <w:sz w:val="24"/>
                <w:highlight w:val="none"/>
              </w:rPr>
            </w:pPr>
          </w:p>
          <w:p w14:paraId="40E2E037">
            <w:pPr>
              <w:snapToGrid w:val="0"/>
              <w:spacing w:line="360" w:lineRule="auto"/>
              <w:jc w:val="center"/>
              <w:rPr>
                <w:rFonts w:ascii="仿宋" w:hAnsi="仿宋" w:eastAsia="仿宋" w:cs="仿宋"/>
                <w:color w:val="auto"/>
                <w:sz w:val="24"/>
                <w:highlight w:val="none"/>
              </w:rPr>
            </w:pPr>
          </w:p>
          <w:p w14:paraId="5DD8F6D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84" w:type="dxa"/>
            <w:tcBorders>
              <w:top w:val="single" w:color="000000" w:sz="8" w:space="0"/>
              <w:left w:val="single" w:color="000000" w:sz="2" w:space="0"/>
              <w:bottom w:val="single" w:color="000000" w:sz="8" w:space="0"/>
              <w:right w:val="single" w:color="000000" w:sz="8" w:space="0"/>
            </w:tcBorders>
            <w:vAlign w:val="center"/>
          </w:tcPr>
          <w:p w14:paraId="21A3686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36D6AF77">
            <w:pPr>
              <w:snapToGrid w:val="0"/>
              <w:spacing w:line="360" w:lineRule="auto"/>
              <w:jc w:val="left"/>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sz w:val="24"/>
                <w:highlight w:val="none"/>
                <w:u w:val="single"/>
                <w:lang w:val="zh-CN"/>
              </w:rPr>
              <w:t>产品名称</w:t>
            </w:r>
            <w:r>
              <w:rPr>
                <w:rFonts w:hint="eastAsia" w:ascii="仿宋" w:hAnsi="仿宋" w:eastAsia="仿宋" w:cs="仿宋"/>
                <w:color w:val="auto"/>
                <w:sz w:val="24"/>
                <w:highlight w:val="none"/>
                <w:lang w:val="zh-CN"/>
              </w:rPr>
              <w:t>实施政府优先采购，</w:t>
            </w:r>
            <w:r>
              <w:rPr>
                <w:rFonts w:hint="eastAsia" w:ascii="仿宋" w:hAnsi="仿宋" w:eastAsia="仿宋" w:cs="仿宋"/>
                <w:color w:val="auto"/>
                <w:sz w:val="24"/>
                <w:highlight w:val="none"/>
              </w:rPr>
              <w:t>详</w:t>
            </w:r>
            <w:r>
              <w:rPr>
                <w:rFonts w:hint="eastAsia" w:ascii="仿宋" w:hAnsi="仿宋" w:eastAsia="仿宋" w:cs="仿宋"/>
                <w:color w:val="auto"/>
                <w:sz w:val="24"/>
                <w:highlight w:val="none"/>
                <w:lang w:val="zh-CN"/>
              </w:rPr>
              <w:t>见评分标准；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产品名称</w:t>
            </w:r>
            <w:r>
              <w:rPr>
                <w:rFonts w:hint="eastAsia" w:ascii="仿宋" w:hAnsi="仿宋" w:eastAsia="仿宋" w:cs="仿宋"/>
                <w:color w:val="auto"/>
                <w:sz w:val="24"/>
                <w:highlight w:val="none"/>
                <w:lang w:val="zh-CN"/>
              </w:rPr>
              <w:t>实施政府强制采购，</w:t>
            </w:r>
            <w:r>
              <w:rPr>
                <w:rFonts w:hint="eastAsia" w:ascii="仿宋" w:hAnsi="仿宋" w:eastAsia="仿宋" w:cs="仿宋"/>
                <w:b/>
                <w:bCs/>
                <w:color w:val="auto"/>
                <w:sz w:val="24"/>
                <w:highlight w:val="none"/>
                <w:lang w:val="zh-CN"/>
              </w:rPr>
              <w:t>投标人</w:t>
            </w:r>
            <w:r>
              <w:rPr>
                <w:rFonts w:hint="eastAsia" w:ascii="仿宋" w:hAnsi="仿宋" w:eastAsia="仿宋" w:cs="仿宋"/>
                <w:b/>
                <w:bCs/>
                <w:color w:val="auto"/>
                <w:sz w:val="24"/>
                <w:highlight w:val="none"/>
              </w:rPr>
              <w:t>就</w:t>
            </w:r>
            <w:r>
              <w:rPr>
                <w:rFonts w:hint="eastAsia" w:ascii="仿宋" w:hAnsi="仿宋" w:eastAsia="仿宋" w:cs="仿宋"/>
                <w:b/>
                <w:bCs/>
                <w:color w:val="auto"/>
                <w:sz w:val="24"/>
                <w:highlight w:val="none"/>
                <w:lang w:val="zh-CN"/>
              </w:rPr>
              <w:t>相应的投标产品未</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zh-CN"/>
              </w:rPr>
              <w:t>国家确定的认证机构出具的、处于有效期之内的节能产品认证证书的，投标无效。</w:t>
            </w:r>
          </w:p>
          <w:p w14:paraId="01205B06">
            <w:pPr>
              <w:snapToGrid w:val="0"/>
              <w:spacing w:line="360" w:lineRule="auto"/>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☐依据国家确定的认证机构出具的、处于有效期之内的环境标志产品认证证书，对获得证书的产品名称实施政府优先采购，</w:t>
            </w:r>
            <w:r>
              <w:rPr>
                <w:rFonts w:hint="eastAsia" w:ascii="仿宋" w:hAnsi="仿宋" w:eastAsia="仿宋" w:cs="仿宋"/>
                <w:color w:val="auto"/>
                <w:sz w:val="24"/>
                <w:highlight w:val="none"/>
              </w:rPr>
              <w:t>详</w:t>
            </w:r>
            <w:r>
              <w:rPr>
                <w:rFonts w:hint="eastAsia" w:ascii="仿宋" w:hAnsi="仿宋" w:eastAsia="仿宋" w:cs="仿宋"/>
                <w:color w:val="auto"/>
                <w:sz w:val="24"/>
                <w:highlight w:val="none"/>
                <w:lang w:val="zh-CN"/>
              </w:rPr>
              <w:t>见</w:t>
            </w:r>
            <w:r>
              <w:rPr>
                <w:rFonts w:hint="eastAsia" w:ascii="仿宋" w:hAnsi="仿宋" w:eastAsia="仿宋" w:cs="仿宋"/>
                <w:color w:val="auto"/>
                <w:sz w:val="24"/>
                <w:highlight w:val="none"/>
                <w:u w:val="single"/>
                <w:lang w:val="zh-CN"/>
              </w:rPr>
              <w:t>评分标准</w:t>
            </w:r>
            <w:r>
              <w:rPr>
                <w:rFonts w:hint="eastAsia" w:ascii="仿宋" w:hAnsi="仿宋" w:eastAsia="仿宋" w:cs="仿宋"/>
                <w:color w:val="auto"/>
                <w:sz w:val="24"/>
                <w:highlight w:val="none"/>
                <w:lang w:val="zh-CN"/>
              </w:rPr>
              <w:t>。</w:t>
            </w:r>
          </w:p>
          <w:p w14:paraId="176FA7E9">
            <w:pPr>
              <w:snapToGrid w:val="0"/>
              <w:spacing w:line="360" w:lineRule="auto"/>
              <w:jc w:val="left"/>
              <w:rPr>
                <w:rFonts w:ascii="仿宋" w:hAnsi="仿宋" w:eastAsia="仿宋" w:cs="仿宋"/>
                <w:color w:val="auto"/>
                <w:highlight w:val="none"/>
              </w:rPr>
            </w:pPr>
            <w:r>
              <w:rPr>
                <w:rFonts w:hint="eastAsia" w:ascii="Wingdings" w:hAnsi="Wingdings" w:eastAsia="仿宋" w:cs="仿宋"/>
                <w:color w:val="auto"/>
                <w:sz w:val="24"/>
                <w:highlight w:val="none"/>
              </w:rPr>
              <w:t>þ</w:t>
            </w:r>
            <w:r>
              <w:rPr>
                <w:rFonts w:hint="eastAsia" w:ascii="仿宋" w:hAnsi="仿宋" w:eastAsia="仿宋" w:cs="仿宋"/>
                <w:color w:val="auto"/>
                <w:sz w:val="24"/>
                <w:highlight w:val="none"/>
              </w:rPr>
              <w:t>无</w:t>
            </w:r>
          </w:p>
        </w:tc>
      </w:tr>
      <w:tr w14:paraId="361D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143968">
            <w:pPr>
              <w:snapToGrid w:val="0"/>
              <w:spacing w:line="360" w:lineRule="auto"/>
              <w:jc w:val="center"/>
              <w:rPr>
                <w:rFonts w:ascii="仿宋" w:hAnsi="仿宋" w:eastAsia="仿宋" w:cs="仿宋"/>
                <w:color w:val="auto"/>
                <w:sz w:val="24"/>
                <w:highlight w:val="none"/>
              </w:rPr>
            </w:pPr>
          </w:p>
          <w:p w14:paraId="5ABE1359">
            <w:pPr>
              <w:snapToGrid w:val="0"/>
              <w:spacing w:line="360" w:lineRule="auto"/>
              <w:jc w:val="center"/>
              <w:rPr>
                <w:rFonts w:ascii="仿宋" w:hAnsi="仿宋" w:eastAsia="仿宋" w:cs="仿宋"/>
                <w:color w:val="auto"/>
                <w:sz w:val="24"/>
                <w:highlight w:val="none"/>
              </w:rPr>
            </w:pPr>
          </w:p>
          <w:p w14:paraId="24679F13">
            <w:pPr>
              <w:snapToGrid w:val="0"/>
              <w:spacing w:line="360" w:lineRule="auto"/>
              <w:jc w:val="center"/>
              <w:rPr>
                <w:rFonts w:ascii="仿宋" w:hAnsi="仿宋" w:eastAsia="仿宋" w:cs="仿宋"/>
                <w:color w:val="auto"/>
                <w:sz w:val="24"/>
                <w:highlight w:val="none"/>
              </w:rPr>
            </w:pPr>
          </w:p>
          <w:p w14:paraId="0644E8D6">
            <w:pPr>
              <w:snapToGrid w:val="0"/>
              <w:spacing w:line="360" w:lineRule="auto"/>
              <w:jc w:val="center"/>
              <w:rPr>
                <w:rFonts w:ascii="仿宋" w:hAnsi="仿宋" w:eastAsia="仿宋" w:cs="仿宋"/>
                <w:color w:val="auto"/>
                <w:sz w:val="24"/>
                <w:highlight w:val="none"/>
              </w:rPr>
            </w:pPr>
          </w:p>
          <w:p w14:paraId="4F319D6F">
            <w:pPr>
              <w:snapToGrid w:val="0"/>
              <w:spacing w:line="360" w:lineRule="auto"/>
              <w:jc w:val="center"/>
              <w:rPr>
                <w:rFonts w:ascii="仿宋" w:hAnsi="仿宋" w:eastAsia="仿宋" w:cs="仿宋"/>
                <w:color w:val="auto"/>
                <w:sz w:val="24"/>
                <w:highlight w:val="none"/>
              </w:rPr>
            </w:pPr>
          </w:p>
          <w:p w14:paraId="7562E50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84" w:type="dxa"/>
            <w:tcBorders>
              <w:top w:val="single" w:color="000000" w:sz="8" w:space="0"/>
              <w:left w:val="single" w:color="000000" w:sz="2" w:space="0"/>
              <w:bottom w:val="single" w:color="000000" w:sz="8" w:space="0"/>
              <w:right w:val="single" w:color="000000" w:sz="8" w:space="0"/>
            </w:tcBorders>
            <w:vAlign w:val="center"/>
          </w:tcPr>
          <w:p w14:paraId="47E0A9B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54" w:type="dxa"/>
            <w:tcBorders>
              <w:top w:val="single" w:color="000000" w:sz="8" w:space="0"/>
              <w:left w:val="single" w:color="000000" w:sz="2" w:space="0"/>
              <w:bottom w:val="single" w:color="000000" w:sz="8" w:space="0"/>
              <w:right w:val="single" w:color="000000" w:sz="8" w:space="0"/>
            </w:tcBorders>
            <w:vAlign w:val="center"/>
          </w:tcPr>
          <w:p w14:paraId="644DE2C8">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D787295">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2622B59">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4DE9A3B">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9C937F4">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341C95F">
            <w:pPr>
              <w:spacing w:line="360" w:lineRule="auto"/>
              <w:ind w:firstLine="241" w:firstLineChars="100"/>
              <w:rPr>
                <w:rFonts w:ascii="仿宋" w:hAnsi="仿宋" w:eastAsia="仿宋" w:cs="仿宋"/>
                <w:color w:val="auto"/>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693E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2C7765B">
            <w:pPr>
              <w:snapToGrid w:val="0"/>
              <w:spacing w:line="360" w:lineRule="auto"/>
              <w:jc w:val="center"/>
              <w:rPr>
                <w:rFonts w:ascii="仿宋" w:hAnsi="仿宋" w:eastAsia="仿宋" w:cs="仿宋"/>
                <w:color w:val="auto"/>
                <w:sz w:val="24"/>
                <w:highlight w:val="none"/>
              </w:rPr>
            </w:pPr>
          </w:p>
          <w:p w14:paraId="459C3B1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84" w:type="dxa"/>
            <w:tcBorders>
              <w:top w:val="single" w:color="000000" w:sz="8" w:space="0"/>
              <w:left w:val="single" w:color="000000" w:sz="2" w:space="0"/>
              <w:right w:val="single" w:color="000000" w:sz="8" w:space="0"/>
            </w:tcBorders>
            <w:vAlign w:val="center"/>
          </w:tcPr>
          <w:p w14:paraId="5AC6AA26">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54" w:type="dxa"/>
            <w:tcBorders>
              <w:top w:val="single" w:color="000000" w:sz="8" w:space="0"/>
              <w:left w:val="single" w:color="000000" w:sz="2" w:space="0"/>
              <w:bottom w:val="single" w:color="000000" w:sz="8" w:space="0"/>
              <w:right w:val="single" w:color="000000" w:sz="8" w:space="0"/>
            </w:tcBorders>
            <w:vAlign w:val="center"/>
          </w:tcPr>
          <w:p w14:paraId="750E2B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也可登录《上城区“政采贷”业务办理指南》，http://www.hzsc.gov.cn/art/2021/11/29/art_1229249406_3973804.html，查看信用融资政策文件及各相关银行服务方案。</w:t>
            </w:r>
          </w:p>
        </w:tc>
      </w:tr>
      <w:tr w14:paraId="469F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2F8AE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84" w:type="dxa"/>
            <w:tcBorders>
              <w:top w:val="single" w:color="000000" w:sz="8" w:space="0"/>
              <w:left w:val="single" w:color="000000" w:sz="2" w:space="0"/>
              <w:bottom w:val="single" w:color="000000" w:sz="8" w:space="0"/>
              <w:right w:val="single" w:color="000000" w:sz="8" w:space="0"/>
            </w:tcBorders>
            <w:vAlign w:val="center"/>
          </w:tcPr>
          <w:p w14:paraId="7DB579E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54" w:type="dxa"/>
            <w:tcBorders>
              <w:top w:val="single" w:color="000000" w:sz="8" w:space="0"/>
              <w:left w:val="single" w:color="000000" w:sz="2" w:space="0"/>
              <w:bottom w:val="single" w:color="000000" w:sz="8" w:space="0"/>
              <w:right w:val="single" w:color="000000" w:sz="8" w:space="0"/>
            </w:tcBorders>
            <w:vAlign w:val="center"/>
          </w:tcPr>
          <w:p w14:paraId="39118B31">
            <w:pPr>
              <w:pStyle w:val="34"/>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w:t>
            </w:r>
            <w:r>
              <w:rPr>
                <w:rFonts w:hint="eastAsia" w:ascii="仿宋" w:hAnsi="仿宋" w:eastAsia="仿宋" w:cs="仿宋"/>
                <w:color w:val="auto"/>
                <w:kern w:val="28"/>
                <w:sz w:val="24"/>
                <w:szCs w:val="24"/>
                <w:highlight w:val="none"/>
                <w:u w:val="single"/>
                <w:lang w:val="en-US" w:eastAsia="zh-CN"/>
              </w:rPr>
              <w:t>上城区</w:t>
            </w:r>
            <w:r>
              <w:rPr>
                <w:rFonts w:hint="eastAsia" w:ascii="仿宋" w:hAnsi="仿宋" w:eastAsia="仿宋" w:cs="仿宋"/>
                <w:color w:val="auto"/>
                <w:kern w:val="28"/>
                <w:sz w:val="24"/>
                <w:szCs w:val="24"/>
                <w:highlight w:val="none"/>
                <w:u w:val="single"/>
              </w:rPr>
              <w:t>秋涛北路332号佰富时代中心2幢10楼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rPr>
              <w:t>15825504457</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447E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CE5C0F">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84" w:type="dxa"/>
            <w:vMerge w:val="restart"/>
            <w:tcBorders>
              <w:top w:val="single" w:color="000000" w:sz="8" w:space="0"/>
              <w:left w:val="single" w:color="000000" w:sz="2" w:space="0"/>
              <w:right w:val="single" w:color="000000" w:sz="8" w:space="0"/>
            </w:tcBorders>
            <w:vAlign w:val="center"/>
          </w:tcPr>
          <w:p w14:paraId="75DA46D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54" w:type="dxa"/>
            <w:tcBorders>
              <w:top w:val="single" w:color="000000" w:sz="8" w:space="0"/>
              <w:left w:val="single" w:color="000000" w:sz="2" w:space="0"/>
              <w:bottom w:val="single" w:color="000000" w:sz="8" w:space="0"/>
              <w:right w:val="single" w:color="000000" w:sz="8" w:space="0"/>
            </w:tcBorders>
            <w:vAlign w:val="center"/>
          </w:tcPr>
          <w:p w14:paraId="4F75C992">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313B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B69E230">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000000" w:sz="2" w:space="0"/>
              <w:right w:val="single" w:color="000000" w:sz="8" w:space="0"/>
            </w:tcBorders>
            <w:vAlign w:val="center"/>
          </w:tcPr>
          <w:p w14:paraId="07656FC9">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6FB30F6A">
            <w:pPr>
              <w:spacing w:line="360" w:lineRule="auto"/>
              <w:rPr>
                <w:rFonts w:ascii="仿宋" w:hAnsi="仿宋" w:eastAsia="仿宋" w:cs="仿宋"/>
                <w:snapToGrid w:val="0"/>
                <w:color w:val="auto"/>
                <w:kern w:val="28"/>
                <w:sz w:val="24"/>
                <w:highlight w:val="none"/>
              </w:rPr>
            </w:pPr>
            <w:r>
              <w:rPr>
                <w:rFonts w:hint="eastAsia" w:ascii="MS Gothic" w:hAnsi="MS Gothic" w:eastAsia="仿宋" w:cs="仿宋"/>
                <w:color w:val="auto"/>
                <w:highlight w:val="none"/>
              </w:rPr>
              <w:t>☐</w:t>
            </w:r>
            <w:sdt>
              <w:sdtPr>
                <w:rPr>
                  <w:rFonts w:hint="eastAsia" w:ascii="仿宋" w:hAnsi="仿宋" w:eastAsia="仿宋" w:cs="仿宋"/>
                  <w:color w:val="auto"/>
                  <w:kern w:val="0"/>
                  <w:sz w:val="24"/>
                  <w:highlight w:val="none"/>
                </w:rPr>
                <w:id w:val="-369766551"/>
              </w:sdtPr>
              <w:sdtEndPr>
                <w:rPr>
                  <w:rFonts w:hint="eastAsia" w:ascii="仿宋" w:hAnsi="仿宋" w:eastAsia="仿宋" w:cs="仿宋"/>
                  <w:color w:val="auto"/>
                  <w:kern w:val="0"/>
                  <w:sz w:val="24"/>
                  <w:highlight w:val="none"/>
                </w:rPr>
              </w:sdtEndP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86490D3">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3458974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58500120"/>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highlight w:val="none"/>
                          </w:rPr>
                          <w:t>þ</w:t>
                        </w:r>
                      </w:sdtContent>
                    </w:sdt>
                  </w:sdtContent>
                </w:sdt>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1C97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C8E492C">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000000" w:sz="2" w:space="0"/>
              <w:right w:val="single" w:color="000000" w:sz="8" w:space="0"/>
            </w:tcBorders>
            <w:vAlign w:val="center"/>
          </w:tcPr>
          <w:p w14:paraId="1F59150E">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0699F471">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评审因素对应的要求视为采购需求的一部分。</w:t>
            </w:r>
          </w:p>
        </w:tc>
      </w:tr>
      <w:tr w14:paraId="1B10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161CED6">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000000" w:sz="2" w:space="0"/>
              <w:right w:val="single" w:color="000000" w:sz="8" w:space="0"/>
            </w:tcBorders>
            <w:vAlign w:val="center"/>
          </w:tcPr>
          <w:p w14:paraId="5706D025">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313126F7">
            <w:pPr>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招标服务费：由中标人支付，参照《招标代理服务收费管理暂行办法》（计价格[2002]1980号）</w:t>
            </w:r>
            <w:r>
              <w:rPr>
                <w:rFonts w:hint="eastAsia" w:ascii="仿宋" w:hAnsi="仿宋" w:eastAsia="仿宋" w:cs="仿宋"/>
                <w:b/>
                <w:bCs/>
                <w:color w:val="auto"/>
                <w:kern w:val="0"/>
                <w:sz w:val="24"/>
                <w:highlight w:val="none"/>
                <w:lang w:val="en-US" w:eastAsia="zh-CN"/>
              </w:rPr>
              <w:t>服务类</w:t>
            </w:r>
            <w:r>
              <w:rPr>
                <w:rFonts w:hint="eastAsia" w:ascii="仿宋" w:hAnsi="仿宋" w:eastAsia="仿宋" w:cs="仿宋"/>
                <w:b/>
                <w:bCs/>
                <w:color w:val="auto"/>
                <w:kern w:val="0"/>
                <w:sz w:val="24"/>
                <w:highlight w:val="none"/>
              </w:rPr>
              <w:t>计取，由中标人在领取中标通知书时一次性支付。</w:t>
            </w:r>
          </w:p>
        </w:tc>
      </w:tr>
      <w:tr w14:paraId="3720F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2BD95763">
            <w:pPr>
              <w:snapToGrid w:val="0"/>
              <w:spacing w:line="360" w:lineRule="auto"/>
              <w:jc w:val="center"/>
              <w:rPr>
                <w:rFonts w:ascii="仿宋" w:hAnsi="仿宋" w:eastAsia="仿宋" w:cs="仿宋"/>
                <w:color w:val="auto"/>
                <w:sz w:val="24"/>
                <w:highlight w:val="none"/>
              </w:rPr>
            </w:pPr>
          </w:p>
        </w:tc>
        <w:tc>
          <w:tcPr>
            <w:tcW w:w="1884" w:type="dxa"/>
            <w:vMerge w:val="continue"/>
            <w:tcBorders>
              <w:left w:val="single" w:color="000000" w:sz="2" w:space="0"/>
              <w:bottom w:val="single" w:color="000000" w:sz="8" w:space="0"/>
              <w:right w:val="single" w:color="000000" w:sz="8" w:space="0"/>
            </w:tcBorders>
            <w:vAlign w:val="center"/>
          </w:tcPr>
          <w:p w14:paraId="6C22F91A">
            <w:pPr>
              <w:snapToGrid w:val="0"/>
              <w:spacing w:line="360" w:lineRule="auto"/>
              <w:jc w:val="center"/>
              <w:rPr>
                <w:rFonts w:ascii="仿宋" w:hAnsi="仿宋" w:eastAsia="仿宋" w:cs="仿宋"/>
                <w:b/>
                <w:color w:val="auto"/>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04F4F940">
            <w:pPr>
              <w:spacing w:line="360" w:lineRule="auto"/>
              <w:rPr>
                <w:rFonts w:hint="eastAsia" w:ascii="仿宋" w:hAnsi="仿宋" w:eastAsia="仿宋" w:cs="仿宋"/>
                <w:b/>
                <w:bCs/>
                <w:color w:val="auto"/>
                <w:kern w:val="0"/>
                <w:sz w:val="24"/>
                <w:highlight w:val="none"/>
              </w:rPr>
            </w:pPr>
            <w:r>
              <w:rPr>
                <w:rFonts w:hint="eastAsia" w:ascii="仿宋" w:hAnsi="仿宋" w:eastAsia="仿宋" w:cs="仿宋"/>
                <w:b/>
                <w:color w:val="auto"/>
                <w:sz w:val="24"/>
                <w:highlight w:val="none"/>
              </w:rPr>
              <w:t>中标单位需在领取中标通知书时，提供本项目纸质投标文件（资格文件”、“报价文件”和“商务技术文件”）</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份（正本一份，副本</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份）</w:t>
            </w:r>
          </w:p>
        </w:tc>
      </w:tr>
      <w:bookmarkEnd w:id="10"/>
    </w:tbl>
    <w:p w14:paraId="062BA629">
      <w:pPr>
        <w:adjustRightInd/>
        <w:spacing w:line="360" w:lineRule="auto"/>
        <w:ind w:firstLine="3845" w:firstLineChars="1197"/>
        <w:outlineLvl w:val="0"/>
        <w:rPr>
          <w:rFonts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4200EAEF">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0ABA2C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5D19039">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91B91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EE850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23D2C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0D371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6C758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F21C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66A1E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70359120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112173142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688ED4D">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937D4D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05C4A7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903BBA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2F47B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09A019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优先采购绿色包装产品、绿色物流配送服务以及循环利用产品</w:t>
      </w:r>
      <w:bookmarkEnd w:id="15"/>
      <w:r>
        <w:rPr>
          <w:rFonts w:hint="eastAsia" w:ascii="仿宋" w:hAnsi="仿宋" w:eastAsia="仿宋" w:cs="仿宋"/>
          <w:color w:val="auto"/>
          <w:sz w:val="24"/>
          <w:highlight w:val="none"/>
        </w:rPr>
        <w:t>。</w:t>
      </w:r>
    </w:p>
    <w:p w14:paraId="50EFCF8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5F221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D31A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B4F4E5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w:t>
      </w:r>
      <w:r>
        <w:rPr>
          <w:rFonts w:hint="eastAsia" w:ascii="仿宋" w:hAnsi="仿宋" w:eastAsia="仿宋" w:cs="仿宋"/>
          <w:color w:val="auto"/>
          <w:kern w:val="0"/>
          <w:sz w:val="24"/>
          <w:highlight w:val="none"/>
          <w:lang w:val="en-US" w:eastAsia="zh-CN"/>
        </w:rPr>
        <w:t>或服务</w:t>
      </w:r>
      <w:r>
        <w:rPr>
          <w:rFonts w:hint="eastAsia" w:ascii="仿宋" w:hAnsi="仿宋" w:eastAsia="仿宋" w:cs="仿宋"/>
          <w:color w:val="auto"/>
          <w:kern w:val="0"/>
          <w:sz w:val="24"/>
          <w:highlight w:val="none"/>
        </w:rPr>
        <w:t>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6CA3F86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F19B7F4">
      <w:pPr>
        <w:spacing w:line="360" w:lineRule="auto"/>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3.3.3对于未预留份额专门面向中小企业的政府采购货物</w:t>
      </w:r>
      <w:r>
        <w:rPr>
          <w:rFonts w:hint="eastAsia" w:ascii="仿宋" w:hAnsi="仿宋" w:eastAsia="仿宋" w:cs="仿宋"/>
          <w:color w:val="auto"/>
          <w:sz w:val="24"/>
          <w:highlight w:val="none"/>
          <w:lang w:val="en-US" w:eastAsia="zh-CN"/>
        </w:rPr>
        <w:t>或服务</w:t>
      </w:r>
      <w:r>
        <w:rPr>
          <w:rFonts w:hint="eastAsia" w:ascii="仿宋" w:hAnsi="仿宋" w:eastAsia="仿宋" w:cs="仿宋"/>
          <w:color w:val="auto"/>
          <w:sz w:val="24"/>
          <w:highlight w:val="none"/>
        </w:rPr>
        <w:t>项目，以及预留份额政府采购货物</w:t>
      </w:r>
      <w:r>
        <w:rPr>
          <w:rFonts w:hint="eastAsia" w:ascii="仿宋" w:hAnsi="仿宋" w:eastAsia="仿宋" w:cs="仿宋"/>
          <w:color w:val="auto"/>
          <w:sz w:val="24"/>
          <w:highlight w:val="none"/>
          <w:lang w:val="en-US" w:eastAsia="zh-CN"/>
        </w:rPr>
        <w:t>或服务</w:t>
      </w:r>
      <w:r>
        <w:rPr>
          <w:rFonts w:hint="eastAsia" w:ascii="仿宋" w:hAnsi="仿宋" w:eastAsia="仿宋" w:cs="仿宋"/>
          <w:color w:val="auto"/>
          <w:sz w:val="24"/>
          <w:highlight w:val="none"/>
        </w:rPr>
        <w:t>项目中的非预留部分标项，对小型和微型企业的投标报价给予10%的扣除（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），用扣除后的价格参与评审。接受大中型企业与小微企业组成联合体或者允许大中型企业向一家或者多家小微企业分包的政府采购货物</w:t>
      </w:r>
      <w:r>
        <w:rPr>
          <w:rFonts w:hint="eastAsia" w:ascii="仿宋" w:hAnsi="仿宋" w:eastAsia="仿宋" w:cs="仿宋"/>
          <w:color w:val="auto"/>
          <w:sz w:val="24"/>
          <w:highlight w:val="none"/>
          <w:lang w:val="en-US" w:eastAsia="zh-CN"/>
        </w:rPr>
        <w:t>或服务</w:t>
      </w:r>
      <w:r>
        <w:rPr>
          <w:rFonts w:hint="eastAsia" w:ascii="仿宋" w:hAnsi="仿宋" w:eastAsia="仿宋" w:cs="仿宋"/>
          <w:color w:val="auto"/>
          <w:sz w:val="24"/>
          <w:highlight w:val="none"/>
        </w:rPr>
        <w:t>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4ADF8C8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s="仿宋"/>
          <w:color w:val="auto"/>
          <w:sz w:val="24"/>
          <w:highlight w:val="none"/>
          <w:lang w:eastAsia="zh-CN"/>
        </w:rPr>
        <w:t>。</w:t>
      </w:r>
    </w:p>
    <w:p w14:paraId="2E428D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8036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AD1A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C3AD24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554A2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D7977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632BE7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52225BC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平等对待内外资企业和符合条件的破产重整企业</w:t>
      </w:r>
    </w:p>
    <w:p w14:paraId="3214B11C">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68690EB">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25E4E59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949C3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629DFAAD">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B28FCE9">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0C25FF">
      <w:pPr>
        <w:pStyle w:val="17"/>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118CBE7C">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4.2.2.2对采购过程提出质疑的，质疑期限为各采购程序环节结束之日起计算。4.2.2.3对采购结果提出质疑的，质疑期限自采购结果公告期限届满之日起计算。</w:t>
      </w:r>
    </w:p>
    <w:p w14:paraId="0B9240C7">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303C970F">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5C7A5CC4">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07F01E45">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2F29D83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2B43E0F1">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59E96D0F">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4063867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75BFF7">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40C511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3E6C69C6">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48DA6B">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160C38">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5A9A66CB">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9609EE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F8B242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8CB39A2">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329642F5">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E49A397">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4.4在线质疑、投诉。</w:t>
      </w:r>
    </w:p>
    <w:p w14:paraId="328AB0F6">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2FFE02">
      <w:pPr>
        <w:pStyle w:val="891"/>
        <w:shd w:val="clear" w:color="auto" w:fill="FFFFFF"/>
        <w:snapToGrid w:val="0"/>
        <w:spacing w:after="240" w:afterAutospacing="0" w:line="360" w:lineRule="auto"/>
        <w:contextualSpacing/>
        <w:rPr>
          <w:rFonts w:ascii="仿宋" w:hAnsi="仿宋" w:eastAsia="仿宋" w:cs="仿宋"/>
          <w:color w:val="auto"/>
          <w:highlight w:val="none"/>
        </w:rPr>
      </w:pPr>
    </w:p>
    <w:p w14:paraId="24F42BA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244B2F82">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D532531">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2A0D5D4">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D2C1D89">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5669FBF">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239F300">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1558536">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511666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977A9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2FDC74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696BCCE">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7E37998">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2D81AA">
      <w:pPr>
        <w:adjustRightInd/>
        <w:spacing w:line="360" w:lineRule="auto"/>
        <w:outlineLvl w:val="0"/>
        <w:rPr>
          <w:rFonts w:ascii="仿宋" w:hAnsi="仿宋" w:eastAsia="仿宋" w:cs="仿宋"/>
          <w:b/>
          <w:color w:val="auto"/>
          <w:sz w:val="30"/>
          <w:szCs w:val="20"/>
          <w:highlight w:val="none"/>
        </w:rPr>
      </w:pPr>
    </w:p>
    <w:p w14:paraId="7A69AB31">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3C337B9">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A0A0EAC">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E78782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1113DA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EAB22F3">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A17F230">
      <w:pPr>
        <w:pStyle w:val="1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36A7831">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D0B600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DA4DB33">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5AD82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693B9B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0BDD52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Start w:id="18" w:name="_Hlk101257010"/>
      <w:r>
        <w:rPr>
          <w:rFonts w:hint="eastAsia" w:ascii="仿宋" w:hAnsi="仿宋" w:eastAsia="仿宋" w:cs="仿宋"/>
          <w:snapToGrid w:val="0"/>
          <w:color w:val="auto"/>
          <w:kern w:val="28"/>
          <w:sz w:val="24"/>
          <w:szCs w:val="20"/>
          <w:highlight w:val="none"/>
        </w:rPr>
        <w:t>（如果有)</w:t>
      </w:r>
      <w:bookmarkEnd w:id="17"/>
      <w:bookmarkEnd w:id="18"/>
      <w:r>
        <w:rPr>
          <w:rFonts w:hint="eastAsia" w:ascii="仿宋" w:hAnsi="仿宋" w:eastAsia="仿宋" w:cs="仿宋"/>
          <w:snapToGrid w:val="0"/>
          <w:color w:val="auto"/>
          <w:kern w:val="28"/>
          <w:sz w:val="24"/>
          <w:szCs w:val="20"/>
          <w:highlight w:val="none"/>
        </w:rPr>
        <w:t>；</w:t>
      </w:r>
    </w:p>
    <w:p w14:paraId="183476A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3A6C462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5507896C">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3853F9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39E0C0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0F7CC7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B5EC80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E9C3C4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D98C4A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0814A0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921B819">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0E11CB4">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40C3DF0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C17C1F0">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E900BB8">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4F146CD">
      <w:pPr>
        <w:pStyle w:val="134"/>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45E35B">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9F9A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7542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8B3E1AB">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7729EA3">
      <w:pPr>
        <w:pStyle w:val="134"/>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A030D67">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91F0CF">
      <w:pPr>
        <w:pStyle w:val="134"/>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E96DC4E">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F166C2A">
      <w:pPr>
        <w:pStyle w:val="134"/>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A7F11D">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F47C74F">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0A30C0D">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883C9D1">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995FA4F">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221BB44">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6C9FDE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4785F11">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92C0E31">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08900D9">
      <w:pPr>
        <w:pStyle w:val="18"/>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DE3DE9A">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DDA6AB0">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005D892">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6BFE293">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199034">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A2DF9EC">
      <w:pPr>
        <w:pStyle w:val="134"/>
        <w:spacing w:before="0"/>
        <w:ind w:firstLine="480"/>
        <w:rPr>
          <w:rFonts w:hint="eastAsia" w:ascii="仿宋" w:hAnsi="仿宋" w:eastAsia="仿宋" w:cs="仿宋"/>
          <w:color w:val="auto"/>
          <w:highlight w:val="none"/>
        </w:rPr>
      </w:pPr>
    </w:p>
    <w:p w14:paraId="2472E031">
      <w:pPr>
        <w:pStyle w:val="134"/>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DE0FC19">
      <w:pPr>
        <w:pStyle w:val="560"/>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0C16C00">
      <w:pPr>
        <w:pStyle w:val="56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7E641EA">
      <w:pPr>
        <w:pStyle w:val="56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E944A8E">
      <w:pPr>
        <w:pStyle w:val="56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0D87268">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19.资格审查</w:t>
      </w:r>
    </w:p>
    <w:p w14:paraId="70FE5E85">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6E6D4868">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1185E59">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485A2E07">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47ACC29B">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E79F597">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14D6E9D">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B0B1429">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E9F572">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04394FC">
      <w:pPr>
        <w:snapToGrid w:val="0"/>
        <w:spacing w:line="360" w:lineRule="auto"/>
        <w:outlineLvl w:val="0"/>
        <w:rPr>
          <w:rFonts w:ascii="仿宋" w:hAnsi="仿宋" w:eastAsia="仿宋" w:cs="仿宋"/>
          <w:b/>
          <w:color w:val="auto"/>
          <w:sz w:val="36"/>
          <w:szCs w:val="36"/>
          <w:highlight w:val="none"/>
        </w:rPr>
      </w:pPr>
    </w:p>
    <w:p w14:paraId="27BD8083">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A80A129">
      <w:pPr>
        <w:spacing w:line="360" w:lineRule="auto"/>
        <w:rPr>
          <w:rFonts w:ascii="仿宋" w:hAnsi="仿宋" w:eastAsia="仿宋" w:cs="仿宋"/>
          <w:b/>
          <w:color w:val="auto"/>
          <w:sz w:val="24"/>
          <w:highlight w:val="none"/>
        </w:rPr>
      </w:pPr>
      <w:bookmarkStart w:id="19"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DEAB38A">
      <w:pPr>
        <w:snapToGrid w:val="0"/>
        <w:spacing w:line="360" w:lineRule="auto"/>
        <w:outlineLvl w:val="0"/>
        <w:rPr>
          <w:rFonts w:ascii="仿宋" w:hAnsi="仿宋" w:eastAsia="仿宋" w:cs="仿宋"/>
          <w:b/>
          <w:color w:val="auto"/>
          <w:sz w:val="36"/>
          <w:szCs w:val="36"/>
          <w:highlight w:val="none"/>
        </w:rPr>
      </w:pPr>
    </w:p>
    <w:p w14:paraId="33411E72">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B326B20">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2A5FBF2F">
      <w:pPr>
        <w:pStyle w:val="134"/>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78A205DD">
      <w:pPr>
        <w:pStyle w:val="134"/>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0457533">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0DFCD2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45C44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5F92F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6D8178DC">
      <w:pPr>
        <w:snapToGrid w:val="0"/>
        <w:spacing w:line="360" w:lineRule="auto"/>
        <w:rPr>
          <w:rFonts w:ascii="仿宋" w:hAnsi="仿宋" w:eastAsia="仿宋" w:cs="仿宋"/>
          <w:b/>
          <w:color w:val="auto"/>
          <w:sz w:val="32"/>
          <w:highlight w:val="none"/>
        </w:rPr>
      </w:pPr>
    </w:p>
    <w:p w14:paraId="16B5037E">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04AF3CE">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3DD5DB2">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27F64789">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b/>
          <w:bCs/>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61850B">
      <w:pPr>
        <w:pStyle w:val="134"/>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4DF8FB">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9D12898">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5F9143B">
      <w:pPr>
        <w:pStyle w:val="134"/>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C977B2E">
      <w:pPr>
        <w:pStyle w:val="1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B17551C">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BD9EF7">
      <w:pPr>
        <w:snapToGrid w:val="0"/>
        <w:spacing w:line="360" w:lineRule="auto"/>
        <w:ind w:firstLine="480" w:firstLineChars="200"/>
        <w:rPr>
          <w:rFonts w:ascii="仿宋" w:hAnsi="仿宋" w:eastAsia="仿宋" w:cs="仿宋"/>
          <w:b/>
          <w:color w:val="auto"/>
          <w:sz w:val="32"/>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color w:val="auto"/>
          <w:sz w:val="24"/>
          <w:szCs w:val="20"/>
          <w:highlight w:val="none"/>
        </w:rPr>
        <w:t>。</w:t>
      </w:r>
    </w:p>
    <w:p w14:paraId="6AB2E91F">
      <w:pPr>
        <w:snapToGrid w:val="0"/>
        <w:spacing w:line="360" w:lineRule="auto"/>
        <w:rPr>
          <w:rFonts w:ascii="仿宋" w:hAnsi="仿宋" w:eastAsia="仿宋" w:cs="仿宋"/>
          <w:b/>
          <w:color w:val="auto"/>
          <w:sz w:val="32"/>
          <w:highlight w:val="none"/>
        </w:rPr>
      </w:pPr>
    </w:p>
    <w:p w14:paraId="5F6D2861">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4E6C903">
      <w:pPr>
        <w:pStyle w:val="134"/>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0BFADA7">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46AFE946">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EA8889C">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76E484E">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0D0FE298">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30C72749">
      <w:pPr>
        <w:pStyle w:val="134"/>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27607B7">
      <w:pPr>
        <w:snapToGrid w:val="0"/>
        <w:spacing w:line="360" w:lineRule="auto"/>
        <w:rPr>
          <w:rFonts w:ascii="仿宋" w:hAnsi="仿宋" w:eastAsia="仿宋" w:cs="仿宋"/>
          <w:b/>
          <w:color w:val="auto"/>
          <w:sz w:val="32"/>
          <w:highlight w:val="none"/>
        </w:rPr>
      </w:pPr>
    </w:p>
    <w:p w14:paraId="185A755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8B11DE4">
      <w:pPr>
        <w:pStyle w:val="1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40F69BB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1E757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5BFD48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A49DD5">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0912088">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72990"/>
      <w:bookmarkEnd w:id="20"/>
      <w:bookmarkStart w:id="21" w:name="_Hlt75236290"/>
      <w:bookmarkEnd w:id="21"/>
      <w:bookmarkStart w:id="22" w:name="_Hlt68403820"/>
      <w:bookmarkEnd w:id="22"/>
      <w:bookmarkStart w:id="23" w:name="_Hlt74729768"/>
      <w:bookmarkEnd w:id="23"/>
      <w:bookmarkStart w:id="24" w:name="_Hlt74714665"/>
      <w:bookmarkEnd w:id="24"/>
      <w:bookmarkStart w:id="25" w:name="_Hlt68057669"/>
      <w:bookmarkEnd w:id="25"/>
      <w:bookmarkStart w:id="26" w:name="_Hlt75236011"/>
      <w:bookmarkEnd w:id="26"/>
      <w:bookmarkStart w:id="27" w:name="_Hlt75236101"/>
      <w:bookmarkEnd w:id="27"/>
      <w:bookmarkStart w:id="28" w:name="_Hlt74707468"/>
      <w:bookmarkEnd w:id="28"/>
      <w:bookmarkStart w:id="29" w:name="_Hlt74730295"/>
      <w:bookmarkEnd w:id="29"/>
      <w:bookmarkStart w:id="30" w:name="_Hlt68072998"/>
      <w:bookmarkEnd w:id="30"/>
      <w:bookmarkStart w:id="31" w:name="_Hlt68073093"/>
      <w:bookmarkEnd w:id="31"/>
    </w:p>
    <w:bookmarkEnd w:id="13"/>
    <w:bookmarkEnd w:id="14"/>
    <w:p w14:paraId="4C1E3E83">
      <w:pPr>
        <w:spacing w:line="360" w:lineRule="auto"/>
        <w:jc w:val="center"/>
        <w:outlineLvl w:val="0"/>
        <w:rPr>
          <w:rFonts w:hint="eastAsia" w:ascii="仿宋" w:hAnsi="仿宋" w:eastAsia="仿宋" w:cs="仿宋"/>
          <w:b/>
          <w:bCs/>
          <w:color w:val="auto"/>
          <w:sz w:val="24"/>
          <w:szCs w:val="22"/>
          <w:highlight w:val="none"/>
        </w:rPr>
      </w:pPr>
      <w:bookmarkStart w:id="32" w:name="第四部分"/>
      <w:r>
        <w:rPr>
          <w:rFonts w:hint="eastAsia" w:ascii="仿宋" w:hAnsi="仿宋" w:eastAsia="仿宋" w:cs="仿宋"/>
          <w:b/>
          <w:color w:val="auto"/>
          <w:sz w:val="36"/>
          <w:szCs w:val="36"/>
          <w:highlight w:val="none"/>
        </w:rPr>
        <w:t>第三部分   采购需求</w:t>
      </w:r>
    </w:p>
    <w:p w14:paraId="56F2966D">
      <w:pPr>
        <w:spacing w:line="360" w:lineRule="auto"/>
        <w:ind w:firstLine="480" w:firstLineChars="200"/>
        <w:rPr>
          <w:rFonts w:ascii="仿宋" w:hAnsi="仿宋" w:eastAsia="仿宋" w:cs="仿宋"/>
          <w:color w:val="auto"/>
          <w:sz w:val="24"/>
          <w:szCs w:val="24"/>
          <w:highlight w:val="none"/>
        </w:rPr>
      </w:pPr>
      <w:bookmarkStart w:id="33" w:name="_Toc508362896"/>
      <w:r>
        <w:rPr>
          <w:rFonts w:hint="eastAsia" w:ascii="仿宋" w:hAnsi="仿宋" w:eastAsia="仿宋" w:cs="仿宋"/>
          <w:color w:val="auto"/>
          <w:sz w:val="24"/>
          <w:szCs w:val="24"/>
          <w:highlight w:val="none"/>
        </w:rPr>
        <w:t>1.1项目概况</w:t>
      </w:r>
    </w:p>
    <w:p w14:paraId="3381AF1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彭埠街道企业退休人员自管小组文体活动的组织工作，推行彭埠街道纳入社会化管理企业退休人员自管小组文体活动组织的管理制度化，保证活动服务质量，提高管理工作效益，促进廉政建设，依据《中华人民共和国政府采购法》、《中华人民共和国政府采购法实施条例》等有关规定，结合彭埠街道实际情况，现就杭州市上城区彭埠街道2025年度企退人员自管小组文体活动服务采购项目组织承办单位开展招投标工作。</w:t>
      </w:r>
    </w:p>
    <w:p w14:paraId="1126B08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1.2采购项目内容</w:t>
      </w:r>
    </w:p>
    <w:p w14:paraId="144E8369">
      <w:pPr>
        <w:widowControl/>
        <w:numPr>
          <w:ilvl w:val="0"/>
          <w:numId w:val="0"/>
        </w:numPr>
        <w:adjustRightInd/>
        <w:snapToGrid w:val="0"/>
        <w:spacing w:beforeLines="0" w:afterLines="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杭州市上城区彭埠街道2025年度企退人员自管小组文体活动服务采购项目组织承办单位</w:t>
      </w:r>
      <w:r>
        <w:rPr>
          <w:rFonts w:hint="eastAsia" w:ascii="仿宋" w:hAnsi="仿宋" w:eastAsia="仿宋" w:cs="仿宋"/>
          <w:color w:val="auto"/>
          <w:kern w:val="2"/>
          <w:sz w:val="24"/>
          <w:szCs w:val="24"/>
          <w:highlight w:val="none"/>
          <w:lang w:val="zh-CN"/>
        </w:rPr>
        <w:t>。</w:t>
      </w:r>
    </w:p>
    <w:p w14:paraId="2314034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确定入选单位数量</w:t>
      </w:r>
    </w:p>
    <w:p w14:paraId="51CD794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通过本次招标确定入围中标单位1家，作为本项目范围内的组织承办单位。</w:t>
      </w:r>
    </w:p>
    <w:p w14:paraId="52B185A2">
      <w:pPr>
        <w:snapToGrid w:val="0"/>
        <w:spacing w:line="360" w:lineRule="auto"/>
        <w:jc w:val="center"/>
        <w:outlineLvl w:val="1"/>
        <w:rPr>
          <w:rFonts w:ascii="仿宋" w:hAnsi="仿宋" w:eastAsia="仿宋" w:cs="仿宋"/>
          <w:b/>
          <w:color w:val="auto"/>
          <w:sz w:val="32"/>
          <w:szCs w:val="32"/>
          <w:highlight w:val="none"/>
        </w:rPr>
      </w:pPr>
      <w:bookmarkStart w:id="34" w:name="_Toc98317919"/>
      <w:r>
        <w:rPr>
          <w:rFonts w:hint="eastAsia" w:ascii="仿宋" w:hAnsi="仿宋" w:eastAsia="仿宋" w:cs="仿宋"/>
          <w:b/>
          <w:color w:val="auto"/>
          <w:sz w:val="32"/>
          <w:szCs w:val="32"/>
          <w:highlight w:val="none"/>
        </w:rPr>
        <w:t>二、基本原则</w:t>
      </w:r>
      <w:bookmarkEnd w:id="34"/>
    </w:p>
    <w:p w14:paraId="7F607B9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上城区彭埠街道开展企业退休人员活动应以小型、多样、就近和安全为原则，结合辖区内企业退休人员年龄实际情况，拟定计划、征求意见、组织实施。</w:t>
      </w:r>
    </w:p>
    <w:p w14:paraId="3371D3E7">
      <w:pPr>
        <w:snapToGrid w:val="0"/>
        <w:spacing w:line="360" w:lineRule="auto"/>
        <w:jc w:val="center"/>
        <w:outlineLvl w:val="1"/>
        <w:rPr>
          <w:rFonts w:ascii="仿宋" w:hAnsi="仿宋" w:eastAsia="仿宋" w:cs="仿宋"/>
          <w:b/>
          <w:color w:val="auto"/>
          <w:sz w:val="32"/>
          <w:szCs w:val="32"/>
          <w:highlight w:val="none"/>
        </w:rPr>
      </w:pPr>
      <w:bookmarkStart w:id="35" w:name="_Toc98317920"/>
      <w:r>
        <w:rPr>
          <w:rFonts w:hint="eastAsia" w:ascii="仿宋" w:hAnsi="仿宋" w:eastAsia="仿宋" w:cs="仿宋"/>
          <w:b/>
          <w:color w:val="auto"/>
          <w:sz w:val="32"/>
          <w:szCs w:val="32"/>
          <w:highlight w:val="none"/>
        </w:rPr>
        <w:t>三、基本规范</w:t>
      </w:r>
      <w:bookmarkEnd w:id="35"/>
    </w:p>
    <w:p w14:paraId="30DB179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供应商应当遵循下列相关规范：</w:t>
      </w:r>
    </w:p>
    <w:p w14:paraId="6023D69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3.1供应商应设有相对独立的服务热线电话和服务质量投诉电话，指定专人负责本项目的业务。</w:t>
      </w:r>
    </w:p>
    <w:p w14:paraId="59EB37B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3.2供应商应诚实信用，严格遵守中标的价格和服务承诺，提供价格公道、优质高效的服务。</w:t>
      </w:r>
    </w:p>
    <w:p w14:paraId="2FC451E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3.3供应商未按合同标准提供相关服务的，承担违约责任，给参与者造成损失的，依法赔偿。</w:t>
      </w:r>
    </w:p>
    <w:p w14:paraId="1987B5A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3.4国家及地方主管部门制定的相关规范。</w:t>
      </w:r>
    </w:p>
    <w:p w14:paraId="0650CF97">
      <w:pPr>
        <w:snapToGrid w:val="0"/>
        <w:spacing w:line="360" w:lineRule="auto"/>
        <w:jc w:val="center"/>
        <w:outlineLvl w:val="1"/>
        <w:rPr>
          <w:rFonts w:ascii="仿宋" w:hAnsi="仿宋" w:eastAsia="仿宋" w:cs="仿宋"/>
          <w:b/>
          <w:color w:val="auto"/>
          <w:sz w:val="32"/>
          <w:szCs w:val="32"/>
          <w:highlight w:val="none"/>
        </w:rPr>
      </w:pPr>
      <w:bookmarkStart w:id="36" w:name="_Toc98317921"/>
      <w:r>
        <w:rPr>
          <w:rFonts w:hint="eastAsia" w:ascii="仿宋" w:hAnsi="仿宋" w:eastAsia="仿宋" w:cs="仿宋"/>
          <w:b/>
          <w:color w:val="auto"/>
          <w:sz w:val="32"/>
          <w:szCs w:val="32"/>
          <w:highlight w:val="none"/>
        </w:rPr>
        <w:t>四、基本要求</w:t>
      </w:r>
      <w:bookmarkEnd w:id="36"/>
    </w:p>
    <w:p w14:paraId="65389A5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4.1活动对象：彭埠街道纳入社会化管理的企业退休人员。</w:t>
      </w:r>
    </w:p>
    <w:p w14:paraId="707B85B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4.2活动人数：约</w:t>
      </w:r>
      <w:r>
        <w:rPr>
          <w:rFonts w:hint="eastAsia" w:ascii="仿宋" w:hAnsi="仿宋" w:eastAsia="仿宋" w:cs="仿宋"/>
          <w:color w:val="auto"/>
          <w:sz w:val="24"/>
          <w:szCs w:val="24"/>
          <w:highlight w:val="none"/>
          <w:lang w:val="en-US" w:eastAsia="zh-CN"/>
        </w:rPr>
        <w:t>20500</w:t>
      </w:r>
      <w:r>
        <w:rPr>
          <w:rFonts w:hint="eastAsia" w:ascii="仿宋" w:hAnsi="仿宋" w:eastAsia="仿宋" w:cs="仿宋"/>
          <w:color w:val="auto"/>
          <w:sz w:val="24"/>
          <w:szCs w:val="24"/>
          <w:highlight w:val="none"/>
        </w:rPr>
        <w:t>人，由招标人提供具体人员名单</w:t>
      </w:r>
      <w:r>
        <w:rPr>
          <w:rFonts w:hint="eastAsia" w:ascii="仿宋" w:hAnsi="仿宋" w:eastAsia="仿宋" w:cs="仿宋"/>
          <w:color w:val="auto"/>
          <w:sz w:val="24"/>
          <w:szCs w:val="24"/>
          <w:highlight w:val="none"/>
          <w:lang w:val="zh-CN" w:eastAsia="zh-CN"/>
        </w:rPr>
        <w:t>，结算时按实际活动人数计算，</w:t>
      </w:r>
      <w:r>
        <w:rPr>
          <w:rFonts w:hint="eastAsia" w:ascii="仿宋" w:hAnsi="仿宋" w:eastAsia="仿宋" w:cs="仿宋"/>
          <w:b/>
          <w:bCs/>
          <w:color w:val="auto"/>
          <w:sz w:val="24"/>
          <w:szCs w:val="24"/>
          <w:highlight w:val="none"/>
          <w:lang w:val="zh-CN" w:eastAsia="zh-CN"/>
        </w:rPr>
        <w:t>供应商需按</w:t>
      </w:r>
      <w:r>
        <w:rPr>
          <w:rFonts w:hint="eastAsia" w:ascii="仿宋" w:hAnsi="仿宋" w:eastAsia="仿宋" w:cs="仿宋"/>
          <w:b/>
          <w:bCs/>
          <w:color w:val="auto"/>
          <w:sz w:val="24"/>
          <w:szCs w:val="24"/>
          <w:highlight w:val="none"/>
          <w:lang w:eastAsia="zh-CN"/>
        </w:rPr>
        <w:t>人民币</w:t>
      </w:r>
      <w:r>
        <w:rPr>
          <w:rFonts w:hint="eastAsia" w:ascii="仿宋" w:hAnsi="仿宋" w:eastAsia="仿宋" w:cs="仿宋"/>
          <w:b/>
          <w:bCs/>
          <w:color w:val="auto"/>
          <w:sz w:val="24"/>
          <w:szCs w:val="24"/>
          <w:highlight w:val="none"/>
          <w:lang w:val="en-US" w:eastAsia="zh-CN"/>
        </w:rPr>
        <w:t>130元/人的标准制定活动计划并报价（本次招标价格不竞争）</w:t>
      </w:r>
      <w:r>
        <w:rPr>
          <w:rFonts w:hint="eastAsia" w:ascii="仿宋" w:hAnsi="仿宋" w:eastAsia="仿宋" w:cs="仿宋"/>
          <w:color w:val="auto"/>
          <w:sz w:val="24"/>
          <w:szCs w:val="24"/>
          <w:highlight w:val="none"/>
          <w:lang w:eastAsia="zh-CN"/>
        </w:rPr>
        <w:t>。</w:t>
      </w:r>
    </w:p>
    <w:p w14:paraId="16689FD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4.3活动特点：适合企业退休人员年龄段的活动形式。</w:t>
      </w:r>
    </w:p>
    <w:p w14:paraId="22A3ADD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活动形式：</w:t>
      </w:r>
    </w:p>
    <w:p w14:paraId="7C500CE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.1一次性活动(含外出旅游)：可适当整合资源，不接受现金、各类有价证券的活动形式。</w:t>
      </w:r>
    </w:p>
    <w:p w14:paraId="260CF6C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.2小型多样活动总量不得少于10场（外出参观、上门慰问除外），且活动种类多样、可操作性强，做好安全防护疫等措施。投标人在投标文件中需提供详细的多种类活动方案，供企退人员进行选择。</w:t>
      </w:r>
    </w:p>
    <w:p w14:paraId="5A6414E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.3上门慰问活动（针对75周岁以上人员及不便外出人员）：使用上门慰问等形式。</w:t>
      </w:r>
    </w:p>
    <w:p w14:paraId="4C83796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活动组织方式：各社区自行组织。</w:t>
      </w:r>
    </w:p>
    <w:p w14:paraId="6AD52BD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企退人员活动时间：截止时间为202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年12月31日。</w:t>
      </w:r>
    </w:p>
    <w:p w14:paraId="0EFF1B7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上门慰问以外的其他活动，供应商应要求第三方服务单位能提供良好的接待和服务工作，第三方服务人员提供热情、细致、认真、周到的服务。</w:t>
      </w:r>
      <w:r>
        <w:rPr>
          <w:rFonts w:hint="eastAsia" w:ascii="仿宋" w:hAnsi="仿宋" w:eastAsia="仿宋" w:cs="仿宋"/>
          <w:b w:val="0"/>
          <w:bCs w:val="0"/>
          <w:color w:val="auto"/>
          <w:sz w:val="24"/>
          <w:szCs w:val="24"/>
          <w:highlight w:val="none"/>
        </w:rPr>
        <w:t>（第三方服务单位需具备相应的</w:t>
      </w:r>
      <w:r>
        <w:rPr>
          <w:rFonts w:hint="eastAsia" w:ascii="仿宋" w:hAnsi="仿宋" w:eastAsia="仿宋" w:cs="仿宋"/>
          <w:b w:val="0"/>
          <w:bCs w:val="0"/>
          <w:color w:val="auto"/>
          <w:sz w:val="24"/>
          <w:szCs w:val="24"/>
          <w:highlight w:val="none"/>
          <w:lang w:val="en-US" w:eastAsia="zh-CN"/>
        </w:rPr>
        <w:t>履约</w:t>
      </w:r>
      <w:r>
        <w:rPr>
          <w:rFonts w:hint="eastAsia" w:ascii="仿宋" w:hAnsi="仿宋" w:eastAsia="仿宋" w:cs="仿宋"/>
          <w:b w:val="0"/>
          <w:bCs w:val="0"/>
          <w:color w:val="auto"/>
          <w:sz w:val="24"/>
          <w:szCs w:val="24"/>
          <w:highlight w:val="none"/>
        </w:rPr>
        <w:t>能力）。</w:t>
      </w:r>
    </w:p>
    <w:p w14:paraId="6BCD679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供应商应为服务对象购买老年人短期意外险。</w:t>
      </w:r>
    </w:p>
    <w:p w14:paraId="5DD3650C">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在费用可控范围内结合实际情况合理安排参观游览线路；线路可提供多条供选择（如桐庐、</w:t>
      </w:r>
      <w:r>
        <w:rPr>
          <w:rFonts w:hint="eastAsia" w:ascii="仿宋" w:hAnsi="仿宋" w:eastAsia="仿宋" w:cs="仿宋"/>
          <w:color w:val="auto"/>
          <w:sz w:val="24"/>
          <w:szCs w:val="24"/>
          <w:highlight w:val="none"/>
          <w:lang w:eastAsia="zh-CN"/>
        </w:rPr>
        <w:t>安吉</w:t>
      </w:r>
      <w:r>
        <w:rPr>
          <w:rFonts w:hint="eastAsia" w:ascii="仿宋" w:hAnsi="仿宋" w:eastAsia="仿宋" w:cs="仿宋"/>
          <w:color w:val="auto"/>
          <w:sz w:val="24"/>
          <w:szCs w:val="24"/>
          <w:highlight w:val="none"/>
        </w:rPr>
        <w:t>、绍兴、湘湖、乌镇一日游）；提供有全陪导游服务、</w:t>
      </w:r>
      <w:r>
        <w:rPr>
          <w:rFonts w:hint="eastAsia" w:ascii="仿宋" w:hAnsi="仿宋" w:eastAsia="仿宋" w:cs="仿宋"/>
          <w:color w:val="auto"/>
          <w:sz w:val="24"/>
          <w:szCs w:val="24"/>
          <w:highlight w:val="none"/>
          <w:lang w:val="en-US" w:eastAsia="zh-CN"/>
        </w:rPr>
        <w:t>医护人员、</w:t>
      </w:r>
      <w:r>
        <w:rPr>
          <w:rFonts w:hint="eastAsia" w:ascii="仿宋" w:hAnsi="仿宋" w:eastAsia="仿宋" w:cs="仿宋"/>
          <w:color w:val="auto"/>
          <w:sz w:val="24"/>
          <w:szCs w:val="24"/>
          <w:highlight w:val="none"/>
        </w:rPr>
        <w:t>旅行社责任保险和旅客人身意外保险；全程做好安全工作，做到事事提醒</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交通：杭州到目的地来回大巴接送；用餐：一般10人一桌，午餐一餐，不低于30元/人，如遇未用餐的情况，结算时须退还相应餐费。</w:t>
      </w:r>
    </w:p>
    <w:p w14:paraId="5F29BBF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供应商应进行满意度调查，费用含在投标报价中，调查费用由投标人承担。</w:t>
      </w:r>
    </w:p>
    <w:p w14:paraId="03591D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供应商应承诺参加活动人员名单和个人信息不得外泄。</w:t>
      </w:r>
    </w:p>
    <w:p w14:paraId="3E33DA02">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4.12供应商需针对本项目设立的各项管理规章制度及管理机构，确保项目顺利实施。实施过程中如遇投诉等情况需要及时处理。</w:t>
      </w:r>
    </w:p>
    <w:p w14:paraId="0748FA73">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kern w:val="0"/>
          <w:sz w:val="24"/>
          <w:szCs w:val="24"/>
          <w:highlight w:val="none"/>
          <w:lang w:val="en-US" w:eastAsia="zh-CN" w:bidi="ar-SA"/>
        </w:rPr>
        <w:t>宣传工作：供应商应按采购人要求做好宣传工作，如易拉宝展示、横幅、同时做好相关资料留底如拍照、视频等。</w:t>
      </w:r>
    </w:p>
    <w:p w14:paraId="074B4FEA">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bidi="ar-SA"/>
        </w:rPr>
        <w:t>4.14人员安排：指定项目负责人一名负责日常工作对接，外出参观需配备导游、医务人员，开展每场小型多样活动人员需配备齐全确保顺利进行。</w:t>
      </w:r>
    </w:p>
    <w:p w14:paraId="6421EA79">
      <w:pPr>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5</w:t>
      </w:r>
      <w:r>
        <w:rPr>
          <w:rFonts w:hint="eastAsia" w:ascii="仿宋" w:hAnsi="仿宋" w:eastAsia="仿宋" w:cs="仿宋"/>
          <w:b/>
          <w:color w:val="auto"/>
          <w:sz w:val="24"/>
          <w:szCs w:val="24"/>
          <w:highlight w:val="none"/>
        </w:rPr>
        <w:t>在活动期间，供应商需做好安全防护，切实做好项目的服务工作。参加活动均为老年人，供应商须有对应的应急预案、应急措施，活动期间需安排专业人员保障。</w:t>
      </w:r>
    </w:p>
    <w:p w14:paraId="042D1C25">
      <w:pPr>
        <w:pStyle w:val="5"/>
        <w:ind w:left="429" w:leftChars="200" w:hanging="9" w:hangingChars="4"/>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4.1</w:t>
      </w:r>
      <w:r>
        <w:rPr>
          <w:rFonts w:hint="eastAsia" w:ascii="仿宋" w:eastAsia="仿宋" w:cs="仿宋"/>
          <w:b w:val="0"/>
          <w:bCs w:val="0"/>
          <w:color w:val="auto"/>
          <w:sz w:val="24"/>
          <w:szCs w:val="24"/>
          <w:highlight w:val="none"/>
          <w:lang w:val="en-US" w:eastAsia="zh-CN"/>
        </w:rPr>
        <w:t>6活动期间供应商提供的活动配套用品要求</w:t>
      </w:r>
    </w:p>
    <w:tbl>
      <w:tblPr>
        <w:tblStyle w:val="65"/>
        <w:tblW w:w="8560" w:type="dxa"/>
        <w:jc w:val="center"/>
        <w:tblLayout w:type="fixed"/>
        <w:tblCellMar>
          <w:top w:w="0" w:type="dxa"/>
          <w:left w:w="108" w:type="dxa"/>
          <w:bottom w:w="0" w:type="dxa"/>
          <w:right w:w="108" w:type="dxa"/>
        </w:tblCellMar>
      </w:tblPr>
      <w:tblGrid>
        <w:gridCol w:w="1701"/>
        <w:gridCol w:w="3959"/>
        <w:gridCol w:w="2900"/>
      </w:tblGrid>
      <w:tr w14:paraId="453D8FB9">
        <w:tblPrEx>
          <w:tblCellMar>
            <w:top w:w="0" w:type="dxa"/>
            <w:left w:w="108" w:type="dxa"/>
            <w:bottom w:w="0" w:type="dxa"/>
            <w:right w:w="108" w:type="dxa"/>
          </w:tblCellMar>
        </w:tblPrEx>
        <w:trPr>
          <w:trHeight w:val="436"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14:paraId="1FEA9EEC">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搭配方案</w:t>
            </w:r>
          </w:p>
        </w:tc>
        <w:tc>
          <w:tcPr>
            <w:tcW w:w="3959" w:type="dxa"/>
            <w:tcBorders>
              <w:top w:val="single" w:color="auto" w:sz="4" w:space="0"/>
              <w:left w:val="single" w:color="auto" w:sz="4" w:space="0"/>
              <w:bottom w:val="single" w:color="auto" w:sz="4" w:space="0"/>
              <w:right w:val="single" w:color="auto" w:sz="4" w:space="0"/>
            </w:tcBorders>
            <w:noWrap/>
            <w:vAlign w:val="center"/>
          </w:tcPr>
          <w:p w14:paraId="083472B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活动配套用品</w:t>
            </w:r>
            <w:r>
              <w:rPr>
                <w:rFonts w:hint="eastAsia" w:ascii="仿宋" w:hAnsi="仿宋" w:eastAsia="仿宋" w:cs="仿宋"/>
                <w:color w:val="auto"/>
                <w:sz w:val="24"/>
                <w:szCs w:val="24"/>
                <w:highlight w:val="none"/>
              </w:rPr>
              <w:t>名称</w:t>
            </w:r>
          </w:p>
        </w:tc>
        <w:tc>
          <w:tcPr>
            <w:tcW w:w="2900" w:type="dxa"/>
            <w:tcBorders>
              <w:top w:val="single" w:color="auto" w:sz="4" w:space="0"/>
              <w:left w:val="nil"/>
              <w:bottom w:val="single" w:color="auto" w:sz="4" w:space="0"/>
              <w:right w:val="single" w:color="auto" w:sz="4" w:space="0"/>
            </w:tcBorders>
            <w:noWrap/>
            <w:vAlign w:val="center"/>
          </w:tcPr>
          <w:p w14:paraId="1BD493F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6F29F50">
        <w:tblPrEx>
          <w:tblCellMar>
            <w:top w:w="0" w:type="dxa"/>
            <w:left w:w="108" w:type="dxa"/>
            <w:bottom w:w="0" w:type="dxa"/>
            <w:right w:w="108" w:type="dxa"/>
          </w:tblCellMar>
        </w:tblPrEx>
        <w:trPr>
          <w:trHeight w:val="436" w:hRule="atLeast"/>
          <w:jc w:val="center"/>
        </w:trPr>
        <w:tc>
          <w:tcPr>
            <w:tcW w:w="1701" w:type="dxa"/>
            <w:tcBorders>
              <w:top w:val="nil"/>
              <w:left w:val="single" w:color="auto" w:sz="4" w:space="0"/>
              <w:bottom w:val="single" w:color="auto" w:sz="4" w:space="0"/>
              <w:right w:val="single" w:color="auto" w:sz="4" w:space="0"/>
            </w:tcBorders>
            <w:vAlign w:val="center"/>
          </w:tcPr>
          <w:p w14:paraId="0D2A55D3">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方案一</w:t>
            </w:r>
          </w:p>
        </w:tc>
        <w:tc>
          <w:tcPr>
            <w:tcW w:w="3959" w:type="dxa"/>
            <w:tcBorders>
              <w:top w:val="nil"/>
              <w:left w:val="single" w:color="auto" w:sz="4" w:space="0"/>
              <w:bottom w:val="single" w:color="auto" w:sz="4" w:space="0"/>
              <w:right w:val="single" w:color="auto" w:sz="4" w:space="0"/>
            </w:tcBorders>
            <w:vAlign w:val="center"/>
          </w:tcPr>
          <w:p w14:paraId="5645DDD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油（米糠油5L及以上）</w:t>
            </w:r>
          </w:p>
        </w:tc>
        <w:tc>
          <w:tcPr>
            <w:tcW w:w="2900" w:type="dxa"/>
            <w:vMerge w:val="restart"/>
            <w:tcBorders>
              <w:top w:val="nil"/>
              <w:left w:val="single" w:color="auto" w:sz="4" w:space="0"/>
              <w:bottom w:val="single" w:color="000000" w:sz="4" w:space="0"/>
              <w:right w:val="single" w:color="auto" w:sz="4" w:space="0"/>
            </w:tcBorders>
            <w:vAlign w:val="center"/>
          </w:tcPr>
          <w:p w14:paraId="4B56AB3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要求提供的套餐内的所有活动用品均在浙江省内超市货架售卖（供应商应在投标时提供超市货架的货物和价格照片）</w:t>
            </w:r>
          </w:p>
        </w:tc>
      </w:tr>
      <w:tr w14:paraId="73524A70">
        <w:tblPrEx>
          <w:tblCellMar>
            <w:top w:w="0" w:type="dxa"/>
            <w:left w:w="108" w:type="dxa"/>
            <w:bottom w:w="0" w:type="dxa"/>
            <w:right w:w="108" w:type="dxa"/>
          </w:tblCellMar>
        </w:tblPrEx>
        <w:trPr>
          <w:trHeight w:val="436" w:hRule="atLeast"/>
          <w:jc w:val="center"/>
        </w:trPr>
        <w:tc>
          <w:tcPr>
            <w:tcW w:w="1701" w:type="dxa"/>
            <w:tcBorders>
              <w:top w:val="nil"/>
              <w:left w:val="single" w:color="auto" w:sz="4" w:space="0"/>
              <w:bottom w:val="single" w:color="auto" w:sz="4" w:space="0"/>
              <w:right w:val="single" w:color="auto" w:sz="4" w:space="0"/>
            </w:tcBorders>
            <w:vAlign w:val="center"/>
          </w:tcPr>
          <w:p w14:paraId="4EF0B26F">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方案二</w:t>
            </w:r>
          </w:p>
        </w:tc>
        <w:tc>
          <w:tcPr>
            <w:tcW w:w="3959" w:type="dxa"/>
            <w:tcBorders>
              <w:top w:val="nil"/>
              <w:left w:val="single" w:color="auto" w:sz="4" w:space="0"/>
              <w:bottom w:val="single" w:color="auto" w:sz="4" w:space="0"/>
              <w:right w:val="single" w:color="auto" w:sz="4" w:space="0"/>
            </w:tcBorders>
            <w:vAlign w:val="center"/>
          </w:tcPr>
          <w:p w14:paraId="0615E3B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油+油（米糠油5L以下）</w:t>
            </w:r>
          </w:p>
        </w:tc>
        <w:tc>
          <w:tcPr>
            <w:tcW w:w="2900" w:type="dxa"/>
            <w:vMerge w:val="continue"/>
            <w:tcBorders>
              <w:top w:val="nil"/>
              <w:left w:val="single" w:color="auto" w:sz="4" w:space="0"/>
              <w:bottom w:val="single" w:color="000000" w:sz="4" w:space="0"/>
              <w:right w:val="single" w:color="auto" w:sz="4" w:space="0"/>
            </w:tcBorders>
            <w:vAlign w:val="center"/>
          </w:tcPr>
          <w:p w14:paraId="35CF7899">
            <w:pPr>
              <w:rPr>
                <w:rFonts w:ascii="仿宋" w:hAnsi="仿宋" w:eastAsia="仿宋" w:cs="仿宋"/>
                <w:color w:val="auto"/>
                <w:sz w:val="24"/>
                <w:szCs w:val="24"/>
                <w:highlight w:val="none"/>
              </w:rPr>
            </w:pPr>
          </w:p>
        </w:tc>
      </w:tr>
      <w:tr w14:paraId="6E119D48">
        <w:tblPrEx>
          <w:tblCellMar>
            <w:top w:w="0" w:type="dxa"/>
            <w:left w:w="108" w:type="dxa"/>
            <w:bottom w:w="0" w:type="dxa"/>
            <w:right w:w="108" w:type="dxa"/>
          </w:tblCellMar>
        </w:tblPrEx>
        <w:trPr>
          <w:trHeight w:val="436" w:hRule="atLeast"/>
          <w:jc w:val="center"/>
        </w:trPr>
        <w:tc>
          <w:tcPr>
            <w:tcW w:w="1701" w:type="dxa"/>
            <w:tcBorders>
              <w:top w:val="nil"/>
              <w:left w:val="single" w:color="auto" w:sz="4" w:space="0"/>
              <w:bottom w:val="single" w:color="auto" w:sz="4" w:space="0"/>
              <w:right w:val="single" w:color="auto" w:sz="4" w:space="0"/>
            </w:tcBorders>
            <w:vAlign w:val="center"/>
          </w:tcPr>
          <w:p w14:paraId="6A0A0130">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方案三</w:t>
            </w:r>
          </w:p>
        </w:tc>
        <w:tc>
          <w:tcPr>
            <w:tcW w:w="3959" w:type="dxa"/>
            <w:tcBorders>
              <w:top w:val="nil"/>
              <w:left w:val="single" w:color="auto" w:sz="4" w:space="0"/>
              <w:bottom w:val="single" w:color="auto" w:sz="4" w:space="0"/>
              <w:right w:val="single" w:color="auto" w:sz="4" w:space="0"/>
            </w:tcBorders>
            <w:vAlign w:val="center"/>
          </w:tcPr>
          <w:p w14:paraId="0BE77FA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米（5KG及以上）+油（5L及以上）</w:t>
            </w:r>
          </w:p>
        </w:tc>
        <w:tc>
          <w:tcPr>
            <w:tcW w:w="2900" w:type="dxa"/>
            <w:vMerge w:val="continue"/>
            <w:tcBorders>
              <w:top w:val="nil"/>
              <w:left w:val="single" w:color="auto" w:sz="4" w:space="0"/>
              <w:bottom w:val="single" w:color="000000" w:sz="4" w:space="0"/>
              <w:right w:val="single" w:color="auto" w:sz="4" w:space="0"/>
            </w:tcBorders>
            <w:vAlign w:val="center"/>
          </w:tcPr>
          <w:p w14:paraId="3CD90E97">
            <w:pPr>
              <w:rPr>
                <w:rFonts w:ascii="仿宋" w:hAnsi="仿宋" w:eastAsia="仿宋" w:cs="仿宋"/>
                <w:color w:val="auto"/>
                <w:sz w:val="24"/>
                <w:szCs w:val="24"/>
                <w:highlight w:val="none"/>
              </w:rPr>
            </w:pPr>
          </w:p>
        </w:tc>
      </w:tr>
      <w:tr w14:paraId="08777231">
        <w:tblPrEx>
          <w:tblCellMar>
            <w:top w:w="0" w:type="dxa"/>
            <w:left w:w="108" w:type="dxa"/>
            <w:bottom w:w="0" w:type="dxa"/>
            <w:right w:w="108" w:type="dxa"/>
          </w:tblCellMar>
        </w:tblPrEx>
        <w:trPr>
          <w:trHeight w:val="393" w:hRule="atLeast"/>
          <w:jc w:val="center"/>
        </w:trPr>
        <w:tc>
          <w:tcPr>
            <w:tcW w:w="1701" w:type="dxa"/>
            <w:tcBorders>
              <w:top w:val="nil"/>
              <w:left w:val="single" w:color="auto" w:sz="4" w:space="0"/>
              <w:bottom w:val="single" w:color="auto" w:sz="4" w:space="0"/>
              <w:right w:val="single" w:color="auto" w:sz="4" w:space="0"/>
            </w:tcBorders>
            <w:vAlign w:val="center"/>
          </w:tcPr>
          <w:p w14:paraId="0E4509A2">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方案四</w:t>
            </w:r>
          </w:p>
        </w:tc>
        <w:tc>
          <w:tcPr>
            <w:tcW w:w="3959" w:type="dxa"/>
            <w:tcBorders>
              <w:top w:val="nil"/>
              <w:left w:val="single" w:color="auto" w:sz="4" w:space="0"/>
              <w:bottom w:val="single" w:color="auto" w:sz="4" w:space="0"/>
              <w:right w:val="single" w:color="auto" w:sz="4" w:space="0"/>
            </w:tcBorders>
            <w:vAlign w:val="center"/>
          </w:tcPr>
          <w:p w14:paraId="7A6080E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高端油（山茶油、橄榄油）</w:t>
            </w:r>
          </w:p>
        </w:tc>
        <w:tc>
          <w:tcPr>
            <w:tcW w:w="2900" w:type="dxa"/>
            <w:vMerge w:val="continue"/>
            <w:tcBorders>
              <w:top w:val="nil"/>
              <w:left w:val="single" w:color="auto" w:sz="4" w:space="0"/>
              <w:bottom w:val="single" w:color="000000" w:sz="4" w:space="0"/>
              <w:right w:val="single" w:color="auto" w:sz="4" w:space="0"/>
            </w:tcBorders>
            <w:vAlign w:val="center"/>
          </w:tcPr>
          <w:p w14:paraId="3E922A8E">
            <w:pPr>
              <w:rPr>
                <w:rFonts w:ascii="仿宋" w:hAnsi="仿宋" w:eastAsia="仿宋" w:cs="仿宋"/>
                <w:color w:val="auto"/>
                <w:sz w:val="24"/>
                <w:szCs w:val="24"/>
                <w:highlight w:val="none"/>
              </w:rPr>
            </w:pPr>
          </w:p>
        </w:tc>
      </w:tr>
      <w:tr w14:paraId="3ADD2C52">
        <w:tblPrEx>
          <w:tblCellMar>
            <w:top w:w="0" w:type="dxa"/>
            <w:left w:w="108" w:type="dxa"/>
            <w:bottom w:w="0" w:type="dxa"/>
            <w:right w:w="108" w:type="dxa"/>
          </w:tblCellMar>
        </w:tblPrEx>
        <w:trPr>
          <w:trHeight w:val="436" w:hRule="atLeast"/>
          <w:jc w:val="center"/>
        </w:trPr>
        <w:tc>
          <w:tcPr>
            <w:tcW w:w="1701" w:type="dxa"/>
            <w:tcBorders>
              <w:top w:val="nil"/>
              <w:left w:val="single" w:color="auto" w:sz="4" w:space="0"/>
              <w:bottom w:val="single" w:color="auto" w:sz="4" w:space="0"/>
              <w:right w:val="single" w:color="auto" w:sz="4" w:space="0"/>
            </w:tcBorders>
            <w:vAlign w:val="center"/>
          </w:tcPr>
          <w:p w14:paraId="77463984">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方案五</w:t>
            </w:r>
          </w:p>
        </w:tc>
        <w:tc>
          <w:tcPr>
            <w:tcW w:w="3959" w:type="dxa"/>
            <w:tcBorders>
              <w:top w:val="nil"/>
              <w:left w:val="single" w:color="auto" w:sz="4" w:space="0"/>
              <w:bottom w:val="single" w:color="auto" w:sz="4" w:space="0"/>
              <w:right w:val="single" w:color="auto" w:sz="4" w:space="0"/>
            </w:tcBorders>
            <w:vAlign w:val="center"/>
          </w:tcPr>
          <w:p w14:paraId="5EC00CA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日化套餐</w:t>
            </w:r>
          </w:p>
        </w:tc>
        <w:tc>
          <w:tcPr>
            <w:tcW w:w="2900" w:type="dxa"/>
            <w:vMerge w:val="continue"/>
            <w:tcBorders>
              <w:top w:val="nil"/>
              <w:left w:val="single" w:color="auto" w:sz="4" w:space="0"/>
              <w:bottom w:val="single" w:color="000000" w:sz="4" w:space="0"/>
              <w:right w:val="single" w:color="auto" w:sz="4" w:space="0"/>
            </w:tcBorders>
            <w:vAlign w:val="center"/>
          </w:tcPr>
          <w:p w14:paraId="58AE897C">
            <w:pPr>
              <w:rPr>
                <w:rFonts w:ascii="仿宋" w:hAnsi="仿宋" w:eastAsia="仿宋" w:cs="仿宋"/>
                <w:color w:val="auto"/>
                <w:sz w:val="24"/>
                <w:szCs w:val="24"/>
                <w:highlight w:val="none"/>
              </w:rPr>
            </w:pPr>
          </w:p>
        </w:tc>
      </w:tr>
      <w:tr w14:paraId="717CA0FB">
        <w:tblPrEx>
          <w:tblCellMar>
            <w:top w:w="0" w:type="dxa"/>
            <w:left w:w="108" w:type="dxa"/>
            <w:bottom w:w="0" w:type="dxa"/>
            <w:right w:w="108" w:type="dxa"/>
          </w:tblCellMar>
        </w:tblPrEx>
        <w:trPr>
          <w:trHeight w:val="436" w:hRule="atLeast"/>
          <w:jc w:val="center"/>
        </w:trPr>
        <w:tc>
          <w:tcPr>
            <w:tcW w:w="1701" w:type="dxa"/>
            <w:tcBorders>
              <w:top w:val="nil"/>
              <w:left w:val="single" w:color="auto" w:sz="4" w:space="0"/>
              <w:bottom w:val="single" w:color="auto" w:sz="4" w:space="0"/>
              <w:right w:val="single" w:color="auto" w:sz="4" w:space="0"/>
            </w:tcBorders>
            <w:vAlign w:val="center"/>
          </w:tcPr>
          <w:p w14:paraId="13D2DD15">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方案六</w:t>
            </w:r>
          </w:p>
        </w:tc>
        <w:tc>
          <w:tcPr>
            <w:tcW w:w="3959" w:type="dxa"/>
            <w:tcBorders>
              <w:top w:val="nil"/>
              <w:left w:val="single" w:color="auto" w:sz="4" w:space="0"/>
              <w:bottom w:val="single" w:color="auto" w:sz="4" w:space="0"/>
              <w:right w:val="single" w:color="auto" w:sz="4" w:space="0"/>
            </w:tcBorders>
            <w:vAlign w:val="center"/>
          </w:tcPr>
          <w:p w14:paraId="6805F28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杂粮套餐</w:t>
            </w:r>
          </w:p>
        </w:tc>
        <w:tc>
          <w:tcPr>
            <w:tcW w:w="2900" w:type="dxa"/>
            <w:vMerge w:val="continue"/>
            <w:tcBorders>
              <w:top w:val="nil"/>
              <w:left w:val="single" w:color="auto" w:sz="4" w:space="0"/>
              <w:bottom w:val="single" w:color="000000" w:sz="4" w:space="0"/>
              <w:right w:val="single" w:color="auto" w:sz="4" w:space="0"/>
            </w:tcBorders>
            <w:vAlign w:val="center"/>
          </w:tcPr>
          <w:p w14:paraId="25315AFF">
            <w:pPr>
              <w:rPr>
                <w:rFonts w:ascii="仿宋" w:hAnsi="仿宋" w:eastAsia="仿宋" w:cs="仿宋"/>
                <w:color w:val="auto"/>
                <w:sz w:val="24"/>
                <w:szCs w:val="24"/>
                <w:highlight w:val="none"/>
              </w:rPr>
            </w:pPr>
          </w:p>
        </w:tc>
      </w:tr>
      <w:tr w14:paraId="5A594C44">
        <w:tblPrEx>
          <w:tblCellMar>
            <w:top w:w="0" w:type="dxa"/>
            <w:left w:w="108" w:type="dxa"/>
            <w:bottom w:w="0" w:type="dxa"/>
            <w:right w:w="108" w:type="dxa"/>
          </w:tblCellMar>
        </w:tblPrEx>
        <w:trPr>
          <w:trHeight w:val="486" w:hRule="atLeast"/>
          <w:jc w:val="center"/>
        </w:trPr>
        <w:tc>
          <w:tcPr>
            <w:tcW w:w="1701" w:type="dxa"/>
            <w:tcBorders>
              <w:top w:val="nil"/>
              <w:left w:val="single" w:color="auto" w:sz="4" w:space="0"/>
              <w:bottom w:val="single" w:color="auto" w:sz="4" w:space="0"/>
              <w:right w:val="single" w:color="auto" w:sz="4" w:space="0"/>
            </w:tcBorders>
            <w:vAlign w:val="center"/>
          </w:tcPr>
          <w:p w14:paraId="616A98D5">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方案七</w:t>
            </w:r>
          </w:p>
        </w:tc>
        <w:tc>
          <w:tcPr>
            <w:tcW w:w="3959" w:type="dxa"/>
            <w:tcBorders>
              <w:top w:val="nil"/>
              <w:left w:val="single" w:color="auto" w:sz="4" w:space="0"/>
              <w:bottom w:val="single" w:color="auto" w:sz="4" w:space="0"/>
              <w:right w:val="single" w:color="auto" w:sz="4" w:space="0"/>
            </w:tcBorders>
            <w:vAlign w:val="center"/>
          </w:tcPr>
          <w:p w14:paraId="45DD2D3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床上用品</w:t>
            </w:r>
          </w:p>
        </w:tc>
        <w:tc>
          <w:tcPr>
            <w:tcW w:w="2900" w:type="dxa"/>
            <w:vMerge w:val="continue"/>
            <w:tcBorders>
              <w:top w:val="nil"/>
              <w:left w:val="single" w:color="auto" w:sz="4" w:space="0"/>
              <w:bottom w:val="single" w:color="000000" w:sz="4" w:space="0"/>
              <w:right w:val="single" w:color="auto" w:sz="4" w:space="0"/>
            </w:tcBorders>
            <w:vAlign w:val="center"/>
          </w:tcPr>
          <w:p w14:paraId="4E5CD4B7">
            <w:pPr>
              <w:rPr>
                <w:rFonts w:ascii="仿宋" w:hAnsi="仿宋" w:eastAsia="仿宋" w:cs="仿宋"/>
                <w:color w:val="auto"/>
                <w:sz w:val="24"/>
                <w:szCs w:val="24"/>
                <w:highlight w:val="none"/>
              </w:rPr>
            </w:pPr>
          </w:p>
        </w:tc>
      </w:tr>
    </w:tbl>
    <w:p w14:paraId="0517455C">
      <w:pPr>
        <w:rPr>
          <w:color w:val="auto"/>
          <w:highlight w:val="none"/>
        </w:rPr>
      </w:pPr>
    </w:p>
    <w:p w14:paraId="0A1C05DA">
      <w:pPr>
        <w:spacing w:line="360" w:lineRule="auto"/>
        <w:ind w:firstLine="480" w:firstLineChars="200"/>
        <w:rPr>
          <w:rFonts w:ascii="仿宋" w:hAnsi="仿宋" w:eastAsia="仿宋" w:cs="仿宋"/>
          <w:color w:val="auto"/>
          <w:sz w:val="24"/>
          <w:szCs w:val="24"/>
          <w:highlight w:val="none"/>
        </w:rPr>
      </w:pPr>
      <w:bookmarkStart w:id="37" w:name="_Toc97123780"/>
      <w:bookmarkStart w:id="38" w:name="_Toc98317922"/>
      <w:r>
        <w:rPr>
          <w:rFonts w:hint="eastAsia" w:ascii="仿宋" w:hAnsi="仿宋" w:eastAsia="仿宋" w:cs="仿宋"/>
          <w:color w:val="auto"/>
          <w:sz w:val="24"/>
          <w:szCs w:val="24"/>
          <w:highlight w:val="none"/>
        </w:rPr>
        <w:t>1、各投标单位应在以上活动内容基础上结合实际情况，尽可能丰富活动内容，并需将活动具体实施方案详尽列明。</w:t>
      </w:r>
    </w:p>
    <w:p w14:paraId="70192F8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2、投标单位应综合考虑应包括有关本项目所需的机具、材料、人工、技术支持、管理费用和税金等费用均计入报价，且在此基础上退休人员参加的所有活动方案报价应相同，每人每年限参加1次。</w:t>
      </w:r>
    </w:p>
    <w:p w14:paraId="2D62CA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3、做好与各社区及相关工作人员的配合工作。</w:t>
      </w:r>
    </w:p>
    <w:p w14:paraId="7750C562">
      <w:pPr>
        <w:snapToGrid w:val="0"/>
        <w:spacing w:line="360" w:lineRule="auto"/>
        <w:jc w:val="center"/>
        <w:outlineLvl w:val="1"/>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t>五、商务要求</w:t>
      </w:r>
    </w:p>
    <w:tbl>
      <w:tblPr>
        <w:tblStyle w:val="65"/>
        <w:tblpPr w:leftFromText="180" w:rightFromText="180" w:vertAnchor="text" w:horzAnchor="page" w:tblpX="1413" w:tblpY="610"/>
        <w:tblOverlap w:val="never"/>
        <w:tblW w:w="9180"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662"/>
      </w:tblGrid>
      <w:tr w14:paraId="7D1D2F3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2512C7F">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1701" w:type="dxa"/>
            <w:vAlign w:val="center"/>
          </w:tcPr>
          <w:p w14:paraId="7A8829D6">
            <w:pPr>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内容</w:t>
            </w:r>
          </w:p>
        </w:tc>
        <w:tc>
          <w:tcPr>
            <w:tcW w:w="6662" w:type="dxa"/>
            <w:vAlign w:val="center"/>
          </w:tcPr>
          <w:p w14:paraId="253B3415">
            <w:pPr>
              <w:spacing w:line="276"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招标要求</w:t>
            </w:r>
          </w:p>
        </w:tc>
      </w:tr>
      <w:tr w14:paraId="0F69D7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D065934">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vAlign w:val="center"/>
          </w:tcPr>
          <w:p w14:paraId="3E246300">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报价</w:t>
            </w:r>
          </w:p>
        </w:tc>
        <w:tc>
          <w:tcPr>
            <w:tcW w:w="6662" w:type="dxa"/>
            <w:vAlign w:val="center"/>
          </w:tcPr>
          <w:p w14:paraId="66E60F7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color w:val="auto"/>
                <w:sz w:val="24"/>
                <w:szCs w:val="24"/>
                <w:highlight w:val="none"/>
                <w:lang w:val="en-US" w:eastAsia="zh-CN"/>
              </w:rPr>
            </w:pPr>
            <w:r>
              <w:rPr>
                <w:rFonts w:hint="eastAsia" w:ascii="宋体" w:hAnsi="宋体" w:eastAsia="宋体" w:cs="宋体"/>
                <w:b/>
                <w:bCs/>
                <w:i w:val="0"/>
                <w:iCs w:val="0"/>
                <w:color w:val="auto"/>
                <w:sz w:val="21"/>
                <w:szCs w:val="21"/>
                <w:highlight w:val="none"/>
                <w:shd w:val="clear" w:color="auto" w:fill="auto"/>
                <w:lang w:eastAsia="zh-CN"/>
              </w:rPr>
              <w:t>▲（一）报价要求：</w:t>
            </w:r>
            <w:r>
              <w:rPr>
                <w:rFonts w:hint="eastAsia" w:ascii="宋体" w:hAnsi="宋体" w:eastAsia="宋体" w:cs="宋体"/>
                <w:b/>
                <w:bCs/>
                <w:i w:val="0"/>
                <w:iCs w:val="0"/>
                <w:color w:val="auto"/>
                <w:sz w:val="21"/>
                <w:szCs w:val="21"/>
                <w:highlight w:val="none"/>
                <w:shd w:val="clear" w:color="auto" w:fill="auto"/>
                <w:lang w:val="en-US" w:eastAsia="zh-CN"/>
              </w:rPr>
              <w:t>本项目报价不竞争，投标人需按130元/人/次进行报价。</w:t>
            </w:r>
          </w:p>
          <w:p w14:paraId="09557F7A">
            <w:pPr>
              <w:spacing w:line="276" w:lineRule="auto"/>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（2）投标报价</w:t>
            </w:r>
            <w:r>
              <w:rPr>
                <w:rFonts w:hint="eastAsia" w:ascii="仿宋" w:hAnsi="仿宋" w:eastAsia="仿宋" w:cs="仿宋"/>
                <w:b/>
                <w:color w:val="auto"/>
                <w:sz w:val="24"/>
                <w:szCs w:val="24"/>
                <w:highlight w:val="none"/>
              </w:rPr>
              <w:t>是履行合同的最终价格，报价应包括且不仅限于</w:t>
            </w:r>
            <w:r>
              <w:rPr>
                <w:rFonts w:hint="eastAsia" w:ascii="仿宋" w:hAnsi="仿宋" w:eastAsia="仿宋" w:cs="仿宋"/>
                <w:b/>
                <w:color w:val="auto"/>
                <w:sz w:val="24"/>
                <w:szCs w:val="24"/>
                <w:highlight w:val="none"/>
                <w:lang w:val="en-US" w:eastAsia="zh-CN"/>
              </w:rPr>
              <w:t>活动用品</w:t>
            </w:r>
            <w:r>
              <w:rPr>
                <w:rFonts w:hint="eastAsia" w:ascii="仿宋" w:hAnsi="仿宋" w:eastAsia="仿宋" w:cs="仿宋"/>
                <w:b/>
                <w:color w:val="auto"/>
                <w:sz w:val="24"/>
                <w:szCs w:val="24"/>
                <w:highlight w:val="none"/>
              </w:rPr>
              <w:t>、人工费，机械费，服务费，利润，管理费，税金、投标费用、采购代理费及其他伴随服务等。</w:t>
            </w:r>
          </w:p>
        </w:tc>
      </w:tr>
      <w:tr w14:paraId="56FD7A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349DE268">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vAlign w:val="center"/>
          </w:tcPr>
          <w:p w14:paraId="7862A6DC">
            <w:pPr>
              <w:spacing w:line="276" w:lineRule="auto"/>
              <w:jc w:val="center"/>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服务时间</w:t>
            </w:r>
          </w:p>
        </w:tc>
        <w:tc>
          <w:tcPr>
            <w:tcW w:w="6662" w:type="dxa"/>
            <w:vAlign w:val="center"/>
          </w:tcPr>
          <w:p w14:paraId="47556EF0">
            <w:pPr>
              <w:spacing w:line="276" w:lineRule="auto"/>
              <w:jc w:val="left"/>
              <w:rPr>
                <w:rFonts w:ascii="仿宋" w:hAnsi="仿宋" w:eastAsia="仿宋" w:cs="仿宋"/>
                <w:b/>
                <w:color w:val="auto"/>
                <w:sz w:val="24"/>
                <w:szCs w:val="24"/>
                <w:highlight w:val="none"/>
              </w:rPr>
            </w:pPr>
            <w:r>
              <w:rPr>
                <w:rStyle w:val="81"/>
                <w:rFonts w:hint="eastAsia" w:ascii="仿宋" w:hAnsi="仿宋" w:eastAsia="仿宋" w:cs="仿宋"/>
                <w:b/>
                <w:color w:val="auto"/>
                <w:sz w:val="24"/>
                <w:szCs w:val="24"/>
                <w:highlight w:val="none"/>
              </w:rPr>
              <w:t>合同签订之日起至202</w:t>
            </w:r>
            <w:r>
              <w:rPr>
                <w:rStyle w:val="81"/>
                <w:rFonts w:hint="eastAsia" w:ascii="仿宋" w:hAnsi="仿宋" w:eastAsia="仿宋" w:cs="仿宋"/>
                <w:b/>
                <w:color w:val="auto"/>
                <w:sz w:val="24"/>
                <w:szCs w:val="24"/>
                <w:highlight w:val="none"/>
                <w:lang w:val="en-US" w:eastAsia="zh-CN"/>
              </w:rPr>
              <w:t>5</w:t>
            </w:r>
            <w:r>
              <w:rPr>
                <w:rStyle w:val="81"/>
                <w:rFonts w:hint="eastAsia" w:ascii="仿宋" w:hAnsi="仿宋" w:eastAsia="仿宋" w:cs="仿宋"/>
                <w:b/>
                <w:color w:val="auto"/>
                <w:sz w:val="24"/>
                <w:szCs w:val="24"/>
                <w:highlight w:val="none"/>
              </w:rPr>
              <w:t>年12月31日止</w:t>
            </w:r>
          </w:p>
        </w:tc>
      </w:tr>
      <w:tr w14:paraId="11D60E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2AB3A6E2">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vAlign w:val="center"/>
          </w:tcPr>
          <w:p w14:paraId="2FE01122">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活动组织时间</w:t>
            </w:r>
          </w:p>
        </w:tc>
        <w:tc>
          <w:tcPr>
            <w:tcW w:w="6662" w:type="dxa"/>
            <w:vAlign w:val="center"/>
          </w:tcPr>
          <w:p w14:paraId="78C3C55C">
            <w:pPr>
              <w:spacing w:line="276" w:lineRule="auto"/>
              <w:jc w:val="left"/>
              <w:rPr>
                <w:rStyle w:val="81"/>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各社区自行选择</w:t>
            </w:r>
            <w:r>
              <w:rPr>
                <w:rFonts w:hint="eastAsia" w:ascii="仿宋" w:hAnsi="仿宋" w:eastAsia="仿宋" w:cs="仿宋"/>
                <w:color w:val="auto"/>
                <w:sz w:val="24"/>
                <w:szCs w:val="24"/>
                <w:highlight w:val="none"/>
              </w:rPr>
              <w:t>，截止时间为202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年12月31日</w:t>
            </w:r>
          </w:p>
        </w:tc>
      </w:tr>
      <w:tr w14:paraId="57CB3D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4B27A417">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1" w:type="dxa"/>
            <w:vAlign w:val="center"/>
          </w:tcPr>
          <w:p w14:paraId="41D0C749">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合同验收</w:t>
            </w:r>
          </w:p>
        </w:tc>
        <w:tc>
          <w:tcPr>
            <w:tcW w:w="6662" w:type="dxa"/>
            <w:vAlign w:val="center"/>
          </w:tcPr>
          <w:p w14:paraId="6353D04E">
            <w:pPr>
              <w:spacing w:line="276"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在合同期满后30天内，</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对该项目进行履约验收；如若</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提前完成全部的服务内容且经双方协商一致后可以提前进行履约验收，即在该项目服务结束，经</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提出申请且</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同意后的30天内进行履约验收。</w:t>
            </w:r>
          </w:p>
          <w:p w14:paraId="3498B74B">
            <w:pPr>
              <w:spacing w:line="276" w:lineRule="auto"/>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经采购人自行进行满意度调查，满意度调查需不低于85%。</w:t>
            </w:r>
          </w:p>
        </w:tc>
      </w:tr>
      <w:tr w14:paraId="7B897D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27557540">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1" w:type="dxa"/>
            <w:vAlign w:val="center"/>
          </w:tcPr>
          <w:p w14:paraId="3D781AF8">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662" w:type="dxa"/>
            <w:vAlign w:val="center"/>
          </w:tcPr>
          <w:p w14:paraId="195C2B4F">
            <w:pPr>
              <w:spacing w:line="276"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本项目不需要递交</w:t>
            </w:r>
          </w:p>
        </w:tc>
      </w:tr>
      <w:tr w14:paraId="57C05C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FE66966">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1" w:type="dxa"/>
            <w:vAlign w:val="center"/>
          </w:tcPr>
          <w:p w14:paraId="0E500AC6">
            <w:pPr>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付款方式和支付条件</w:t>
            </w:r>
          </w:p>
        </w:tc>
        <w:tc>
          <w:tcPr>
            <w:tcW w:w="6662" w:type="dxa"/>
            <w:vAlign w:val="center"/>
          </w:tcPr>
          <w:p w14:paraId="52119705">
            <w:pPr>
              <w:widowControl/>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按照乙方实际操作进度结算，乙方向甲方提供书面盖章版本的本年度参与活动的实际人数统计表并按照杭州市企业退休人员专项经费规定向采购人开具正规发票，甲方审核确认无误后按实</w:t>
            </w:r>
            <w:r>
              <w:rPr>
                <w:rFonts w:hint="eastAsia" w:ascii="仿宋" w:hAnsi="仿宋" w:eastAsia="仿宋" w:cs="仿宋"/>
                <w:color w:val="auto"/>
                <w:sz w:val="24"/>
                <w:szCs w:val="24"/>
                <w:highlight w:val="none"/>
                <w:lang w:eastAsia="zh-CN"/>
              </w:rPr>
              <w:t>分社区分批</w:t>
            </w:r>
            <w:r>
              <w:rPr>
                <w:rFonts w:ascii="仿宋" w:hAnsi="仿宋" w:eastAsia="仿宋" w:cs="仿宋"/>
                <w:color w:val="auto"/>
                <w:sz w:val="24"/>
                <w:szCs w:val="24"/>
                <w:highlight w:val="none"/>
              </w:rPr>
              <w:t>结算给乙方</w:t>
            </w:r>
            <w:r>
              <w:rPr>
                <w:rFonts w:hint="eastAsia" w:ascii="仿宋" w:hAnsi="仿宋" w:eastAsia="仿宋" w:cs="仿宋"/>
                <w:color w:val="auto"/>
                <w:sz w:val="24"/>
                <w:szCs w:val="24"/>
                <w:highlight w:val="none"/>
              </w:rPr>
              <w:t>。</w:t>
            </w:r>
          </w:p>
          <w:p w14:paraId="0E1B8CD8">
            <w:pPr>
              <w:widowControl/>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2）对无故不参加活动的企业退休人员，原则上视作自动放弃，不提供任何形式补偿；</w:t>
            </w:r>
          </w:p>
          <w:p w14:paraId="5912D806">
            <w:pPr>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备注：未按采购人时间安排相关工作的，采购人有权在相应的付款时间段推迟付款，直至乙方完成此时间段的工作；具体付款方式以合同为准。</w:t>
            </w:r>
          </w:p>
        </w:tc>
      </w:tr>
      <w:bookmarkEnd w:id="33"/>
      <w:bookmarkEnd w:id="37"/>
      <w:bookmarkEnd w:id="38"/>
    </w:tbl>
    <w:p w14:paraId="4BE4AEBF">
      <w:pPr>
        <w:rPr>
          <w:rFonts w:ascii="仿宋" w:hAnsi="仿宋" w:eastAsia="仿宋" w:cs="仿宋"/>
          <w:b/>
          <w:color w:val="auto"/>
          <w:sz w:val="36"/>
          <w:szCs w:val="36"/>
          <w:highlight w:val="none"/>
        </w:rPr>
      </w:pPr>
    </w:p>
    <w:p w14:paraId="5DE1C1FA">
      <w:pPr>
        <w:pStyle w:val="18"/>
        <w:ind w:left="0" w:leftChars="0" w:firstLine="0" w:firstLineChars="0"/>
        <w:rPr>
          <w:rFonts w:ascii="仿宋" w:hAnsi="仿宋" w:eastAsia="仿宋" w:cs="仿宋"/>
          <w:b/>
          <w:color w:val="auto"/>
          <w:sz w:val="36"/>
          <w:szCs w:val="36"/>
          <w:highlight w:val="none"/>
        </w:rPr>
      </w:pPr>
    </w:p>
    <w:p w14:paraId="3E9F3199">
      <w:pPr>
        <w:pStyle w:val="42"/>
        <w:rPr>
          <w:rFonts w:ascii="仿宋" w:hAnsi="仿宋" w:eastAsia="仿宋" w:cs="仿宋"/>
          <w:b/>
          <w:color w:val="auto"/>
          <w:sz w:val="36"/>
          <w:szCs w:val="36"/>
          <w:highlight w:val="none"/>
        </w:rPr>
      </w:pPr>
    </w:p>
    <w:p w14:paraId="76027D45">
      <w:pPr>
        <w:pStyle w:val="42"/>
        <w:rPr>
          <w:rFonts w:ascii="仿宋" w:hAnsi="仿宋" w:eastAsia="仿宋" w:cs="仿宋"/>
          <w:b/>
          <w:color w:val="auto"/>
          <w:sz w:val="36"/>
          <w:szCs w:val="36"/>
          <w:highlight w:val="none"/>
        </w:rPr>
      </w:pPr>
    </w:p>
    <w:p w14:paraId="6FCD3AE2">
      <w:pPr>
        <w:pStyle w:val="42"/>
        <w:rPr>
          <w:rFonts w:ascii="仿宋" w:hAnsi="仿宋" w:eastAsia="仿宋" w:cs="仿宋"/>
          <w:b/>
          <w:color w:val="auto"/>
          <w:sz w:val="36"/>
          <w:szCs w:val="36"/>
          <w:highlight w:val="none"/>
        </w:rPr>
      </w:pPr>
    </w:p>
    <w:p w14:paraId="2B55DDBD">
      <w:pPr>
        <w:pStyle w:val="42"/>
        <w:rPr>
          <w:rFonts w:ascii="仿宋" w:hAnsi="仿宋" w:eastAsia="仿宋" w:cs="仿宋"/>
          <w:b/>
          <w:color w:val="auto"/>
          <w:sz w:val="36"/>
          <w:szCs w:val="36"/>
          <w:highlight w:val="none"/>
        </w:rPr>
      </w:pPr>
    </w:p>
    <w:p w14:paraId="2238D7F6">
      <w:pPr>
        <w:pStyle w:val="42"/>
        <w:rPr>
          <w:rFonts w:ascii="仿宋" w:hAnsi="仿宋" w:eastAsia="仿宋" w:cs="仿宋"/>
          <w:b/>
          <w:color w:val="auto"/>
          <w:sz w:val="36"/>
          <w:szCs w:val="36"/>
          <w:highlight w:val="none"/>
        </w:rPr>
      </w:pPr>
    </w:p>
    <w:p w14:paraId="0F60B03D">
      <w:pPr>
        <w:pStyle w:val="42"/>
        <w:rPr>
          <w:rFonts w:ascii="仿宋" w:hAnsi="仿宋" w:eastAsia="仿宋" w:cs="仿宋"/>
          <w:b/>
          <w:color w:val="auto"/>
          <w:sz w:val="36"/>
          <w:szCs w:val="36"/>
          <w:highlight w:val="none"/>
        </w:rPr>
      </w:pPr>
    </w:p>
    <w:p w14:paraId="2D62CAE5">
      <w:pPr>
        <w:pStyle w:val="42"/>
        <w:rPr>
          <w:rFonts w:ascii="仿宋" w:hAnsi="仿宋" w:eastAsia="仿宋" w:cs="仿宋"/>
          <w:b/>
          <w:color w:val="auto"/>
          <w:sz w:val="36"/>
          <w:szCs w:val="36"/>
          <w:highlight w:val="none"/>
        </w:rPr>
      </w:pPr>
    </w:p>
    <w:p w14:paraId="02A41415">
      <w:pPr>
        <w:pStyle w:val="42"/>
        <w:rPr>
          <w:rFonts w:ascii="仿宋" w:hAnsi="仿宋" w:eastAsia="仿宋" w:cs="仿宋"/>
          <w:b/>
          <w:color w:val="auto"/>
          <w:sz w:val="36"/>
          <w:szCs w:val="36"/>
          <w:highlight w:val="none"/>
        </w:rPr>
      </w:pPr>
    </w:p>
    <w:p w14:paraId="13733FD8">
      <w:pPr>
        <w:pStyle w:val="42"/>
        <w:rPr>
          <w:rFonts w:ascii="仿宋" w:hAnsi="仿宋" w:eastAsia="仿宋" w:cs="仿宋"/>
          <w:b/>
          <w:color w:val="auto"/>
          <w:sz w:val="36"/>
          <w:szCs w:val="36"/>
          <w:highlight w:val="none"/>
        </w:rPr>
      </w:pPr>
    </w:p>
    <w:p w14:paraId="59E5D2A3">
      <w:pPr>
        <w:pStyle w:val="42"/>
        <w:rPr>
          <w:rFonts w:ascii="仿宋" w:hAnsi="仿宋" w:eastAsia="仿宋" w:cs="仿宋"/>
          <w:b/>
          <w:color w:val="auto"/>
          <w:sz w:val="36"/>
          <w:szCs w:val="36"/>
          <w:highlight w:val="none"/>
        </w:rPr>
      </w:pPr>
    </w:p>
    <w:p w14:paraId="54B1ED74">
      <w:pPr>
        <w:pStyle w:val="42"/>
        <w:rPr>
          <w:rFonts w:ascii="仿宋" w:hAnsi="仿宋" w:eastAsia="仿宋" w:cs="仿宋"/>
          <w:b/>
          <w:color w:val="auto"/>
          <w:sz w:val="36"/>
          <w:szCs w:val="36"/>
          <w:highlight w:val="none"/>
        </w:rPr>
      </w:pPr>
    </w:p>
    <w:p w14:paraId="166F1A02">
      <w:pPr>
        <w:pStyle w:val="42"/>
        <w:rPr>
          <w:rFonts w:ascii="仿宋" w:hAnsi="仿宋" w:eastAsia="仿宋" w:cs="仿宋"/>
          <w:b/>
          <w:color w:val="auto"/>
          <w:sz w:val="36"/>
          <w:szCs w:val="36"/>
          <w:highlight w:val="none"/>
        </w:rPr>
      </w:pPr>
    </w:p>
    <w:p w14:paraId="5B97FD5D">
      <w:pPr>
        <w:pStyle w:val="42"/>
        <w:rPr>
          <w:rFonts w:ascii="仿宋" w:hAnsi="仿宋" w:eastAsia="仿宋" w:cs="仿宋"/>
          <w:b/>
          <w:color w:val="auto"/>
          <w:sz w:val="36"/>
          <w:szCs w:val="36"/>
          <w:highlight w:val="none"/>
        </w:rPr>
      </w:pPr>
    </w:p>
    <w:p w14:paraId="0F4A7D46">
      <w:pPr>
        <w:pStyle w:val="42"/>
        <w:rPr>
          <w:rFonts w:ascii="仿宋" w:hAnsi="仿宋" w:eastAsia="仿宋" w:cs="仿宋"/>
          <w:b/>
          <w:color w:val="auto"/>
          <w:sz w:val="36"/>
          <w:szCs w:val="36"/>
          <w:highlight w:val="none"/>
        </w:rPr>
      </w:pPr>
    </w:p>
    <w:p w14:paraId="656E3D9B">
      <w:pPr>
        <w:pStyle w:val="42"/>
        <w:rPr>
          <w:rFonts w:ascii="仿宋" w:hAnsi="仿宋" w:eastAsia="仿宋" w:cs="仿宋"/>
          <w:b/>
          <w:color w:val="auto"/>
          <w:sz w:val="36"/>
          <w:szCs w:val="36"/>
          <w:highlight w:val="none"/>
        </w:rPr>
      </w:pPr>
    </w:p>
    <w:p w14:paraId="165D3E4F">
      <w:pPr>
        <w:pStyle w:val="42"/>
        <w:rPr>
          <w:rFonts w:ascii="仿宋" w:hAnsi="仿宋" w:eastAsia="仿宋" w:cs="仿宋"/>
          <w:b/>
          <w:color w:val="auto"/>
          <w:sz w:val="36"/>
          <w:szCs w:val="36"/>
          <w:highlight w:val="none"/>
        </w:rPr>
      </w:pPr>
    </w:p>
    <w:p w14:paraId="45EECB21">
      <w:pPr>
        <w:pStyle w:val="42"/>
        <w:rPr>
          <w:rFonts w:ascii="仿宋" w:hAnsi="仿宋" w:eastAsia="仿宋" w:cs="仿宋"/>
          <w:b/>
          <w:color w:val="auto"/>
          <w:sz w:val="36"/>
          <w:szCs w:val="36"/>
          <w:highlight w:val="none"/>
        </w:rPr>
      </w:pPr>
    </w:p>
    <w:p w14:paraId="1F95BF55">
      <w:pPr>
        <w:pStyle w:val="42"/>
        <w:rPr>
          <w:rFonts w:ascii="仿宋" w:hAnsi="仿宋" w:eastAsia="仿宋" w:cs="仿宋"/>
          <w:b/>
          <w:color w:val="auto"/>
          <w:sz w:val="36"/>
          <w:szCs w:val="36"/>
          <w:highlight w:val="none"/>
        </w:rPr>
      </w:pPr>
    </w:p>
    <w:p w14:paraId="43F25912">
      <w:pPr>
        <w:pStyle w:val="42"/>
        <w:rPr>
          <w:rFonts w:ascii="仿宋" w:hAnsi="仿宋" w:eastAsia="仿宋" w:cs="仿宋"/>
          <w:b/>
          <w:color w:val="auto"/>
          <w:sz w:val="36"/>
          <w:szCs w:val="36"/>
          <w:highlight w:val="none"/>
        </w:rPr>
      </w:pPr>
    </w:p>
    <w:p w14:paraId="6E71A974">
      <w:pPr>
        <w:pStyle w:val="42"/>
        <w:rPr>
          <w:rFonts w:ascii="仿宋" w:hAnsi="仿宋" w:eastAsia="仿宋" w:cs="仿宋"/>
          <w:b/>
          <w:color w:val="auto"/>
          <w:sz w:val="36"/>
          <w:szCs w:val="36"/>
          <w:highlight w:val="none"/>
        </w:rPr>
      </w:pPr>
    </w:p>
    <w:p w14:paraId="3707C926">
      <w:pPr>
        <w:pStyle w:val="42"/>
        <w:rPr>
          <w:rFonts w:ascii="仿宋" w:hAnsi="仿宋" w:eastAsia="仿宋" w:cs="仿宋"/>
          <w:b/>
          <w:color w:val="auto"/>
          <w:sz w:val="36"/>
          <w:szCs w:val="36"/>
          <w:highlight w:val="none"/>
        </w:rPr>
      </w:pPr>
    </w:p>
    <w:p w14:paraId="6E45B33C">
      <w:pPr>
        <w:pStyle w:val="2"/>
        <w:ind w:left="0" w:leftChars="0" w:firstLine="0" w:firstLineChars="0"/>
        <w:rPr>
          <w:rFonts w:hint="eastAsia"/>
          <w:color w:val="auto"/>
          <w:highlight w:val="none"/>
        </w:rPr>
      </w:pPr>
    </w:p>
    <w:p w14:paraId="2710827E">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6242FEE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32"/>
          <w:szCs w:val="20"/>
          <w:highlight w:val="none"/>
        </w:rPr>
        <w:t>评标办法前附表</w:t>
      </w:r>
      <w:r>
        <w:rPr>
          <w:rFonts w:hint="eastAsia" w:ascii="仿宋" w:hAnsi="仿宋" w:eastAsia="仿宋" w:cs="仿宋"/>
          <w:color w:val="auto"/>
          <w:sz w:val="24"/>
          <w:highlight w:val="none"/>
        </w:rPr>
        <w:t> </w:t>
      </w:r>
    </w:p>
    <w:tbl>
      <w:tblPr>
        <w:tblStyle w:val="6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6378"/>
        <w:gridCol w:w="15"/>
      </w:tblGrid>
      <w:tr w14:paraId="1977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restart"/>
            <w:tcBorders>
              <w:top w:val="single" w:color="auto" w:sz="4" w:space="0"/>
              <w:left w:val="single" w:color="auto" w:sz="4" w:space="0"/>
              <w:right w:val="single" w:color="auto" w:sz="4" w:space="0"/>
            </w:tcBorders>
            <w:noWrap w:val="0"/>
            <w:vAlign w:val="center"/>
          </w:tcPr>
          <w:p w14:paraId="7AD2681A">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技术分</w:t>
            </w:r>
          </w:p>
          <w:p w14:paraId="459E428B">
            <w:pPr>
              <w:spacing w:line="288"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r>
              <w:rPr>
                <w:rFonts w:hint="eastAsia" w:ascii="仿宋" w:hAnsi="仿宋" w:eastAsia="仿宋" w:cs="仿宋"/>
                <w:b/>
                <w:bCs/>
                <w:color w:val="auto"/>
                <w:sz w:val="24"/>
                <w:szCs w:val="24"/>
                <w:highlight w:val="none"/>
                <w:lang w:val="en-US" w:eastAsia="zh-CN"/>
              </w:rPr>
              <w:t xml:space="preserve">  </w:t>
            </w:r>
          </w:p>
        </w:tc>
        <w:tc>
          <w:tcPr>
            <w:tcW w:w="1980" w:type="dxa"/>
            <w:vMerge w:val="restart"/>
            <w:tcBorders>
              <w:top w:val="single" w:color="auto" w:sz="4" w:space="0"/>
              <w:left w:val="nil"/>
              <w:right w:val="single" w:color="auto" w:sz="4" w:space="0"/>
            </w:tcBorders>
            <w:noWrap w:val="0"/>
            <w:vAlign w:val="center"/>
          </w:tcPr>
          <w:p w14:paraId="386B83B0">
            <w:pPr>
              <w:spacing w:line="288"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总体</w:t>
            </w:r>
            <w:r>
              <w:rPr>
                <w:rFonts w:hint="eastAsia" w:ascii="仿宋" w:hAnsi="仿宋" w:eastAsia="仿宋" w:cs="仿宋"/>
                <w:b/>
                <w:bCs/>
                <w:color w:val="auto"/>
                <w:sz w:val="24"/>
                <w:szCs w:val="24"/>
                <w:highlight w:val="none"/>
              </w:rPr>
              <w:t>服务方案</w:t>
            </w:r>
          </w:p>
          <w:p w14:paraId="65087BA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75E1EC85">
            <w:p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供应商对本项目的总体理解，总体思路及服务质量保障，工作程序和步骤清晰完整。</w:t>
            </w:r>
            <w:r>
              <w:rPr>
                <w:rFonts w:hint="eastAsia" w:ascii="仿宋" w:hAnsi="仿宋" w:eastAsia="仿宋" w:cs="仿宋"/>
                <w:b/>
                <w:bCs/>
                <w:color w:val="auto"/>
                <w:sz w:val="24"/>
                <w:szCs w:val="24"/>
                <w:highlight w:val="none"/>
                <w:lang w:val="en-US" w:eastAsia="zh-CN"/>
              </w:rPr>
              <w:t>总体思路清晰、服务质量保障措施完善、工作程序和步骤清晰完整每满足一项加2分，共6分。</w:t>
            </w:r>
          </w:p>
        </w:tc>
      </w:tr>
      <w:tr w14:paraId="4438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6333F641">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right w:val="single" w:color="auto" w:sz="4" w:space="0"/>
            </w:tcBorders>
            <w:noWrap w:val="0"/>
            <w:vAlign w:val="center"/>
          </w:tcPr>
          <w:p w14:paraId="472162BA">
            <w:pPr>
              <w:widowControl/>
              <w:spacing w:line="288" w:lineRule="auto"/>
              <w:jc w:val="left"/>
              <w:rPr>
                <w:rFonts w:hint="eastAsia" w:ascii="仿宋" w:hAnsi="仿宋" w:eastAsia="仿宋" w:cs="仿宋"/>
                <w:color w:val="auto"/>
                <w:sz w:val="24"/>
                <w:szCs w:val="24"/>
                <w:highlight w:val="none"/>
              </w:rPr>
            </w:pPr>
          </w:p>
        </w:tc>
        <w:tc>
          <w:tcPr>
            <w:tcW w:w="6393" w:type="dxa"/>
            <w:gridSpan w:val="2"/>
            <w:tcBorders>
              <w:top w:val="single" w:color="auto" w:sz="4" w:space="0"/>
              <w:left w:val="nil"/>
              <w:bottom w:val="single" w:color="auto" w:sz="4" w:space="0"/>
              <w:right w:val="single" w:color="auto" w:sz="4" w:space="0"/>
            </w:tcBorders>
            <w:noWrap w:val="0"/>
            <w:vAlign w:val="center"/>
          </w:tcPr>
          <w:p w14:paraId="4F1A377A">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投标人提供项目的特点、难点分析方案的得1分；</w:t>
            </w:r>
          </w:p>
          <w:p w14:paraId="0AE533AF">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投标人提供项目特点、难点解决措施的得1分；提供的特点、难点解决措施</w:t>
            </w:r>
            <w:r>
              <w:rPr>
                <w:rFonts w:hint="eastAsia" w:ascii="仿宋" w:hAnsi="仿宋" w:eastAsia="仿宋" w:cs="仿宋"/>
                <w:b/>
                <w:bCs/>
                <w:color w:val="auto"/>
                <w:sz w:val="24"/>
                <w:szCs w:val="24"/>
                <w:highlight w:val="none"/>
              </w:rPr>
              <w:t>合理、完整、科学</w:t>
            </w:r>
            <w:r>
              <w:rPr>
                <w:rFonts w:hint="eastAsia" w:ascii="仿宋" w:hAnsi="仿宋" w:eastAsia="仿宋" w:cs="仿宋"/>
                <w:color w:val="auto"/>
                <w:sz w:val="24"/>
                <w:szCs w:val="24"/>
                <w:highlight w:val="none"/>
              </w:rPr>
              <w:t>的每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一项得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43E6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4CEA480E">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bottom w:val="single" w:color="auto" w:sz="4" w:space="0"/>
              <w:right w:val="single" w:color="auto" w:sz="4" w:space="0"/>
            </w:tcBorders>
            <w:noWrap w:val="0"/>
            <w:vAlign w:val="center"/>
          </w:tcPr>
          <w:p w14:paraId="32AF92DD">
            <w:pPr>
              <w:widowControl/>
              <w:spacing w:line="288" w:lineRule="auto"/>
              <w:jc w:val="left"/>
              <w:rPr>
                <w:rFonts w:hint="eastAsia" w:ascii="仿宋" w:hAnsi="仿宋" w:eastAsia="仿宋" w:cs="仿宋"/>
                <w:color w:val="auto"/>
                <w:sz w:val="24"/>
                <w:szCs w:val="24"/>
                <w:highlight w:val="none"/>
              </w:rPr>
            </w:pPr>
          </w:p>
        </w:tc>
        <w:tc>
          <w:tcPr>
            <w:tcW w:w="6393" w:type="dxa"/>
            <w:gridSpan w:val="2"/>
            <w:tcBorders>
              <w:top w:val="single" w:color="auto" w:sz="4" w:space="0"/>
              <w:left w:val="nil"/>
              <w:bottom w:val="single" w:color="auto" w:sz="4" w:space="0"/>
              <w:right w:val="single" w:color="auto" w:sz="4" w:space="0"/>
            </w:tcBorders>
            <w:noWrap w:val="0"/>
            <w:vAlign w:val="center"/>
          </w:tcPr>
          <w:p w14:paraId="0D5021DF">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eastAsia="zh-CN"/>
              </w:rPr>
              <w:t>针对本项目实施过程保密措施</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lang w:eastAsia="zh-CN"/>
              </w:rPr>
              <w:t>：保密措施</w:t>
            </w:r>
            <w:r>
              <w:rPr>
                <w:rFonts w:hint="eastAsia" w:ascii="仿宋" w:hAnsi="仿宋" w:eastAsia="仿宋" w:cs="仿宋"/>
                <w:b/>
                <w:bCs/>
                <w:color w:val="auto"/>
                <w:sz w:val="24"/>
                <w:szCs w:val="24"/>
                <w:highlight w:val="none"/>
                <w:lang w:eastAsia="zh-CN"/>
              </w:rPr>
              <w:t>可靠、可行、完整、</w:t>
            </w:r>
            <w:r>
              <w:rPr>
                <w:rFonts w:hint="eastAsia" w:ascii="仿宋" w:hAnsi="仿宋" w:eastAsia="仿宋" w:cs="仿宋"/>
                <w:b/>
                <w:bCs/>
                <w:color w:val="auto"/>
                <w:sz w:val="24"/>
                <w:szCs w:val="24"/>
                <w:highlight w:val="none"/>
                <w:lang w:val="en-US" w:eastAsia="zh-CN"/>
              </w:rPr>
              <w:t>有服务人员保密承诺书</w:t>
            </w:r>
            <w:r>
              <w:rPr>
                <w:rFonts w:hint="eastAsia" w:ascii="仿宋" w:hAnsi="仿宋" w:eastAsia="仿宋" w:cs="仿宋"/>
                <w:color w:val="auto"/>
                <w:sz w:val="24"/>
                <w:szCs w:val="24"/>
                <w:highlight w:val="none"/>
                <w:lang w:val="en-US" w:eastAsia="zh-CN"/>
              </w:rPr>
              <w:t>的每满足一项加1分，共4分。</w:t>
            </w:r>
          </w:p>
        </w:tc>
      </w:tr>
      <w:tr w14:paraId="43EE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188" w:type="dxa"/>
            <w:vMerge w:val="continue"/>
            <w:tcBorders>
              <w:left w:val="single" w:color="auto" w:sz="4" w:space="0"/>
              <w:right w:val="single" w:color="auto" w:sz="4" w:space="0"/>
            </w:tcBorders>
            <w:noWrap w:val="0"/>
            <w:vAlign w:val="center"/>
          </w:tcPr>
          <w:p w14:paraId="74DF4986">
            <w:pPr>
              <w:widowControl/>
              <w:spacing w:line="288" w:lineRule="auto"/>
              <w:jc w:val="left"/>
              <w:rPr>
                <w:rFonts w:hint="eastAsia" w:ascii="仿宋" w:hAnsi="仿宋" w:eastAsia="仿宋" w:cs="仿宋"/>
                <w:color w:val="auto"/>
                <w:sz w:val="24"/>
                <w:szCs w:val="24"/>
                <w:highlight w:val="none"/>
              </w:rPr>
            </w:pPr>
          </w:p>
        </w:tc>
        <w:tc>
          <w:tcPr>
            <w:tcW w:w="1980" w:type="dxa"/>
            <w:vMerge w:val="restart"/>
            <w:tcBorders>
              <w:top w:val="single" w:color="auto" w:sz="4" w:space="0"/>
              <w:left w:val="nil"/>
              <w:right w:val="single" w:color="auto" w:sz="4" w:space="0"/>
            </w:tcBorders>
            <w:noWrap w:val="0"/>
            <w:vAlign w:val="center"/>
          </w:tcPr>
          <w:p w14:paraId="0F2694B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内部</w:t>
            </w:r>
            <w:r>
              <w:rPr>
                <w:rFonts w:hint="eastAsia" w:ascii="仿宋" w:hAnsi="仿宋" w:eastAsia="仿宋" w:cs="仿宋"/>
                <w:b/>
                <w:bCs/>
                <w:color w:val="auto"/>
                <w:sz w:val="24"/>
                <w:szCs w:val="24"/>
                <w:highlight w:val="none"/>
              </w:rPr>
              <w:t>管理机构及管理制度等（</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5C78864F">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w:t>
            </w:r>
            <w:r>
              <w:rPr>
                <w:rFonts w:hint="eastAsia" w:ascii="仿宋" w:hAnsi="仿宋" w:eastAsia="仿宋" w:cs="仿宋"/>
                <w:color w:val="auto"/>
                <w:sz w:val="24"/>
                <w:szCs w:val="24"/>
                <w:highlight w:val="none"/>
                <w:lang w:val="en-US"/>
              </w:rPr>
              <w:t>针对本项目的管理机构设置说明（或示意图）及管理机构各部门职责描述</w:t>
            </w:r>
            <w:r>
              <w:rPr>
                <w:rFonts w:hint="eastAsia" w:ascii="仿宋" w:hAnsi="仿宋" w:eastAsia="仿宋" w:cs="仿宋"/>
                <w:color w:val="auto"/>
                <w:sz w:val="24"/>
                <w:szCs w:val="24"/>
                <w:highlight w:val="none"/>
                <w:lang w:val="en-US" w:eastAsia="zh-CN"/>
              </w:rPr>
              <w:t>的得1分；</w:t>
            </w:r>
          </w:p>
          <w:p w14:paraId="33AC94A8">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rPr>
              <w:t>管理机构设置指挥统一性</w:t>
            </w:r>
            <w:r>
              <w:rPr>
                <w:rFonts w:hint="eastAsia" w:ascii="仿宋" w:hAnsi="仿宋" w:eastAsia="仿宋" w:cs="仿宋"/>
                <w:b/>
                <w:bCs/>
                <w:color w:val="auto"/>
                <w:sz w:val="24"/>
                <w:szCs w:val="24"/>
                <w:highlight w:val="none"/>
                <w:lang w:val="en-US" w:eastAsia="zh-CN"/>
              </w:rPr>
              <w:t>强</w:t>
            </w:r>
            <w:r>
              <w:rPr>
                <w:rFonts w:hint="eastAsia" w:ascii="仿宋" w:hAnsi="仿宋" w:eastAsia="仿宋" w:cs="仿宋"/>
                <w:b/>
                <w:bCs/>
                <w:color w:val="auto"/>
                <w:sz w:val="24"/>
                <w:szCs w:val="24"/>
                <w:highlight w:val="none"/>
                <w:lang w:val="en-US"/>
              </w:rPr>
              <w:t>、专业分工和协调性</w:t>
            </w:r>
            <w:r>
              <w:rPr>
                <w:rFonts w:hint="eastAsia" w:ascii="仿宋" w:hAnsi="仿宋" w:eastAsia="仿宋" w:cs="仿宋"/>
                <w:b/>
                <w:bCs/>
                <w:color w:val="auto"/>
                <w:sz w:val="24"/>
                <w:szCs w:val="24"/>
                <w:highlight w:val="none"/>
                <w:lang w:val="en-US" w:eastAsia="zh-CN"/>
              </w:rPr>
              <w:t>强</w:t>
            </w:r>
            <w:r>
              <w:rPr>
                <w:rFonts w:hint="eastAsia" w:ascii="仿宋" w:hAnsi="仿宋" w:eastAsia="仿宋" w:cs="仿宋"/>
                <w:b/>
                <w:bCs/>
                <w:color w:val="auto"/>
                <w:sz w:val="24"/>
                <w:szCs w:val="24"/>
                <w:highlight w:val="none"/>
                <w:lang w:val="en-US"/>
              </w:rPr>
              <w:t>、有效管理性</w:t>
            </w:r>
            <w:r>
              <w:rPr>
                <w:rFonts w:hint="eastAsia" w:ascii="仿宋" w:hAnsi="仿宋" w:eastAsia="仿宋" w:cs="仿宋"/>
                <w:b/>
                <w:bCs/>
                <w:color w:val="auto"/>
                <w:sz w:val="24"/>
                <w:szCs w:val="24"/>
                <w:highlight w:val="none"/>
                <w:lang w:val="en-US" w:eastAsia="zh-CN"/>
              </w:rPr>
              <w:t>强</w:t>
            </w:r>
            <w:r>
              <w:rPr>
                <w:rFonts w:hint="eastAsia" w:ascii="仿宋" w:hAnsi="仿宋" w:eastAsia="仿宋" w:cs="仿宋"/>
                <w:color w:val="auto"/>
                <w:sz w:val="24"/>
                <w:szCs w:val="24"/>
                <w:highlight w:val="none"/>
                <w:lang w:val="en-US" w:eastAsia="zh-CN"/>
              </w:rPr>
              <w:t>每满足一项加1分，共3分；</w:t>
            </w:r>
          </w:p>
          <w:p w14:paraId="22C461B0">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en-US"/>
              </w:rPr>
              <w:t>各部门职责分工明确、职责清晰、管理流程畅通</w:t>
            </w:r>
            <w:r>
              <w:rPr>
                <w:rFonts w:hint="eastAsia" w:ascii="仿宋" w:hAnsi="仿宋" w:eastAsia="仿宋" w:cs="仿宋"/>
                <w:color w:val="auto"/>
                <w:sz w:val="24"/>
                <w:szCs w:val="24"/>
                <w:highlight w:val="none"/>
                <w:lang w:val="en-US" w:eastAsia="zh-CN"/>
              </w:rPr>
              <w:t>每满足一项加1分，共3分。</w:t>
            </w:r>
          </w:p>
        </w:tc>
      </w:tr>
      <w:tr w14:paraId="1C4C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0D99A384">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right w:val="single" w:color="auto" w:sz="4" w:space="0"/>
            </w:tcBorders>
            <w:noWrap w:val="0"/>
            <w:vAlign w:val="center"/>
          </w:tcPr>
          <w:p w14:paraId="00635194">
            <w:pPr>
              <w:spacing w:line="288" w:lineRule="auto"/>
              <w:jc w:val="center"/>
              <w:rPr>
                <w:rFonts w:hint="eastAsia" w:ascii="仿宋" w:hAnsi="仿宋" w:eastAsia="仿宋" w:cs="仿宋"/>
                <w:b/>
                <w:bCs/>
                <w:color w:val="auto"/>
                <w:sz w:val="24"/>
                <w:szCs w:val="24"/>
                <w:highlight w:val="none"/>
                <w:lang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3B5F71FB">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1）投标人具有针对本项目的管理制度方案的得1分；</w:t>
            </w:r>
          </w:p>
          <w:p w14:paraId="00B47DEB">
            <w:pPr>
              <w:spacing w:line="288"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2）管理</w:t>
            </w:r>
            <w:r>
              <w:rPr>
                <w:rFonts w:hint="eastAsia" w:ascii="仿宋" w:hAnsi="仿宋" w:eastAsia="仿宋" w:cs="仿宋"/>
                <w:b/>
                <w:bCs/>
                <w:color w:val="auto"/>
                <w:sz w:val="24"/>
                <w:szCs w:val="24"/>
                <w:highlight w:val="none"/>
                <w:lang w:val="en-US" w:eastAsia="zh-CN"/>
              </w:rPr>
              <w:t>制度完善、职责明确、考核内容详细</w:t>
            </w:r>
            <w:r>
              <w:rPr>
                <w:rFonts w:hint="eastAsia" w:ascii="仿宋" w:hAnsi="仿宋" w:eastAsia="仿宋" w:cs="仿宋"/>
                <w:color w:val="auto"/>
                <w:sz w:val="24"/>
                <w:szCs w:val="24"/>
                <w:highlight w:val="none"/>
                <w:lang w:val="en-US" w:eastAsia="zh-CN"/>
              </w:rPr>
              <w:t>的每满足一项加1分，共3分。最高4分。</w:t>
            </w:r>
          </w:p>
        </w:tc>
      </w:tr>
      <w:tr w14:paraId="4FAF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8" w:type="dxa"/>
            <w:vMerge w:val="continue"/>
            <w:tcBorders>
              <w:left w:val="single" w:color="auto" w:sz="4" w:space="0"/>
              <w:right w:val="single" w:color="auto" w:sz="4" w:space="0"/>
            </w:tcBorders>
            <w:noWrap w:val="0"/>
            <w:vAlign w:val="center"/>
          </w:tcPr>
          <w:p w14:paraId="12072E29">
            <w:pPr>
              <w:widowControl/>
              <w:spacing w:line="288" w:lineRule="auto"/>
              <w:jc w:val="left"/>
              <w:rPr>
                <w:rFonts w:hint="eastAsia" w:ascii="仿宋" w:hAnsi="仿宋" w:eastAsia="仿宋" w:cs="仿宋"/>
                <w:color w:val="auto"/>
                <w:sz w:val="24"/>
                <w:szCs w:val="24"/>
                <w:highlight w:val="none"/>
              </w:rPr>
            </w:pPr>
          </w:p>
        </w:tc>
        <w:tc>
          <w:tcPr>
            <w:tcW w:w="1980" w:type="dxa"/>
            <w:vMerge w:val="restart"/>
            <w:tcBorders>
              <w:top w:val="single" w:color="auto" w:sz="4" w:space="0"/>
              <w:left w:val="nil"/>
              <w:right w:val="single" w:color="auto" w:sz="4" w:space="0"/>
            </w:tcBorders>
            <w:noWrap w:val="0"/>
            <w:vAlign w:val="center"/>
          </w:tcPr>
          <w:p w14:paraId="5871601E">
            <w:pPr>
              <w:spacing w:line="288"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文娱健身小型多样活动方案（15分）</w:t>
            </w:r>
          </w:p>
        </w:tc>
        <w:tc>
          <w:tcPr>
            <w:tcW w:w="6393" w:type="dxa"/>
            <w:gridSpan w:val="2"/>
            <w:tcBorders>
              <w:top w:val="single" w:color="auto" w:sz="4" w:space="0"/>
              <w:left w:val="nil"/>
              <w:bottom w:val="single" w:color="auto" w:sz="4" w:space="0"/>
              <w:right w:val="single" w:color="auto" w:sz="4" w:space="0"/>
            </w:tcBorders>
            <w:noWrap w:val="0"/>
            <w:vAlign w:val="center"/>
          </w:tcPr>
          <w:p w14:paraId="5558811D">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1）策划方案实施计划完善、合理、可行得2分，欠缺得1分，未提供不得分；</w:t>
            </w:r>
          </w:p>
          <w:p w14:paraId="239BFE3C">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组织及安排科学、合理可行得2分，欠缺得1分，未提供或不合理不得分</w:t>
            </w:r>
            <w:r>
              <w:rPr>
                <w:rFonts w:hint="eastAsia" w:ascii="仿宋" w:hAnsi="仿宋" w:eastAsia="仿宋" w:cs="仿宋"/>
                <w:color w:val="auto"/>
                <w:kern w:val="2"/>
                <w:sz w:val="24"/>
                <w:szCs w:val="24"/>
                <w:highlight w:val="none"/>
                <w:lang w:val="en-US" w:eastAsia="zh-CN" w:bidi="ar-SA"/>
              </w:rPr>
              <w:t>；</w:t>
            </w:r>
          </w:p>
          <w:p w14:paraId="3C3BE0BD">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策划方案的有特色、丰富、多样得2分，欠缺得1分，未提供或不合理不得分</w:t>
            </w:r>
            <w:r>
              <w:rPr>
                <w:rFonts w:hint="eastAsia" w:ascii="仿宋" w:hAnsi="仿宋" w:eastAsia="仿宋" w:cs="仿宋"/>
                <w:color w:val="auto"/>
                <w:kern w:val="2"/>
                <w:sz w:val="24"/>
                <w:szCs w:val="24"/>
                <w:highlight w:val="none"/>
                <w:lang w:val="en-US" w:eastAsia="zh-CN" w:bidi="ar-SA"/>
              </w:rPr>
              <w:t>；</w:t>
            </w:r>
          </w:p>
          <w:p w14:paraId="27688F56">
            <w:p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4）突出企退人员文娱健身活动，适合老年人的参与得2分，欠缺得1分，未提供或不合理不得分。</w:t>
            </w:r>
          </w:p>
        </w:tc>
      </w:tr>
      <w:tr w14:paraId="79F9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8" w:type="dxa"/>
            <w:vMerge w:val="continue"/>
            <w:tcBorders>
              <w:left w:val="single" w:color="auto" w:sz="4" w:space="0"/>
              <w:right w:val="single" w:color="auto" w:sz="4" w:space="0"/>
            </w:tcBorders>
            <w:noWrap w:val="0"/>
            <w:vAlign w:val="center"/>
          </w:tcPr>
          <w:p w14:paraId="14789A64">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bottom w:val="single" w:color="auto" w:sz="4" w:space="0"/>
              <w:right w:val="single" w:color="auto" w:sz="4" w:space="0"/>
            </w:tcBorders>
            <w:noWrap w:val="0"/>
            <w:vAlign w:val="center"/>
          </w:tcPr>
          <w:p w14:paraId="78C469E8">
            <w:pPr>
              <w:spacing w:line="288" w:lineRule="auto"/>
              <w:jc w:val="center"/>
              <w:rPr>
                <w:rFonts w:hint="eastAsia" w:ascii="仿宋" w:hAnsi="仿宋" w:eastAsia="仿宋" w:cs="仿宋"/>
                <w:b/>
                <w:bCs/>
                <w:color w:val="auto"/>
                <w:sz w:val="24"/>
                <w:szCs w:val="24"/>
                <w:highlight w:val="none"/>
                <w:lang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4977A1E9">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1）投标人提供针对本项目活动用品方案的得1分；</w:t>
            </w:r>
          </w:p>
          <w:p w14:paraId="60101C61">
            <w:pPr>
              <w:spacing w:line="288"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2）活动用品方案</w:t>
            </w:r>
            <w:r>
              <w:rPr>
                <w:rFonts w:hint="eastAsia" w:ascii="仿宋" w:hAnsi="仿宋" w:eastAsia="仿宋" w:cs="仿宋"/>
                <w:b/>
                <w:bCs/>
                <w:color w:val="auto"/>
                <w:sz w:val="24"/>
                <w:szCs w:val="24"/>
                <w:highlight w:val="none"/>
                <w:lang w:val="en-US" w:eastAsia="zh-CN"/>
              </w:rPr>
              <w:t>符合采购文件要求、搭配科学、品牌种类明确、完全符合企退人员情况</w:t>
            </w:r>
            <w:r>
              <w:rPr>
                <w:rFonts w:hint="eastAsia" w:ascii="仿宋" w:hAnsi="仿宋" w:eastAsia="仿宋" w:cs="仿宋"/>
                <w:color w:val="auto"/>
                <w:sz w:val="24"/>
                <w:szCs w:val="24"/>
                <w:highlight w:val="none"/>
                <w:lang w:val="en-US" w:eastAsia="zh-CN"/>
              </w:rPr>
              <w:t>的每满足一项得1.5分，最多得6分。</w:t>
            </w:r>
          </w:p>
        </w:tc>
      </w:tr>
      <w:tr w14:paraId="43CA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tcBorders>
              <w:left w:val="single" w:color="auto" w:sz="4" w:space="0"/>
              <w:right w:val="single" w:color="auto" w:sz="4" w:space="0"/>
            </w:tcBorders>
            <w:noWrap w:val="0"/>
            <w:vAlign w:val="center"/>
          </w:tcPr>
          <w:p w14:paraId="7AD506A0">
            <w:pPr>
              <w:widowControl/>
              <w:spacing w:line="288" w:lineRule="auto"/>
              <w:jc w:val="left"/>
              <w:rPr>
                <w:rFonts w:hint="eastAsia" w:ascii="仿宋" w:hAnsi="仿宋" w:eastAsia="仿宋" w:cs="仿宋"/>
                <w:color w:val="auto"/>
                <w:sz w:val="24"/>
                <w:szCs w:val="24"/>
                <w:highlight w:val="none"/>
              </w:rPr>
            </w:pPr>
          </w:p>
        </w:tc>
        <w:tc>
          <w:tcPr>
            <w:tcW w:w="1980" w:type="dxa"/>
            <w:vMerge w:val="restart"/>
            <w:tcBorders>
              <w:top w:val="single" w:color="auto" w:sz="4" w:space="0"/>
              <w:left w:val="nil"/>
              <w:right w:val="single" w:color="auto" w:sz="4" w:space="0"/>
            </w:tcBorders>
            <w:noWrap w:val="0"/>
            <w:vAlign w:val="center"/>
          </w:tcPr>
          <w:p w14:paraId="6DDF2E4E">
            <w:pPr>
              <w:spacing w:line="288" w:lineRule="auto"/>
              <w:jc w:val="center"/>
              <w:rPr>
                <w:rFonts w:hint="eastAsia" w:ascii="仿宋" w:hAnsi="仿宋" w:eastAsia="仿宋" w:cs="仿宋"/>
                <w:b/>
                <w:bCs/>
                <w:color w:val="auto"/>
                <w:sz w:val="24"/>
                <w:szCs w:val="24"/>
                <w:highlight w:val="none"/>
                <w:lang w:val="en-US" w:eastAsia="zh-CN"/>
              </w:rPr>
            </w:pPr>
          </w:p>
          <w:p w14:paraId="13B01B8D">
            <w:pPr>
              <w:spacing w:line="288" w:lineRule="auto"/>
              <w:jc w:val="center"/>
              <w:rPr>
                <w:rFonts w:hint="eastAsia" w:ascii="仿宋" w:hAnsi="仿宋" w:eastAsia="仿宋" w:cs="仿宋"/>
                <w:b/>
                <w:bCs/>
                <w:color w:val="auto"/>
                <w:sz w:val="24"/>
                <w:szCs w:val="24"/>
                <w:highlight w:val="none"/>
                <w:lang w:val="en-US" w:eastAsia="zh-CN"/>
              </w:rPr>
            </w:pPr>
          </w:p>
          <w:p w14:paraId="5EC428A1">
            <w:pPr>
              <w:spacing w:line="288"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外出参观游览活动方案（9分）</w:t>
            </w:r>
          </w:p>
        </w:tc>
        <w:tc>
          <w:tcPr>
            <w:tcW w:w="6393" w:type="dxa"/>
            <w:gridSpan w:val="2"/>
            <w:tcBorders>
              <w:top w:val="single" w:color="auto" w:sz="4" w:space="0"/>
              <w:left w:val="nil"/>
              <w:bottom w:val="single" w:color="auto" w:sz="4" w:space="0"/>
              <w:right w:val="single" w:color="auto" w:sz="4" w:space="0"/>
            </w:tcBorders>
            <w:noWrap w:val="0"/>
            <w:vAlign w:val="center"/>
          </w:tcPr>
          <w:p w14:paraId="6326E699">
            <w:pPr>
              <w:spacing w:line="288"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根据投标人针对本项目退休职工情况出行活动方案包括（出游路线、景点等）进行评审；</w:t>
            </w:r>
            <w:r>
              <w:rPr>
                <w:rFonts w:hint="default" w:ascii="仿宋" w:hAnsi="仿宋" w:eastAsia="仿宋" w:cs="仿宋"/>
                <w:b/>
                <w:bCs/>
                <w:color w:val="auto"/>
                <w:sz w:val="24"/>
                <w:szCs w:val="24"/>
                <w:highlight w:val="none"/>
                <w:lang w:val="en-US" w:eastAsia="zh-CN"/>
              </w:rPr>
              <w:t>景点方案</w:t>
            </w:r>
            <w:r>
              <w:rPr>
                <w:rFonts w:hint="eastAsia" w:ascii="仿宋" w:hAnsi="仿宋" w:eastAsia="仿宋" w:cs="仿宋"/>
                <w:b/>
                <w:bCs/>
                <w:color w:val="auto"/>
                <w:sz w:val="24"/>
                <w:szCs w:val="24"/>
                <w:highlight w:val="none"/>
                <w:lang w:val="en-US" w:eastAsia="zh-CN"/>
              </w:rPr>
              <w:t>符合采购文件要求</w:t>
            </w:r>
            <w:r>
              <w:rPr>
                <w:rFonts w:hint="default" w:ascii="仿宋" w:hAnsi="仿宋" w:eastAsia="仿宋" w:cs="仿宋"/>
                <w:b/>
                <w:bCs/>
                <w:color w:val="auto"/>
                <w:sz w:val="24"/>
                <w:szCs w:val="24"/>
                <w:highlight w:val="none"/>
                <w:lang w:val="en-US" w:eastAsia="zh-CN"/>
              </w:rPr>
              <w:t>、符合退休职工</w:t>
            </w:r>
            <w:r>
              <w:rPr>
                <w:rFonts w:hint="eastAsia" w:ascii="仿宋" w:hAnsi="仿宋" w:eastAsia="仿宋" w:cs="仿宋"/>
                <w:b/>
                <w:bCs/>
                <w:color w:val="auto"/>
                <w:sz w:val="24"/>
                <w:szCs w:val="24"/>
                <w:highlight w:val="none"/>
                <w:lang w:val="en-US" w:eastAsia="zh-CN"/>
              </w:rPr>
              <w:t>情况</w:t>
            </w:r>
            <w:r>
              <w:rPr>
                <w:rFonts w:hint="default" w:ascii="仿宋" w:hAnsi="仿宋" w:eastAsia="仿宋" w:cs="仿宋"/>
                <w:b/>
                <w:bCs/>
                <w:color w:val="auto"/>
                <w:sz w:val="24"/>
                <w:szCs w:val="24"/>
                <w:highlight w:val="none"/>
                <w:lang w:val="en-US" w:eastAsia="zh-CN"/>
              </w:rPr>
              <w:t>线路行程合理</w:t>
            </w:r>
            <w:r>
              <w:rPr>
                <w:rFonts w:hint="eastAsia" w:ascii="仿宋" w:hAnsi="仿宋" w:eastAsia="仿宋" w:cs="仿宋"/>
                <w:color w:val="auto"/>
                <w:sz w:val="24"/>
                <w:szCs w:val="24"/>
                <w:highlight w:val="none"/>
                <w:lang w:val="en-US" w:eastAsia="zh-CN"/>
              </w:rPr>
              <w:t>每满足一项加1分，共2分</w:t>
            </w:r>
          </w:p>
        </w:tc>
      </w:tr>
      <w:tr w14:paraId="28AD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88" w:type="dxa"/>
            <w:vMerge w:val="continue"/>
            <w:tcBorders>
              <w:left w:val="single" w:color="auto" w:sz="4" w:space="0"/>
              <w:right w:val="single" w:color="auto" w:sz="4" w:space="0"/>
            </w:tcBorders>
            <w:noWrap w:val="0"/>
            <w:vAlign w:val="center"/>
          </w:tcPr>
          <w:p w14:paraId="7EC50477">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right w:val="single" w:color="auto" w:sz="4" w:space="0"/>
            </w:tcBorders>
            <w:noWrap w:val="0"/>
            <w:vAlign w:val="center"/>
          </w:tcPr>
          <w:p w14:paraId="4721FAB0">
            <w:pPr>
              <w:spacing w:line="288" w:lineRule="auto"/>
              <w:jc w:val="center"/>
              <w:rPr>
                <w:rFonts w:hint="eastAsia" w:ascii="仿宋" w:hAnsi="仿宋" w:eastAsia="仿宋" w:cs="仿宋"/>
                <w:b/>
                <w:bCs/>
                <w:color w:val="auto"/>
                <w:sz w:val="24"/>
                <w:szCs w:val="24"/>
                <w:highlight w:val="none"/>
                <w:lang w:val="en-US"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4569F823">
            <w:pPr>
              <w:spacing w:line="288"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提供具有导游资格证书的导游(证明材料:提供资格证书复印件并加盖公章)满足的得</w:t>
            </w:r>
            <w:r>
              <w:rPr>
                <w:rFonts w:hint="eastAsia"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lang w:val="en-US" w:eastAsia="zh-CN"/>
              </w:rPr>
              <w:t>分，未提供不得分。</w:t>
            </w:r>
          </w:p>
        </w:tc>
      </w:tr>
      <w:tr w14:paraId="4AF5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3F9C382D">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right w:val="single" w:color="auto" w:sz="4" w:space="0"/>
            </w:tcBorders>
            <w:noWrap w:val="0"/>
            <w:vAlign w:val="center"/>
          </w:tcPr>
          <w:p w14:paraId="64B608D0">
            <w:pPr>
              <w:spacing w:line="288" w:lineRule="auto"/>
              <w:jc w:val="center"/>
              <w:rPr>
                <w:rFonts w:hint="eastAsia" w:ascii="仿宋" w:hAnsi="仿宋" w:eastAsia="仿宋" w:cs="仿宋"/>
                <w:b/>
                <w:bCs/>
                <w:color w:val="auto"/>
                <w:sz w:val="24"/>
                <w:szCs w:val="24"/>
                <w:highlight w:val="none"/>
                <w:lang w:val="en-US"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551510D6">
            <w:p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w:t>
            </w:r>
            <w:r>
              <w:rPr>
                <w:rFonts w:hint="default" w:ascii="仿宋" w:hAnsi="仿宋" w:eastAsia="仿宋" w:cs="仿宋"/>
                <w:color w:val="auto"/>
                <w:sz w:val="24"/>
                <w:szCs w:val="24"/>
                <w:highlight w:val="none"/>
                <w:lang w:val="en-US" w:eastAsia="zh-CN"/>
              </w:rPr>
              <w:t>驾驶员具备5年以上驾驶经验，服务态度好、技术好，确保行程安全，服务期间要求统一着装，满足的得</w:t>
            </w:r>
            <w:r>
              <w:rPr>
                <w:rFonts w:hint="eastAsia" w:ascii="仿宋" w:hAnsi="仿宋" w:eastAsia="仿宋" w:cs="仿宋"/>
                <w:color w:val="auto"/>
                <w:sz w:val="24"/>
                <w:szCs w:val="24"/>
                <w:highlight w:val="none"/>
                <w:lang w:val="en-US" w:eastAsia="zh-CN"/>
              </w:rPr>
              <w:t>0.5</w:t>
            </w:r>
            <w:r>
              <w:rPr>
                <w:rFonts w:hint="default" w:ascii="仿宋" w:hAnsi="仿宋" w:eastAsia="仿宋" w:cs="仿宋"/>
                <w:color w:val="auto"/>
                <w:sz w:val="24"/>
                <w:szCs w:val="24"/>
                <w:highlight w:val="none"/>
                <w:lang w:val="en-US" w:eastAsia="zh-CN"/>
              </w:rPr>
              <w:t>分,提供驾驶员驾驶证</w:t>
            </w:r>
            <w:r>
              <w:rPr>
                <w:rFonts w:hint="eastAsia" w:ascii="仿宋" w:hAnsi="仿宋" w:eastAsia="仿宋" w:cs="仿宋"/>
                <w:color w:val="auto"/>
                <w:sz w:val="24"/>
                <w:szCs w:val="24"/>
                <w:highlight w:val="none"/>
                <w:lang w:val="en-US" w:eastAsia="zh-CN"/>
              </w:rPr>
              <w:t>及承诺函</w:t>
            </w:r>
            <w:r>
              <w:rPr>
                <w:rFonts w:hint="default" w:ascii="仿宋" w:hAnsi="仿宋" w:eastAsia="仿宋" w:cs="仿宋"/>
                <w:color w:val="auto"/>
                <w:sz w:val="24"/>
                <w:szCs w:val="24"/>
                <w:highlight w:val="none"/>
                <w:lang w:val="en-US" w:eastAsia="zh-CN"/>
              </w:rPr>
              <w:t>。</w:t>
            </w:r>
          </w:p>
        </w:tc>
      </w:tr>
      <w:tr w14:paraId="30A7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4B411341">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right w:val="single" w:color="auto" w:sz="4" w:space="0"/>
            </w:tcBorders>
            <w:noWrap w:val="0"/>
            <w:vAlign w:val="center"/>
          </w:tcPr>
          <w:p w14:paraId="61F3D902">
            <w:pPr>
              <w:spacing w:line="288" w:lineRule="auto"/>
              <w:jc w:val="center"/>
              <w:rPr>
                <w:rFonts w:hint="eastAsia" w:ascii="仿宋" w:hAnsi="仿宋" w:eastAsia="仿宋" w:cs="仿宋"/>
                <w:b/>
                <w:bCs/>
                <w:color w:val="auto"/>
                <w:sz w:val="24"/>
                <w:szCs w:val="24"/>
                <w:highlight w:val="none"/>
                <w:lang w:val="en-US"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7B3C90B9">
            <w:p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根据投标人提供的出行交通用车保障措施进行评审：</w:t>
            </w:r>
            <w:r>
              <w:rPr>
                <w:rFonts w:hint="eastAsia" w:ascii="仿宋" w:hAnsi="仿宋" w:eastAsia="仿宋" w:cs="仿宋"/>
                <w:b/>
                <w:bCs/>
                <w:color w:val="auto"/>
                <w:sz w:val="24"/>
                <w:szCs w:val="24"/>
                <w:highlight w:val="none"/>
              </w:rPr>
              <w:t>保障措施完整、合理、符合采购人要求</w:t>
            </w:r>
            <w:r>
              <w:rPr>
                <w:rFonts w:hint="eastAsia" w:ascii="仿宋" w:hAnsi="仿宋" w:eastAsia="仿宋" w:cs="仿宋"/>
                <w:color w:val="auto"/>
                <w:sz w:val="24"/>
                <w:szCs w:val="24"/>
                <w:highlight w:val="none"/>
              </w:rPr>
              <w:t>的每</w:t>
            </w:r>
            <w:r>
              <w:rPr>
                <w:rFonts w:hint="eastAsia" w:ascii="仿宋" w:hAnsi="仿宋" w:eastAsia="仿宋" w:cs="仿宋"/>
                <w:color w:val="auto"/>
                <w:kern w:val="0"/>
                <w:sz w:val="24"/>
                <w:szCs w:val="24"/>
                <w:highlight w:val="none"/>
              </w:rPr>
              <w:t>满足</w:t>
            </w:r>
            <w:r>
              <w:rPr>
                <w:rFonts w:hint="eastAsia" w:ascii="仿宋" w:hAnsi="仿宋" w:eastAsia="仿宋" w:cs="仿宋"/>
                <w:color w:val="auto"/>
                <w:sz w:val="24"/>
                <w:szCs w:val="24"/>
                <w:highlight w:val="none"/>
              </w:rPr>
              <w:t>一项得1分，共3分。</w:t>
            </w:r>
          </w:p>
        </w:tc>
      </w:tr>
      <w:tr w14:paraId="472C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66A5F94C">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bottom w:val="single" w:color="auto" w:sz="4" w:space="0"/>
              <w:right w:val="single" w:color="auto" w:sz="4" w:space="0"/>
            </w:tcBorders>
            <w:noWrap w:val="0"/>
            <w:vAlign w:val="center"/>
          </w:tcPr>
          <w:p w14:paraId="11044153">
            <w:pPr>
              <w:spacing w:line="288" w:lineRule="auto"/>
              <w:jc w:val="center"/>
              <w:rPr>
                <w:rFonts w:hint="eastAsia" w:ascii="仿宋" w:hAnsi="仿宋" w:eastAsia="仿宋" w:cs="仿宋"/>
                <w:b/>
                <w:bCs/>
                <w:color w:val="auto"/>
                <w:sz w:val="24"/>
                <w:szCs w:val="24"/>
                <w:highlight w:val="none"/>
                <w:lang w:val="en-US"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49859CAB">
            <w:p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根据投标人提供的用餐方案包括用餐菜品选择、菜品搭配方案、及用餐安排计划等进行评审：</w:t>
            </w:r>
            <w:r>
              <w:rPr>
                <w:rFonts w:hint="eastAsia" w:ascii="仿宋" w:hAnsi="仿宋" w:eastAsia="仿宋" w:cs="仿宋"/>
                <w:b/>
                <w:bCs/>
                <w:color w:val="auto"/>
                <w:sz w:val="24"/>
                <w:szCs w:val="24"/>
                <w:highlight w:val="none"/>
              </w:rPr>
              <w:t>菜品方案完整搭配丰富</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搭配合理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用餐计划合理</w:t>
            </w:r>
            <w:r>
              <w:rPr>
                <w:rFonts w:hint="eastAsia" w:ascii="仿宋" w:hAnsi="仿宋" w:eastAsia="仿宋" w:cs="仿宋"/>
                <w:color w:val="auto"/>
                <w:sz w:val="24"/>
                <w:szCs w:val="24"/>
                <w:highlight w:val="none"/>
              </w:rPr>
              <w:t>每</w:t>
            </w:r>
            <w:r>
              <w:rPr>
                <w:rFonts w:hint="eastAsia" w:ascii="仿宋" w:hAnsi="仿宋" w:eastAsia="仿宋" w:cs="仿宋"/>
                <w:color w:val="auto"/>
                <w:kern w:val="0"/>
                <w:sz w:val="24"/>
                <w:szCs w:val="24"/>
                <w:highlight w:val="none"/>
              </w:rPr>
              <w:t>满足</w:t>
            </w:r>
            <w:r>
              <w:rPr>
                <w:rFonts w:hint="eastAsia" w:ascii="仿宋" w:hAnsi="仿宋" w:eastAsia="仿宋" w:cs="仿宋"/>
                <w:color w:val="auto"/>
                <w:sz w:val="24"/>
                <w:szCs w:val="24"/>
                <w:highlight w:val="none"/>
              </w:rPr>
              <w:t>一项加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分，共</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3357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88" w:type="dxa"/>
            <w:vMerge w:val="continue"/>
            <w:tcBorders>
              <w:left w:val="single" w:color="auto" w:sz="4" w:space="0"/>
              <w:right w:val="single" w:color="auto" w:sz="4" w:space="0"/>
            </w:tcBorders>
            <w:noWrap w:val="0"/>
            <w:vAlign w:val="center"/>
          </w:tcPr>
          <w:p w14:paraId="25C85BB2">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D2D5F29">
            <w:pPr>
              <w:spacing w:line="288"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安全保障方案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4分</w:t>
            </w:r>
            <w:r>
              <w:rPr>
                <w:rFonts w:hint="eastAsia" w:ascii="仿宋" w:hAnsi="仿宋" w:eastAsia="仿宋" w:cs="仿宋"/>
                <w:b/>
                <w:bCs/>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4A381884">
            <w:pPr>
              <w:spacing w:line="288"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投标人具有</w:t>
            </w:r>
            <w:r>
              <w:rPr>
                <w:rFonts w:hint="eastAsia" w:ascii="仿宋" w:hAnsi="仿宋" w:eastAsia="仿宋" w:cs="仿宋"/>
                <w:bCs/>
                <w:color w:val="auto"/>
                <w:sz w:val="24"/>
                <w:szCs w:val="24"/>
                <w:highlight w:val="none"/>
              </w:rPr>
              <w:t>安全</w:t>
            </w:r>
            <w:r>
              <w:rPr>
                <w:rFonts w:hint="eastAsia" w:ascii="仿宋" w:hAnsi="仿宋" w:eastAsia="仿宋" w:cs="仿宋"/>
                <w:bCs/>
                <w:color w:val="auto"/>
                <w:sz w:val="24"/>
                <w:szCs w:val="24"/>
                <w:highlight w:val="none"/>
                <w:lang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eastAsia="zh-CN"/>
              </w:rPr>
              <w:t>（包括人员安全、实施安全措施）</w:t>
            </w:r>
            <w:r>
              <w:rPr>
                <w:rFonts w:hint="eastAsia" w:ascii="仿宋" w:hAnsi="仿宋" w:eastAsia="仿宋" w:cs="仿宋"/>
                <w:bCs/>
                <w:color w:val="auto"/>
                <w:sz w:val="24"/>
                <w:szCs w:val="24"/>
                <w:highlight w:val="none"/>
                <w:lang w:val="en-US" w:eastAsia="zh-CN"/>
              </w:rPr>
              <w:t>的得1分；</w:t>
            </w:r>
            <w:r>
              <w:rPr>
                <w:rFonts w:hint="eastAsia" w:ascii="仿宋" w:hAnsi="仿宋" w:eastAsia="仿宋" w:cs="仿宋"/>
                <w:bCs/>
                <w:color w:val="auto"/>
                <w:sz w:val="24"/>
                <w:szCs w:val="24"/>
                <w:highlight w:val="none"/>
                <w:lang w:eastAsia="zh-CN"/>
              </w:rPr>
              <w:t>安全服务方案</w:t>
            </w:r>
            <w:r>
              <w:rPr>
                <w:rFonts w:hint="eastAsia" w:ascii="仿宋" w:hAnsi="仿宋" w:eastAsia="仿宋" w:cs="仿宋"/>
                <w:b/>
                <w:bCs w:val="0"/>
                <w:color w:val="auto"/>
                <w:sz w:val="24"/>
                <w:szCs w:val="24"/>
                <w:highlight w:val="none"/>
                <w:lang w:eastAsia="zh-CN"/>
              </w:rPr>
              <w:t>完整、可操作性强、</w:t>
            </w:r>
            <w:r>
              <w:rPr>
                <w:rFonts w:hint="eastAsia" w:ascii="仿宋" w:hAnsi="仿宋" w:eastAsia="仿宋" w:cs="仿宋"/>
                <w:b/>
                <w:bCs w:val="0"/>
                <w:color w:val="auto"/>
                <w:sz w:val="24"/>
                <w:szCs w:val="24"/>
                <w:highlight w:val="none"/>
                <w:lang w:val="en-US" w:eastAsia="zh-CN"/>
              </w:rPr>
              <w:t>体现相关政策的</w:t>
            </w:r>
            <w:r>
              <w:rPr>
                <w:rFonts w:hint="eastAsia" w:ascii="仿宋" w:hAnsi="仿宋" w:eastAsia="仿宋" w:cs="仿宋"/>
                <w:bCs/>
                <w:color w:val="auto"/>
                <w:sz w:val="24"/>
                <w:szCs w:val="24"/>
                <w:highlight w:val="none"/>
                <w:lang w:val="en-US" w:eastAsia="zh-CN"/>
              </w:rPr>
              <w:t>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bCs/>
                <w:color w:val="auto"/>
                <w:sz w:val="24"/>
                <w:szCs w:val="24"/>
                <w:highlight w:val="none"/>
                <w:lang w:val="en-US" w:eastAsia="zh-CN"/>
              </w:rPr>
              <w:t>一项得1分。共4分</w:t>
            </w:r>
          </w:p>
        </w:tc>
      </w:tr>
      <w:tr w14:paraId="538A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757E6A30">
            <w:pPr>
              <w:widowControl/>
              <w:spacing w:line="288" w:lineRule="auto"/>
              <w:jc w:val="left"/>
              <w:rPr>
                <w:rFonts w:hint="eastAsia" w:ascii="仿宋" w:hAnsi="仿宋" w:eastAsia="仿宋" w:cs="仿宋"/>
                <w:color w:val="auto"/>
                <w:sz w:val="24"/>
                <w:szCs w:val="24"/>
                <w:highlight w:val="none"/>
              </w:rPr>
            </w:pPr>
          </w:p>
        </w:tc>
        <w:tc>
          <w:tcPr>
            <w:tcW w:w="1980" w:type="dxa"/>
            <w:vMerge w:val="restart"/>
            <w:tcBorders>
              <w:top w:val="single" w:color="auto" w:sz="4" w:space="0"/>
              <w:left w:val="nil"/>
              <w:right w:val="single" w:color="auto" w:sz="4" w:space="0"/>
            </w:tcBorders>
            <w:noWrap w:val="0"/>
            <w:vAlign w:val="center"/>
          </w:tcPr>
          <w:p w14:paraId="5BCC654F">
            <w:pPr>
              <w:spacing w:line="288"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保险情况（6分）</w:t>
            </w:r>
          </w:p>
        </w:tc>
        <w:tc>
          <w:tcPr>
            <w:tcW w:w="6393" w:type="dxa"/>
            <w:gridSpan w:val="2"/>
            <w:tcBorders>
              <w:top w:val="single" w:color="auto" w:sz="4" w:space="0"/>
              <w:left w:val="nil"/>
              <w:bottom w:val="single" w:color="auto" w:sz="4" w:space="0"/>
              <w:right w:val="single" w:color="auto" w:sz="4" w:space="0"/>
            </w:tcBorders>
            <w:noWrap w:val="0"/>
            <w:vAlign w:val="center"/>
          </w:tcPr>
          <w:p w14:paraId="616E6221">
            <w:pPr>
              <w:numPr>
                <w:ilvl w:val="0"/>
                <w:numId w:val="0"/>
              </w:num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1）投标人提供针对本项目保险的方案及保障措施的得1分；</w:t>
            </w:r>
          </w:p>
          <w:p w14:paraId="4724E5EE">
            <w:pPr>
              <w:numPr>
                <w:ilvl w:val="0"/>
                <w:numId w:val="0"/>
              </w:num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2）方案合理</w:t>
            </w:r>
            <w:r>
              <w:rPr>
                <w:rFonts w:hint="eastAsia" w:ascii="仿宋" w:hAnsi="仿宋" w:eastAsia="仿宋" w:cs="仿宋"/>
                <w:b/>
                <w:bCs/>
                <w:color w:val="auto"/>
                <w:sz w:val="24"/>
                <w:szCs w:val="24"/>
                <w:highlight w:val="none"/>
                <w:lang w:val="en-US" w:eastAsia="zh-CN"/>
              </w:rPr>
              <w:t>科学、保障措施完善、具有老年短期意外险的</w:t>
            </w:r>
            <w:r>
              <w:rPr>
                <w:rFonts w:hint="eastAsia" w:ascii="仿宋" w:hAnsi="仿宋" w:eastAsia="仿宋" w:cs="仿宋"/>
                <w:color w:val="auto"/>
                <w:sz w:val="24"/>
                <w:szCs w:val="24"/>
                <w:highlight w:val="none"/>
                <w:lang w:val="en-US" w:eastAsia="zh-CN"/>
              </w:rPr>
              <w:t>每满足一项得1分（0-3分）。</w:t>
            </w:r>
          </w:p>
        </w:tc>
      </w:tr>
      <w:tr w14:paraId="0AB2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77B257D2">
            <w:pPr>
              <w:widowControl/>
              <w:spacing w:line="288" w:lineRule="auto"/>
              <w:jc w:val="left"/>
              <w:rPr>
                <w:rFonts w:hint="eastAsia" w:ascii="仿宋" w:hAnsi="仿宋" w:eastAsia="仿宋" w:cs="仿宋"/>
                <w:color w:val="auto"/>
                <w:sz w:val="24"/>
                <w:szCs w:val="24"/>
                <w:highlight w:val="none"/>
              </w:rPr>
            </w:pPr>
          </w:p>
        </w:tc>
        <w:tc>
          <w:tcPr>
            <w:tcW w:w="1980" w:type="dxa"/>
            <w:vMerge w:val="continue"/>
            <w:tcBorders>
              <w:left w:val="nil"/>
              <w:bottom w:val="single" w:color="auto" w:sz="4" w:space="0"/>
              <w:right w:val="single" w:color="auto" w:sz="4" w:space="0"/>
            </w:tcBorders>
            <w:noWrap w:val="0"/>
            <w:vAlign w:val="center"/>
          </w:tcPr>
          <w:p w14:paraId="2765FD25">
            <w:pPr>
              <w:spacing w:line="288" w:lineRule="auto"/>
              <w:jc w:val="center"/>
              <w:rPr>
                <w:rFonts w:hint="eastAsia" w:ascii="仿宋" w:hAnsi="仿宋" w:eastAsia="仿宋" w:cs="仿宋"/>
                <w:b/>
                <w:bCs/>
                <w:color w:val="auto"/>
                <w:sz w:val="24"/>
                <w:szCs w:val="24"/>
                <w:highlight w:val="none"/>
                <w:lang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293BEADA">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供应商旅行社责任保险保额2000万元(含)以上的得2分，1000万元及以上的得1分，500万元以下不得分。</w:t>
            </w:r>
          </w:p>
        </w:tc>
      </w:tr>
      <w:tr w14:paraId="2EC2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3A44962D">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4F3E4B3">
            <w:pPr>
              <w:spacing w:line="288" w:lineRule="auto"/>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资料记录及管理方案（</w:t>
            </w:r>
            <w:r>
              <w:rPr>
                <w:rFonts w:hint="eastAsia" w:ascii="仿宋" w:hAnsi="仿宋" w:eastAsia="仿宋" w:cs="仿宋"/>
                <w:b/>
                <w:bCs w:val="0"/>
                <w:color w:val="auto"/>
                <w:sz w:val="24"/>
                <w:szCs w:val="24"/>
                <w:highlight w:val="none"/>
                <w:lang w:val="en-US" w:eastAsia="zh-CN"/>
              </w:rPr>
              <w:t>5分</w:t>
            </w:r>
            <w:r>
              <w:rPr>
                <w:rFonts w:hint="eastAsia" w:ascii="仿宋" w:hAnsi="仿宋" w:eastAsia="仿宋" w:cs="仿宋"/>
                <w:b/>
                <w:bCs w:val="0"/>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39772910">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1）投标人提供资料记录台账及管理方案得1分；</w:t>
            </w:r>
          </w:p>
          <w:p w14:paraId="671603F0">
            <w:pPr>
              <w:spacing w:line="288"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2）针对投标人提供的资料记录台账及管理方案</w:t>
            </w:r>
            <w:r>
              <w:rPr>
                <w:rFonts w:hint="eastAsia" w:ascii="仿宋" w:hAnsi="仿宋" w:eastAsia="仿宋" w:cs="仿宋"/>
                <w:b/>
                <w:bCs/>
                <w:color w:val="auto"/>
                <w:sz w:val="24"/>
                <w:szCs w:val="24"/>
                <w:highlight w:val="none"/>
                <w:lang w:val="en-US" w:eastAsia="zh-CN"/>
              </w:rPr>
              <w:t>完整、合理、可行、有专人进行管理</w:t>
            </w:r>
            <w:r>
              <w:rPr>
                <w:rFonts w:hint="eastAsia" w:ascii="仿宋" w:hAnsi="仿宋" w:eastAsia="仿宋" w:cs="仿宋"/>
                <w:color w:val="auto"/>
                <w:sz w:val="24"/>
                <w:szCs w:val="24"/>
                <w:highlight w:val="none"/>
                <w:lang w:val="en-US" w:eastAsia="zh-CN"/>
              </w:rPr>
              <w:t>的每满足一项加1分，共4分。</w:t>
            </w:r>
          </w:p>
        </w:tc>
      </w:tr>
      <w:tr w14:paraId="7AAD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3D2AD869">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3745E5CF">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医疗配备情况</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129CD452">
            <w:pPr>
              <w:spacing w:line="288"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投标人需在投标文件中明确每次活动或者团队出行，配备一名合格的医务人员的得1分，配备二名合格的医务人员的得2分，不满足的不得分。（提供资格证书予以证明)</w:t>
            </w:r>
          </w:p>
        </w:tc>
      </w:tr>
      <w:tr w14:paraId="034D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3ED1D976">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49B4DD7">
            <w:pPr>
              <w:spacing w:line="288" w:lineRule="auto"/>
              <w:jc w:val="center"/>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项目服务团队人员方案（2分）</w:t>
            </w:r>
          </w:p>
        </w:tc>
        <w:tc>
          <w:tcPr>
            <w:tcW w:w="6393" w:type="dxa"/>
            <w:gridSpan w:val="2"/>
            <w:tcBorders>
              <w:top w:val="single" w:color="auto" w:sz="4" w:space="0"/>
              <w:left w:val="nil"/>
              <w:bottom w:val="single" w:color="auto" w:sz="4" w:space="0"/>
              <w:right w:val="single" w:color="auto" w:sz="4" w:space="0"/>
            </w:tcBorders>
            <w:noWrap w:val="0"/>
            <w:vAlign w:val="center"/>
          </w:tcPr>
          <w:p w14:paraId="126472BB">
            <w:pPr>
              <w:spacing w:line="288" w:lineRule="auto"/>
              <w:rPr>
                <w:rFonts w:hint="eastAsia" w:ascii="仿宋" w:hAnsi="仿宋" w:eastAsia="仿宋" w:cs="仿宋"/>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根据投标人提供的针对本项目服务团队人员情况进行评审:服务团队人员</w:t>
            </w:r>
            <w:r>
              <w:rPr>
                <w:rFonts w:hint="eastAsia" w:ascii="仿宋" w:hAnsi="仿宋" w:eastAsia="仿宋" w:cs="仿宋"/>
                <w:b/>
                <w:bCs w:val="0"/>
                <w:color w:val="auto"/>
                <w:sz w:val="24"/>
                <w:szCs w:val="24"/>
                <w:highlight w:val="none"/>
                <w:lang w:val="en-US" w:eastAsia="zh-CN"/>
              </w:rPr>
              <w:t>配备完善、服务团队人员满足招标文件要求</w:t>
            </w:r>
            <w:r>
              <w:rPr>
                <w:rFonts w:hint="eastAsia" w:ascii="仿宋" w:hAnsi="仿宋" w:eastAsia="仿宋" w:cs="仿宋"/>
                <w:b w:val="0"/>
                <w:bCs/>
                <w:color w:val="auto"/>
                <w:sz w:val="24"/>
                <w:szCs w:val="24"/>
                <w:highlight w:val="none"/>
                <w:lang w:val="en-US" w:eastAsia="zh-CN"/>
              </w:rPr>
              <w:t>的每满足一项得1分，本项共2分。</w:t>
            </w:r>
          </w:p>
        </w:tc>
      </w:tr>
      <w:tr w14:paraId="744C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8" w:type="dxa"/>
            <w:vMerge w:val="continue"/>
            <w:tcBorders>
              <w:left w:val="single" w:color="auto" w:sz="4" w:space="0"/>
              <w:right w:val="single" w:color="auto" w:sz="4" w:space="0"/>
            </w:tcBorders>
            <w:noWrap w:val="0"/>
            <w:vAlign w:val="center"/>
          </w:tcPr>
          <w:p w14:paraId="228F2474">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31372BF2">
            <w:pPr>
              <w:spacing w:line="288"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应急</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方案</w:t>
            </w:r>
          </w:p>
          <w:p w14:paraId="3FB6FDCF">
            <w:pPr>
              <w:spacing w:line="288"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6393" w:type="dxa"/>
            <w:gridSpan w:val="2"/>
            <w:tcBorders>
              <w:top w:val="single" w:color="auto" w:sz="4" w:space="0"/>
              <w:left w:val="nil"/>
              <w:bottom w:val="single" w:color="auto" w:sz="4" w:space="0"/>
              <w:right w:val="single" w:color="auto" w:sz="4" w:space="0"/>
            </w:tcBorders>
            <w:noWrap w:val="0"/>
            <w:vAlign w:val="center"/>
          </w:tcPr>
          <w:p w14:paraId="23D8A20E">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1）投标人具有应急响应方案且方案中具有突发事件应急处理及重大事件保障的启动、处理、应急后处置、人员配备方案的得1分；</w:t>
            </w:r>
          </w:p>
          <w:p w14:paraId="0A69BE58">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2）方案</w:t>
            </w:r>
            <w:r>
              <w:rPr>
                <w:rFonts w:hint="eastAsia" w:ascii="仿宋" w:hAnsi="仿宋" w:eastAsia="仿宋" w:cs="仿宋"/>
                <w:b/>
                <w:bCs/>
                <w:color w:val="auto"/>
                <w:kern w:val="2"/>
                <w:sz w:val="24"/>
                <w:szCs w:val="24"/>
                <w:highlight w:val="none"/>
                <w:lang w:val="en-US" w:eastAsia="zh-CN" w:bidi="ar-SA"/>
              </w:rPr>
              <w:t>科学、合理性、可操作性强</w:t>
            </w:r>
            <w:r>
              <w:rPr>
                <w:rFonts w:hint="eastAsia" w:ascii="仿宋" w:hAnsi="仿宋" w:eastAsia="仿宋" w:cs="仿宋"/>
                <w:color w:val="auto"/>
                <w:kern w:val="2"/>
                <w:sz w:val="24"/>
                <w:szCs w:val="24"/>
                <w:highlight w:val="none"/>
                <w:lang w:val="en-US" w:eastAsia="zh-CN" w:bidi="ar-SA"/>
              </w:rPr>
              <w:t>每</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kern w:val="2"/>
                <w:sz w:val="24"/>
                <w:szCs w:val="24"/>
                <w:highlight w:val="none"/>
                <w:lang w:val="en-US" w:eastAsia="zh-CN" w:bidi="ar-SA"/>
              </w:rPr>
              <w:t>一项加1分，共3分。</w:t>
            </w:r>
          </w:p>
        </w:tc>
      </w:tr>
      <w:tr w14:paraId="3E98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noWrap w:val="0"/>
            <w:vAlign w:val="center"/>
          </w:tcPr>
          <w:p w14:paraId="7E81BE51">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C5FDC3E">
            <w:pPr>
              <w:spacing w:line="46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宣传工作方案</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2分</w:t>
            </w:r>
            <w:r>
              <w:rPr>
                <w:rFonts w:hint="eastAsia" w:ascii="仿宋" w:hAnsi="仿宋" w:eastAsia="仿宋" w:cs="仿宋"/>
                <w:b/>
                <w:bCs w:val="0"/>
                <w:color w:val="auto"/>
                <w:sz w:val="24"/>
                <w:szCs w:val="24"/>
                <w:highlight w:val="none"/>
                <w:lang w:eastAsia="zh-CN"/>
              </w:rPr>
              <w:t>）</w:t>
            </w:r>
          </w:p>
          <w:p w14:paraId="601E44DE">
            <w:pPr>
              <w:spacing w:line="288" w:lineRule="auto"/>
              <w:jc w:val="center"/>
              <w:rPr>
                <w:rFonts w:hint="eastAsia" w:ascii="仿宋" w:hAnsi="仿宋" w:eastAsia="仿宋" w:cs="仿宋"/>
                <w:color w:val="auto"/>
                <w:sz w:val="24"/>
                <w:szCs w:val="24"/>
                <w:highlight w:val="none"/>
                <w:lang w:eastAsia="zh-CN"/>
              </w:rPr>
            </w:pPr>
          </w:p>
        </w:tc>
        <w:tc>
          <w:tcPr>
            <w:tcW w:w="6393" w:type="dxa"/>
            <w:gridSpan w:val="2"/>
            <w:tcBorders>
              <w:top w:val="single" w:color="auto" w:sz="4" w:space="0"/>
              <w:left w:val="nil"/>
              <w:bottom w:val="single" w:color="auto" w:sz="4" w:space="0"/>
              <w:right w:val="single" w:color="auto" w:sz="4" w:space="0"/>
            </w:tcBorders>
            <w:noWrap w:val="0"/>
            <w:vAlign w:val="center"/>
          </w:tcPr>
          <w:p w14:paraId="4D70B562">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根据投标人提供的针对本项目宣传方案进行评审：</w:t>
            </w:r>
            <w:r>
              <w:rPr>
                <w:rFonts w:hint="eastAsia" w:ascii="仿宋" w:hAnsi="仿宋" w:eastAsia="仿宋" w:cs="仿宋"/>
                <w:b/>
                <w:bCs/>
                <w:color w:val="auto"/>
                <w:sz w:val="24"/>
                <w:szCs w:val="24"/>
                <w:highlight w:val="none"/>
                <w:lang w:val="en-US" w:eastAsia="zh-CN"/>
              </w:rPr>
              <w:t>宣传方案提供的物料齐全、内容多样的</w:t>
            </w:r>
            <w:r>
              <w:rPr>
                <w:rFonts w:hint="eastAsia" w:ascii="仿宋" w:hAnsi="仿宋" w:eastAsia="仿宋" w:cs="仿宋"/>
                <w:color w:val="auto"/>
                <w:sz w:val="24"/>
                <w:szCs w:val="24"/>
                <w:highlight w:val="none"/>
                <w:lang w:val="en-US" w:eastAsia="zh-CN"/>
              </w:rPr>
              <w:t>每满足一项得1分，共2分。</w:t>
            </w:r>
          </w:p>
        </w:tc>
      </w:tr>
      <w:tr w14:paraId="36F6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02A8A642">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391E102">
            <w:pPr>
              <w:spacing w:line="288"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val="0"/>
                <w:color w:val="auto"/>
                <w:sz w:val="24"/>
                <w:highlight w:val="none"/>
                <w:lang w:val="en-US" w:eastAsia="zh-CN"/>
              </w:rPr>
              <w:t>投诉处理</w:t>
            </w:r>
            <w:r>
              <w:rPr>
                <w:rFonts w:hint="eastAsia" w:ascii="仿宋" w:hAnsi="仿宋" w:eastAsia="仿宋" w:cs="仿宋"/>
                <w:b/>
                <w:bCs w:val="0"/>
                <w:color w:val="auto"/>
                <w:sz w:val="24"/>
                <w:szCs w:val="24"/>
                <w:highlight w:val="none"/>
                <w:lang w:eastAsia="zh-CN"/>
              </w:rPr>
              <w:t>方案（</w:t>
            </w:r>
            <w:r>
              <w:rPr>
                <w:rFonts w:hint="eastAsia" w:ascii="仿宋" w:hAnsi="仿宋" w:eastAsia="仿宋" w:cs="仿宋"/>
                <w:b/>
                <w:bCs w:val="0"/>
                <w:color w:val="auto"/>
                <w:sz w:val="24"/>
                <w:szCs w:val="24"/>
                <w:highlight w:val="none"/>
                <w:lang w:val="en-US" w:eastAsia="zh-CN"/>
              </w:rPr>
              <w:t>5分</w:t>
            </w:r>
            <w:r>
              <w:rPr>
                <w:rFonts w:hint="eastAsia" w:ascii="仿宋" w:hAnsi="仿宋" w:eastAsia="仿宋" w:cs="仿宋"/>
                <w:b/>
                <w:bCs w:val="0"/>
                <w:color w:val="auto"/>
                <w:sz w:val="24"/>
                <w:szCs w:val="24"/>
                <w:highlight w:val="none"/>
                <w:lang w:eastAsia="zh-CN"/>
              </w:rPr>
              <w:t>）</w:t>
            </w:r>
          </w:p>
        </w:tc>
        <w:tc>
          <w:tcPr>
            <w:tcW w:w="6393" w:type="dxa"/>
            <w:gridSpan w:val="2"/>
            <w:tcBorders>
              <w:top w:val="single" w:color="auto" w:sz="4" w:space="0"/>
              <w:left w:val="nil"/>
              <w:bottom w:val="single" w:color="auto" w:sz="4" w:space="0"/>
              <w:right w:val="single" w:color="auto" w:sz="4" w:space="0"/>
            </w:tcBorders>
            <w:noWrap w:val="0"/>
            <w:vAlign w:val="center"/>
          </w:tcPr>
          <w:p w14:paraId="68D26C8B">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诉处理：对活动中如发生投诉的处理方案措施，处理方案实例等评分，完全满足要求得5分；阐述基本准确、描述基本透彻得4分；阐述准确、描述一般透彻的得3分；有瑕疵得2分；存在较多不满足需求得1分；完全不满足或未阐述得0分。</w:t>
            </w:r>
          </w:p>
        </w:tc>
      </w:tr>
      <w:tr w14:paraId="2E26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301AC01B">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5FBFF19">
            <w:pPr>
              <w:spacing w:line="288" w:lineRule="auto"/>
              <w:jc w:val="center"/>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特色服务情况（3分）</w:t>
            </w:r>
          </w:p>
        </w:tc>
        <w:tc>
          <w:tcPr>
            <w:tcW w:w="6393" w:type="dxa"/>
            <w:gridSpan w:val="2"/>
            <w:tcBorders>
              <w:top w:val="single" w:color="auto" w:sz="4" w:space="0"/>
              <w:left w:val="nil"/>
              <w:bottom w:val="single" w:color="auto" w:sz="4" w:space="0"/>
              <w:right w:val="single" w:color="auto" w:sz="4" w:space="0"/>
            </w:tcBorders>
            <w:noWrap w:val="0"/>
            <w:vAlign w:val="center"/>
          </w:tcPr>
          <w:p w14:paraId="1A472182">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特色服务及承诺：特色服务方案符合实际、切实可行等情况评分，阐述详尽、合理得3分；阐述较详尽、合理，部分瑕疵得2分；阐述存在较多不合理得1分；未提供得0分。</w:t>
            </w:r>
          </w:p>
        </w:tc>
      </w:tr>
      <w:tr w14:paraId="293B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4BC1483D">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28ED77C7">
            <w:pPr>
              <w:spacing w:line="288" w:lineRule="auto"/>
              <w:jc w:val="center"/>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售后服务情况（3分）</w:t>
            </w:r>
          </w:p>
        </w:tc>
        <w:tc>
          <w:tcPr>
            <w:tcW w:w="6393" w:type="dxa"/>
            <w:gridSpan w:val="2"/>
            <w:tcBorders>
              <w:top w:val="single" w:color="auto" w:sz="4" w:space="0"/>
              <w:left w:val="nil"/>
              <w:bottom w:val="single" w:color="auto" w:sz="4" w:space="0"/>
              <w:right w:val="single" w:color="auto" w:sz="4" w:space="0"/>
            </w:tcBorders>
            <w:noWrap w:val="0"/>
            <w:vAlign w:val="center"/>
          </w:tcPr>
          <w:p w14:paraId="74CE41F4">
            <w:pPr>
              <w:spacing w:line="288" w:lineRule="auto"/>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lang w:val="en-US" w:eastAsia="zh-CN"/>
              </w:rPr>
              <w:t>对所有项目实施的各种售后承诺，承诺阐述详尽、合理得3分；阐述较详尽、合理，有瑕疵得2分；阐述存在较多不合理得1分；未提供得0分。</w:t>
            </w:r>
          </w:p>
        </w:tc>
      </w:tr>
      <w:tr w14:paraId="1D22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left w:val="single" w:color="auto" w:sz="4" w:space="0"/>
              <w:right w:val="single" w:color="auto" w:sz="4" w:space="0"/>
            </w:tcBorders>
            <w:noWrap w:val="0"/>
            <w:vAlign w:val="center"/>
          </w:tcPr>
          <w:p w14:paraId="61297011">
            <w:pPr>
              <w:widowControl/>
              <w:spacing w:line="288" w:lineRule="auto"/>
              <w:jc w:val="left"/>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71B9EFFD">
            <w:pPr>
              <w:spacing w:line="288" w:lineRule="auto"/>
              <w:jc w:val="center"/>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投标人基本情况（3分）</w:t>
            </w:r>
          </w:p>
        </w:tc>
        <w:tc>
          <w:tcPr>
            <w:tcW w:w="6393" w:type="dxa"/>
            <w:gridSpan w:val="2"/>
            <w:tcBorders>
              <w:top w:val="single" w:color="auto" w:sz="4" w:space="0"/>
              <w:left w:val="nil"/>
              <w:bottom w:val="single" w:color="auto" w:sz="4" w:space="0"/>
              <w:right w:val="single" w:color="auto" w:sz="4" w:space="0"/>
            </w:tcBorders>
            <w:noWrap w:val="0"/>
            <w:vAlign w:val="center"/>
          </w:tcPr>
          <w:p w14:paraId="20E943F8">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自身</w:t>
            </w:r>
            <w:r>
              <w:rPr>
                <w:rFonts w:hint="eastAsia" w:ascii="仿宋" w:hAnsi="仿宋" w:eastAsia="仿宋" w:cs="仿宋"/>
                <w:color w:val="auto"/>
                <w:sz w:val="24"/>
                <w:szCs w:val="24"/>
                <w:highlight w:val="none"/>
              </w:rPr>
              <w:t>具有有效的质量管理体系认证证书、环境管理认证证书、职业健康安全管理体系认证证书的，每有1项得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分。（提供证书扫描件及《国家认证认可监督管理委员会》网站（http://www.cnca.gov.cn）查询截图并盖公章，未提供不得分）。</w:t>
            </w:r>
          </w:p>
        </w:tc>
      </w:tr>
      <w:tr w14:paraId="3A19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vMerge w:val="continue"/>
            <w:tcBorders>
              <w:left w:val="single" w:color="auto" w:sz="4" w:space="0"/>
              <w:right w:val="single" w:color="auto" w:sz="4" w:space="0"/>
            </w:tcBorders>
            <w:noWrap w:val="0"/>
            <w:vAlign w:val="center"/>
          </w:tcPr>
          <w:p w14:paraId="4E3E8C2D">
            <w:pPr>
              <w:spacing w:line="288" w:lineRule="auto"/>
              <w:jc w:val="center"/>
              <w:rPr>
                <w:rFonts w:hint="eastAsia" w:ascii="仿宋" w:hAnsi="仿宋" w:eastAsia="仿宋" w:cs="仿宋"/>
                <w:color w:val="auto"/>
                <w:sz w:val="24"/>
                <w:szCs w:val="24"/>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DF18259">
            <w:pPr>
              <w:spacing w:line="288"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投标人业绩情况（</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w:t>
            </w:r>
          </w:p>
        </w:tc>
        <w:tc>
          <w:tcPr>
            <w:tcW w:w="6378" w:type="dxa"/>
            <w:tcBorders>
              <w:top w:val="single" w:color="auto" w:sz="4" w:space="0"/>
              <w:left w:val="nil"/>
              <w:bottom w:val="single" w:color="auto" w:sz="4" w:space="0"/>
              <w:right w:val="single" w:color="auto" w:sz="4" w:space="0"/>
            </w:tcBorders>
            <w:noWrap w:val="0"/>
            <w:vAlign w:val="center"/>
          </w:tcPr>
          <w:p w14:paraId="2454D469">
            <w:pPr>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具有承担企业退休人员活动</w:t>
            </w:r>
            <w:r>
              <w:rPr>
                <w:rFonts w:hint="eastAsia" w:ascii="仿宋" w:hAnsi="仿宋" w:eastAsia="仿宋" w:cs="仿宋"/>
                <w:color w:val="auto"/>
                <w:sz w:val="24"/>
                <w:szCs w:val="24"/>
                <w:highlight w:val="none"/>
              </w:rPr>
              <w:t>项目业绩，以合同或中标通知书为准，1个得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共1</w:t>
            </w:r>
            <w:r>
              <w:rPr>
                <w:rFonts w:hint="eastAsia" w:ascii="仿宋" w:hAnsi="仿宋" w:eastAsia="仿宋" w:cs="仿宋"/>
                <w:color w:val="auto"/>
                <w:sz w:val="24"/>
                <w:szCs w:val="24"/>
                <w:highlight w:val="none"/>
              </w:rPr>
              <w:t>分（需提供合同复印件或中标通知书复印件加盖公章）。</w:t>
            </w:r>
          </w:p>
        </w:tc>
      </w:tr>
      <w:tr w14:paraId="1D1A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tcBorders>
              <w:left w:val="single" w:color="auto" w:sz="4" w:space="0"/>
              <w:right w:val="single" w:color="auto" w:sz="4" w:space="0"/>
            </w:tcBorders>
            <w:noWrap w:val="0"/>
            <w:vAlign w:val="center"/>
          </w:tcPr>
          <w:p w14:paraId="657780DB">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1980" w:type="dxa"/>
            <w:tcBorders>
              <w:top w:val="single" w:color="auto" w:sz="4" w:space="0"/>
              <w:left w:val="nil"/>
              <w:right w:val="single" w:color="auto" w:sz="4" w:space="0"/>
            </w:tcBorders>
            <w:noWrap w:val="0"/>
            <w:vAlign w:val="center"/>
          </w:tcPr>
          <w:p w14:paraId="381C971A">
            <w:pPr>
              <w:spacing w:line="288" w:lineRule="auto"/>
              <w:jc w:val="center"/>
              <w:rPr>
                <w:rFonts w:hint="eastAsia" w:ascii="宋体" w:hAnsi="宋体" w:eastAsia="仿宋" w:cs="Times New Roman"/>
                <w:b/>
                <w:bCs/>
                <w:color w:val="auto"/>
                <w:kern w:val="2"/>
                <w:sz w:val="24"/>
                <w:szCs w:val="24"/>
                <w:highlight w:val="none"/>
                <w:lang w:val="en-US" w:eastAsia="zh-CN" w:bidi="ar-SA"/>
              </w:rPr>
            </w:pPr>
            <w:r>
              <w:rPr>
                <w:rFonts w:hint="eastAsia" w:ascii="仿宋" w:hAnsi="仿宋" w:eastAsia="仿宋" w:cs="仿宋"/>
                <w:b/>
                <w:bCs/>
                <w:color w:val="auto"/>
                <w:kern w:val="0"/>
                <w:sz w:val="24"/>
                <w:highlight w:val="none"/>
              </w:rPr>
              <w:t>价格</w:t>
            </w:r>
            <w:r>
              <w:rPr>
                <w:rFonts w:hint="eastAsia" w:ascii="仿宋" w:hAnsi="仿宋" w:eastAsia="仿宋" w:cs="仿宋"/>
                <w:b/>
                <w:bCs/>
                <w:color w:val="auto"/>
                <w:kern w:val="0"/>
                <w:sz w:val="24"/>
                <w:highlight w:val="none"/>
                <w:lang w:val="en-US" w:eastAsia="zh-CN"/>
              </w:rPr>
              <w:t>10</w:t>
            </w:r>
            <w:r>
              <w:rPr>
                <w:rFonts w:hint="eastAsia" w:ascii="仿宋" w:hAnsi="仿宋" w:eastAsia="仿宋" w:cs="仿宋"/>
                <w:b/>
                <w:bCs/>
                <w:color w:val="auto"/>
                <w:kern w:val="0"/>
                <w:sz w:val="24"/>
                <w:highlight w:val="none"/>
                <w:lang w:eastAsia="zh-CN"/>
              </w:rPr>
              <w:t>分</w:t>
            </w:r>
          </w:p>
        </w:tc>
        <w:tc>
          <w:tcPr>
            <w:tcW w:w="6378" w:type="dxa"/>
            <w:tcBorders>
              <w:top w:val="single" w:color="auto" w:sz="4" w:space="0"/>
              <w:left w:val="nil"/>
              <w:right w:val="single" w:color="auto" w:sz="4" w:space="0"/>
            </w:tcBorders>
            <w:noWrap w:val="0"/>
            <w:vAlign w:val="center"/>
          </w:tcPr>
          <w:p w14:paraId="6E17EE86">
            <w:pPr>
              <w:widowControl/>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有效投标报价的最低价作为评标基准价，其最低报价为满分；按［投标报价得分=（评标基准价/投标报价）*</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0］的计算公式计算。</w:t>
            </w:r>
          </w:p>
          <w:p w14:paraId="7866EB64">
            <w:pPr>
              <w:widowControl/>
              <w:snapToGrid w:val="0"/>
              <w:spacing w:line="440" w:lineRule="exact"/>
              <w:jc w:val="left"/>
              <w:rPr>
                <w:rFonts w:hint="eastAsia" w:ascii="宋体" w:hAnsi="宋体" w:eastAsia="宋体" w:cs="宋体"/>
                <w:b/>
                <w:color w:val="auto"/>
                <w:kern w:val="2"/>
                <w:sz w:val="24"/>
                <w:szCs w:val="24"/>
                <w:highlight w:val="none"/>
                <w:lang w:val="en-US" w:eastAsia="zh-CN" w:bidi="ar-SA"/>
              </w:rPr>
            </w:pPr>
            <w:r>
              <w:rPr>
                <w:rFonts w:hint="eastAsia" w:ascii="仿宋" w:hAnsi="仿宋" w:eastAsia="仿宋" w:cs="仿宋"/>
                <w:b/>
                <w:bCs/>
                <w:color w:val="auto"/>
                <w:kern w:val="0"/>
                <w:sz w:val="24"/>
                <w:highlight w:val="none"/>
                <w:lang w:val="en-US" w:eastAsia="zh-CN"/>
              </w:rPr>
              <w:t>注：1.本项目专门面向中小企业，价格评审时不做价格扣除。2.本项目报价不竞争。</w:t>
            </w:r>
          </w:p>
        </w:tc>
      </w:tr>
    </w:tbl>
    <w:p w14:paraId="04193416">
      <w:pPr>
        <w:snapToGrid w:val="0"/>
        <w:spacing w:line="360" w:lineRule="auto"/>
        <w:rPr>
          <w:rFonts w:ascii="仿宋" w:hAnsi="仿宋" w:eastAsia="仿宋" w:cs="仿宋"/>
          <w:b/>
          <w:color w:val="auto"/>
          <w:sz w:val="36"/>
          <w:szCs w:val="36"/>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05A4A0F4">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1B785C0">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1539002">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20FD4FC">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5450B7F3">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753AB8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BAA68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27F1E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F561F43">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E4C93C4">
      <w:pPr>
        <w:pStyle w:val="134"/>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696F37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215B15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372475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B74024B">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E124B4B">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C762C3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1B775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F73110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7F2D7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w:t>
      </w:r>
      <w:r>
        <w:rPr>
          <w:rFonts w:hint="eastAsia" w:ascii="仿宋" w:hAnsi="仿宋" w:eastAsia="仿宋" w:cs="仿宋"/>
          <w:color w:val="auto"/>
          <w:kern w:val="0"/>
          <w:szCs w:val="24"/>
          <w:highlight w:val="none"/>
          <w:lang w:val="en-US" w:eastAsia="zh-CN"/>
        </w:rPr>
        <w:t>和服务</w:t>
      </w:r>
      <w:r>
        <w:rPr>
          <w:rFonts w:hint="eastAsia" w:ascii="仿宋" w:hAnsi="仿宋" w:eastAsia="仿宋" w:cs="仿宋"/>
          <w:color w:val="auto"/>
          <w:kern w:val="0"/>
          <w:szCs w:val="24"/>
          <w:highlight w:val="none"/>
        </w:rPr>
        <w:t>项目，以及预留份额政府采购货物</w:t>
      </w:r>
      <w:r>
        <w:rPr>
          <w:rFonts w:hint="eastAsia" w:ascii="仿宋" w:hAnsi="仿宋" w:eastAsia="仿宋" w:cs="仿宋"/>
          <w:color w:val="auto"/>
          <w:kern w:val="0"/>
          <w:szCs w:val="24"/>
          <w:highlight w:val="none"/>
          <w:lang w:val="en-US" w:eastAsia="zh-CN"/>
        </w:rPr>
        <w:t>和服务</w:t>
      </w:r>
      <w:r>
        <w:rPr>
          <w:rFonts w:hint="eastAsia" w:ascii="仿宋" w:hAnsi="仿宋" w:eastAsia="仿宋" w:cs="仿宋"/>
          <w:color w:val="auto"/>
          <w:kern w:val="0"/>
          <w:szCs w:val="24"/>
          <w:highlight w:val="none"/>
        </w:rPr>
        <w:t>项目中的非预留部分标项，对小型和微型企业的投标报价给予10%的扣除，用扣除后的价格参与评审。接受大中型企业与小微企业组成联合体或者允许大中型企业向一家或者多家小微企业分包的政府采购货物</w:t>
      </w:r>
      <w:r>
        <w:rPr>
          <w:rFonts w:hint="eastAsia" w:ascii="仿宋" w:hAnsi="仿宋" w:eastAsia="仿宋" w:cs="仿宋"/>
          <w:color w:val="auto"/>
          <w:kern w:val="0"/>
          <w:szCs w:val="24"/>
          <w:highlight w:val="none"/>
          <w:lang w:val="en-US" w:eastAsia="zh-CN"/>
        </w:rPr>
        <w:t>和服务</w:t>
      </w:r>
      <w:r>
        <w:rPr>
          <w:rFonts w:hint="eastAsia" w:ascii="仿宋" w:hAnsi="仿宋" w:eastAsia="仿宋" w:cs="仿宋"/>
          <w:color w:val="auto"/>
          <w:kern w:val="0"/>
          <w:szCs w:val="24"/>
          <w:highlight w:val="none"/>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7B842D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6D91E4">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516D1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0173AE">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55A9C32">
      <w:pPr>
        <w:pStyle w:val="134"/>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80EF18">
      <w:pPr>
        <w:pStyle w:val="1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E4301D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AF3D6B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F27145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1CA2CB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0F7320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EEAC30C">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568EC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D540E2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DC256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FEB7FE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68E1C1F">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964A0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4A5BC5B">
      <w:pPr>
        <w:pStyle w:val="83"/>
        <w:rPr>
          <w:b/>
          <w:bCs/>
          <w:color w:val="auto"/>
          <w:highlight w:val="none"/>
        </w:rPr>
      </w:pPr>
      <w:r>
        <w:rPr>
          <w:rFonts w:hint="eastAsia" w:ascii="仿宋" w:hAnsi="仿宋" w:eastAsia="仿宋" w:cs="仿宋"/>
          <w:b/>
          <w:bCs/>
          <w:color w:val="auto"/>
          <w:kern w:val="0"/>
          <w:sz w:val="24"/>
          <w:szCs w:val="24"/>
          <w:highlight w:val="none"/>
          <w:lang w:val="en-US" w:eastAsia="zh-CN" w:bidi="ar-SA"/>
        </w:rPr>
        <w:t>4.2.13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26A026">
      <w:pPr>
        <w:spacing w:line="360" w:lineRule="auto"/>
        <w:ind w:firstLine="480" w:firstLineChars="200"/>
        <w:rPr>
          <w:color w:val="auto"/>
          <w:sz w:val="24"/>
          <w:highlight w:val="none"/>
        </w:rPr>
      </w:pPr>
      <w:r>
        <w:rPr>
          <w:rFonts w:hint="eastAsia" w:ascii="仿宋" w:hAnsi="仿宋" w:eastAsia="仿宋" w:cs="仿宋"/>
          <w:color w:val="auto"/>
          <w:sz w:val="24"/>
          <w:highlight w:val="none"/>
        </w:rPr>
        <w:t>4.2.1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投标人未提供样品或提供的样品不满足采购需求实质性条件的，投标无效；</w:t>
      </w:r>
    </w:p>
    <w:p w14:paraId="09644857">
      <w:pPr>
        <w:pStyle w:val="5"/>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5</w:t>
      </w:r>
      <w:r>
        <w:rPr>
          <w:rFonts w:hint="eastAsia" w:ascii="仿宋" w:eastAsia="仿宋" w:cs="仿宋"/>
          <w:b w:val="0"/>
          <w:bCs w:val="0"/>
          <w:color w:val="auto"/>
          <w:kern w:val="0"/>
          <w:sz w:val="24"/>
          <w:szCs w:val="24"/>
          <w:highlight w:val="none"/>
          <w:lang w:val="en-US"/>
        </w:rPr>
        <w:t xml:space="preserve"> 投标文件不满足招标文件的其它实质性要求的；</w:t>
      </w:r>
    </w:p>
    <w:p w14:paraId="0D80A6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8A329B0">
      <w:pPr>
        <w:pStyle w:val="1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841C2B3">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030F909">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7D60DB6">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7A28D4B">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9200C89">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C8F1FA0">
      <w:pPr>
        <w:pStyle w:val="18"/>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4C61B7">
      <w:pPr>
        <w:pStyle w:val="1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B2EE0ED">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E5FA4BF">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4FEA15D">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B4CD219">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C3053C0">
      <w:pPr>
        <w:pStyle w:val="1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4B5CEA0C">
      <w:pPr>
        <w:pStyle w:val="64"/>
        <w:ind w:left="0" w:leftChars="0" w:firstLine="0" w:firstLineChars="0"/>
        <w:rPr>
          <w:rFonts w:hint="eastAsia"/>
          <w:color w:val="auto"/>
          <w:highlight w:val="none"/>
        </w:rPr>
      </w:pPr>
      <w:bookmarkStart w:id="39" w:name="第五部分"/>
      <w:bookmarkStart w:id="40" w:name="_Toc86217003"/>
    </w:p>
    <w:p w14:paraId="24CB368D">
      <w:pPr>
        <w:rPr>
          <w:rFonts w:hint="eastAsia"/>
          <w:color w:val="auto"/>
          <w:highlight w:val="none"/>
        </w:rPr>
      </w:pPr>
    </w:p>
    <w:p w14:paraId="6C714240">
      <w:pPr>
        <w:pStyle w:val="18"/>
        <w:rPr>
          <w:rFonts w:hint="eastAsia"/>
          <w:color w:val="auto"/>
          <w:highlight w:val="none"/>
        </w:rPr>
      </w:pPr>
    </w:p>
    <w:p w14:paraId="3A00D131">
      <w:pPr>
        <w:pStyle w:val="18"/>
        <w:rPr>
          <w:rFonts w:hint="eastAsia"/>
          <w:color w:val="auto"/>
          <w:highlight w:val="none"/>
        </w:rPr>
      </w:pPr>
    </w:p>
    <w:p w14:paraId="1800F5DE">
      <w:pPr>
        <w:pStyle w:val="18"/>
        <w:rPr>
          <w:rFonts w:hint="eastAsia"/>
          <w:color w:val="auto"/>
          <w:highlight w:val="none"/>
        </w:rPr>
      </w:pPr>
    </w:p>
    <w:p w14:paraId="736A35E5">
      <w:pPr>
        <w:pStyle w:val="18"/>
        <w:rPr>
          <w:rFonts w:hint="eastAsia"/>
          <w:color w:val="auto"/>
          <w:highlight w:val="none"/>
        </w:rPr>
      </w:pPr>
    </w:p>
    <w:p w14:paraId="469D9E35">
      <w:pPr>
        <w:pStyle w:val="18"/>
        <w:rPr>
          <w:rFonts w:hint="eastAsia"/>
          <w:color w:val="auto"/>
          <w:highlight w:val="none"/>
        </w:rPr>
      </w:pPr>
    </w:p>
    <w:p w14:paraId="79D00462">
      <w:pPr>
        <w:pStyle w:val="18"/>
        <w:rPr>
          <w:rFonts w:hint="eastAsia"/>
          <w:color w:val="auto"/>
          <w:highlight w:val="none"/>
        </w:rPr>
      </w:pPr>
    </w:p>
    <w:p w14:paraId="6AB2D311">
      <w:pPr>
        <w:pStyle w:val="18"/>
        <w:rPr>
          <w:rFonts w:hint="eastAsia"/>
          <w:color w:val="auto"/>
          <w:highlight w:val="none"/>
        </w:rPr>
      </w:pPr>
    </w:p>
    <w:p w14:paraId="562B2AAE">
      <w:pPr>
        <w:pStyle w:val="18"/>
        <w:rPr>
          <w:rFonts w:hint="eastAsia"/>
          <w:color w:val="auto"/>
          <w:highlight w:val="none"/>
        </w:rPr>
      </w:pPr>
    </w:p>
    <w:p w14:paraId="791B6261">
      <w:pPr>
        <w:pStyle w:val="18"/>
        <w:rPr>
          <w:rFonts w:hint="eastAsia"/>
          <w:color w:val="auto"/>
          <w:highlight w:val="none"/>
        </w:rPr>
      </w:pPr>
    </w:p>
    <w:p w14:paraId="0D170D2A">
      <w:pPr>
        <w:pStyle w:val="18"/>
        <w:rPr>
          <w:rFonts w:hint="eastAsia"/>
          <w:color w:val="auto"/>
          <w:highlight w:val="none"/>
        </w:rPr>
      </w:pPr>
    </w:p>
    <w:p w14:paraId="1D217FEA">
      <w:pPr>
        <w:pStyle w:val="18"/>
        <w:rPr>
          <w:rFonts w:hint="eastAsia"/>
          <w:color w:val="auto"/>
          <w:highlight w:val="none"/>
        </w:rPr>
      </w:pPr>
    </w:p>
    <w:p w14:paraId="6CCBC6F1">
      <w:pPr>
        <w:pStyle w:val="18"/>
        <w:rPr>
          <w:rFonts w:hint="eastAsia"/>
          <w:color w:val="auto"/>
          <w:highlight w:val="none"/>
        </w:rPr>
      </w:pPr>
    </w:p>
    <w:p w14:paraId="5428C261">
      <w:pPr>
        <w:pStyle w:val="18"/>
        <w:rPr>
          <w:rFonts w:hint="eastAsia"/>
          <w:color w:val="auto"/>
          <w:highlight w:val="none"/>
        </w:rPr>
      </w:pPr>
    </w:p>
    <w:p w14:paraId="40810DBE">
      <w:pPr>
        <w:pStyle w:val="18"/>
        <w:rPr>
          <w:rFonts w:hint="eastAsia"/>
          <w:color w:val="auto"/>
          <w:highlight w:val="none"/>
        </w:rPr>
      </w:pPr>
    </w:p>
    <w:p w14:paraId="4A0F5F4A">
      <w:pPr>
        <w:pStyle w:val="18"/>
        <w:rPr>
          <w:rFonts w:hint="eastAsia"/>
          <w:color w:val="auto"/>
          <w:highlight w:val="none"/>
        </w:rPr>
      </w:pPr>
    </w:p>
    <w:p w14:paraId="675971C4">
      <w:pPr>
        <w:pStyle w:val="18"/>
        <w:ind w:left="0" w:leftChars="0" w:firstLine="0" w:firstLineChars="0"/>
        <w:rPr>
          <w:rFonts w:hint="eastAsia"/>
          <w:color w:val="auto"/>
          <w:highlight w:val="none"/>
        </w:rPr>
      </w:pPr>
    </w:p>
    <w:p w14:paraId="70DAF99C">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0A62930">
      <w:pPr>
        <w:pStyle w:val="34"/>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auto"/>
          <w:sz w:val="24"/>
          <w:highlight w:val="none"/>
        </w:rPr>
      </w:pPr>
      <w:r>
        <w:rPr>
          <w:rFonts w:hint="eastAsia" w:ascii="仿宋" w:hAnsi="仿宋" w:eastAsia="仿宋"/>
          <w:b/>
          <w:color w:val="auto"/>
          <w:sz w:val="24"/>
          <w:szCs w:val="24"/>
          <w:highlight w:val="none"/>
        </w:rPr>
        <w:t>（本合同为合同样稿，最终稿由双方协商后确定）</w:t>
      </w:r>
    </w:p>
    <w:p w14:paraId="154632DC">
      <w:pPr>
        <w:pStyle w:val="704"/>
        <w:ind w:left="0" w:leftChars="0" w:firstLine="0" w:firstLineChars="0"/>
        <w:jc w:val="center"/>
        <w:outlineLvl w:val="1"/>
        <w:rPr>
          <w:rFonts w:ascii="仿宋" w:hAnsi="仿宋" w:eastAsia="仿宋" w:cs="仿宋"/>
          <w:b/>
          <w:color w:val="auto"/>
          <w:sz w:val="28"/>
          <w:szCs w:val="28"/>
          <w:highlight w:val="none"/>
        </w:rPr>
      </w:pPr>
      <w:bookmarkStart w:id="41" w:name="_Toc21980"/>
      <w:r>
        <w:rPr>
          <w:rFonts w:hint="eastAsia" w:ascii="仿宋" w:hAnsi="仿宋" w:eastAsia="仿宋" w:cs="仿宋"/>
          <w:b/>
          <w:color w:val="auto"/>
          <w:sz w:val="28"/>
          <w:szCs w:val="28"/>
          <w:highlight w:val="none"/>
        </w:rPr>
        <w:t>第一部分 合同书</w:t>
      </w:r>
      <w:bookmarkEnd w:id="41"/>
    </w:p>
    <w:p w14:paraId="4119CCA2">
      <w:pPr>
        <w:spacing w:before="120" w:line="22" w:lineRule="atLeast"/>
        <w:rPr>
          <w:rFonts w:ascii="仿宋" w:hAnsi="仿宋" w:eastAsia="仿宋" w:cs="仿宋"/>
          <w:color w:val="auto"/>
          <w:sz w:val="24"/>
          <w:highlight w:val="none"/>
        </w:rPr>
      </w:pPr>
    </w:p>
    <w:p w14:paraId="15CC2ADC">
      <w:pPr>
        <w:tabs>
          <w:tab w:val="left" w:pos="432"/>
        </w:tabs>
        <w:rPr>
          <w:rFonts w:ascii="仿宋" w:hAnsi="仿宋" w:eastAsia="仿宋" w:cs="仿宋"/>
          <w:color w:val="auto"/>
          <w:highlight w:val="none"/>
        </w:rPr>
      </w:pPr>
    </w:p>
    <w:p w14:paraId="549502C0">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3976EDE">
      <w:pPr>
        <w:pStyle w:val="602"/>
        <w:spacing w:before="120" w:line="22" w:lineRule="atLeast"/>
        <w:rPr>
          <w:rFonts w:ascii="仿宋" w:hAnsi="仿宋" w:eastAsia="仿宋" w:cs="仿宋"/>
          <w:color w:val="auto"/>
          <w:szCs w:val="24"/>
          <w:highlight w:val="none"/>
        </w:rPr>
      </w:pPr>
    </w:p>
    <w:p w14:paraId="138522CD">
      <w:pPr>
        <w:rPr>
          <w:rFonts w:ascii="仿宋" w:hAnsi="仿宋" w:eastAsia="仿宋" w:cs="仿宋"/>
          <w:color w:val="auto"/>
          <w:sz w:val="24"/>
          <w:highlight w:val="none"/>
        </w:rPr>
      </w:pPr>
    </w:p>
    <w:p w14:paraId="7594D88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A43ACE0">
      <w:pPr>
        <w:spacing w:before="120" w:line="22" w:lineRule="atLeast"/>
        <w:rPr>
          <w:rFonts w:ascii="仿宋" w:hAnsi="仿宋" w:eastAsia="仿宋" w:cs="仿宋"/>
          <w:color w:val="auto"/>
          <w:sz w:val="24"/>
          <w:highlight w:val="none"/>
        </w:rPr>
      </w:pPr>
    </w:p>
    <w:p w14:paraId="414BF4B4">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9F76360">
      <w:pPr>
        <w:spacing w:before="120" w:line="22" w:lineRule="atLeast"/>
        <w:rPr>
          <w:rFonts w:ascii="仿宋" w:hAnsi="仿宋" w:eastAsia="仿宋" w:cs="仿宋"/>
          <w:color w:val="auto"/>
          <w:sz w:val="24"/>
          <w:highlight w:val="none"/>
        </w:rPr>
      </w:pPr>
    </w:p>
    <w:p w14:paraId="42AC2660">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1491C2C">
      <w:pPr>
        <w:spacing w:before="120" w:line="22" w:lineRule="atLeast"/>
        <w:rPr>
          <w:rFonts w:ascii="仿宋" w:hAnsi="仿宋" w:eastAsia="仿宋" w:cs="仿宋"/>
          <w:color w:val="auto"/>
          <w:sz w:val="24"/>
          <w:highlight w:val="none"/>
        </w:rPr>
      </w:pPr>
    </w:p>
    <w:p w14:paraId="41BEAD4F">
      <w:pPr>
        <w:spacing w:before="120" w:line="22" w:lineRule="atLeast"/>
        <w:ind w:firstLine="960" w:firstLineChars="400"/>
        <w:rPr>
          <w:rFonts w:ascii="仿宋" w:hAnsi="仿宋" w:eastAsia="仿宋" w:cs="仿宋"/>
          <w:color w:val="auto"/>
          <w:kern w:val="0"/>
          <w:sz w:val="24"/>
          <w:highlight w:val="none"/>
        </w:rPr>
        <w:sectPr>
          <w:pgSz w:w="11905" w:h="16838"/>
          <w:pgMar w:top="1134" w:right="1417" w:bottom="1417" w:left="1417" w:header="709" w:footer="992" w:gutter="0"/>
          <w:cols w:space="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309B41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日</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杭州市上城区彭埠街道应急消防管理站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w:t>
      </w:r>
      <w:r>
        <w:rPr>
          <w:rFonts w:hint="eastAsia" w:ascii="仿宋" w:hAnsi="仿宋" w:eastAsia="仿宋" w:cs="仿宋"/>
          <w:color w:val="auto"/>
          <w:szCs w:val="21"/>
          <w:highlight w:val="none"/>
          <w:u w:val="single"/>
        </w:rPr>
        <w:t xml:space="preserve"> 公开招标  </w:t>
      </w: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rPr>
        <w:t>项目进行了采购。经评标委员会会评定，</w:t>
      </w:r>
      <w:r>
        <w:rPr>
          <w:rFonts w:hint="eastAsia" w:ascii="仿宋" w:hAnsi="仿宋" w:eastAsia="仿宋" w:cs="仿宋"/>
          <w:color w:val="auto"/>
          <w:szCs w:val="21"/>
          <w:highlight w:val="none"/>
          <w:u w:val="single"/>
        </w:rPr>
        <w:t xml:space="preserve">   （中标供应商名称） </w:t>
      </w:r>
      <w:r>
        <w:rPr>
          <w:rFonts w:hint="eastAsia" w:ascii="仿宋" w:hAnsi="仿宋" w:eastAsia="仿宋" w:cs="仿宋"/>
          <w:color w:val="auto"/>
          <w:szCs w:val="21"/>
          <w:highlight w:val="none"/>
        </w:rPr>
        <w:t>为该项目中标供应商。现于中标通知书发出之日起10个工作日内，按照采购文件确定的事项签订本合同。</w:t>
      </w:r>
    </w:p>
    <w:p w14:paraId="364E29A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杭州市上城区彭埠街道应急消防管理站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val="zh-CN"/>
        </w:rPr>
        <w:t>(以下简称：甲方)和</w:t>
      </w:r>
      <w:r>
        <w:rPr>
          <w:rFonts w:hint="eastAsia" w:ascii="仿宋" w:hAnsi="仿宋" w:eastAsia="仿宋" w:cs="仿宋"/>
          <w:color w:val="auto"/>
          <w:szCs w:val="21"/>
          <w:highlight w:val="none"/>
          <w:u w:val="single"/>
        </w:rPr>
        <w:t xml:space="preserve">   （中标供应商名称）   </w:t>
      </w:r>
      <w:r>
        <w:rPr>
          <w:rFonts w:hint="eastAsia" w:ascii="仿宋" w:hAnsi="仿宋" w:eastAsia="仿宋" w:cs="仿宋"/>
          <w:color w:val="auto"/>
          <w:szCs w:val="21"/>
          <w:highlight w:val="none"/>
          <w:lang w:val="zh-CN"/>
        </w:rPr>
        <w:t>(以下简称：乙方)协商一致，约定以下合同</w:t>
      </w:r>
      <w:r>
        <w:rPr>
          <w:rFonts w:hint="eastAsia" w:ascii="仿宋" w:hAnsi="仿宋" w:eastAsia="仿宋" w:cs="仿宋"/>
          <w:color w:val="auto"/>
          <w:szCs w:val="21"/>
          <w:highlight w:val="none"/>
        </w:rPr>
        <w:t>条款，以兹共同遵守、全面履行。</w:t>
      </w:r>
    </w:p>
    <w:p w14:paraId="6F9FA81A">
      <w:pPr>
        <w:spacing w:line="360" w:lineRule="auto"/>
        <w:ind w:firstLine="422" w:firstLineChars="200"/>
        <w:outlineLvl w:val="2"/>
        <w:rPr>
          <w:rFonts w:ascii="仿宋" w:hAnsi="仿宋" w:eastAsia="仿宋" w:cs="仿宋"/>
          <w:color w:val="auto"/>
          <w:szCs w:val="21"/>
          <w:highlight w:val="none"/>
        </w:rPr>
      </w:pPr>
      <w:bookmarkStart w:id="42" w:name="_Toc22967"/>
      <w:bookmarkStart w:id="43" w:name="_Toc28855"/>
      <w:bookmarkStart w:id="44" w:name="_Toc20421"/>
      <w:bookmarkStart w:id="45" w:name="_Toc19273"/>
      <w:bookmarkStart w:id="46" w:name="_Toc15367"/>
      <w:r>
        <w:rPr>
          <w:rFonts w:hint="eastAsia" w:ascii="仿宋" w:hAnsi="仿宋" w:eastAsia="仿宋" w:cs="仿宋"/>
          <w:b/>
          <w:color w:val="auto"/>
          <w:szCs w:val="21"/>
          <w:highlight w:val="none"/>
        </w:rPr>
        <w:t>1.1 合同组成部分</w:t>
      </w:r>
      <w:bookmarkEnd w:id="42"/>
      <w:bookmarkEnd w:id="43"/>
      <w:bookmarkEnd w:id="44"/>
      <w:bookmarkEnd w:id="45"/>
      <w:bookmarkEnd w:id="46"/>
    </w:p>
    <w:p w14:paraId="5B00EA8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3110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1.1.1 本合同及其补充合同、变更协议；</w:t>
      </w:r>
    </w:p>
    <w:p w14:paraId="6E5232A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1.1.2 中标通知书；</w:t>
      </w:r>
    </w:p>
    <w:p w14:paraId="626ED13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1.1.3 投标或者响应文件（含澄清或者说明文件）；</w:t>
      </w:r>
    </w:p>
    <w:p w14:paraId="505D180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1.1.4 采购文件（含澄清或者修改文件）；</w:t>
      </w:r>
    </w:p>
    <w:p w14:paraId="1E6E9CD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1.1.5 其他相关采购文件。</w:t>
      </w:r>
    </w:p>
    <w:p w14:paraId="148443C5">
      <w:pPr>
        <w:spacing w:line="360" w:lineRule="auto"/>
        <w:ind w:firstLine="422" w:firstLineChars="200"/>
        <w:outlineLvl w:val="2"/>
        <w:rPr>
          <w:rFonts w:ascii="仿宋" w:hAnsi="仿宋" w:eastAsia="仿宋" w:cs="仿宋"/>
          <w:b/>
          <w:color w:val="auto"/>
          <w:szCs w:val="21"/>
          <w:highlight w:val="none"/>
        </w:rPr>
      </w:pPr>
      <w:bookmarkStart w:id="47" w:name="_Toc18585"/>
      <w:bookmarkStart w:id="48" w:name="_Toc2918"/>
      <w:bookmarkStart w:id="49" w:name="_Toc22185"/>
      <w:bookmarkStart w:id="50" w:name="_Toc6311"/>
      <w:bookmarkStart w:id="51" w:name="_Toc6773"/>
      <w:r>
        <w:rPr>
          <w:rFonts w:hint="eastAsia" w:ascii="仿宋" w:hAnsi="仿宋" w:eastAsia="仿宋" w:cs="仿宋"/>
          <w:b/>
          <w:color w:val="auto"/>
          <w:szCs w:val="21"/>
          <w:highlight w:val="none"/>
        </w:rPr>
        <w:t>1.2 标的</w:t>
      </w:r>
      <w:bookmarkEnd w:id="47"/>
      <w:bookmarkEnd w:id="48"/>
      <w:bookmarkEnd w:id="49"/>
      <w:bookmarkEnd w:id="50"/>
      <w:bookmarkEnd w:id="51"/>
    </w:p>
    <w:p w14:paraId="3128979C">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1.2.1 标的名称：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D4D1A9A">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1.2.2 标的数量：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2028B7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1.2.3 标的质量：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6AD4873">
      <w:pPr>
        <w:spacing w:line="360" w:lineRule="auto"/>
        <w:ind w:firstLine="422" w:firstLineChars="200"/>
        <w:outlineLvl w:val="2"/>
        <w:rPr>
          <w:rFonts w:ascii="仿宋" w:hAnsi="仿宋" w:eastAsia="仿宋" w:cs="仿宋"/>
          <w:b/>
          <w:color w:val="auto"/>
          <w:szCs w:val="21"/>
          <w:highlight w:val="none"/>
        </w:rPr>
      </w:pPr>
      <w:bookmarkStart w:id="52" w:name="_Toc21124"/>
      <w:bookmarkStart w:id="53" w:name="_Toc1386"/>
      <w:bookmarkStart w:id="54" w:name="_Toc5635"/>
      <w:bookmarkStart w:id="55" w:name="_Toc4929"/>
      <w:bookmarkStart w:id="56" w:name="_Toc13918"/>
      <w:r>
        <w:rPr>
          <w:rFonts w:hint="eastAsia" w:ascii="仿宋" w:hAnsi="仿宋" w:eastAsia="仿宋" w:cs="仿宋"/>
          <w:b/>
          <w:color w:val="auto"/>
          <w:szCs w:val="21"/>
          <w:highlight w:val="none"/>
        </w:rPr>
        <w:t>1.3 价款</w:t>
      </w:r>
      <w:bookmarkEnd w:id="52"/>
      <w:bookmarkEnd w:id="53"/>
      <w:bookmarkEnd w:id="54"/>
      <w:bookmarkEnd w:id="55"/>
      <w:bookmarkEnd w:id="56"/>
    </w:p>
    <w:p w14:paraId="40C10CB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w:t>
      </w:r>
      <w:r>
        <w:rPr>
          <w:rFonts w:hint="eastAsia" w:ascii="仿宋" w:hAnsi="仿宋" w:eastAsia="仿宋" w:cs="仿宋"/>
          <w:color w:val="auto"/>
          <w:szCs w:val="21"/>
          <w:highlight w:val="none"/>
          <w:lang w:val="en-US" w:eastAsia="zh-CN"/>
        </w:rPr>
        <w:t>单价为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，暂定预算总价为：￥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元人民币）。</w:t>
      </w:r>
      <w:bookmarkStart w:id="57" w:name="_Toc26916"/>
      <w:bookmarkStart w:id="58" w:name="_Toc30158"/>
      <w:bookmarkStart w:id="59" w:name="_Toc14993"/>
      <w:bookmarkStart w:id="60" w:name="_Toc3654"/>
      <w:bookmarkStart w:id="61" w:name="_Toc30506"/>
    </w:p>
    <w:p w14:paraId="49109C85">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1.4 付款方式和发票开具方式</w:t>
      </w:r>
      <w:bookmarkEnd w:id="57"/>
      <w:bookmarkEnd w:id="58"/>
      <w:bookmarkEnd w:id="59"/>
      <w:bookmarkEnd w:id="60"/>
      <w:bookmarkEnd w:id="61"/>
    </w:p>
    <w:p w14:paraId="1D517954">
      <w:pPr>
        <w:pStyle w:val="962"/>
        <w:spacing w:before="0" w:beforeAutospacing="0" w:after="0" w:afterAutospacing="0" w:line="360" w:lineRule="auto"/>
        <w:ind w:firstLine="48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1.4.1甲方应严格履行合同，及时组织验收，验收合格后及时将合同款支付完毕。对于满足合同约定支付条件的，甲方自收到发票后20个工作日内将资金支付到合同约定的乙方账户，有条件的甲方可以即时支付。如因财务系统问题或指标未下达等不可抗力因素而造成延迟支付，不属于甲方违约行为。</w:t>
      </w:r>
    </w:p>
    <w:p w14:paraId="59A84B47">
      <w:pPr>
        <w:spacing w:line="360" w:lineRule="auto"/>
        <w:ind w:firstLine="420" w:firstLineChars="200"/>
        <w:rPr>
          <w:rFonts w:ascii="仿宋" w:hAnsi="仿宋" w:eastAsia="仿宋" w:cs="仿宋"/>
          <w:strike/>
          <w:color w:val="auto"/>
          <w:szCs w:val="21"/>
          <w:highlight w:val="none"/>
        </w:rPr>
      </w:pPr>
      <w:r>
        <w:rPr>
          <w:rFonts w:hint="eastAsia" w:ascii="仿宋" w:hAnsi="仿宋" w:eastAsia="仿宋" w:cs="仿宋"/>
          <w:color w:val="auto"/>
          <w:szCs w:val="21"/>
          <w:highlight w:val="none"/>
        </w:rPr>
        <w:t xml:space="preserve">1.4.2 </w:t>
      </w: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按</w:t>
      </w:r>
      <w:r>
        <w:rPr>
          <w:rFonts w:hint="eastAsia" w:ascii="仿宋" w:hAnsi="仿宋" w:eastAsia="仿宋" w:cs="仿宋"/>
          <w:b/>
          <w:bCs/>
          <w:color w:val="auto"/>
          <w:szCs w:val="21"/>
          <w:highlight w:val="none"/>
        </w:rPr>
        <w:t>实际完成量</w:t>
      </w:r>
      <w:r>
        <w:rPr>
          <w:rFonts w:hint="eastAsia" w:ascii="仿宋" w:hAnsi="仿宋" w:eastAsia="仿宋" w:cs="仿宋"/>
          <w:b/>
          <w:bCs/>
          <w:strike w:val="0"/>
          <w:dstrike w:val="0"/>
          <w:color w:val="auto"/>
          <w:szCs w:val="21"/>
          <w:highlight w:val="none"/>
          <w:lang w:eastAsia="zh-CN"/>
        </w:rPr>
        <w:t>按社区分批</w:t>
      </w:r>
      <w:r>
        <w:rPr>
          <w:rFonts w:hint="eastAsia" w:ascii="仿宋" w:hAnsi="仿宋" w:eastAsia="仿宋" w:cs="仿宋"/>
          <w:b/>
          <w:bCs/>
          <w:color w:val="auto"/>
          <w:szCs w:val="21"/>
          <w:highlight w:val="none"/>
        </w:rPr>
        <w:t>结算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乙方需提供符合财政要求的发票</w:t>
      </w:r>
      <w:r>
        <w:rPr>
          <w:rFonts w:hint="eastAsia" w:ascii="仿宋" w:hAnsi="仿宋" w:eastAsia="仿宋" w:cs="仿宋"/>
          <w:b/>
          <w:bCs/>
          <w:color w:val="auto"/>
          <w:szCs w:val="21"/>
          <w:highlight w:val="none"/>
        </w:rPr>
        <w:t>。</w:t>
      </w:r>
    </w:p>
    <w:p w14:paraId="285CD2B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1.4.3甲方迟延支付乙方款项的，向乙方支付逾期利息</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如因财务系统问题或指标未下达等不可抗力因素而造成延迟支付，不属于甲方违约行为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。双方可以在</w:t>
      </w:r>
      <w:r>
        <w:rPr>
          <w:rFonts w:hint="eastAsia" w:ascii="仿宋" w:hAnsi="仿宋" w:eastAsia="仿宋" w:cs="仿宋"/>
          <w:b/>
          <w:bCs/>
          <w:color w:val="auto"/>
          <w:szCs w:val="21"/>
          <w:highlight w:val="none"/>
          <w:u w:val="single"/>
        </w:rPr>
        <w:t>合同专用条款</w:t>
      </w:r>
      <w:r>
        <w:rPr>
          <w:rFonts w:hint="eastAsia" w:ascii="仿宋" w:hAnsi="仿宋" w:eastAsia="仿宋" w:cs="仿宋"/>
          <w:color w:val="auto"/>
          <w:szCs w:val="21"/>
          <w:highlight w:val="none"/>
        </w:rPr>
        <w:t>中约定逾期利率，约定利率不得低于合同订立时1年期贷款市场报价利率；未作约定的，按照每日利率万分之五支付逾期利息。</w:t>
      </w:r>
    </w:p>
    <w:p w14:paraId="0C0D5E6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1.4.4资金支付的方式、时间和条件详见</w:t>
      </w:r>
      <w:r>
        <w:rPr>
          <w:rFonts w:hint="eastAsia" w:ascii="仿宋" w:hAnsi="仿宋" w:eastAsia="仿宋" w:cs="仿宋"/>
          <w:b/>
          <w:bCs/>
          <w:color w:val="auto"/>
          <w:szCs w:val="21"/>
          <w:highlight w:val="none"/>
          <w:u w:val="single"/>
        </w:rPr>
        <w:t>合同专用条款</w:t>
      </w:r>
      <w:r>
        <w:rPr>
          <w:rFonts w:hint="eastAsia" w:ascii="仿宋" w:hAnsi="仿宋" w:eastAsia="仿宋" w:cs="仿宋"/>
          <w:color w:val="auto"/>
          <w:szCs w:val="21"/>
          <w:highlight w:val="none"/>
        </w:rPr>
        <w:t>。</w:t>
      </w:r>
    </w:p>
    <w:p w14:paraId="71D1E694">
      <w:pPr>
        <w:spacing w:line="360" w:lineRule="auto"/>
        <w:ind w:firstLine="422" w:firstLineChars="200"/>
        <w:outlineLvl w:val="2"/>
        <w:rPr>
          <w:rFonts w:ascii="仿宋" w:hAnsi="仿宋" w:eastAsia="仿宋" w:cs="仿宋"/>
          <w:b/>
          <w:color w:val="auto"/>
          <w:szCs w:val="21"/>
          <w:highlight w:val="none"/>
        </w:rPr>
      </w:pPr>
      <w:bookmarkStart w:id="62" w:name="_Toc4760"/>
      <w:bookmarkStart w:id="63" w:name="_Toc31421"/>
      <w:bookmarkStart w:id="64" w:name="_Toc8772"/>
      <w:bookmarkStart w:id="65" w:name="_Toc11108"/>
      <w:bookmarkStart w:id="66" w:name="_Toc3625"/>
      <w:r>
        <w:rPr>
          <w:rFonts w:hint="eastAsia" w:ascii="仿宋" w:hAnsi="仿宋" w:eastAsia="仿宋" w:cs="仿宋"/>
          <w:b/>
          <w:color w:val="auto"/>
          <w:szCs w:val="21"/>
          <w:highlight w:val="none"/>
        </w:rPr>
        <w:t>1.5 履行期限、地点和方式</w:t>
      </w:r>
      <w:bookmarkEnd w:id="62"/>
      <w:bookmarkEnd w:id="63"/>
      <w:bookmarkEnd w:id="64"/>
      <w:bookmarkEnd w:id="65"/>
      <w:bookmarkEnd w:id="66"/>
    </w:p>
    <w:p w14:paraId="1C87AAE3">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1.5.1 履行期限：</w:t>
      </w:r>
      <w:r>
        <w:rPr>
          <w:rFonts w:hint="eastAsia" w:ascii="仿宋" w:hAnsi="仿宋" w:eastAsia="仿宋" w:cs="仿宋"/>
          <w:b/>
          <w:bCs/>
          <w:color w:val="auto"/>
          <w:szCs w:val="21"/>
          <w:highlight w:val="none"/>
          <w:u w:val="single"/>
        </w:rPr>
        <w:t>合同专用条款</w:t>
      </w:r>
      <w:r>
        <w:rPr>
          <w:rFonts w:hint="eastAsia" w:ascii="仿宋" w:hAnsi="仿宋" w:eastAsia="仿宋" w:cs="仿宋"/>
          <w:color w:val="auto"/>
          <w:szCs w:val="21"/>
          <w:highlight w:val="none"/>
        </w:rPr>
        <w:t>；</w:t>
      </w:r>
    </w:p>
    <w:p w14:paraId="1BB3885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1.5.2 履行地点：</w:t>
      </w:r>
      <w:r>
        <w:rPr>
          <w:rFonts w:hint="eastAsia" w:ascii="仿宋" w:hAnsi="仿宋" w:eastAsia="仿宋" w:cs="仿宋"/>
          <w:b/>
          <w:bCs/>
          <w:color w:val="auto"/>
          <w:szCs w:val="21"/>
          <w:highlight w:val="none"/>
          <w:u w:val="single"/>
        </w:rPr>
        <w:t>合同专用条款</w:t>
      </w:r>
      <w:r>
        <w:rPr>
          <w:rFonts w:hint="eastAsia" w:ascii="仿宋" w:hAnsi="仿宋" w:eastAsia="仿宋" w:cs="仿宋"/>
          <w:color w:val="auto"/>
          <w:szCs w:val="21"/>
          <w:highlight w:val="none"/>
        </w:rPr>
        <w:t>；</w:t>
      </w:r>
    </w:p>
    <w:p w14:paraId="5181CB6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1.5.3 履行方式：</w:t>
      </w:r>
      <w:r>
        <w:rPr>
          <w:rFonts w:hint="eastAsia" w:ascii="仿宋" w:hAnsi="仿宋" w:eastAsia="仿宋" w:cs="仿宋"/>
          <w:b/>
          <w:bCs/>
          <w:color w:val="auto"/>
          <w:szCs w:val="21"/>
          <w:highlight w:val="none"/>
          <w:u w:val="single"/>
        </w:rPr>
        <w:t>合同专用条款</w:t>
      </w:r>
      <w:r>
        <w:rPr>
          <w:rFonts w:hint="eastAsia" w:ascii="仿宋" w:hAnsi="仿宋" w:eastAsia="仿宋" w:cs="仿宋"/>
          <w:color w:val="auto"/>
          <w:szCs w:val="21"/>
          <w:highlight w:val="none"/>
        </w:rPr>
        <w:t>。</w:t>
      </w:r>
    </w:p>
    <w:p w14:paraId="7B64A31A">
      <w:pPr>
        <w:spacing w:line="360" w:lineRule="auto"/>
        <w:ind w:firstLine="422" w:firstLineChars="200"/>
        <w:outlineLvl w:val="2"/>
        <w:rPr>
          <w:rFonts w:ascii="仿宋" w:hAnsi="仿宋" w:eastAsia="仿宋" w:cs="仿宋"/>
          <w:color w:val="auto"/>
          <w:szCs w:val="21"/>
          <w:highlight w:val="none"/>
          <w:u w:val="single"/>
        </w:rPr>
      </w:pPr>
      <w:bookmarkStart w:id="67" w:name="_Toc2375"/>
      <w:bookmarkStart w:id="68" w:name="_Toc24662"/>
      <w:bookmarkStart w:id="69" w:name="_Toc5698"/>
      <w:bookmarkStart w:id="70" w:name="_Toc8586"/>
      <w:bookmarkStart w:id="71" w:name="_Toc3079"/>
      <w:r>
        <w:rPr>
          <w:rFonts w:hint="eastAsia" w:ascii="仿宋" w:hAnsi="仿宋" w:eastAsia="仿宋" w:cs="仿宋"/>
          <w:b/>
          <w:color w:val="auto"/>
          <w:szCs w:val="21"/>
          <w:highlight w:val="none"/>
        </w:rPr>
        <w:t>1.6 违约责任</w:t>
      </w:r>
      <w:bookmarkEnd w:id="67"/>
      <w:bookmarkEnd w:id="68"/>
      <w:bookmarkEnd w:id="69"/>
      <w:bookmarkEnd w:id="70"/>
      <w:bookmarkEnd w:id="71"/>
    </w:p>
    <w:p w14:paraId="5ED20C3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Cs w:val="21"/>
          <w:highlight w:val="none"/>
          <w:u w:val="single"/>
        </w:rPr>
        <w:t xml:space="preserve"> 0.05   </w:t>
      </w:r>
      <w:r>
        <w:rPr>
          <w:rFonts w:hint="eastAsia" w:ascii="仿宋" w:hAnsi="仿宋" w:eastAsia="仿宋" w:cs="仿宋"/>
          <w:color w:val="auto"/>
          <w:szCs w:val="21"/>
          <w:highlight w:val="none"/>
        </w:rPr>
        <w:t>%计算，最高限额为本合同总价的</w:t>
      </w:r>
      <w:r>
        <w:rPr>
          <w:rFonts w:hint="eastAsia" w:ascii="仿宋" w:hAnsi="仿宋" w:eastAsia="仿宋" w:cs="仿宋"/>
          <w:color w:val="auto"/>
          <w:szCs w:val="21"/>
          <w:highlight w:val="none"/>
          <w:u w:val="single"/>
        </w:rPr>
        <w:t xml:space="preserve">  20   </w:t>
      </w:r>
      <w:r>
        <w:rPr>
          <w:rFonts w:hint="eastAsia" w:ascii="仿宋" w:hAnsi="仿宋" w:eastAsia="仿宋" w:cs="仿宋"/>
          <w:color w:val="auto"/>
          <w:szCs w:val="21"/>
          <w:highlight w:val="none"/>
        </w:rPr>
        <w:t>%；迟延履行的违约金计算数额达到前述最高限额之日起，甲方有权在要求乙方支付违约金的同时，书面通知乙方解除本合同；</w:t>
      </w:r>
    </w:p>
    <w:p w14:paraId="3B2C5A4D">
      <w:pPr>
        <w:spacing w:line="360" w:lineRule="auto"/>
        <w:ind w:firstLine="420" w:firstLineChars="200"/>
        <w:rPr>
          <w:rFonts w:ascii="仿宋" w:hAnsi="仿宋" w:eastAsia="仿宋" w:cs="仿宋"/>
          <w:strike/>
          <w:color w:val="auto"/>
          <w:szCs w:val="21"/>
          <w:highlight w:val="none"/>
        </w:rPr>
      </w:pPr>
      <w:r>
        <w:rPr>
          <w:rFonts w:hint="eastAsia" w:ascii="仿宋" w:hAnsi="仿宋" w:eastAsia="仿宋" w:cs="仿宋"/>
          <w:color w:val="auto"/>
          <w:szCs w:val="21"/>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Cs w:val="21"/>
          <w:highlight w:val="none"/>
          <w:u w:val="single"/>
        </w:rPr>
        <w:t xml:space="preserve"> 0.05   </w:t>
      </w:r>
      <w:r>
        <w:rPr>
          <w:rFonts w:hint="eastAsia" w:ascii="仿宋" w:hAnsi="仿宋" w:eastAsia="仿宋" w:cs="仿宋"/>
          <w:color w:val="auto"/>
          <w:szCs w:val="21"/>
          <w:highlight w:val="none"/>
        </w:rPr>
        <w:t>%计算，最高限额为本合同总价的</w:t>
      </w:r>
      <w:r>
        <w:rPr>
          <w:rFonts w:hint="eastAsia" w:ascii="仿宋" w:hAnsi="仿宋" w:eastAsia="仿宋" w:cs="仿宋"/>
          <w:color w:val="auto"/>
          <w:szCs w:val="21"/>
          <w:highlight w:val="none"/>
          <w:u w:val="single"/>
        </w:rPr>
        <w:t xml:space="preserve">  20   </w:t>
      </w:r>
      <w:r>
        <w:rPr>
          <w:rFonts w:hint="eastAsia" w:ascii="仿宋" w:hAnsi="仿宋" w:eastAsia="仿宋" w:cs="仿宋"/>
          <w:color w:val="auto"/>
          <w:szCs w:val="21"/>
          <w:highlight w:val="none"/>
        </w:rPr>
        <w:t>%；迟延付款的违约金计算数额达到前述最高限额之日起，乙方有权在要求甲方支付违约金的同时，书面通知甲方解除本合同；</w:t>
      </w:r>
    </w:p>
    <w:p w14:paraId="2F91032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932DE6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F8C3E6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43262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51C52A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1.6.7违约责任</w:t>
      </w:r>
      <w:r>
        <w:rPr>
          <w:rFonts w:hint="eastAsia" w:ascii="仿宋" w:hAnsi="仿宋" w:eastAsia="仿宋" w:cs="仿宋"/>
          <w:b/>
          <w:bCs/>
          <w:color w:val="auto"/>
          <w:szCs w:val="21"/>
          <w:highlight w:val="none"/>
          <w:u w:val="single"/>
        </w:rPr>
        <w:t>合同专用条款</w:t>
      </w:r>
      <w:r>
        <w:rPr>
          <w:rFonts w:hint="eastAsia" w:ascii="仿宋" w:hAnsi="仿宋" w:eastAsia="仿宋" w:cs="仿宋"/>
          <w:color w:val="auto"/>
          <w:szCs w:val="21"/>
          <w:highlight w:val="none"/>
        </w:rPr>
        <w:t>另有约定的，从其约定。</w:t>
      </w:r>
    </w:p>
    <w:p w14:paraId="2A9AD2DD">
      <w:pPr>
        <w:spacing w:line="360" w:lineRule="auto"/>
        <w:ind w:firstLine="422" w:firstLineChars="200"/>
        <w:outlineLvl w:val="2"/>
        <w:rPr>
          <w:rFonts w:ascii="仿宋" w:hAnsi="仿宋" w:eastAsia="仿宋" w:cs="仿宋"/>
          <w:b/>
          <w:color w:val="auto"/>
          <w:szCs w:val="21"/>
          <w:highlight w:val="none"/>
        </w:rPr>
      </w:pPr>
      <w:bookmarkStart w:id="72" w:name="_Toc9497"/>
      <w:bookmarkStart w:id="73" w:name="_Toc26807"/>
      <w:bookmarkStart w:id="74" w:name="_Toc32454"/>
      <w:bookmarkStart w:id="75" w:name="_Toc30329"/>
      <w:bookmarkStart w:id="76" w:name="_Toc18683"/>
      <w:r>
        <w:rPr>
          <w:rFonts w:hint="eastAsia" w:ascii="仿宋" w:hAnsi="仿宋" w:eastAsia="仿宋" w:cs="仿宋"/>
          <w:b/>
          <w:color w:val="auto"/>
          <w:szCs w:val="21"/>
          <w:highlight w:val="none"/>
        </w:rPr>
        <w:t>1.7 合同争议的解决</w:t>
      </w:r>
      <w:bookmarkEnd w:id="72"/>
      <w:bookmarkEnd w:id="73"/>
      <w:bookmarkEnd w:id="74"/>
      <w:bookmarkEnd w:id="75"/>
      <w:bookmarkEnd w:id="76"/>
    </w:p>
    <w:p w14:paraId="1098431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Cs w:val="21"/>
          <w:highlight w:val="none"/>
          <w:u w:val="single"/>
        </w:rPr>
        <w:t xml:space="preserve"> 合同专用条款  </w:t>
      </w:r>
      <w:r>
        <w:rPr>
          <w:rFonts w:hint="eastAsia" w:ascii="仿宋" w:hAnsi="仿宋" w:eastAsia="仿宋" w:cs="仿宋"/>
          <w:color w:val="auto"/>
          <w:szCs w:val="21"/>
          <w:highlight w:val="none"/>
        </w:rPr>
        <w:t>条款规定的方式解决：</w:t>
      </w:r>
    </w:p>
    <w:p w14:paraId="3C52F59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1.7.1 将争议提交</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仲裁委员会依申请仲裁时其现行有效的仲裁规则裁决；任何一方违反本协议的约定即视为违约，违约方除应承担违约损害赔偿外，还应承担守约方为实现权力而支出的合理费用，包括但不限于诉讼费、保全费、鉴定费、律师代理费、执行费、差旅费等；</w:t>
      </w:r>
    </w:p>
    <w:p w14:paraId="55A5789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1.7.2 向</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人民法院起诉，合同各方通讯地址可作为送达催款函、对帐单、法院送达诉讼文书的地址，因载明的地址有误或未及时告知变更后的地址，导致相关文书及诉讼文书未能实际被接收的、邮寄送达的，相关文书及诉讼文书退回之日即视为送达之日。</w:t>
      </w:r>
    </w:p>
    <w:p w14:paraId="480F98DC">
      <w:pPr>
        <w:spacing w:line="360" w:lineRule="auto"/>
        <w:ind w:firstLine="422" w:firstLineChars="200"/>
        <w:outlineLvl w:val="2"/>
        <w:rPr>
          <w:rFonts w:ascii="仿宋" w:hAnsi="仿宋" w:eastAsia="仿宋" w:cs="仿宋"/>
          <w:b/>
          <w:color w:val="auto"/>
          <w:szCs w:val="21"/>
          <w:highlight w:val="none"/>
        </w:rPr>
      </w:pPr>
      <w:bookmarkStart w:id="77" w:name="_Toc26227"/>
      <w:bookmarkStart w:id="78" w:name="_Toc15827"/>
      <w:bookmarkStart w:id="79" w:name="_Toc16417"/>
      <w:bookmarkStart w:id="80" w:name="_Toc23784"/>
      <w:bookmarkStart w:id="81" w:name="_Toc12273"/>
      <w:r>
        <w:rPr>
          <w:rFonts w:hint="eastAsia" w:ascii="仿宋" w:hAnsi="仿宋" w:eastAsia="仿宋" w:cs="仿宋"/>
          <w:b/>
          <w:color w:val="auto"/>
          <w:szCs w:val="21"/>
          <w:highlight w:val="none"/>
        </w:rPr>
        <w:t>1.8 合同生效</w:t>
      </w:r>
      <w:bookmarkEnd w:id="77"/>
      <w:bookmarkEnd w:id="78"/>
      <w:bookmarkEnd w:id="79"/>
      <w:bookmarkEnd w:id="80"/>
      <w:bookmarkEnd w:id="81"/>
    </w:p>
    <w:p w14:paraId="19681A9F">
      <w:pPr>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本合同自双方当事人盖章或者签字时生效。</w:t>
      </w:r>
    </w:p>
    <w:p w14:paraId="49D2126A">
      <w:pPr>
        <w:autoSpaceDE w:val="0"/>
        <w:autoSpaceDN w:val="0"/>
        <w:spacing w:line="360" w:lineRule="auto"/>
        <w:rPr>
          <w:rFonts w:ascii="仿宋" w:hAnsi="仿宋" w:eastAsia="仿宋" w:cs="仿宋"/>
          <w:color w:val="auto"/>
          <w:szCs w:val="21"/>
          <w:highlight w:val="none"/>
          <w:lang w:val="zh-CN"/>
        </w:rPr>
      </w:pPr>
    </w:p>
    <w:p w14:paraId="1B193F62">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b/>
          <w:color w:val="auto"/>
          <w:szCs w:val="21"/>
          <w:highlight w:val="none"/>
          <w:lang w:val="zh-CN"/>
        </w:rPr>
        <w:t>甲方</w:t>
      </w:r>
      <w:r>
        <w:rPr>
          <w:rFonts w:hint="eastAsia" w:ascii="仿宋" w:hAnsi="仿宋" w:eastAsia="仿宋" w:cs="仿宋"/>
          <w:color w:val="auto"/>
          <w:szCs w:val="21"/>
          <w:highlight w:val="none"/>
          <w:lang w:val="zh-CN"/>
        </w:rPr>
        <w:t xml:space="preserve">：                             </w:t>
      </w:r>
      <w:r>
        <w:rPr>
          <w:rFonts w:hint="eastAsia" w:ascii="仿宋" w:hAnsi="仿宋" w:eastAsia="仿宋" w:cs="仿宋"/>
          <w:b/>
          <w:color w:val="auto"/>
          <w:szCs w:val="21"/>
          <w:highlight w:val="none"/>
          <w:lang w:val="zh-CN"/>
        </w:rPr>
        <w:t xml:space="preserve">      乙方</w:t>
      </w:r>
      <w:r>
        <w:rPr>
          <w:rFonts w:hint="eastAsia" w:ascii="仿宋" w:hAnsi="仿宋" w:eastAsia="仿宋" w:cs="仿宋"/>
          <w:color w:val="auto"/>
          <w:szCs w:val="21"/>
          <w:highlight w:val="none"/>
          <w:lang w:val="zh-CN"/>
        </w:rPr>
        <w:t>：</w:t>
      </w:r>
    </w:p>
    <w:p w14:paraId="32A14208">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统一社会信用代码：                        统一社会信用代码或身份证号码：</w:t>
      </w:r>
    </w:p>
    <w:p w14:paraId="6F6F05EB">
      <w:pPr>
        <w:autoSpaceDE w:val="0"/>
        <w:autoSpaceDN w:val="0"/>
        <w:spacing w:line="360" w:lineRule="auto"/>
        <w:rPr>
          <w:rFonts w:ascii="仿宋" w:hAnsi="仿宋" w:eastAsia="仿宋" w:cs="仿宋"/>
          <w:color w:val="auto"/>
          <w:szCs w:val="21"/>
          <w:highlight w:val="none"/>
          <w:lang w:val="zh-CN"/>
        </w:rPr>
      </w:pPr>
    </w:p>
    <w:p w14:paraId="1143007C">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住所：                                   住所：</w:t>
      </w:r>
    </w:p>
    <w:p w14:paraId="52764F1E">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法定代表人或                             法定代表人或</w:t>
      </w:r>
    </w:p>
    <w:p w14:paraId="1FC602F9">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授权代表（签字）：                       授权代表（签字）: </w:t>
      </w:r>
    </w:p>
    <w:p w14:paraId="0A6CD277">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联系人：                                 联系人：</w:t>
      </w:r>
    </w:p>
    <w:p w14:paraId="0BD2E810">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约定送达地址：                           约定送达地址：</w:t>
      </w:r>
    </w:p>
    <w:p w14:paraId="351D7692">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邮政编码：                               邮政编码：</w:t>
      </w:r>
    </w:p>
    <w:p w14:paraId="465A80D3">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电话:                                    电话: </w:t>
      </w:r>
    </w:p>
    <w:p w14:paraId="190D0AED">
      <w:pPr>
        <w:autoSpaceDE w:val="0"/>
        <w:autoSpaceDN w:val="0"/>
        <w:spacing w:line="360" w:lineRule="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传真:                                    传真:</w:t>
      </w:r>
    </w:p>
    <w:p w14:paraId="2468EBA2">
      <w:pPr>
        <w:autoSpaceDE w:val="0"/>
        <w:autoSpaceDN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lang w:val="zh-CN"/>
        </w:rPr>
        <w:t>电子邮箱：                               电子邮箱：</w:t>
      </w:r>
    </w:p>
    <w:p w14:paraId="68246EE8">
      <w:pPr>
        <w:autoSpaceDE w:val="0"/>
        <w:autoSpaceDN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开户银行： </w:t>
      </w:r>
    </w:p>
    <w:p w14:paraId="58BF97F1">
      <w:pPr>
        <w:autoSpaceDE w:val="0"/>
        <w:autoSpaceDN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开户名称：                               开户名称： </w:t>
      </w:r>
    </w:p>
    <w:p w14:paraId="4934D456">
      <w:pPr>
        <w:autoSpaceDE w:val="0"/>
        <w:autoSpaceDN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开户账号：</w:t>
      </w: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开户账号：</w:t>
      </w:r>
    </w:p>
    <w:p w14:paraId="0AC2D4A4">
      <w:pPr>
        <w:widowControl/>
        <w:spacing w:line="560" w:lineRule="exact"/>
        <w:jc w:val="left"/>
        <w:rPr>
          <w:rFonts w:ascii="仿宋" w:hAnsi="仿宋" w:eastAsia="仿宋" w:cs="仿宋"/>
          <w:b/>
          <w:color w:val="auto"/>
          <w:sz w:val="24"/>
          <w:highlight w:val="none"/>
        </w:rPr>
      </w:pPr>
    </w:p>
    <w:p w14:paraId="6F64528B">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76BF9CD2">
      <w:pPr>
        <w:pStyle w:val="704"/>
        <w:ind w:left="0" w:leftChars="0" w:firstLine="0" w:firstLineChars="0"/>
        <w:jc w:val="center"/>
        <w:outlineLvl w:val="1"/>
        <w:rPr>
          <w:rFonts w:ascii="仿宋" w:hAnsi="仿宋" w:eastAsia="仿宋" w:cs="仿宋"/>
          <w:b/>
          <w:color w:val="auto"/>
          <w:sz w:val="28"/>
          <w:szCs w:val="28"/>
          <w:highlight w:val="none"/>
        </w:rPr>
      </w:pPr>
      <w:bookmarkStart w:id="82" w:name="_Toc10796"/>
      <w:r>
        <w:rPr>
          <w:rFonts w:hint="eastAsia" w:ascii="仿宋" w:hAnsi="仿宋" w:eastAsia="仿宋" w:cs="仿宋"/>
          <w:b/>
          <w:color w:val="auto"/>
          <w:sz w:val="28"/>
          <w:szCs w:val="28"/>
          <w:highlight w:val="none"/>
        </w:rPr>
        <w:t>第二部分 合同一般条款</w:t>
      </w:r>
      <w:bookmarkEnd w:id="82"/>
    </w:p>
    <w:p w14:paraId="2FF02E15">
      <w:pPr>
        <w:spacing w:line="360" w:lineRule="auto"/>
        <w:ind w:firstLine="422" w:firstLineChars="200"/>
        <w:outlineLvl w:val="2"/>
        <w:rPr>
          <w:rFonts w:ascii="仿宋" w:hAnsi="仿宋" w:eastAsia="仿宋" w:cs="仿宋"/>
          <w:b/>
          <w:color w:val="auto"/>
          <w:szCs w:val="21"/>
          <w:highlight w:val="none"/>
        </w:rPr>
      </w:pPr>
      <w:bookmarkStart w:id="83" w:name="_Toc14021"/>
      <w:bookmarkStart w:id="84" w:name="_Toc31297"/>
      <w:bookmarkStart w:id="85" w:name="_Toc19680"/>
      <w:bookmarkStart w:id="86" w:name="_Toc5228"/>
      <w:bookmarkStart w:id="87" w:name="_Toc25079"/>
      <w:r>
        <w:rPr>
          <w:rFonts w:hint="eastAsia" w:ascii="仿宋" w:hAnsi="仿宋" w:eastAsia="仿宋" w:cs="仿宋"/>
          <w:b/>
          <w:color w:val="auto"/>
          <w:szCs w:val="21"/>
          <w:highlight w:val="none"/>
        </w:rPr>
        <w:t>2.1 定义</w:t>
      </w:r>
      <w:bookmarkEnd w:id="83"/>
      <w:bookmarkEnd w:id="84"/>
      <w:bookmarkEnd w:id="85"/>
      <w:bookmarkEnd w:id="86"/>
      <w:bookmarkEnd w:id="87"/>
    </w:p>
    <w:p w14:paraId="2C24B6F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本合同中的下列词语应按以下内容进行解释：</w:t>
      </w:r>
    </w:p>
    <w:p w14:paraId="178C0BA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 “合同”系指采购人和中标供应商签订的载明双方当事人所达成的协议，并包括所有的附件、附录和构成合同的其他文件。</w:t>
      </w:r>
    </w:p>
    <w:p w14:paraId="72A8E5E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2.1.2 “合同价”系指根据合同约定，中标供应商在完全履行合同义务后，采购人应支付给中标供应商的价格。</w:t>
      </w:r>
    </w:p>
    <w:p w14:paraId="5488CB0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2.1.3 “服务”系指中标供应商根据合同约定应向采购人履行的除货物和工程以外的其他政府采购对象，包括采购人自身需要的服务和向社会公众提供的公共服务。</w:t>
      </w:r>
    </w:p>
    <w:p w14:paraId="1EE0910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2.1.4 “甲方”系指与中标供应商签署合同的采购人；采购人委托采购代理机构代表其与乙方签订合同的，采购人的授权委托书作为合同附件。</w:t>
      </w:r>
    </w:p>
    <w:p w14:paraId="28294F3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D1440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2.1.6 “现场”系指合同约定提供服务的地点。</w:t>
      </w:r>
    </w:p>
    <w:p w14:paraId="1E2C9AB7">
      <w:pPr>
        <w:spacing w:line="360" w:lineRule="auto"/>
        <w:ind w:firstLine="422" w:firstLineChars="200"/>
        <w:outlineLvl w:val="2"/>
        <w:rPr>
          <w:rFonts w:ascii="仿宋" w:hAnsi="仿宋" w:eastAsia="仿宋" w:cs="仿宋"/>
          <w:b/>
          <w:color w:val="auto"/>
          <w:szCs w:val="21"/>
          <w:highlight w:val="none"/>
        </w:rPr>
      </w:pPr>
      <w:bookmarkStart w:id="88" w:name="_Toc31402"/>
      <w:bookmarkStart w:id="89" w:name="_Toc3769"/>
      <w:bookmarkStart w:id="90" w:name="_Toc23289"/>
      <w:bookmarkStart w:id="91" w:name="_Toc19539"/>
      <w:bookmarkStart w:id="92" w:name="_Toc16752"/>
      <w:r>
        <w:rPr>
          <w:rFonts w:hint="eastAsia" w:ascii="仿宋" w:hAnsi="仿宋" w:eastAsia="仿宋" w:cs="仿宋"/>
          <w:b/>
          <w:color w:val="auto"/>
          <w:szCs w:val="21"/>
          <w:highlight w:val="none"/>
        </w:rPr>
        <w:t>2.2 技术规范</w:t>
      </w:r>
      <w:bookmarkEnd w:id="88"/>
      <w:bookmarkEnd w:id="89"/>
      <w:bookmarkEnd w:id="90"/>
      <w:bookmarkEnd w:id="91"/>
      <w:bookmarkEnd w:id="92"/>
    </w:p>
    <w:p w14:paraId="303818DA">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31E29C6">
      <w:pPr>
        <w:spacing w:line="360" w:lineRule="auto"/>
        <w:ind w:firstLine="422" w:firstLineChars="200"/>
        <w:outlineLvl w:val="2"/>
        <w:rPr>
          <w:rFonts w:ascii="仿宋" w:hAnsi="仿宋" w:eastAsia="仿宋" w:cs="仿宋"/>
          <w:b/>
          <w:color w:val="auto"/>
          <w:szCs w:val="21"/>
          <w:highlight w:val="none"/>
        </w:rPr>
      </w:pPr>
      <w:bookmarkStart w:id="93" w:name="_Toc13673"/>
      <w:bookmarkStart w:id="94" w:name="_Toc9161"/>
      <w:bookmarkStart w:id="95" w:name="_Toc27945"/>
      <w:bookmarkStart w:id="96" w:name="_Toc4133"/>
      <w:bookmarkStart w:id="97" w:name="_Toc12412"/>
      <w:r>
        <w:rPr>
          <w:rFonts w:hint="eastAsia" w:ascii="仿宋" w:hAnsi="仿宋" w:eastAsia="仿宋" w:cs="仿宋"/>
          <w:b/>
          <w:color w:val="auto"/>
          <w:szCs w:val="21"/>
          <w:highlight w:val="none"/>
        </w:rPr>
        <w:t>2.3 知识产权</w:t>
      </w:r>
      <w:bookmarkEnd w:id="93"/>
      <w:bookmarkEnd w:id="94"/>
      <w:bookmarkEnd w:id="95"/>
      <w:bookmarkEnd w:id="96"/>
      <w:bookmarkEnd w:id="97"/>
    </w:p>
    <w:p w14:paraId="6735952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DA8D01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2.3.2 合同涉及技术成果的归属和收益的分成办法的，详见</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w:t>
      </w:r>
    </w:p>
    <w:p w14:paraId="2044D08A">
      <w:pPr>
        <w:spacing w:line="360" w:lineRule="auto"/>
        <w:ind w:firstLine="422" w:firstLineChars="200"/>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2.4 履约检查和问题反馈</w:t>
      </w:r>
    </w:p>
    <w:p w14:paraId="0B00F61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EEE379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2.4.2 合同履行期间，甲方有权将履行过程中出现的问题反馈给乙方，双方当事人应以书面形式约定需要完善和改进的内容。</w:t>
      </w:r>
    </w:p>
    <w:p w14:paraId="53D73DCC">
      <w:pPr>
        <w:spacing w:line="360" w:lineRule="auto"/>
        <w:ind w:firstLine="422" w:firstLineChars="200"/>
        <w:outlineLvl w:val="2"/>
        <w:rPr>
          <w:rFonts w:ascii="仿宋" w:hAnsi="仿宋" w:eastAsia="仿宋" w:cs="仿宋"/>
          <w:b/>
          <w:color w:val="auto"/>
          <w:szCs w:val="21"/>
          <w:highlight w:val="none"/>
        </w:rPr>
      </w:pPr>
      <w:bookmarkStart w:id="98" w:name="_Toc26555"/>
      <w:bookmarkStart w:id="99" w:name="_Toc32670"/>
      <w:bookmarkStart w:id="100" w:name="_Toc31233"/>
      <w:bookmarkStart w:id="101" w:name="_Toc15447"/>
      <w:bookmarkStart w:id="102" w:name="_Toc22011"/>
      <w:r>
        <w:rPr>
          <w:rFonts w:hint="eastAsia" w:ascii="仿宋" w:hAnsi="仿宋" w:eastAsia="仿宋" w:cs="仿宋"/>
          <w:b/>
          <w:color w:val="auto"/>
          <w:szCs w:val="21"/>
          <w:highlight w:val="none"/>
        </w:rPr>
        <w:t>2.5 结算方式和付款条件</w:t>
      </w:r>
      <w:bookmarkEnd w:id="98"/>
      <w:bookmarkEnd w:id="99"/>
      <w:bookmarkEnd w:id="100"/>
      <w:bookmarkEnd w:id="101"/>
      <w:bookmarkEnd w:id="102"/>
    </w:p>
    <w:p w14:paraId="036A9FD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w:t>
      </w:r>
    </w:p>
    <w:p w14:paraId="2C81CD33">
      <w:pPr>
        <w:spacing w:line="360" w:lineRule="auto"/>
        <w:ind w:firstLine="422" w:firstLineChars="200"/>
        <w:outlineLvl w:val="2"/>
        <w:rPr>
          <w:rFonts w:ascii="仿宋" w:hAnsi="仿宋" w:eastAsia="仿宋" w:cs="仿宋"/>
          <w:b/>
          <w:color w:val="auto"/>
          <w:szCs w:val="21"/>
          <w:highlight w:val="none"/>
        </w:rPr>
      </w:pPr>
      <w:bookmarkStart w:id="103" w:name="_Toc16163"/>
      <w:bookmarkStart w:id="104" w:name="_Toc30507"/>
      <w:bookmarkStart w:id="105" w:name="_Toc13467"/>
      <w:bookmarkStart w:id="106" w:name="_Toc18990"/>
      <w:bookmarkStart w:id="107" w:name="_Toc13154"/>
      <w:r>
        <w:rPr>
          <w:rFonts w:hint="eastAsia" w:ascii="仿宋" w:hAnsi="仿宋" w:eastAsia="仿宋" w:cs="仿宋"/>
          <w:b/>
          <w:color w:val="auto"/>
          <w:szCs w:val="21"/>
          <w:highlight w:val="none"/>
        </w:rPr>
        <w:t>2.6 技术资料和保密义务</w:t>
      </w:r>
      <w:bookmarkEnd w:id="103"/>
      <w:bookmarkEnd w:id="104"/>
      <w:bookmarkEnd w:id="105"/>
      <w:bookmarkEnd w:id="106"/>
      <w:bookmarkEnd w:id="107"/>
    </w:p>
    <w:p w14:paraId="0AA9E0D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2.6.1 乙方有权依据合同约定和项目需要，向甲方了解有关情况，调阅有关资料等，甲方应予积极配合；</w:t>
      </w:r>
    </w:p>
    <w:p w14:paraId="322269C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2.6.2 乙方有义务妥善保管和保护由甲方提供的前款信息和资料等；</w:t>
      </w:r>
    </w:p>
    <w:p w14:paraId="6D3FAA9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泄露秘密一方应当承担相应的违约责任。</w:t>
      </w:r>
    </w:p>
    <w:p w14:paraId="3E803367">
      <w:pPr>
        <w:spacing w:line="360" w:lineRule="auto"/>
        <w:ind w:firstLine="422" w:firstLineChars="200"/>
        <w:outlineLvl w:val="2"/>
        <w:rPr>
          <w:rFonts w:ascii="仿宋" w:hAnsi="仿宋" w:eastAsia="仿宋" w:cs="仿宋"/>
          <w:b/>
          <w:color w:val="auto"/>
          <w:szCs w:val="21"/>
          <w:highlight w:val="none"/>
        </w:rPr>
      </w:pPr>
      <w:bookmarkStart w:id="108" w:name="_Toc19069"/>
      <w:r>
        <w:rPr>
          <w:rFonts w:hint="eastAsia" w:ascii="仿宋" w:hAnsi="仿宋" w:eastAsia="仿宋" w:cs="仿宋"/>
          <w:b/>
          <w:color w:val="auto"/>
          <w:szCs w:val="21"/>
          <w:highlight w:val="none"/>
        </w:rPr>
        <w:t>2.7 质量保证</w:t>
      </w:r>
      <w:bookmarkEnd w:id="108"/>
    </w:p>
    <w:p w14:paraId="5740DA72">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2.7.1 乙方应建立和完善履行合同的内部质量保证体系，并提供相关内部规章制度给甲方，以便甲方进行监督检查；</w:t>
      </w:r>
    </w:p>
    <w:p w14:paraId="6E09340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2.7.2 乙方应保证履行合同的人员数量和素质、软件和硬件设备的配置、场地、环境和设施等满足全面履行合同的要求，并应接受甲方的监督检查。</w:t>
      </w:r>
    </w:p>
    <w:p w14:paraId="721F0BD2">
      <w:pPr>
        <w:spacing w:line="360" w:lineRule="auto"/>
        <w:ind w:firstLine="422" w:firstLineChars="200"/>
        <w:outlineLvl w:val="2"/>
        <w:rPr>
          <w:rFonts w:ascii="仿宋" w:hAnsi="仿宋" w:eastAsia="仿宋" w:cs="仿宋"/>
          <w:b/>
          <w:color w:val="auto"/>
          <w:szCs w:val="21"/>
          <w:highlight w:val="none"/>
        </w:rPr>
      </w:pPr>
      <w:bookmarkStart w:id="109" w:name="_Toc22267"/>
      <w:r>
        <w:rPr>
          <w:rFonts w:hint="eastAsia" w:ascii="仿宋" w:hAnsi="仿宋" w:eastAsia="仿宋" w:cs="仿宋"/>
          <w:b/>
          <w:color w:val="auto"/>
          <w:szCs w:val="21"/>
          <w:highlight w:val="none"/>
        </w:rPr>
        <w:t>2.8 延迟履行</w:t>
      </w:r>
      <w:bookmarkEnd w:id="109"/>
    </w:p>
    <w:p w14:paraId="2C15788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EBE2CB6">
      <w:pPr>
        <w:spacing w:line="360" w:lineRule="auto"/>
        <w:ind w:firstLine="422" w:firstLineChars="200"/>
        <w:outlineLvl w:val="2"/>
        <w:rPr>
          <w:rFonts w:ascii="仿宋" w:hAnsi="仿宋" w:eastAsia="仿宋" w:cs="仿宋"/>
          <w:b/>
          <w:color w:val="auto"/>
          <w:szCs w:val="21"/>
          <w:highlight w:val="none"/>
        </w:rPr>
      </w:pPr>
      <w:bookmarkStart w:id="110" w:name="_Toc10611"/>
      <w:r>
        <w:rPr>
          <w:rFonts w:hint="eastAsia" w:ascii="仿宋" w:hAnsi="仿宋" w:eastAsia="仿宋" w:cs="仿宋"/>
          <w:b/>
          <w:color w:val="auto"/>
          <w:szCs w:val="21"/>
          <w:highlight w:val="none"/>
        </w:rPr>
        <w:t>2.9 合同变更</w:t>
      </w:r>
      <w:bookmarkEnd w:id="110"/>
    </w:p>
    <w:p w14:paraId="70C60F2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793FCDCA">
      <w:pPr>
        <w:spacing w:line="360" w:lineRule="auto"/>
        <w:ind w:firstLine="422" w:firstLineChars="200"/>
        <w:outlineLvl w:val="2"/>
        <w:rPr>
          <w:rFonts w:ascii="仿宋" w:hAnsi="仿宋" w:eastAsia="仿宋" w:cs="仿宋"/>
          <w:b/>
          <w:color w:val="auto"/>
          <w:szCs w:val="21"/>
          <w:highlight w:val="none"/>
        </w:rPr>
      </w:pPr>
      <w:bookmarkStart w:id="111" w:name="_Toc23368"/>
      <w:bookmarkStart w:id="112" w:name="_Toc21830"/>
      <w:bookmarkStart w:id="113" w:name="_Toc26689"/>
      <w:bookmarkStart w:id="114" w:name="_Toc10663"/>
      <w:bookmarkStart w:id="115" w:name="_Toc42"/>
      <w:r>
        <w:rPr>
          <w:rFonts w:hint="eastAsia" w:ascii="仿宋" w:hAnsi="仿宋" w:eastAsia="仿宋" w:cs="仿宋"/>
          <w:b/>
          <w:color w:val="auto"/>
          <w:szCs w:val="21"/>
          <w:highlight w:val="none"/>
        </w:rPr>
        <w:t>2.10 合同转让和分包</w:t>
      </w:r>
      <w:bookmarkEnd w:id="111"/>
      <w:bookmarkEnd w:id="112"/>
      <w:bookmarkEnd w:id="113"/>
      <w:bookmarkEnd w:id="114"/>
      <w:bookmarkEnd w:id="115"/>
    </w:p>
    <w:p w14:paraId="1FC6A60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DB7CA9">
      <w:pPr>
        <w:spacing w:line="360" w:lineRule="auto"/>
        <w:ind w:firstLine="422" w:firstLineChars="200"/>
        <w:outlineLvl w:val="2"/>
        <w:rPr>
          <w:rFonts w:ascii="仿宋" w:hAnsi="仿宋" w:eastAsia="仿宋" w:cs="仿宋"/>
          <w:b/>
          <w:color w:val="auto"/>
          <w:szCs w:val="21"/>
          <w:highlight w:val="none"/>
        </w:rPr>
      </w:pPr>
      <w:bookmarkStart w:id="116" w:name="_Toc4720"/>
      <w:bookmarkStart w:id="117" w:name="_Toc32494"/>
      <w:bookmarkStart w:id="118" w:name="_Toc26633"/>
      <w:bookmarkStart w:id="119" w:name="_Toc14371"/>
      <w:bookmarkStart w:id="120" w:name="_Toc25571"/>
      <w:r>
        <w:rPr>
          <w:rFonts w:hint="eastAsia" w:ascii="仿宋" w:hAnsi="仿宋" w:eastAsia="仿宋" w:cs="仿宋"/>
          <w:b/>
          <w:color w:val="auto"/>
          <w:szCs w:val="21"/>
          <w:highlight w:val="none"/>
        </w:rPr>
        <w:t>2.11 不可抗力</w:t>
      </w:r>
      <w:bookmarkEnd w:id="116"/>
      <w:bookmarkEnd w:id="117"/>
      <w:bookmarkEnd w:id="118"/>
      <w:bookmarkEnd w:id="119"/>
      <w:bookmarkEnd w:id="120"/>
    </w:p>
    <w:p w14:paraId="594A226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2.11.1如果任何一方遭遇法律规定的不可抗力，致使合同履行受阻时，履行合同的期限应予延长，延长的期限应相当于不可抗力所影响的时间；</w:t>
      </w:r>
    </w:p>
    <w:p w14:paraId="0C15CBE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2.11.2 因不可抗力致使不能实现合同目的的，当事人可以解除合同；</w:t>
      </w:r>
    </w:p>
    <w:p w14:paraId="3B3CA05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2.11.3 因不可抗力致使合同有变更必要的，双方当事人应在</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约定时间内以书面形式变更合同；</w:t>
      </w:r>
    </w:p>
    <w:p w14:paraId="1FDFABE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2.11.4受不可抗力影响的一方在不可抗力发生后，应在</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约定时间内以书面形式通知对方当事人，并在</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约定时间内，将有关部门出具的证明文件送达对方当事人。</w:t>
      </w:r>
    </w:p>
    <w:p w14:paraId="62D39523">
      <w:pPr>
        <w:spacing w:line="360" w:lineRule="auto"/>
        <w:ind w:firstLine="422" w:firstLineChars="200"/>
        <w:outlineLvl w:val="2"/>
        <w:rPr>
          <w:rFonts w:ascii="仿宋" w:hAnsi="仿宋" w:eastAsia="仿宋" w:cs="仿宋"/>
          <w:b/>
          <w:color w:val="auto"/>
          <w:szCs w:val="21"/>
          <w:highlight w:val="none"/>
        </w:rPr>
      </w:pPr>
      <w:bookmarkStart w:id="121" w:name="_Toc14115"/>
      <w:bookmarkStart w:id="122" w:name="_Toc3638"/>
      <w:bookmarkStart w:id="123" w:name="_Toc23854"/>
      <w:bookmarkStart w:id="124" w:name="_Toc24465"/>
      <w:bookmarkStart w:id="125" w:name="_Toc25783"/>
      <w:r>
        <w:rPr>
          <w:rFonts w:hint="eastAsia" w:ascii="仿宋" w:hAnsi="仿宋" w:eastAsia="仿宋" w:cs="仿宋"/>
          <w:b/>
          <w:color w:val="auto"/>
          <w:szCs w:val="21"/>
          <w:highlight w:val="none"/>
        </w:rPr>
        <w:t>2.12 税费</w:t>
      </w:r>
      <w:bookmarkEnd w:id="121"/>
      <w:bookmarkEnd w:id="122"/>
      <w:bookmarkEnd w:id="123"/>
      <w:bookmarkEnd w:id="124"/>
      <w:bookmarkEnd w:id="125"/>
    </w:p>
    <w:p w14:paraId="6A0D4B1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与合同有关的一切税费，均按照中华人民共和国法律的相关规定缴纳。</w:t>
      </w:r>
    </w:p>
    <w:p w14:paraId="1B067000">
      <w:pPr>
        <w:spacing w:line="360" w:lineRule="auto"/>
        <w:ind w:firstLine="422" w:firstLineChars="200"/>
        <w:outlineLvl w:val="2"/>
        <w:rPr>
          <w:rFonts w:ascii="仿宋" w:hAnsi="仿宋" w:eastAsia="仿宋" w:cs="仿宋"/>
          <w:b/>
          <w:color w:val="auto"/>
          <w:szCs w:val="21"/>
          <w:highlight w:val="none"/>
        </w:rPr>
      </w:pPr>
      <w:bookmarkStart w:id="126" w:name="_Toc14814"/>
      <w:bookmarkStart w:id="127" w:name="_Toc25525"/>
      <w:bookmarkStart w:id="128" w:name="_Toc30105"/>
      <w:bookmarkStart w:id="129" w:name="_Toc7315"/>
      <w:bookmarkStart w:id="130" w:name="_Toc26883"/>
      <w:r>
        <w:rPr>
          <w:rFonts w:hint="eastAsia" w:ascii="仿宋" w:hAnsi="仿宋" w:eastAsia="仿宋" w:cs="仿宋"/>
          <w:b/>
          <w:color w:val="auto"/>
          <w:szCs w:val="21"/>
          <w:highlight w:val="none"/>
        </w:rPr>
        <w:t>2.13 乙方破产</w:t>
      </w:r>
      <w:bookmarkEnd w:id="126"/>
      <w:bookmarkEnd w:id="127"/>
      <w:bookmarkEnd w:id="128"/>
      <w:bookmarkEnd w:id="129"/>
      <w:bookmarkEnd w:id="130"/>
    </w:p>
    <w:p w14:paraId="61035DC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319AD2">
      <w:pPr>
        <w:spacing w:line="360" w:lineRule="auto"/>
        <w:ind w:firstLine="422" w:firstLineChars="200"/>
        <w:outlineLvl w:val="2"/>
        <w:rPr>
          <w:rFonts w:ascii="仿宋" w:hAnsi="仿宋" w:eastAsia="仿宋" w:cs="仿宋"/>
          <w:b/>
          <w:color w:val="auto"/>
          <w:szCs w:val="21"/>
          <w:highlight w:val="none"/>
        </w:rPr>
      </w:pPr>
      <w:bookmarkStart w:id="131" w:name="_Toc1123"/>
      <w:bookmarkStart w:id="132" w:name="_Toc23323"/>
      <w:bookmarkStart w:id="133" w:name="_Toc2016"/>
      <w:r>
        <w:rPr>
          <w:rFonts w:hint="eastAsia" w:ascii="仿宋" w:hAnsi="仿宋" w:eastAsia="仿宋" w:cs="仿宋"/>
          <w:b/>
          <w:color w:val="auto"/>
          <w:szCs w:val="21"/>
          <w:highlight w:val="none"/>
        </w:rPr>
        <w:t>2.14 合同中止、终止</w:t>
      </w:r>
      <w:bookmarkEnd w:id="131"/>
      <w:bookmarkEnd w:id="132"/>
      <w:bookmarkEnd w:id="133"/>
    </w:p>
    <w:p w14:paraId="5F0D49F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2.14.1 双方当事人不得擅自中止或者终止合同；</w:t>
      </w:r>
    </w:p>
    <w:p w14:paraId="1BDBAD9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559EAB4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2.14.3对于因甲方原因导致变更、中止或者终止政府采购合同的，甲方应当依照合同约定对供应商受到的损失予以赔偿或者补偿，一般不超过造成损失的20%。</w:t>
      </w:r>
    </w:p>
    <w:p w14:paraId="431CC810">
      <w:pPr>
        <w:spacing w:line="360" w:lineRule="auto"/>
        <w:ind w:firstLine="422" w:firstLineChars="200"/>
        <w:outlineLvl w:val="2"/>
        <w:rPr>
          <w:rFonts w:ascii="仿宋" w:hAnsi="仿宋" w:eastAsia="仿宋" w:cs="仿宋"/>
          <w:b/>
          <w:color w:val="auto"/>
          <w:szCs w:val="21"/>
          <w:highlight w:val="none"/>
        </w:rPr>
      </w:pPr>
      <w:bookmarkStart w:id="134" w:name="_Toc17363"/>
      <w:bookmarkStart w:id="135" w:name="_Toc14525"/>
      <w:bookmarkStart w:id="136" w:name="_Toc1969"/>
      <w:r>
        <w:rPr>
          <w:rFonts w:hint="eastAsia" w:ascii="仿宋" w:hAnsi="仿宋" w:eastAsia="仿宋" w:cs="仿宋"/>
          <w:b/>
          <w:color w:val="auto"/>
          <w:szCs w:val="21"/>
          <w:highlight w:val="none"/>
        </w:rPr>
        <w:t>2.15 检验和验收</w:t>
      </w:r>
      <w:bookmarkEnd w:id="134"/>
      <w:bookmarkEnd w:id="135"/>
      <w:bookmarkEnd w:id="136"/>
    </w:p>
    <w:p w14:paraId="4233D36C">
      <w:pPr>
        <w:tabs>
          <w:tab w:val="left" w:pos="360"/>
          <w:tab w:val="left" w:pos="540"/>
          <w:tab w:val="left" w:pos="10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2.15.1 乙方按照</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的约定，定期提交服务报告，甲方按照</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的约定进行定期验收；</w:t>
      </w:r>
    </w:p>
    <w:p w14:paraId="5942A642">
      <w:pPr>
        <w:tabs>
          <w:tab w:val="left" w:pos="360"/>
          <w:tab w:val="left" w:pos="540"/>
          <w:tab w:val="left" w:pos="10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F10B83">
      <w:pPr>
        <w:tabs>
          <w:tab w:val="left" w:pos="360"/>
          <w:tab w:val="left" w:pos="540"/>
          <w:tab w:val="left" w:pos="10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2.15.3 检验和验收标准、程序等具体内容以及前述验收书的效力详见</w:t>
      </w:r>
      <w:r>
        <w:rPr>
          <w:rFonts w:hint="eastAsia" w:ascii="仿宋" w:hAnsi="仿宋" w:eastAsia="仿宋" w:cs="仿宋"/>
          <w:b/>
          <w:i/>
          <w:color w:val="auto"/>
          <w:szCs w:val="21"/>
          <w:highlight w:val="none"/>
          <w:u w:val="single"/>
        </w:rPr>
        <w:t>合同专用条款</w:t>
      </w:r>
      <w:r>
        <w:rPr>
          <w:rFonts w:hint="eastAsia" w:ascii="仿宋" w:hAnsi="仿宋" w:eastAsia="仿宋" w:cs="仿宋"/>
          <w:i/>
          <w:color w:val="auto"/>
          <w:szCs w:val="21"/>
          <w:highlight w:val="none"/>
        </w:rPr>
        <w:t>。</w:t>
      </w:r>
    </w:p>
    <w:p w14:paraId="7653A31D">
      <w:pPr>
        <w:spacing w:line="360" w:lineRule="auto"/>
        <w:ind w:firstLine="422" w:firstLineChars="200"/>
        <w:outlineLvl w:val="2"/>
        <w:rPr>
          <w:rFonts w:ascii="仿宋" w:hAnsi="仿宋" w:eastAsia="仿宋" w:cs="仿宋"/>
          <w:b/>
          <w:color w:val="auto"/>
          <w:szCs w:val="21"/>
          <w:highlight w:val="none"/>
        </w:rPr>
      </w:pPr>
      <w:bookmarkStart w:id="137" w:name="_Toc9808"/>
      <w:bookmarkStart w:id="138" w:name="_Toc12666"/>
      <w:bookmarkStart w:id="139" w:name="_Toc31892"/>
      <w:bookmarkStart w:id="140" w:name="_Toc2308"/>
      <w:bookmarkStart w:id="141" w:name="_Toc25198"/>
      <w:r>
        <w:rPr>
          <w:rFonts w:hint="eastAsia" w:ascii="仿宋" w:hAnsi="仿宋" w:eastAsia="仿宋" w:cs="仿宋"/>
          <w:b/>
          <w:color w:val="auto"/>
          <w:szCs w:val="21"/>
          <w:highlight w:val="none"/>
        </w:rPr>
        <w:t>2.16 通知和送达</w:t>
      </w:r>
      <w:bookmarkEnd w:id="137"/>
      <w:bookmarkEnd w:id="138"/>
      <w:bookmarkEnd w:id="139"/>
      <w:bookmarkEnd w:id="140"/>
      <w:bookmarkEnd w:id="141"/>
    </w:p>
    <w:p w14:paraId="01A57990">
      <w:pPr>
        <w:spacing w:line="360" w:lineRule="auto"/>
        <w:ind w:firstLine="420" w:firstLineChars="200"/>
        <w:rPr>
          <w:rFonts w:ascii="仿宋" w:hAnsi="仿宋" w:eastAsia="仿宋" w:cs="仿宋"/>
          <w:color w:val="auto"/>
          <w:szCs w:val="21"/>
          <w:highlight w:val="none"/>
        </w:rPr>
      </w:pPr>
      <w:bookmarkStart w:id="142" w:name="_Toc18401"/>
      <w:bookmarkStart w:id="143" w:name="_Toc27674"/>
      <w:r>
        <w:rPr>
          <w:rFonts w:hint="eastAsia" w:ascii="仿宋" w:hAnsi="仿宋" w:eastAsia="仿宋" w:cs="仿宋"/>
          <w:color w:val="auto"/>
          <w:szCs w:val="21"/>
          <w:highlight w:val="none"/>
        </w:rPr>
        <w:t>2.16.1任何一方因履行合同而以合同第一部分尾部所列明的传真或电子邮件发出的所有通知、文件、材料，均视为已向对方当事人送达；任何一方变更上述送达方式或者地址的，应于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b/>
          <w:bCs/>
          <w:color w:val="auto"/>
          <w:szCs w:val="21"/>
          <w:highlight w:val="none"/>
          <w:u w:val="single"/>
        </w:rPr>
        <w:t>3</w:t>
      </w:r>
      <w:r>
        <w:rPr>
          <w:rFonts w:hint="eastAsia" w:ascii="仿宋" w:hAnsi="仿宋" w:eastAsia="仿宋" w:cs="仿宋"/>
          <w:color w:val="auto"/>
          <w:szCs w:val="21"/>
          <w:highlight w:val="none"/>
        </w:rPr>
        <w:t>个工作日内书面通知对方当事人，在对方当事人收到有关变更通知之前，变更前的约定送达方式或者地址仍视为有效。</w:t>
      </w:r>
    </w:p>
    <w:p w14:paraId="44353DB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2"/>
      <w:bookmarkEnd w:id="143"/>
    </w:p>
    <w:p w14:paraId="498C6181">
      <w:pPr>
        <w:spacing w:line="360" w:lineRule="auto"/>
        <w:ind w:firstLine="422" w:firstLineChars="200"/>
        <w:outlineLvl w:val="2"/>
        <w:rPr>
          <w:rFonts w:ascii="仿宋" w:hAnsi="仿宋" w:eastAsia="仿宋" w:cs="仿宋"/>
          <w:b/>
          <w:color w:val="auto"/>
          <w:szCs w:val="21"/>
          <w:highlight w:val="none"/>
        </w:rPr>
      </w:pPr>
      <w:bookmarkStart w:id="144" w:name="_Toc5063"/>
      <w:bookmarkStart w:id="145" w:name="_Toc28906"/>
      <w:bookmarkStart w:id="146" w:name="_Toc12254"/>
      <w:bookmarkStart w:id="147" w:name="_Toc20808"/>
      <w:bookmarkStart w:id="148" w:name="_Toc27644"/>
      <w:r>
        <w:rPr>
          <w:rFonts w:hint="eastAsia" w:ascii="仿宋" w:hAnsi="仿宋" w:eastAsia="仿宋" w:cs="仿宋"/>
          <w:b/>
          <w:color w:val="auto"/>
          <w:szCs w:val="21"/>
          <w:highlight w:val="none"/>
        </w:rPr>
        <w:t>2.17 合同使用的文字和适用的法律</w:t>
      </w:r>
      <w:bookmarkEnd w:id="144"/>
      <w:bookmarkEnd w:id="145"/>
      <w:bookmarkEnd w:id="146"/>
      <w:bookmarkEnd w:id="147"/>
      <w:bookmarkEnd w:id="148"/>
    </w:p>
    <w:p w14:paraId="29856BA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2.17.1 合同使用汉语书就、变更和解释；</w:t>
      </w:r>
    </w:p>
    <w:p w14:paraId="7E7ECA3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2.17.2 合同适用中华人民共和国法律。</w:t>
      </w:r>
    </w:p>
    <w:p w14:paraId="611F974F">
      <w:pPr>
        <w:spacing w:line="360" w:lineRule="auto"/>
        <w:ind w:firstLine="422" w:firstLineChars="200"/>
        <w:outlineLvl w:val="2"/>
        <w:rPr>
          <w:rFonts w:ascii="仿宋" w:hAnsi="仿宋" w:eastAsia="仿宋" w:cs="仿宋"/>
          <w:b/>
          <w:color w:val="auto"/>
          <w:szCs w:val="21"/>
          <w:highlight w:val="none"/>
        </w:rPr>
      </w:pPr>
      <w:bookmarkStart w:id="149" w:name="_Toc27403"/>
      <w:bookmarkStart w:id="150" w:name="_Toc30096"/>
      <w:bookmarkStart w:id="151" w:name="_Toc1492"/>
      <w:bookmarkStart w:id="152" w:name="_Toc27127"/>
      <w:bookmarkStart w:id="153" w:name="_Toc22266"/>
      <w:r>
        <w:rPr>
          <w:rFonts w:hint="eastAsia" w:ascii="仿宋" w:hAnsi="仿宋" w:eastAsia="仿宋" w:cs="仿宋"/>
          <w:b/>
          <w:color w:val="auto"/>
          <w:szCs w:val="21"/>
          <w:highlight w:val="none"/>
        </w:rPr>
        <w:t>2.18 履约保证金</w:t>
      </w:r>
      <w:bookmarkEnd w:id="149"/>
      <w:bookmarkEnd w:id="150"/>
      <w:bookmarkEnd w:id="151"/>
      <w:bookmarkEnd w:id="152"/>
      <w:bookmarkEnd w:id="153"/>
    </w:p>
    <w:p w14:paraId="13FCA5EA">
      <w:pPr>
        <w:pStyle w:val="962"/>
        <w:spacing w:before="0" w:beforeAutospacing="0" w:after="0" w:afterAutospacing="0" w:line="360" w:lineRule="auto"/>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2.18.1 采购文件要求乙方提交履约保证金的，乙方应按</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E75D14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2.18.2  甲方在项目验收结束后及时退还履约保证金。甲方在项目通过验收之日起</w:t>
      </w:r>
      <w:r>
        <w:rPr>
          <w:rFonts w:hint="eastAsia" w:ascii="仿宋" w:hAnsi="仿宋" w:eastAsia="仿宋" w:cs="仿宋"/>
          <w:color w:val="auto"/>
          <w:szCs w:val="21"/>
          <w:highlight w:val="none"/>
          <w:u w:val="single"/>
        </w:rPr>
        <w:t xml:space="preserve"> </w:t>
      </w:r>
      <w:r>
        <w:rPr>
          <w:rFonts w:hint="eastAsia" w:ascii="仿宋" w:hAnsi="仿宋" w:eastAsia="仿宋" w:cs="仿宋"/>
          <w:b/>
          <w:i/>
          <w:color w:val="auto"/>
          <w:szCs w:val="21"/>
          <w:highlight w:val="none"/>
          <w:u w:val="single"/>
        </w:rPr>
        <w:t>5</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0.05  </w:t>
      </w:r>
      <w:r>
        <w:rPr>
          <w:rFonts w:hint="eastAsia" w:ascii="仿宋" w:hAnsi="仿宋" w:eastAsia="仿宋" w:cs="仿宋"/>
          <w:color w:val="auto"/>
          <w:szCs w:val="21"/>
          <w:highlight w:val="none"/>
        </w:rPr>
        <w:t>%计算，最高限额为本合同履约保证金的</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20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68EA97B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CC0CA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2.18.4 甲方在乙方履行完合同约定义务事项后及时退还，延迟退还的，应当按照合同约定和法律规定承担相应的赔偿责任。</w:t>
      </w:r>
    </w:p>
    <w:p w14:paraId="510EE23F">
      <w:pPr>
        <w:spacing w:line="360" w:lineRule="auto"/>
        <w:ind w:firstLine="422" w:firstLineChars="200"/>
        <w:outlineLvl w:val="2"/>
        <w:rPr>
          <w:rFonts w:ascii="仿宋" w:hAnsi="仿宋" w:eastAsia="仿宋" w:cs="仿宋"/>
          <w:b/>
          <w:color w:val="auto"/>
          <w:szCs w:val="21"/>
          <w:highlight w:val="none"/>
        </w:rPr>
      </w:pPr>
      <w:r>
        <w:rPr>
          <w:rFonts w:hint="eastAsia" w:ascii="仿宋" w:hAnsi="仿宋" w:eastAsia="仿宋" w:cs="仿宋"/>
          <w:b/>
          <w:color w:val="auto"/>
          <w:szCs w:val="21"/>
          <w:highlight w:val="none"/>
        </w:rPr>
        <w:t>2.19合同份数</w:t>
      </w:r>
    </w:p>
    <w:p w14:paraId="430A7AD4">
      <w:pPr>
        <w:spacing w:line="360" w:lineRule="auto"/>
        <w:ind w:firstLine="420" w:firstLineChars="200"/>
        <w:rPr>
          <w:rFonts w:ascii="仿宋" w:hAnsi="仿宋" w:eastAsia="仿宋" w:cs="仿宋"/>
          <w:color w:val="auto"/>
          <w:sz w:val="24"/>
          <w:highlight w:val="none"/>
        </w:rPr>
      </w:pPr>
      <w:r>
        <w:rPr>
          <w:rFonts w:hint="eastAsia" w:ascii="仿宋" w:hAnsi="仿宋" w:eastAsia="仿宋" w:cs="仿宋"/>
          <w:color w:val="auto"/>
          <w:szCs w:val="21"/>
          <w:highlight w:val="none"/>
        </w:rPr>
        <w:t>合同份数按</w:t>
      </w:r>
      <w:r>
        <w:rPr>
          <w:rFonts w:hint="eastAsia" w:ascii="仿宋" w:hAnsi="仿宋" w:eastAsia="仿宋" w:cs="仿宋"/>
          <w:b/>
          <w:i/>
          <w:color w:val="auto"/>
          <w:szCs w:val="21"/>
          <w:highlight w:val="none"/>
          <w:u w:val="single"/>
        </w:rPr>
        <w:t>合同专用条款</w:t>
      </w:r>
      <w:r>
        <w:rPr>
          <w:rFonts w:hint="eastAsia" w:ascii="仿宋" w:hAnsi="仿宋" w:eastAsia="仿宋" w:cs="仿宋"/>
          <w:color w:val="auto"/>
          <w:szCs w:val="21"/>
          <w:highlight w:val="none"/>
        </w:rPr>
        <w:t>规定，每份均具有同等法律效力。</w:t>
      </w:r>
    </w:p>
    <w:p w14:paraId="0416FF18">
      <w:pPr>
        <w:pStyle w:val="704"/>
        <w:ind w:left="0" w:leftChars="0" w:firstLine="0" w:firstLineChars="0"/>
        <w:jc w:val="center"/>
        <w:outlineLvl w:val="1"/>
        <w:rPr>
          <w:rFonts w:ascii="仿宋" w:hAnsi="仿宋" w:eastAsia="仿宋" w:cs="仿宋"/>
          <w:b/>
          <w:color w:val="auto"/>
          <w:sz w:val="28"/>
          <w:szCs w:val="28"/>
          <w:highlight w:val="none"/>
        </w:rPr>
      </w:pPr>
      <w:r>
        <w:rPr>
          <w:rFonts w:hint="eastAsia" w:ascii="仿宋" w:hAnsi="仿宋" w:eastAsia="仿宋" w:cs="仿宋"/>
          <w:color w:val="auto"/>
          <w:kern w:val="0"/>
          <w:highlight w:val="none"/>
        </w:rPr>
        <w:br w:type="page"/>
      </w:r>
      <w:bookmarkStart w:id="154" w:name="_Toc14741"/>
      <w:r>
        <w:rPr>
          <w:rFonts w:hint="eastAsia" w:ascii="仿宋" w:hAnsi="仿宋" w:eastAsia="仿宋" w:cs="仿宋"/>
          <w:b/>
          <w:color w:val="auto"/>
          <w:sz w:val="28"/>
          <w:szCs w:val="28"/>
          <w:highlight w:val="none"/>
        </w:rPr>
        <w:t>第三部分 合同专用条款</w:t>
      </w:r>
      <w:bookmarkEnd w:id="154"/>
    </w:p>
    <w:p w14:paraId="0144FAAA">
      <w:pPr>
        <w:spacing w:line="360" w:lineRule="auto"/>
        <w:ind w:left="-420" w:leftChars="-200" w:right="-168" w:rightChars="-80"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6"/>
      </w:tblGrid>
      <w:tr w14:paraId="2E3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E50EF0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6" w:type="dxa"/>
            <w:vAlign w:val="center"/>
          </w:tcPr>
          <w:p w14:paraId="11EF8E6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2E3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0CF13831">
            <w:pPr>
              <w:spacing w:line="360" w:lineRule="auto"/>
              <w:jc w:val="center"/>
              <w:rPr>
                <w:rFonts w:ascii="仿宋" w:hAnsi="仿宋" w:eastAsia="仿宋" w:cs="仿宋"/>
                <w:b/>
                <w:color w:val="auto"/>
                <w:sz w:val="24"/>
                <w:highlight w:val="none"/>
              </w:rPr>
            </w:pPr>
            <w:r>
              <w:rPr>
                <w:rFonts w:hint="eastAsia" w:ascii="仿宋" w:hAnsi="仿宋" w:eastAsia="仿宋" w:cs="仿宋"/>
                <w:color w:val="auto"/>
                <w:szCs w:val="21"/>
                <w:highlight w:val="none"/>
              </w:rPr>
              <w:t>1.4.3</w:t>
            </w:r>
          </w:p>
        </w:tc>
        <w:tc>
          <w:tcPr>
            <w:tcW w:w="8276" w:type="dxa"/>
            <w:vAlign w:val="center"/>
          </w:tcPr>
          <w:p w14:paraId="1D056441">
            <w:pPr>
              <w:spacing w:line="360" w:lineRule="auto"/>
              <w:jc w:val="left"/>
              <w:rPr>
                <w:rFonts w:ascii="仿宋" w:hAnsi="仿宋" w:eastAsia="仿宋" w:cs="仿宋"/>
                <w:b/>
                <w:color w:val="auto"/>
                <w:szCs w:val="21"/>
                <w:highlight w:val="none"/>
              </w:rPr>
            </w:pPr>
            <w:r>
              <w:rPr>
                <w:rFonts w:hint="eastAsia" w:ascii="仿宋" w:hAnsi="仿宋" w:eastAsia="仿宋" w:cs="仿宋"/>
                <w:b/>
                <w:color w:val="auto"/>
                <w:szCs w:val="21"/>
                <w:highlight w:val="none"/>
                <w:u w:val="single"/>
              </w:rPr>
              <w:t>甲方迟延支付乙方款项的，向乙方支付逾期利息，利率按合同订立时1年期贷款市场报价利率执行；</w:t>
            </w:r>
          </w:p>
        </w:tc>
      </w:tr>
      <w:tr w14:paraId="3B413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E74B3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8276" w:type="dxa"/>
            <w:vAlign w:val="center"/>
          </w:tcPr>
          <w:p w14:paraId="073C9C34">
            <w:pPr>
              <w:widowControl/>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按</w:t>
            </w:r>
            <w:r>
              <w:rPr>
                <w:rFonts w:hint="eastAsia" w:ascii="仿宋" w:hAnsi="仿宋" w:eastAsia="仿宋" w:cs="仿宋"/>
                <w:b/>
                <w:bCs/>
                <w:color w:val="auto"/>
                <w:szCs w:val="21"/>
                <w:highlight w:val="none"/>
              </w:rPr>
              <w:t>实际完成量</w:t>
            </w:r>
            <w:r>
              <w:rPr>
                <w:rFonts w:hint="eastAsia" w:ascii="仿宋" w:hAnsi="仿宋" w:eastAsia="仿宋" w:cs="仿宋"/>
                <w:b/>
                <w:bCs/>
                <w:strike w:val="0"/>
                <w:dstrike w:val="0"/>
                <w:color w:val="auto"/>
                <w:szCs w:val="21"/>
                <w:highlight w:val="none"/>
                <w:lang w:eastAsia="zh-CN"/>
              </w:rPr>
              <w:t>按社区分批</w:t>
            </w:r>
            <w:r>
              <w:rPr>
                <w:rFonts w:hint="eastAsia" w:ascii="仿宋" w:hAnsi="仿宋" w:eastAsia="仿宋" w:cs="仿宋"/>
                <w:b/>
                <w:bCs/>
                <w:color w:val="auto"/>
                <w:szCs w:val="21"/>
                <w:highlight w:val="none"/>
              </w:rPr>
              <w:t>结算</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乙方需提供符合财政要求的发票。</w:t>
            </w:r>
          </w:p>
        </w:tc>
      </w:tr>
      <w:tr w14:paraId="2AFDE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928C5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1.5.1 </w:t>
            </w:r>
          </w:p>
        </w:tc>
        <w:tc>
          <w:tcPr>
            <w:tcW w:w="8276" w:type="dxa"/>
            <w:vAlign w:val="center"/>
          </w:tcPr>
          <w:p w14:paraId="211E85C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履行期限：</w:t>
            </w:r>
            <w:r>
              <w:rPr>
                <w:rFonts w:hint="eastAsia" w:ascii="仿宋" w:hAnsi="仿宋" w:eastAsia="仿宋" w:cs="仿宋"/>
                <w:b/>
                <w:color w:val="auto"/>
                <w:szCs w:val="21"/>
                <w:highlight w:val="none"/>
                <w:u w:val="single"/>
              </w:rPr>
              <w:t>合同生效之日起至202</w:t>
            </w:r>
            <w:r>
              <w:rPr>
                <w:rFonts w:hint="eastAsia" w:ascii="仿宋" w:hAnsi="仿宋" w:eastAsia="仿宋" w:cs="仿宋"/>
                <w:b/>
                <w:color w:val="auto"/>
                <w:szCs w:val="21"/>
                <w:highlight w:val="none"/>
                <w:u w:val="single"/>
                <w:lang w:val="en-US" w:eastAsia="zh-CN"/>
              </w:rPr>
              <w:t>5</w:t>
            </w:r>
            <w:r>
              <w:rPr>
                <w:rFonts w:hint="eastAsia" w:ascii="仿宋" w:hAnsi="仿宋" w:eastAsia="仿宋" w:cs="仿宋"/>
                <w:b/>
                <w:color w:val="auto"/>
                <w:szCs w:val="21"/>
                <w:highlight w:val="none"/>
                <w:u w:val="single"/>
              </w:rPr>
              <w:t>年12月31日。</w:t>
            </w:r>
          </w:p>
        </w:tc>
      </w:tr>
      <w:tr w14:paraId="70ED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A93879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8276" w:type="dxa"/>
            <w:vAlign w:val="center"/>
          </w:tcPr>
          <w:p w14:paraId="38C4CCB3">
            <w:pPr>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履行地点：</w:t>
            </w:r>
            <w:r>
              <w:rPr>
                <w:rFonts w:hint="eastAsia" w:ascii="仿宋" w:hAnsi="仿宋" w:eastAsia="仿宋" w:cs="仿宋"/>
                <w:b/>
                <w:color w:val="auto"/>
                <w:szCs w:val="21"/>
                <w:highlight w:val="none"/>
                <w:u w:val="single"/>
              </w:rPr>
              <w:t>杭州市</w:t>
            </w:r>
            <w:r>
              <w:rPr>
                <w:rFonts w:hint="eastAsia" w:ascii="仿宋" w:hAnsi="仿宋" w:eastAsia="仿宋" w:cs="仿宋"/>
                <w:b/>
                <w:color w:val="auto"/>
                <w:szCs w:val="21"/>
                <w:highlight w:val="none"/>
                <w:u w:val="single"/>
                <w:lang w:val="en-US" w:eastAsia="zh-CN"/>
              </w:rPr>
              <w:t>上城区彭埠街道</w:t>
            </w:r>
          </w:p>
        </w:tc>
      </w:tr>
      <w:tr w14:paraId="4463F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951AB9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1.5.3 </w:t>
            </w:r>
          </w:p>
        </w:tc>
        <w:tc>
          <w:tcPr>
            <w:tcW w:w="8276" w:type="dxa"/>
            <w:vAlign w:val="center"/>
          </w:tcPr>
          <w:p w14:paraId="7D30637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履行方式：</w:t>
            </w:r>
            <w:r>
              <w:rPr>
                <w:rFonts w:hint="eastAsia" w:ascii="仿宋" w:hAnsi="仿宋" w:eastAsia="仿宋" w:cs="仿宋"/>
                <w:b/>
                <w:color w:val="auto"/>
                <w:szCs w:val="21"/>
                <w:highlight w:val="none"/>
                <w:u w:val="single"/>
              </w:rPr>
              <w:t>按要求招标人要求及投标承诺。</w:t>
            </w:r>
          </w:p>
        </w:tc>
      </w:tr>
      <w:tr w14:paraId="3FC42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9202AF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1.6.7</w:t>
            </w:r>
          </w:p>
        </w:tc>
        <w:tc>
          <w:tcPr>
            <w:tcW w:w="8276" w:type="dxa"/>
            <w:vAlign w:val="center"/>
          </w:tcPr>
          <w:p w14:paraId="721C390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违约责任特殊约定：/</w:t>
            </w:r>
          </w:p>
        </w:tc>
      </w:tr>
      <w:tr w14:paraId="30189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985F0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8276" w:type="dxa"/>
            <w:vAlign w:val="center"/>
          </w:tcPr>
          <w:p w14:paraId="0A81C96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1.7.2</w:t>
            </w:r>
          </w:p>
        </w:tc>
      </w:tr>
      <w:tr w14:paraId="730E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AE7884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8276" w:type="dxa"/>
            <w:vAlign w:val="center"/>
          </w:tcPr>
          <w:p w14:paraId="5F62F99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p>
        </w:tc>
      </w:tr>
      <w:tr w14:paraId="586FC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33F7F7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1.7.2</w:t>
            </w:r>
          </w:p>
        </w:tc>
        <w:tc>
          <w:tcPr>
            <w:tcW w:w="8276" w:type="dxa"/>
            <w:vAlign w:val="center"/>
          </w:tcPr>
          <w:p w14:paraId="060A6921">
            <w:pPr>
              <w:spacing w:line="360" w:lineRule="auto"/>
              <w:rPr>
                <w:rFonts w:ascii="仿宋" w:hAnsi="仿宋" w:eastAsia="仿宋" w:cs="仿宋"/>
                <w:color w:val="auto"/>
                <w:szCs w:val="21"/>
                <w:highlight w:val="none"/>
              </w:rPr>
            </w:pPr>
            <w:r>
              <w:rPr>
                <w:rFonts w:hint="eastAsia" w:ascii="仿宋" w:hAnsi="仿宋" w:eastAsia="仿宋" w:cs="仿宋"/>
                <w:b/>
                <w:color w:val="auto"/>
                <w:szCs w:val="21"/>
                <w:highlight w:val="none"/>
                <w:u w:val="single"/>
              </w:rPr>
              <w:t>甲方所在地人民法院。</w:t>
            </w:r>
          </w:p>
        </w:tc>
      </w:tr>
      <w:tr w14:paraId="2FBE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391AA9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8276" w:type="dxa"/>
            <w:vAlign w:val="center"/>
          </w:tcPr>
          <w:p w14:paraId="1649FEBB">
            <w:pPr>
              <w:spacing w:line="360" w:lineRule="auto"/>
              <w:ind w:left="-420" w:leftChars="-200" w:right="-420" w:rightChars="-20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合同涉及技术成果的归属和收益的分成办法：</w:t>
            </w:r>
            <w:r>
              <w:rPr>
                <w:rFonts w:hint="eastAsia" w:ascii="仿宋" w:hAnsi="仿宋" w:eastAsia="仿宋" w:cs="仿宋"/>
                <w:b/>
                <w:color w:val="auto"/>
                <w:szCs w:val="21"/>
                <w:highlight w:val="none"/>
                <w:u w:val="single"/>
              </w:rPr>
              <w:t>如有根据实际双方协商</w:t>
            </w:r>
            <w:r>
              <w:rPr>
                <w:rFonts w:hint="eastAsia" w:ascii="仿宋" w:hAnsi="仿宋" w:eastAsia="仿宋" w:cs="仿宋"/>
                <w:b/>
                <w:color w:val="auto"/>
                <w:szCs w:val="21"/>
                <w:highlight w:val="none"/>
              </w:rPr>
              <w:t>。</w:t>
            </w:r>
          </w:p>
        </w:tc>
      </w:tr>
      <w:tr w14:paraId="6703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A438B0E">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8276" w:type="dxa"/>
            <w:vAlign w:val="center"/>
          </w:tcPr>
          <w:p w14:paraId="7C3A6363">
            <w:pPr>
              <w:spacing w:line="360" w:lineRule="auto"/>
              <w:ind w:left="-420" w:leftChars="-200" w:right="-420" w:rightChars="-200"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见1.4相应条款。</w:t>
            </w:r>
          </w:p>
        </w:tc>
      </w:tr>
      <w:tr w14:paraId="761E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54ABA2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2.11.3</w:t>
            </w:r>
          </w:p>
        </w:tc>
        <w:tc>
          <w:tcPr>
            <w:tcW w:w="8276" w:type="dxa"/>
            <w:vAlign w:val="center"/>
          </w:tcPr>
          <w:p w14:paraId="6ED4D5E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因不可抗力致使合同有变更必要的，双方当事人应在</w:t>
            </w:r>
            <w:r>
              <w:rPr>
                <w:rFonts w:hint="eastAsia" w:ascii="仿宋" w:hAnsi="仿宋" w:eastAsia="仿宋" w:cs="仿宋"/>
                <w:b/>
                <w:color w:val="auto"/>
                <w:szCs w:val="21"/>
                <w:highlight w:val="none"/>
                <w:u w:val="single"/>
              </w:rPr>
              <w:t>3个工作日</w:t>
            </w:r>
            <w:r>
              <w:rPr>
                <w:rFonts w:hint="eastAsia" w:ascii="仿宋" w:hAnsi="仿宋" w:eastAsia="仿宋" w:cs="仿宋"/>
                <w:color w:val="auto"/>
                <w:szCs w:val="21"/>
                <w:highlight w:val="none"/>
              </w:rPr>
              <w:t>内以书面形式变更合同；</w:t>
            </w:r>
          </w:p>
        </w:tc>
      </w:tr>
      <w:tr w14:paraId="0BCB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09B8C5A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2.11.4 </w:t>
            </w:r>
          </w:p>
        </w:tc>
        <w:tc>
          <w:tcPr>
            <w:tcW w:w="8276" w:type="dxa"/>
          </w:tcPr>
          <w:p w14:paraId="1082FA6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受不可抗力影响的一方在不可抗力发生后，应在</w:t>
            </w:r>
            <w:r>
              <w:rPr>
                <w:rFonts w:hint="eastAsia" w:ascii="仿宋" w:hAnsi="仿宋" w:eastAsia="仿宋" w:cs="仿宋"/>
                <w:b/>
                <w:color w:val="auto"/>
                <w:szCs w:val="21"/>
                <w:highlight w:val="none"/>
                <w:u w:val="single"/>
              </w:rPr>
              <w:t>1个工作日</w:t>
            </w:r>
            <w:r>
              <w:rPr>
                <w:rFonts w:hint="eastAsia" w:ascii="仿宋" w:hAnsi="仿宋" w:eastAsia="仿宋" w:cs="仿宋"/>
                <w:color w:val="auto"/>
                <w:szCs w:val="21"/>
                <w:highlight w:val="none"/>
              </w:rPr>
              <w:t>内以书面形式通知对方当事人，并在</w:t>
            </w:r>
            <w:r>
              <w:rPr>
                <w:rFonts w:hint="eastAsia" w:ascii="仿宋" w:hAnsi="仿宋" w:eastAsia="仿宋" w:cs="仿宋"/>
                <w:b/>
                <w:color w:val="auto"/>
                <w:szCs w:val="21"/>
                <w:highlight w:val="none"/>
                <w:u w:val="single"/>
              </w:rPr>
              <w:t>3个工作日</w:t>
            </w:r>
            <w:r>
              <w:rPr>
                <w:rFonts w:hint="eastAsia" w:ascii="仿宋" w:hAnsi="仿宋" w:eastAsia="仿宋" w:cs="仿宋"/>
                <w:color w:val="auto"/>
                <w:szCs w:val="21"/>
                <w:highlight w:val="none"/>
              </w:rPr>
              <w:t>内，将有关部门出具的证明文件送达对方当事人。</w:t>
            </w:r>
          </w:p>
        </w:tc>
      </w:tr>
      <w:tr w14:paraId="7495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87DF7C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2.15.1</w:t>
            </w:r>
          </w:p>
        </w:tc>
        <w:tc>
          <w:tcPr>
            <w:tcW w:w="8276" w:type="dxa"/>
            <w:vAlign w:val="center"/>
          </w:tcPr>
          <w:p w14:paraId="0397E0BF">
            <w:pPr>
              <w:spacing w:line="360" w:lineRule="auto"/>
              <w:rPr>
                <w:rFonts w:ascii="仿宋" w:hAnsi="仿宋" w:eastAsia="仿宋" w:cs="仿宋"/>
                <w:color w:val="auto"/>
                <w:szCs w:val="21"/>
                <w:highlight w:val="none"/>
              </w:rPr>
            </w:pPr>
            <w:r>
              <w:rPr>
                <w:rFonts w:hint="eastAsia" w:ascii="仿宋" w:hAnsi="仿宋" w:eastAsia="仿宋" w:cs="仿宋"/>
                <w:b/>
                <w:bCs/>
                <w:color w:val="auto"/>
                <w:szCs w:val="21"/>
                <w:highlight w:val="none"/>
              </w:rPr>
              <w:t>在合同期满后30天内，甲方对该项目进行履约验收；如若乙方提前完成全部的服务内容且经双方协商一致后可以提前进行履约验收，即在该项目服务结束，经乙方提出申请且甲方同意后的30天内进行履约验收。</w:t>
            </w:r>
          </w:p>
        </w:tc>
      </w:tr>
      <w:tr w14:paraId="2463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9FF51E">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2.15.3</w:t>
            </w:r>
          </w:p>
        </w:tc>
        <w:tc>
          <w:tcPr>
            <w:tcW w:w="8276" w:type="dxa"/>
            <w:vAlign w:val="center"/>
          </w:tcPr>
          <w:p w14:paraId="328B485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检验和验收标准、程序等具体内容以及前述验收书的效力详见</w:t>
            </w:r>
            <w:r>
              <w:rPr>
                <w:rFonts w:hint="eastAsia" w:ascii="仿宋" w:hAnsi="仿宋" w:eastAsia="仿宋" w:cs="仿宋"/>
                <w:b/>
                <w:bCs/>
                <w:color w:val="auto"/>
                <w:szCs w:val="21"/>
                <w:highlight w:val="none"/>
                <w:u w:val="single"/>
              </w:rPr>
              <w:t>本项目行业标准。</w:t>
            </w:r>
          </w:p>
        </w:tc>
      </w:tr>
      <w:tr w14:paraId="4190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BB194A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2.18.1</w:t>
            </w:r>
          </w:p>
        </w:tc>
        <w:tc>
          <w:tcPr>
            <w:tcW w:w="8276" w:type="dxa"/>
            <w:vAlign w:val="center"/>
          </w:tcPr>
          <w:p w14:paraId="069FF54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采购文件要求乙方提交履约保证金的，</w:t>
            </w:r>
            <w:r>
              <w:rPr>
                <w:rFonts w:hint="eastAsia" w:ascii="仿宋" w:hAnsi="仿宋" w:eastAsia="仿宋" w:cs="仿宋"/>
                <w:b/>
                <w:color w:val="auto"/>
                <w:szCs w:val="21"/>
                <w:highlight w:val="none"/>
                <w:u w:val="single"/>
              </w:rPr>
              <w:t>乙方应按采购文件约定的金额【本项目不需递交履约保证金】</w:t>
            </w:r>
            <w:r>
              <w:rPr>
                <w:rFonts w:hint="eastAsia" w:ascii="仿宋" w:hAnsi="仿宋" w:eastAsia="仿宋" w:cs="仿宋"/>
                <w:color w:val="auto"/>
                <w:szCs w:val="21"/>
                <w:highlight w:val="none"/>
              </w:rPr>
              <w:t>,以支票、汇票、本票或者金融机构、担保机构出具的保函等非现金形式，提交履约保证金；鼓励和支持乙方以银行、保险公司出具的保函形式提供履约保证。</w:t>
            </w:r>
          </w:p>
        </w:tc>
      </w:tr>
      <w:tr w14:paraId="1D5B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5D0E32AE">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2.18.2</w:t>
            </w:r>
          </w:p>
        </w:tc>
        <w:tc>
          <w:tcPr>
            <w:tcW w:w="8276" w:type="dxa"/>
            <w:vAlign w:val="center"/>
          </w:tcPr>
          <w:p w14:paraId="04BB37D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履约保证金退还方式：</w:t>
            </w:r>
            <w:r>
              <w:rPr>
                <w:rFonts w:hint="eastAsia" w:ascii="仿宋" w:hAnsi="仿宋" w:eastAsia="仿宋" w:cs="仿宋"/>
                <w:b/>
                <w:color w:val="auto"/>
                <w:szCs w:val="21"/>
                <w:highlight w:val="none"/>
                <w:u w:val="single"/>
              </w:rPr>
              <w:t>乙方在合同约定期间届满前能履行完合同约定义务事项的，甲方在合同约定期间届满之日起5个工作日内，将履约保证金无息退还乙方。</w:t>
            </w:r>
          </w:p>
        </w:tc>
      </w:tr>
      <w:tr w14:paraId="3AA8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4CEA6B31">
            <w:pPr>
              <w:spacing w:line="360" w:lineRule="auto"/>
              <w:jc w:val="center"/>
              <w:rPr>
                <w:rFonts w:ascii="仿宋" w:hAnsi="仿宋" w:eastAsia="仿宋" w:cs="仿宋"/>
                <w:color w:val="auto"/>
                <w:sz w:val="24"/>
                <w:highlight w:val="none"/>
              </w:rPr>
            </w:pPr>
            <w:r>
              <w:rPr>
                <w:rFonts w:hint="eastAsia" w:ascii="仿宋" w:hAnsi="仿宋" w:eastAsia="仿宋" w:cs="仿宋"/>
                <w:color w:val="auto"/>
                <w:szCs w:val="21"/>
                <w:highlight w:val="none"/>
              </w:rPr>
              <w:t>2.19</w:t>
            </w:r>
          </w:p>
        </w:tc>
        <w:tc>
          <w:tcPr>
            <w:tcW w:w="8276" w:type="dxa"/>
          </w:tcPr>
          <w:p w14:paraId="581F0FA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同份数：</w:t>
            </w:r>
            <w:r>
              <w:rPr>
                <w:rFonts w:hint="eastAsia" w:ascii="仿宋" w:hAnsi="仿宋" w:eastAsia="仿宋" w:cs="仿宋"/>
                <w:b/>
                <w:color w:val="auto"/>
                <w:szCs w:val="21"/>
                <w:highlight w:val="none"/>
                <w:u w:val="single"/>
              </w:rPr>
              <w:t>一式六份，双方各执三份。</w:t>
            </w:r>
          </w:p>
        </w:tc>
      </w:tr>
    </w:tbl>
    <w:p w14:paraId="1794B97A">
      <w:pPr>
        <w:spacing w:line="360" w:lineRule="auto"/>
        <w:outlineLvl w:val="0"/>
        <w:rPr>
          <w:rFonts w:hint="eastAsia" w:ascii="仿宋" w:hAnsi="仿宋" w:eastAsia="仿宋" w:cs="仿宋"/>
          <w:b/>
          <w:color w:val="auto"/>
          <w:sz w:val="36"/>
          <w:szCs w:val="20"/>
          <w:highlight w:val="none"/>
        </w:rPr>
      </w:pPr>
    </w:p>
    <w:p w14:paraId="5F9957F0">
      <w:pPr>
        <w:pStyle w:val="64"/>
        <w:rPr>
          <w:rFonts w:hint="eastAsia" w:ascii="仿宋" w:hAnsi="仿宋" w:eastAsia="仿宋" w:cs="仿宋"/>
          <w:b/>
          <w:color w:val="auto"/>
          <w:sz w:val="36"/>
          <w:szCs w:val="20"/>
          <w:highlight w:val="none"/>
        </w:rPr>
      </w:pPr>
    </w:p>
    <w:p w14:paraId="4924499A">
      <w:pPr>
        <w:rPr>
          <w:rFonts w:hint="eastAsia" w:ascii="仿宋" w:hAnsi="仿宋" w:eastAsia="仿宋" w:cs="仿宋"/>
          <w:b/>
          <w:color w:val="auto"/>
          <w:sz w:val="36"/>
          <w:szCs w:val="20"/>
          <w:highlight w:val="none"/>
        </w:rPr>
      </w:pPr>
    </w:p>
    <w:p w14:paraId="6011C567">
      <w:pPr>
        <w:pStyle w:val="64"/>
        <w:rPr>
          <w:rFonts w:hint="eastAsia" w:ascii="仿宋" w:hAnsi="仿宋" w:eastAsia="仿宋" w:cs="仿宋"/>
          <w:b/>
          <w:color w:val="auto"/>
          <w:sz w:val="36"/>
          <w:szCs w:val="20"/>
          <w:highlight w:val="none"/>
        </w:rPr>
      </w:pPr>
    </w:p>
    <w:p w14:paraId="0D967797">
      <w:pPr>
        <w:pStyle w:val="64"/>
        <w:ind w:left="0" w:leftChars="0" w:firstLine="0" w:firstLineChars="0"/>
        <w:rPr>
          <w:rFonts w:hint="eastAsia"/>
          <w:color w:val="auto"/>
          <w:highlight w:val="none"/>
        </w:rPr>
      </w:pPr>
    </w:p>
    <w:p w14:paraId="4A021619">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bookmarkEnd w:id="40"/>
      <w:r>
        <w:rPr>
          <w:rFonts w:hint="eastAsia" w:ascii="仿宋" w:hAnsi="仿宋" w:eastAsia="仿宋" w:cs="仿宋"/>
          <w:b/>
          <w:color w:val="auto"/>
          <w:sz w:val="36"/>
          <w:szCs w:val="20"/>
          <w:highlight w:val="none"/>
        </w:rPr>
        <w:t>应提交的有关格式范例</w:t>
      </w:r>
    </w:p>
    <w:p w14:paraId="76E3AB22">
      <w:pPr>
        <w:spacing w:line="360" w:lineRule="auto"/>
        <w:jc w:val="center"/>
        <w:outlineLvl w:val="0"/>
        <w:rPr>
          <w:rFonts w:ascii="仿宋" w:hAnsi="仿宋" w:eastAsia="仿宋" w:cs="仿宋"/>
          <w:b/>
          <w:color w:val="auto"/>
          <w:kern w:val="0"/>
          <w:sz w:val="36"/>
          <w:szCs w:val="36"/>
          <w:highlight w:val="none"/>
        </w:rPr>
      </w:pPr>
    </w:p>
    <w:p w14:paraId="47659C2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6D0171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5414866">
      <w:pPr>
        <w:spacing w:line="360" w:lineRule="auto"/>
        <w:jc w:val="center"/>
        <w:outlineLvl w:val="0"/>
        <w:rPr>
          <w:rFonts w:ascii="仿宋" w:hAnsi="仿宋" w:eastAsia="仿宋" w:cs="仿宋"/>
          <w:b/>
          <w:color w:val="auto"/>
          <w:kern w:val="0"/>
          <w:sz w:val="36"/>
          <w:szCs w:val="36"/>
          <w:highlight w:val="none"/>
        </w:rPr>
      </w:pPr>
    </w:p>
    <w:p w14:paraId="5E17AA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525CB2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EFE61B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E1FC75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B14758A">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FDC2C6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杭州市上城区彭埠街道应急消防管理站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sz w:val="24"/>
          <w:highlight w:val="none"/>
        </w:rPr>
        <w:t>：</w:t>
      </w:r>
    </w:p>
    <w:p w14:paraId="4F60053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】政府采购活动，郑重承诺：</w:t>
      </w:r>
    </w:p>
    <w:p w14:paraId="498C4622">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E7037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C095E7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9E4CB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793F96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675D9B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DF2B1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776E0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03C8BC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5BA9C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859615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C50966D">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4A032B8">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6EDDCEA4">
      <w:pPr>
        <w:snapToGrid w:val="0"/>
        <w:spacing w:line="360" w:lineRule="auto"/>
        <w:ind w:right="480" w:firstLine="559" w:firstLineChars="233"/>
        <w:jc w:val="left"/>
        <w:rPr>
          <w:rFonts w:ascii="仿宋" w:hAnsi="仿宋" w:eastAsia="仿宋" w:cs="仿宋"/>
          <w:color w:val="auto"/>
          <w:sz w:val="24"/>
          <w:highlight w:val="none"/>
        </w:rPr>
      </w:pPr>
    </w:p>
    <w:p w14:paraId="64D8D9EA">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D827054">
      <w:pPr>
        <w:widowControl/>
        <w:spacing w:line="360" w:lineRule="auto"/>
        <w:ind w:firstLine="643" w:firstLineChars="200"/>
        <w:jc w:val="center"/>
        <w:rPr>
          <w:rFonts w:ascii="仿宋" w:hAnsi="仿宋" w:eastAsia="仿宋" w:cs="仿宋"/>
          <w:b/>
          <w:color w:val="auto"/>
          <w:kern w:val="0"/>
          <w:sz w:val="32"/>
          <w:szCs w:val="32"/>
          <w:highlight w:val="none"/>
        </w:rPr>
      </w:pPr>
    </w:p>
    <w:p w14:paraId="537D236E">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F00B09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ACA144E">
      <w:pPr>
        <w:snapToGrid w:val="0"/>
        <w:spacing w:line="360" w:lineRule="auto"/>
        <w:ind w:right="480"/>
        <w:jc w:val="center"/>
        <w:rPr>
          <w:rFonts w:ascii="仿宋" w:hAnsi="仿宋" w:eastAsia="仿宋" w:cs="仿宋"/>
          <w:b/>
          <w:color w:val="auto"/>
          <w:kern w:val="0"/>
          <w:sz w:val="32"/>
          <w:szCs w:val="32"/>
          <w:highlight w:val="none"/>
        </w:rPr>
      </w:pPr>
    </w:p>
    <w:p w14:paraId="1BB6B82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92196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86B8162">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.专门面向中小企业，服务全部由符合政策要求的中小企业承接</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 xml:space="preserve">，提供相应的中小企业声明函（附件7）。 </w:t>
      </w:r>
    </w:p>
    <w:p w14:paraId="04F82623">
      <w:pPr>
        <w:widowControl/>
        <w:spacing w:line="360" w:lineRule="auto"/>
        <w:ind w:firstLine="480"/>
        <w:jc w:val="left"/>
        <w:rPr>
          <w:rFonts w:ascii="仿宋" w:hAnsi="仿宋" w:eastAsia="仿宋" w:cs="仿宋"/>
          <w:color w:val="auto"/>
          <w:sz w:val="24"/>
          <w:highlight w:val="none"/>
        </w:rPr>
      </w:pPr>
    </w:p>
    <w:p w14:paraId="5FC69F53">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4EB7E229">
      <w:pPr>
        <w:snapToGrid w:val="0"/>
        <w:spacing w:before="50" w:after="50" w:line="360" w:lineRule="auto"/>
        <w:jc w:val="center"/>
        <w:rPr>
          <w:rFonts w:ascii="仿宋" w:hAnsi="仿宋" w:eastAsia="仿宋" w:cs="仿宋"/>
          <w:color w:val="auto"/>
          <w:sz w:val="24"/>
          <w:highlight w:val="none"/>
        </w:rPr>
      </w:pPr>
    </w:p>
    <w:p w14:paraId="1239CC96">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14:paraId="6CD41E03">
      <w:pPr>
        <w:pStyle w:val="5"/>
        <w:rPr>
          <w:rFonts w:ascii="仿宋" w:eastAsia="仿宋" w:cs="仿宋"/>
          <w:color w:val="auto"/>
          <w:highlight w:val="none"/>
        </w:rPr>
      </w:pPr>
    </w:p>
    <w:p w14:paraId="2EF64457">
      <w:pPr>
        <w:widowControl/>
        <w:spacing w:line="360" w:lineRule="auto"/>
        <w:ind w:left="150"/>
        <w:jc w:val="center"/>
        <w:rPr>
          <w:rFonts w:ascii="仿宋" w:hAnsi="仿宋" w:eastAsia="仿宋" w:cs="仿宋"/>
          <w:b/>
          <w:color w:val="auto"/>
          <w:kern w:val="0"/>
          <w:sz w:val="32"/>
          <w:szCs w:val="32"/>
          <w:highlight w:val="none"/>
        </w:rPr>
      </w:pPr>
    </w:p>
    <w:p w14:paraId="7411C6F5">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00946E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E110081">
      <w:pPr>
        <w:rPr>
          <w:rFonts w:ascii="仿宋" w:hAnsi="仿宋" w:eastAsia="仿宋" w:cs="仿宋"/>
          <w:color w:val="auto"/>
          <w:highlight w:val="none"/>
        </w:rPr>
      </w:pPr>
    </w:p>
    <w:p w14:paraId="5C647DE9">
      <w:pPr>
        <w:snapToGrid w:val="0"/>
        <w:spacing w:line="360" w:lineRule="auto"/>
        <w:ind w:right="480"/>
        <w:jc w:val="center"/>
        <w:rPr>
          <w:rFonts w:ascii="仿宋" w:hAnsi="仿宋" w:eastAsia="仿宋" w:cs="仿宋"/>
          <w:b/>
          <w:color w:val="auto"/>
          <w:kern w:val="0"/>
          <w:sz w:val="32"/>
          <w:szCs w:val="32"/>
          <w:highlight w:val="none"/>
        </w:rPr>
      </w:pPr>
    </w:p>
    <w:p w14:paraId="2A8D2C6D">
      <w:pPr>
        <w:rPr>
          <w:rFonts w:ascii="仿宋" w:hAnsi="仿宋" w:eastAsia="仿宋" w:cs="仿宋"/>
          <w:color w:val="auto"/>
          <w:highlight w:val="none"/>
        </w:rPr>
      </w:pPr>
    </w:p>
    <w:p w14:paraId="196061E0">
      <w:pPr>
        <w:spacing w:line="360" w:lineRule="auto"/>
        <w:ind w:right="420" w:firstLine="3614" w:firstLineChars="1000"/>
        <w:rPr>
          <w:rFonts w:ascii="仿宋" w:hAnsi="仿宋" w:eastAsia="仿宋" w:cs="仿宋"/>
          <w:b/>
          <w:color w:val="auto"/>
          <w:kern w:val="0"/>
          <w:sz w:val="36"/>
          <w:szCs w:val="36"/>
          <w:highlight w:val="none"/>
        </w:rPr>
      </w:pPr>
    </w:p>
    <w:p w14:paraId="62D57243">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E62318B">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8C43FE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2CF49D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65D5531">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DAF21E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1262F9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9712B5D">
      <w:pPr>
        <w:snapToGrid w:val="0"/>
        <w:spacing w:line="360" w:lineRule="auto"/>
        <w:jc w:val="center"/>
        <w:rPr>
          <w:rFonts w:ascii="仿宋" w:hAnsi="仿宋" w:eastAsia="仿宋" w:cs="仿宋"/>
          <w:b/>
          <w:color w:val="auto"/>
          <w:kern w:val="0"/>
          <w:sz w:val="32"/>
          <w:szCs w:val="32"/>
          <w:highlight w:val="none"/>
          <w:lang w:val="zh-CN"/>
        </w:rPr>
      </w:pPr>
    </w:p>
    <w:p w14:paraId="250C9E63">
      <w:pPr>
        <w:snapToGrid w:val="0"/>
        <w:spacing w:line="360" w:lineRule="auto"/>
        <w:jc w:val="center"/>
        <w:rPr>
          <w:rFonts w:ascii="仿宋" w:hAnsi="仿宋" w:eastAsia="仿宋" w:cs="仿宋"/>
          <w:b/>
          <w:color w:val="auto"/>
          <w:kern w:val="0"/>
          <w:sz w:val="32"/>
          <w:szCs w:val="32"/>
          <w:highlight w:val="none"/>
          <w:lang w:val="zh-CN"/>
        </w:rPr>
      </w:pPr>
    </w:p>
    <w:p w14:paraId="7856ABFF">
      <w:pPr>
        <w:snapToGrid w:val="0"/>
        <w:spacing w:line="360" w:lineRule="auto"/>
        <w:jc w:val="center"/>
        <w:rPr>
          <w:rFonts w:ascii="仿宋" w:hAnsi="仿宋" w:eastAsia="仿宋" w:cs="仿宋"/>
          <w:b/>
          <w:color w:val="auto"/>
          <w:kern w:val="0"/>
          <w:sz w:val="32"/>
          <w:szCs w:val="32"/>
          <w:highlight w:val="none"/>
          <w:lang w:val="zh-CN"/>
        </w:rPr>
      </w:pPr>
    </w:p>
    <w:p w14:paraId="6ED9153C">
      <w:pPr>
        <w:snapToGrid w:val="0"/>
        <w:spacing w:line="360" w:lineRule="auto"/>
        <w:jc w:val="center"/>
        <w:rPr>
          <w:rFonts w:ascii="仿宋" w:hAnsi="仿宋" w:eastAsia="仿宋" w:cs="仿宋"/>
          <w:b/>
          <w:color w:val="auto"/>
          <w:kern w:val="0"/>
          <w:sz w:val="32"/>
          <w:szCs w:val="32"/>
          <w:highlight w:val="none"/>
          <w:lang w:val="zh-CN"/>
        </w:rPr>
      </w:pPr>
    </w:p>
    <w:p w14:paraId="44EF5927">
      <w:pPr>
        <w:snapToGrid w:val="0"/>
        <w:spacing w:line="360" w:lineRule="auto"/>
        <w:jc w:val="center"/>
        <w:rPr>
          <w:rFonts w:ascii="仿宋" w:hAnsi="仿宋" w:eastAsia="仿宋" w:cs="仿宋"/>
          <w:b/>
          <w:color w:val="auto"/>
          <w:kern w:val="0"/>
          <w:sz w:val="32"/>
          <w:szCs w:val="32"/>
          <w:highlight w:val="none"/>
          <w:lang w:val="zh-CN"/>
        </w:rPr>
      </w:pPr>
    </w:p>
    <w:p w14:paraId="1BC7690A">
      <w:pPr>
        <w:snapToGrid w:val="0"/>
        <w:spacing w:line="360" w:lineRule="auto"/>
        <w:jc w:val="center"/>
        <w:outlineLvl w:val="0"/>
        <w:rPr>
          <w:rFonts w:ascii="仿宋" w:hAnsi="仿宋" w:eastAsia="仿宋" w:cs="仿宋"/>
          <w:b/>
          <w:color w:val="auto"/>
          <w:kern w:val="0"/>
          <w:sz w:val="32"/>
          <w:szCs w:val="32"/>
          <w:highlight w:val="none"/>
        </w:rPr>
      </w:pPr>
    </w:p>
    <w:p w14:paraId="05F0FA2C">
      <w:pPr>
        <w:snapToGrid w:val="0"/>
        <w:spacing w:line="360" w:lineRule="auto"/>
        <w:jc w:val="center"/>
        <w:outlineLvl w:val="0"/>
        <w:rPr>
          <w:rFonts w:ascii="仿宋" w:hAnsi="仿宋" w:eastAsia="仿宋" w:cs="仿宋"/>
          <w:b/>
          <w:color w:val="auto"/>
          <w:kern w:val="0"/>
          <w:sz w:val="32"/>
          <w:szCs w:val="32"/>
          <w:highlight w:val="none"/>
        </w:rPr>
      </w:pPr>
    </w:p>
    <w:p w14:paraId="505FA9D4">
      <w:pPr>
        <w:rPr>
          <w:rFonts w:ascii="仿宋" w:hAnsi="仿宋" w:eastAsia="仿宋" w:cs="仿宋"/>
          <w:color w:val="auto"/>
          <w:highlight w:val="none"/>
        </w:rPr>
      </w:pPr>
    </w:p>
    <w:p w14:paraId="228C801C">
      <w:pPr>
        <w:snapToGrid w:val="0"/>
        <w:spacing w:line="360" w:lineRule="auto"/>
        <w:jc w:val="center"/>
        <w:outlineLvl w:val="0"/>
        <w:rPr>
          <w:rFonts w:ascii="仿宋" w:hAnsi="仿宋" w:eastAsia="仿宋" w:cs="仿宋"/>
          <w:b/>
          <w:color w:val="auto"/>
          <w:kern w:val="0"/>
          <w:sz w:val="32"/>
          <w:szCs w:val="32"/>
          <w:highlight w:val="none"/>
        </w:rPr>
      </w:pPr>
    </w:p>
    <w:p w14:paraId="281D08D6">
      <w:pPr>
        <w:snapToGrid w:val="0"/>
        <w:spacing w:line="360" w:lineRule="auto"/>
        <w:jc w:val="center"/>
        <w:outlineLvl w:val="0"/>
        <w:rPr>
          <w:rFonts w:ascii="仿宋" w:hAnsi="仿宋" w:eastAsia="仿宋" w:cs="仿宋"/>
          <w:b/>
          <w:color w:val="auto"/>
          <w:kern w:val="0"/>
          <w:sz w:val="32"/>
          <w:szCs w:val="32"/>
          <w:highlight w:val="none"/>
        </w:rPr>
      </w:pPr>
    </w:p>
    <w:p w14:paraId="571C90A6">
      <w:pPr>
        <w:pStyle w:val="5"/>
        <w:rPr>
          <w:rFonts w:ascii="仿宋" w:eastAsia="仿宋" w:cs="仿宋"/>
          <w:color w:val="auto"/>
          <w:highlight w:val="none"/>
          <w:lang w:val="en-US"/>
        </w:rPr>
      </w:pPr>
    </w:p>
    <w:p w14:paraId="24B04F58">
      <w:pPr>
        <w:rPr>
          <w:rFonts w:ascii="仿宋" w:hAnsi="仿宋" w:eastAsia="仿宋" w:cs="仿宋"/>
          <w:color w:val="auto"/>
          <w:highlight w:val="none"/>
        </w:rPr>
      </w:pPr>
    </w:p>
    <w:p w14:paraId="082E38F7">
      <w:pPr>
        <w:pStyle w:val="5"/>
        <w:ind w:left="0" w:leftChars="0" w:firstLine="0" w:firstLineChars="0"/>
        <w:rPr>
          <w:rFonts w:ascii="仿宋" w:eastAsia="仿宋" w:cs="仿宋"/>
          <w:color w:val="auto"/>
          <w:highlight w:val="none"/>
          <w:lang w:val="en-US"/>
        </w:rPr>
      </w:pPr>
    </w:p>
    <w:p w14:paraId="3D009CDD">
      <w:pPr>
        <w:rPr>
          <w:rFonts w:ascii="仿宋" w:eastAsia="仿宋" w:cs="仿宋"/>
          <w:color w:val="auto"/>
          <w:highlight w:val="none"/>
          <w:lang w:val="en-US"/>
        </w:rPr>
      </w:pPr>
    </w:p>
    <w:p w14:paraId="27412970">
      <w:pPr>
        <w:rPr>
          <w:rFonts w:ascii="仿宋" w:eastAsia="仿宋" w:cs="仿宋"/>
          <w:color w:val="auto"/>
          <w:highlight w:val="none"/>
          <w:lang w:val="en-US"/>
        </w:rPr>
      </w:pPr>
    </w:p>
    <w:p w14:paraId="43A85375">
      <w:pPr>
        <w:rPr>
          <w:rFonts w:ascii="仿宋" w:eastAsia="仿宋" w:cs="仿宋"/>
          <w:color w:val="auto"/>
          <w:highlight w:val="none"/>
          <w:lang w:val="en-US"/>
        </w:rPr>
      </w:pPr>
    </w:p>
    <w:p w14:paraId="6E900E85">
      <w:pPr>
        <w:rPr>
          <w:rFonts w:ascii="仿宋" w:eastAsia="仿宋" w:cs="仿宋"/>
          <w:color w:val="auto"/>
          <w:highlight w:val="none"/>
          <w:lang w:val="en-US"/>
        </w:rPr>
      </w:pPr>
    </w:p>
    <w:p w14:paraId="13EB32A7">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A2856B6">
      <w:pPr>
        <w:snapToGrid w:val="0"/>
        <w:spacing w:line="360" w:lineRule="auto"/>
        <w:ind w:firstLine="3855" w:firstLineChars="1200"/>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91481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杭州市上城区彭埠街道应急消防管理站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sz w:val="24"/>
          <w:highlight w:val="none"/>
        </w:rPr>
        <w:t>：</w:t>
      </w:r>
    </w:p>
    <w:p w14:paraId="219609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】招标的有关活动，并对此项目进行投标。为此：</w:t>
      </w:r>
    </w:p>
    <w:p w14:paraId="2F5B29F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506D8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489321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556394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156EF0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08F481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中小企业声明函（如果有）；</w:t>
      </w:r>
    </w:p>
    <w:p w14:paraId="04064EA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14:paraId="33020A48">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6ACA9D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14:paraId="3D95862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21622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31BAF7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4E7AF7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4C2D2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5CC262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2F9CF09">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2561B0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F2338C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B04F52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361DD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7E9D3B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3ADE20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298626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CF2809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A4E95E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4591299C">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400D16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C7C6285">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2BD293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7611222">
      <w:pPr>
        <w:snapToGrid w:val="0"/>
        <w:spacing w:line="360" w:lineRule="auto"/>
        <w:jc w:val="center"/>
        <w:rPr>
          <w:rFonts w:ascii="仿宋" w:hAnsi="仿宋" w:eastAsia="仿宋" w:cs="仿宋"/>
          <w:b/>
          <w:color w:val="auto"/>
          <w:kern w:val="0"/>
          <w:sz w:val="32"/>
          <w:szCs w:val="32"/>
          <w:highlight w:val="none"/>
        </w:rPr>
      </w:pPr>
    </w:p>
    <w:p w14:paraId="2E019B75">
      <w:pPr>
        <w:snapToGrid w:val="0"/>
        <w:spacing w:line="360" w:lineRule="auto"/>
        <w:rPr>
          <w:rFonts w:ascii="仿宋" w:hAnsi="仿宋" w:eastAsia="仿宋" w:cs="仿宋"/>
          <w:color w:val="auto"/>
          <w:sz w:val="24"/>
          <w:highlight w:val="none"/>
        </w:rPr>
      </w:pPr>
    </w:p>
    <w:p w14:paraId="12CF6177">
      <w:pPr>
        <w:jc w:val="center"/>
        <w:rPr>
          <w:rFonts w:ascii="仿宋" w:hAnsi="仿宋" w:eastAsia="仿宋" w:cs="仿宋"/>
          <w:b/>
          <w:color w:val="auto"/>
          <w:kern w:val="0"/>
          <w:sz w:val="32"/>
          <w:szCs w:val="32"/>
          <w:highlight w:val="none"/>
        </w:rPr>
      </w:pPr>
    </w:p>
    <w:p w14:paraId="367F42D8">
      <w:pPr>
        <w:jc w:val="center"/>
        <w:rPr>
          <w:rFonts w:ascii="仿宋" w:hAnsi="仿宋" w:eastAsia="仿宋" w:cs="仿宋"/>
          <w:b/>
          <w:color w:val="auto"/>
          <w:kern w:val="0"/>
          <w:sz w:val="32"/>
          <w:szCs w:val="32"/>
          <w:highlight w:val="none"/>
        </w:rPr>
      </w:pPr>
    </w:p>
    <w:p w14:paraId="55E789E8">
      <w:pPr>
        <w:jc w:val="center"/>
        <w:rPr>
          <w:rFonts w:ascii="仿宋" w:hAnsi="仿宋" w:eastAsia="仿宋" w:cs="仿宋"/>
          <w:b/>
          <w:color w:val="auto"/>
          <w:kern w:val="0"/>
          <w:sz w:val="32"/>
          <w:szCs w:val="32"/>
          <w:highlight w:val="none"/>
        </w:rPr>
      </w:pPr>
    </w:p>
    <w:p w14:paraId="29CCF19B">
      <w:pPr>
        <w:jc w:val="center"/>
        <w:rPr>
          <w:rFonts w:ascii="仿宋" w:hAnsi="仿宋" w:eastAsia="仿宋" w:cs="仿宋"/>
          <w:b/>
          <w:color w:val="auto"/>
          <w:kern w:val="0"/>
          <w:sz w:val="32"/>
          <w:szCs w:val="32"/>
          <w:highlight w:val="none"/>
        </w:rPr>
      </w:pPr>
    </w:p>
    <w:p w14:paraId="72CDFE1C">
      <w:pPr>
        <w:jc w:val="center"/>
        <w:rPr>
          <w:rFonts w:ascii="仿宋" w:hAnsi="仿宋" w:eastAsia="仿宋" w:cs="仿宋"/>
          <w:b/>
          <w:color w:val="auto"/>
          <w:kern w:val="0"/>
          <w:sz w:val="32"/>
          <w:szCs w:val="32"/>
          <w:highlight w:val="none"/>
        </w:rPr>
      </w:pPr>
    </w:p>
    <w:p w14:paraId="7596850C">
      <w:pPr>
        <w:jc w:val="center"/>
        <w:rPr>
          <w:rFonts w:ascii="仿宋" w:hAnsi="仿宋" w:eastAsia="仿宋" w:cs="仿宋"/>
          <w:b/>
          <w:color w:val="auto"/>
          <w:kern w:val="0"/>
          <w:sz w:val="32"/>
          <w:szCs w:val="32"/>
          <w:highlight w:val="none"/>
        </w:rPr>
      </w:pPr>
    </w:p>
    <w:p w14:paraId="236BBDAA">
      <w:pPr>
        <w:jc w:val="center"/>
        <w:rPr>
          <w:rFonts w:ascii="仿宋" w:hAnsi="仿宋" w:eastAsia="仿宋" w:cs="仿宋"/>
          <w:b/>
          <w:color w:val="auto"/>
          <w:kern w:val="0"/>
          <w:sz w:val="32"/>
          <w:szCs w:val="32"/>
          <w:highlight w:val="none"/>
        </w:rPr>
      </w:pPr>
    </w:p>
    <w:p w14:paraId="6167598F">
      <w:pPr>
        <w:jc w:val="center"/>
        <w:rPr>
          <w:rFonts w:ascii="仿宋" w:hAnsi="仿宋" w:eastAsia="仿宋" w:cs="仿宋"/>
          <w:b/>
          <w:color w:val="auto"/>
          <w:kern w:val="0"/>
          <w:sz w:val="32"/>
          <w:szCs w:val="32"/>
          <w:highlight w:val="none"/>
        </w:rPr>
      </w:pPr>
    </w:p>
    <w:p w14:paraId="0768329B">
      <w:pPr>
        <w:jc w:val="center"/>
        <w:rPr>
          <w:rFonts w:ascii="仿宋" w:hAnsi="仿宋" w:eastAsia="仿宋" w:cs="仿宋"/>
          <w:b/>
          <w:color w:val="auto"/>
          <w:kern w:val="0"/>
          <w:sz w:val="32"/>
          <w:szCs w:val="32"/>
          <w:highlight w:val="none"/>
        </w:rPr>
      </w:pPr>
    </w:p>
    <w:p w14:paraId="03BE1B07">
      <w:pPr>
        <w:jc w:val="center"/>
        <w:rPr>
          <w:rFonts w:ascii="仿宋" w:hAnsi="仿宋" w:eastAsia="仿宋" w:cs="仿宋"/>
          <w:b/>
          <w:color w:val="auto"/>
          <w:kern w:val="0"/>
          <w:sz w:val="32"/>
          <w:szCs w:val="32"/>
          <w:highlight w:val="none"/>
        </w:rPr>
      </w:pPr>
    </w:p>
    <w:p w14:paraId="10D2D2A7">
      <w:pPr>
        <w:jc w:val="center"/>
        <w:rPr>
          <w:rFonts w:ascii="仿宋" w:hAnsi="仿宋" w:eastAsia="仿宋" w:cs="仿宋"/>
          <w:b/>
          <w:color w:val="auto"/>
          <w:kern w:val="0"/>
          <w:sz w:val="32"/>
          <w:szCs w:val="32"/>
          <w:highlight w:val="none"/>
        </w:rPr>
      </w:pPr>
    </w:p>
    <w:p w14:paraId="7A272B65">
      <w:pPr>
        <w:jc w:val="center"/>
        <w:rPr>
          <w:rFonts w:ascii="仿宋" w:hAnsi="仿宋" w:eastAsia="仿宋" w:cs="仿宋"/>
          <w:b/>
          <w:color w:val="auto"/>
          <w:kern w:val="0"/>
          <w:sz w:val="32"/>
          <w:szCs w:val="32"/>
          <w:highlight w:val="none"/>
        </w:rPr>
      </w:pPr>
    </w:p>
    <w:p w14:paraId="626EBA5B">
      <w:pPr>
        <w:jc w:val="center"/>
        <w:rPr>
          <w:rFonts w:ascii="仿宋" w:hAnsi="仿宋" w:eastAsia="仿宋" w:cs="仿宋"/>
          <w:b/>
          <w:color w:val="auto"/>
          <w:kern w:val="0"/>
          <w:sz w:val="32"/>
          <w:szCs w:val="32"/>
          <w:highlight w:val="none"/>
        </w:rPr>
      </w:pPr>
    </w:p>
    <w:p w14:paraId="7C80DBD0">
      <w:pPr>
        <w:jc w:val="center"/>
        <w:rPr>
          <w:rFonts w:ascii="仿宋" w:hAnsi="仿宋" w:eastAsia="仿宋" w:cs="仿宋"/>
          <w:b/>
          <w:color w:val="auto"/>
          <w:kern w:val="0"/>
          <w:sz w:val="32"/>
          <w:szCs w:val="32"/>
          <w:highlight w:val="none"/>
        </w:rPr>
      </w:pPr>
    </w:p>
    <w:p w14:paraId="247D247B">
      <w:pPr>
        <w:jc w:val="center"/>
        <w:rPr>
          <w:rFonts w:ascii="仿宋" w:hAnsi="仿宋" w:eastAsia="仿宋" w:cs="仿宋"/>
          <w:b/>
          <w:color w:val="auto"/>
          <w:kern w:val="0"/>
          <w:sz w:val="32"/>
          <w:szCs w:val="32"/>
          <w:highlight w:val="none"/>
        </w:rPr>
      </w:pPr>
    </w:p>
    <w:p w14:paraId="3E0B764E">
      <w:pPr>
        <w:jc w:val="center"/>
        <w:rPr>
          <w:rFonts w:ascii="仿宋" w:hAnsi="仿宋" w:eastAsia="仿宋" w:cs="仿宋"/>
          <w:b/>
          <w:color w:val="auto"/>
          <w:kern w:val="0"/>
          <w:sz w:val="32"/>
          <w:szCs w:val="32"/>
          <w:highlight w:val="none"/>
        </w:rPr>
      </w:pPr>
    </w:p>
    <w:p w14:paraId="291951D2">
      <w:pPr>
        <w:jc w:val="center"/>
        <w:rPr>
          <w:rFonts w:ascii="仿宋" w:hAnsi="仿宋" w:eastAsia="仿宋" w:cs="仿宋"/>
          <w:b/>
          <w:color w:val="auto"/>
          <w:kern w:val="0"/>
          <w:sz w:val="32"/>
          <w:szCs w:val="32"/>
          <w:highlight w:val="none"/>
        </w:rPr>
      </w:pPr>
    </w:p>
    <w:p w14:paraId="45E789F9">
      <w:pPr>
        <w:jc w:val="center"/>
        <w:rPr>
          <w:rFonts w:ascii="仿宋" w:hAnsi="仿宋" w:eastAsia="仿宋" w:cs="仿宋"/>
          <w:b/>
          <w:color w:val="auto"/>
          <w:kern w:val="0"/>
          <w:sz w:val="32"/>
          <w:szCs w:val="32"/>
          <w:highlight w:val="none"/>
        </w:rPr>
      </w:pPr>
    </w:p>
    <w:p w14:paraId="2FE8D8B4">
      <w:pPr>
        <w:jc w:val="center"/>
        <w:rPr>
          <w:rFonts w:ascii="仿宋" w:hAnsi="仿宋" w:eastAsia="仿宋" w:cs="仿宋"/>
          <w:b/>
          <w:color w:val="auto"/>
          <w:kern w:val="0"/>
          <w:sz w:val="32"/>
          <w:szCs w:val="32"/>
          <w:highlight w:val="none"/>
        </w:rPr>
      </w:pPr>
    </w:p>
    <w:p w14:paraId="77537269">
      <w:pPr>
        <w:jc w:val="center"/>
        <w:rPr>
          <w:rFonts w:ascii="仿宋" w:hAnsi="仿宋" w:eastAsia="仿宋" w:cs="仿宋"/>
          <w:b/>
          <w:color w:val="auto"/>
          <w:kern w:val="0"/>
          <w:sz w:val="32"/>
          <w:szCs w:val="32"/>
          <w:highlight w:val="none"/>
        </w:rPr>
      </w:pPr>
    </w:p>
    <w:p w14:paraId="7A149816">
      <w:pPr>
        <w:jc w:val="center"/>
        <w:rPr>
          <w:rFonts w:ascii="仿宋" w:hAnsi="仿宋" w:eastAsia="仿宋" w:cs="仿宋"/>
          <w:b/>
          <w:color w:val="auto"/>
          <w:kern w:val="0"/>
          <w:sz w:val="32"/>
          <w:szCs w:val="32"/>
          <w:highlight w:val="none"/>
        </w:rPr>
      </w:pPr>
    </w:p>
    <w:p w14:paraId="78118B09">
      <w:pPr>
        <w:jc w:val="center"/>
        <w:rPr>
          <w:rFonts w:ascii="仿宋" w:hAnsi="仿宋" w:eastAsia="仿宋" w:cs="仿宋"/>
          <w:b/>
          <w:color w:val="auto"/>
          <w:kern w:val="0"/>
          <w:sz w:val="32"/>
          <w:szCs w:val="32"/>
          <w:highlight w:val="none"/>
        </w:rPr>
      </w:pPr>
    </w:p>
    <w:p w14:paraId="508C32D1">
      <w:pPr>
        <w:pStyle w:val="18"/>
        <w:rPr>
          <w:rFonts w:ascii="仿宋" w:hAnsi="仿宋" w:eastAsia="仿宋" w:cs="仿宋"/>
          <w:b/>
          <w:color w:val="auto"/>
          <w:kern w:val="0"/>
          <w:sz w:val="32"/>
          <w:szCs w:val="32"/>
          <w:highlight w:val="none"/>
        </w:rPr>
      </w:pPr>
    </w:p>
    <w:p w14:paraId="4328AAD6">
      <w:pPr>
        <w:jc w:val="both"/>
        <w:rPr>
          <w:rFonts w:hint="eastAsia" w:ascii="仿宋" w:hAnsi="仿宋" w:eastAsia="仿宋" w:cs="仿宋"/>
          <w:b/>
          <w:color w:val="auto"/>
          <w:kern w:val="0"/>
          <w:sz w:val="32"/>
          <w:szCs w:val="32"/>
          <w:highlight w:val="none"/>
          <w:lang w:val="zh-CN"/>
        </w:rPr>
      </w:pPr>
      <w:bookmarkStart w:id="165" w:name="_GoBack"/>
      <w:bookmarkEnd w:id="165"/>
    </w:p>
    <w:p w14:paraId="7E43F65B">
      <w:pPr>
        <w:jc w:val="center"/>
        <w:rPr>
          <w:rFonts w:hint="eastAsia" w:ascii="仿宋" w:hAnsi="仿宋" w:eastAsia="仿宋" w:cs="仿宋"/>
          <w:b/>
          <w:color w:val="auto"/>
          <w:kern w:val="0"/>
          <w:sz w:val="32"/>
          <w:szCs w:val="32"/>
          <w:highlight w:val="none"/>
          <w:lang w:val="zh-CN"/>
        </w:rPr>
      </w:pPr>
    </w:p>
    <w:p w14:paraId="68D8428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BBDB794">
      <w:pPr>
        <w:snapToGrid w:val="0"/>
        <w:spacing w:line="360" w:lineRule="auto"/>
        <w:rPr>
          <w:rFonts w:ascii="仿宋" w:hAnsi="仿宋" w:eastAsia="仿宋" w:cs="仿宋"/>
          <w:color w:val="auto"/>
          <w:sz w:val="24"/>
          <w:highlight w:val="none"/>
        </w:rPr>
      </w:pPr>
    </w:p>
    <w:p w14:paraId="363298FD">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66CC4F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杭州市上城区彭埠街道应急消防管理站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104149A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341191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A69072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5D7C893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4796AFE">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67C08F06">
      <w:pPr>
        <w:snapToGrid w:val="0"/>
        <w:spacing w:line="360" w:lineRule="auto"/>
        <w:rPr>
          <w:rFonts w:ascii="仿宋" w:hAnsi="仿宋" w:eastAsia="仿宋" w:cs="仿宋"/>
          <w:color w:val="auto"/>
          <w:sz w:val="24"/>
          <w:highlight w:val="none"/>
        </w:rPr>
      </w:pPr>
    </w:p>
    <w:p w14:paraId="467844C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56BA13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杭州市上城区彭埠街道应急消防管理站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0029880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1B4548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3A70C87">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特此告知。</w:t>
      </w:r>
    </w:p>
    <w:p w14:paraId="18AB2754">
      <w:pPr>
        <w:rPr>
          <w:rFonts w:ascii="仿宋" w:hAnsi="仿宋" w:eastAsia="仿宋" w:cs="仿宋"/>
          <w:color w:val="auto"/>
          <w:highlight w:val="none"/>
        </w:rPr>
      </w:pPr>
    </w:p>
    <w:p w14:paraId="3506A00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3031F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61E307">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05590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916B7C">
      <w:pPr>
        <w:pStyle w:val="17"/>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14:paraId="468C19A6">
      <w:pPr>
        <w:rPr>
          <w:color w:val="auto"/>
          <w:highlight w:val="none"/>
          <w:lang w:val="zh-CN"/>
        </w:rPr>
      </w:pPr>
    </w:p>
    <w:p w14:paraId="1C91594E">
      <w:pPr>
        <w:rPr>
          <w:color w:val="auto"/>
          <w:highlight w:val="none"/>
          <w:lang w:val="zh-CN"/>
        </w:rPr>
      </w:pPr>
    </w:p>
    <w:p w14:paraId="4341C01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1AEBD00">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2CFA2AF">
      <w:pPr>
        <w:pStyle w:val="15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DBE5DA">
            <w:pPr>
              <w:pStyle w:val="152"/>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3B71B81">
            <w:pPr>
              <w:pStyle w:val="152"/>
              <w:adjustRightInd w:val="0"/>
              <w:spacing w:line="360" w:lineRule="auto"/>
              <w:rPr>
                <w:rFonts w:ascii="仿宋" w:hAnsi="仿宋" w:eastAsia="仿宋" w:cs="仿宋"/>
                <w:bCs/>
                <w:color w:val="auto"/>
                <w:sz w:val="24"/>
                <w:highlight w:val="none"/>
              </w:rPr>
            </w:pPr>
          </w:p>
        </w:tc>
      </w:tr>
    </w:tbl>
    <w:p w14:paraId="05BB45A4">
      <w:pPr>
        <w:snapToGrid w:val="0"/>
        <w:spacing w:line="360" w:lineRule="auto"/>
        <w:ind w:firstLine="576"/>
        <w:jc w:val="center"/>
        <w:rPr>
          <w:rFonts w:ascii="仿宋" w:hAnsi="仿宋" w:eastAsia="仿宋" w:cs="仿宋"/>
          <w:color w:val="auto"/>
          <w:kern w:val="0"/>
          <w:sz w:val="24"/>
          <w:highlight w:val="none"/>
          <w:lang w:val="zh-CN"/>
        </w:rPr>
      </w:pPr>
    </w:p>
    <w:p w14:paraId="5660F93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B690FC8">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3895E5">
      <w:pPr>
        <w:jc w:val="center"/>
        <w:rPr>
          <w:rFonts w:ascii="仿宋" w:hAnsi="仿宋" w:eastAsia="仿宋" w:cs="仿宋"/>
          <w:b/>
          <w:color w:val="auto"/>
          <w:kern w:val="0"/>
          <w:sz w:val="32"/>
          <w:szCs w:val="32"/>
          <w:highlight w:val="none"/>
        </w:rPr>
      </w:pPr>
    </w:p>
    <w:p w14:paraId="295AECD9">
      <w:pPr>
        <w:jc w:val="center"/>
        <w:rPr>
          <w:rFonts w:ascii="仿宋" w:hAnsi="仿宋" w:eastAsia="仿宋" w:cs="仿宋"/>
          <w:b/>
          <w:color w:val="auto"/>
          <w:kern w:val="0"/>
          <w:sz w:val="32"/>
          <w:szCs w:val="32"/>
          <w:highlight w:val="none"/>
        </w:rPr>
      </w:pPr>
    </w:p>
    <w:p w14:paraId="574C39F8">
      <w:pPr>
        <w:jc w:val="center"/>
        <w:rPr>
          <w:rFonts w:ascii="仿宋" w:hAnsi="仿宋" w:eastAsia="仿宋" w:cs="仿宋"/>
          <w:b/>
          <w:color w:val="auto"/>
          <w:kern w:val="0"/>
          <w:sz w:val="32"/>
          <w:szCs w:val="32"/>
          <w:highlight w:val="none"/>
        </w:rPr>
      </w:pPr>
    </w:p>
    <w:p w14:paraId="488A7A19">
      <w:pPr>
        <w:jc w:val="center"/>
        <w:rPr>
          <w:rFonts w:ascii="仿宋" w:hAnsi="仿宋" w:eastAsia="仿宋" w:cs="仿宋"/>
          <w:b/>
          <w:color w:val="auto"/>
          <w:kern w:val="0"/>
          <w:sz w:val="32"/>
          <w:szCs w:val="32"/>
          <w:highlight w:val="none"/>
        </w:rPr>
      </w:pPr>
    </w:p>
    <w:p w14:paraId="43A22E26">
      <w:pPr>
        <w:jc w:val="center"/>
        <w:rPr>
          <w:rFonts w:ascii="仿宋" w:hAnsi="仿宋" w:eastAsia="仿宋" w:cs="仿宋"/>
          <w:b/>
          <w:color w:val="auto"/>
          <w:kern w:val="0"/>
          <w:sz w:val="32"/>
          <w:szCs w:val="32"/>
          <w:highlight w:val="none"/>
        </w:rPr>
      </w:pPr>
    </w:p>
    <w:p w14:paraId="6131674A">
      <w:pPr>
        <w:jc w:val="center"/>
        <w:rPr>
          <w:rFonts w:ascii="仿宋" w:hAnsi="仿宋" w:eastAsia="仿宋" w:cs="仿宋"/>
          <w:b/>
          <w:color w:val="auto"/>
          <w:kern w:val="0"/>
          <w:sz w:val="32"/>
          <w:szCs w:val="32"/>
          <w:highlight w:val="none"/>
        </w:rPr>
      </w:pPr>
    </w:p>
    <w:p w14:paraId="6A696780">
      <w:pPr>
        <w:jc w:val="center"/>
        <w:rPr>
          <w:rFonts w:ascii="仿宋" w:hAnsi="仿宋" w:eastAsia="仿宋" w:cs="仿宋"/>
          <w:b/>
          <w:color w:val="auto"/>
          <w:kern w:val="0"/>
          <w:sz w:val="32"/>
          <w:szCs w:val="32"/>
          <w:highlight w:val="none"/>
        </w:rPr>
      </w:pPr>
    </w:p>
    <w:p w14:paraId="1C96B07B">
      <w:pPr>
        <w:jc w:val="both"/>
        <w:rPr>
          <w:rFonts w:ascii="仿宋" w:hAnsi="仿宋" w:eastAsia="仿宋" w:cs="仿宋"/>
          <w:b/>
          <w:color w:val="auto"/>
          <w:kern w:val="0"/>
          <w:sz w:val="32"/>
          <w:szCs w:val="32"/>
          <w:highlight w:val="none"/>
        </w:rPr>
      </w:pPr>
    </w:p>
    <w:p w14:paraId="0A247D33">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02289A">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15D07AAE">
      <w:pPr>
        <w:widowControl/>
        <w:spacing w:line="360" w:lineRule="auto"/>
        <w:ind w:firstLine="120" w:firstLineChars="50"/>
        <w:jc w:val="left"/>
        <w:rPr>
          <w:rFonts w:ascii="仿宋" w:hAnsi="仿宋" w:eastAsia="仿宋" w:cs="仿宋"/>
          <w:color w:val="auto"/>
          <w:sz w:val="24"/>
          <w:highlight w:val="none"/>
        </w:rPr>
      </w:pPr>
      <w:bookmarkStart w:id="155"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155"/>
    <w:p w14:paraId="2D18E289">
      <w:pPr>
        <w:snapToGrid w:val="0"/>
        <w:spacing w:line="360" w:lineRule="auto"/>
        <w:rPr>
          <w:rFonts w:ascii="仿宋" w:hAnsi="仿宋" w:eastAsia="仿宋" w:cs="仿宋"/>
          <w:color w:val="auto"/>
          <w:kern w:val="0"/>
          <w:sz w:val="24"/>
          <w:highlight w:val="none"/>
        </w:rPr>
      </w:pPr>
    </w:p>
    <w:p w14:paraId="097572E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0CA3AFA">
      <w:pPr>
        <w:jc w:val="center"/>
        <w:rPr>
          <w:rFonts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F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542EC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6A3279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29191D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E9C3A4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CC550C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C0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BEBECE">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67F1C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D6D9C4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B94D8B7">
            <w:pPr>
              <w:rPr>
                <w:rFonts w:ascii="仿宋" w:hAnsi="仿宋" w:eastAsia="仿宋" w:cs="仿宋"/>
                <w:color w:val="auto"/>
                <w:sz w:val="24"/>
                <w:highlight w:val="none"/>
              </w:rPr>
            </w:pPr>
          </w:p>
          <w:p w14:paraId="2AC9E71F">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13887C5">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1B0C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8E84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06B7A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8867396">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14:paraId="1C7FFD32">
            <w:pPr>
              <w:rPr>
                <w:rFonts w:ascii="仿宋" w:hAnsi="仿宋" w:eastAsia="仿宋" w:cs="仿宋"/>
                <w:color w:val="auto"/>
                <w:sz w:val="24"/>
                <w:highlight w:val="none"/>
              </w:rPr>
            </w:pPr>
          </w:p>
          <w:p w14:paraId="39366D6A">
            <w:pPr>
              <w:rPr>
                <w:rFonts w:ascii="仿宋" w:hAnsi="仿宋" w:eastAsia="仿宋" w:cs="仿宋"/>
                <w:color w:val="auto"/>
                <w:sz w:val="24"/>
                <w:highlight w:val="none"/>
              </w:rPr>
            </w:pPr>
          </w:p>
          <w:p w14:paraId="031CE027">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154E72B">
            <w:pPr>
              <w:pStyle w:val="5"/>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lang w:val="en-US" w:eastAsia="zh-CN"/>
              </w:rPr>
              <w:t xml:space="preserve"> </w:t>
            </w:r>
            <w:r>
              <w:rPr>
                <w:rFonts w:hint="eastAsia" w:ascii="仿宋" w:eastAsia="仿宋" w:cs="仿宋"/>
                <w:b w:val="0"/>
                <w:bCs w:val="0"/>
                <w:color w:val="auto"/>
                <w:sz w:val="24"/>
                <w:szCs w:val="24"/>
                <w:highlight w:val="none"/>
                <w:lang w:val="en-US"/>
              </w:rPr>
              <w:t>页</w:t>
            </w:r>
          </w:p>
        </w:tc>
      </w:tr>
      <w:tr w14:paraId="162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37EA13">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DC8B7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CBCE069">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2EC9A8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07DF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83E4E6">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26E188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79B13CF">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C4CA351">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770E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59D354">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991" w:type="dxa"/>
          </w:tcPr>
          <w:p w14:paraId="6711EF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总报价是否高于采购预算金额或最高限价；</w:t>
            </w:r>
          </w:p>
        </w:tc>
        <w:tc>
          <w:tcPr>
            <w:tcW w:w="2551" w:type="dxa"/>
            <w:vAlign w:val="center"/>
          </w:tcPr>
          <w:p w14:paraId="0F67D633">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报价一览表</w:t>
            </w:r>
          </w:p>
        </w:tc>
        <w:tc>
          <w:tcPr>
            <w:tcW w:w="1418" w:type="dxa"/>
          </w:tcPr>
          <w:p w14:paraId="631C05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14:paraId="112C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8BBCB">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991" w:type="dxa"/>
          </w:tcPr>
          <w:p w14:paraId="494671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响应文件是否为唯一的响应报价；</w:t>
            </w:r>
          </w:p>
        </w:tc>
        <w:tc>
          <w:tcPr>
            <w:tcW w:w="2551" w:type="dxa"/>
            <w:vAlign w:val="center"/>
          </w:tcPr>
          <w:p w14:paraId="0F1AC536">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报价一览表</w:t>
            </w:r>
          </w:p>
        </w:tc>
        <w:tc>
          <w:tcPr>
            <w:tcW w:w="1418" w:type="dxa"/>
          </w:tcPr>
          <w:p w14:paraId="659C40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bl>
    <w:p w14:paraId="42F37D9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55DFE5">
      <w:pPr>
        <w:jc w:val="center"/>
        <w:rPr>
          <w:rFonts w:ascii="仿宋" w:hAnsi="仿宋" w:eastAsia="仿宋" w:cs="仿宋"/>
          <w:b/>
          <w:color w:val="auto"/>
          <w:kern w:val="0"/>
          <w:sz w:val="32"/>
          <w:szCs w:val="32"/>
          <w:highlight w:val="none"/>
        </w:rPr>
      </w:pPr>
    </w:p>
    <w:p w14:paraId="568A63F5">
      <w:pPr>
        <w:jc w:val="center"/>
        <w:rPr>
          <w:rFonts w:ascii="仿宋" w:hAnsi="仿宋" w:eastAsia="仿宋" w:cs="仿宋"/>
          <w:b/>
          <w:color w:val="auto"/>
          <w:kern w:val="0"/>
          <w:sz w:val="32"/>
          <w:szCs w:val="32"/>
          <w:highlight w:val="none"/>
        </w:rPr>
      </w:pPr>
    </w:p>
    <w:p w14:paraId="10701A1D">
      <w:pPr>
        <w:jc w:val="center"/>
        <w:rPr>
          <w:rFonts w:ascii="仿宋" w:hAnsi="仿宋" w:eastAsia="仿宋" w:cs="仿宋"/>
          <w:b/>
          <w:color w:val="auto"/>
          <w:kern w:val="0"/>
          <w:sz w:val="32"/>
          <w:szCs w:val="32"/>
          <w:highlight w:val="none"/>
        </w:rPr>
      </w:pPr>
    </w:p>
    <w:p w14:paraId="2B879956">
      <w:pPr>
        <w:jc w:val="center"/>
        <w:rPr>
          <w:rFonts w:ascii="仿宋" w:hAnsi="仿宋" w:eastAsia="仿宋" w:cs="仿宋"/>
          <w:b/>
          <w:color w:val="auto"/>
          <w:kern w:val="0"/>
          <w:sz w:val="32"/>
          <w:szCs w:val="32"/>
          <w:highlight w:val="none"/>
        </w:rPr>
      </w:pPr>
    </w:p>
    <w:p w14:paraId="5E6BF504">
      <w:pPr>
        <w:jc w:val="center"/>
        <w:rPr>
          <w:rFonts w:ascii="仿宋" w:hAnsi="仿宋" w:eastAsia="仿宋" w:cs="仿宋"/>
          <w:b/>
          <w:color w:val="auto"/>
          <w:kern w:val="0"/>
          <w:sz w:val="32"/>
          <w:szCs w:val="32"/>
          <w:highlight w:val="none"/>
        </w:rPr>
      </w:pPr>
    </w:p>
    <w:p w14:paraId="0E932F12">
      <w:pPr>
        <w:pStyle w:val="64"/>
        <w:ind w:left="0" w:leftChars="0" w:firstLine="0" w:firstLineChars="0"/>
        <w:rPr>
          <w:rFonts w:ascii="仿宋" w:hAnsi="仿宋" w:eastAsia="仿宋" w:cs="仿宋"/>
          <w:color w:val="auto"/>
          <w:highlight w:val="none"/>
        </w:rPr>
      </w:pPr>
    </w:p>
    <w:p w14:paraId="30E1204B">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69F3578">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71F645D">
      <w:pPr>
        <w:jc w:val="center"/>
        <w:rPr>
          <w:rFonts w:ascii="仿宋" w:hAnsi="仿宋" w:eastAsia="仿宋" w:cs="仿宋"/>
          <w:b/>
          <w:color w:val="auto"/>
          <w:kern w:val="0"/>
          <w:sz w:val="32"/>
          <w:szCs w:val="32"/>
          <w:highlight w:val="none"/>
        </w:rPr>
      </w:pPr>
    </w:p>
    <w:p w14:paraId="7D204A1A">
      <w:pPr>
        <w:jc w:val="center"/>
        <w:rPr>
          <w:rFonts w:ascii="仿宋" w:hAnsi="仿宋" w:eastAsia="仿宋" w:cs="仿宋"/>
          <w:b/>
          <w:color w:val="auto"/>
          <w:kern w:val="0"/>
          <w:sz w:val="32"/>
          <w:szCs w:val="32"/>
          <w:highlight w:val="none"/>
        </w:rPr>
      </w:pPr>
    </w:p>
    <w:p w14:paraId="17D33B64">
      <w:pPr>
        <w:pStyle w:val="64"/>
        <w:ind w:firstLine="420"/>
        <w:rPr>
          <w:rFonts w:ascii="仿宋" w:hAnsi="仿宋" w:eastAsia="仿宋" w:cs="仿宋"/>
          <w:color w:val="auto"/>
          <w:highlight w:val="none"/>
        </w:rPr>
      </w:pPr>
    </w:p>
    <w:p w14:paraId="50B94EFA">
      <w:pPr>
        <w:pStyle w:val="64"/>
        <w:ind w:firstLine="420"/>
        <w:rPr>
          <w:rFonts w:ascii="仿宋" w:hAnsi="仿宋" w:eastAsia="仿宋" w:cs="仿宋"/>
          <w:color w:val="auto"/>
          <w:highlight w:val="none"/>
        </w:rPr>
      </w:pPr>
    </w:p>
    <w:p w14:paraId="4B86E3B8">
      <w:pPr>
        <w:pStyle w:val="64"/>
        <w:ind w:firstLine="420"/>
        <w:rPr>
          <w:rFonts w:ascii="仿宋" w:hAnsi="仿宋" w:eastAsia="仿宋" w:cs="仿宋"/>
          <w:color w:val="auto"/>
          <w:highlight w:val="none"/>
        </w:rPr>
      </w:pPr>
    </w:p>
    <w:p w14:paraId="2F569B11">
      <w:pPr>
        <w:jc w:val="center"/>
        <w:rPr>
          <w:rFonts w:ascii="仿宋" w:hAnsi="仿宋" w:eastAsia="仿宋" w:cs="仿宋"/>
          <w:b/>
          <w:color w:val="auto"/>
          <w:kern w:val="0"/>
          <w:sz w:val="32"/>
          <w:szCs w:val="32"/>
          <w:highlight w:val="none"/>
        </w:rPr>
      </w:pPr>
    </w:p>
    <w:p w14:paraId="4DFC345B">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8F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136A94">
            <w:pPr>
              <w:kinsoku/>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318319">
            <w:pPr>
              <w:kinsoku/>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0A718B">
            <w:pPr>
              <w:kinsoku/>
              <w:spacing w:line="360" w:lineRule="auto"/>
              <w:jc w:val="center"/>
              <w:rPr>
                <w:rFonts w:ascii="宋体" w:hAnsi="宋体" w:cs="宋体"/>
                <w:b/>
                <w:color w:val="auto"/>
                <w:highlight w:val="none"/>
              </w:rPr>
            </w:pPr>
          </w:p>
          <w:p w14:paraId="32223477">
            <w:pPr>
              <w:kinsoku/>
              <w:spacing w:line="360" w:lineRule="auto"/>
              <w:jc w:val="center"/>
              <w:rPr>
                <w:rFonts w:ascii="宋体" w:hAnsi="宋体" w:cs="宋体"/>
                <w:b/>
                <w:color w:val="auto"/>
                <w:highlight w:val="none"/>
              </w:rPr>
            </w:pPr>
            <w:r>
              <w:rPr>
                <w:rFonts w:hint="eastAsia" w:ascii="宋体" w:hAnsi="宋体" w:cs="宋体"/>
                <w:b/>
                <w:color w:val="auto"/>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1AA433">
            <w:pPr>
              <w:kinsoku/>
              <w:spacing w:line="360" w:lineRule="auto"/>
              <w:jc w:val="center"/>
              <w:rPr>
                <w:rFonts w:ascii="宋体" w:hAnsi="宋体" w:cs="宋体"/>
                <w:b/>
                <w:color w:val="auto"/>
                <w:highlight w:val="none"/>
              </w:rPr>
            </w:pPr>
            <w:r>
              <w:rPr>
                <w:rFonts w:hint="eastAsia" w:ascii="宋体" w:hAnsi="宋体" w:cs="宋体"/>
                <w:b/>
                <w:color w:val="auto"/>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22E914">
            <w:pPr>
              <w:kinsoku/>
              <w:spacing w:line="360" w:lineRule="auto"/>
              <w:jc w:val="center"/>
              <w:rPr>
                <w:rFonts w:ascii="宋体" w:hAnsi="宋体" w:cs="宋体"/>
                <w:b/>
                <w:color w:val="auto"/>
                <w:highlight w:val="none"/>
              </w:rPr>
            </w:pPr>
            <w:r>
              <w:rPr>
                <w:rFonts w:hint="eastAsia" w:ascii="宋体" w:hAnsi="宋体" w:cs="宋体"/>
                <w:b/>
                <w:color w:val="auto"/>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14B860">
            <w:pPr>
              <w:kinsoku/>
              <w:spacing w:line="360" w:lineRule="auto"/>
              <w:jc w:val="center"/>
              <w:rPr>
                <w:rFonts w:ascii="宋体" w:hAnsi="宋体" w:cs="宋体"/>
                <w:b/>
                <w:color w:val="auto"/>
                <w:highlight w:val="none"/>
              </w:rPr>
            </w:pPr>
            <w:r>
              <w:rPr>
                <w:rFonts w:hint="eastAsia" w:ascii="宋体" w:hAnsi="宋体" w:cs="宋体"/>
                <w:b/>
                <w:color w:val="auto"/>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BFAB9C3">
            <w:pPr>
              <w:kinsoku/>
              <w:spacing w:line="360" w:lineRule="auto"/>
              <w:jc w:val="center"/>
              <w:rPr>
                <w:rFonts w:ascii="宋体" w:hAnsi="宋体" w:cs="宋体"/>
                <w:b/>
                <w:color w:val="auto"/>
                <w:highlight w:val="none"/>
              </w:rPr>
            </w:pPr>
          </w:p>
          <w:p w14:paraId="0F1BAAFC">
            <w:pPr>
              <w:kinsoku/>
              <w:spacing w:line="360" w:lineRule="auto"/>
              <w:jc w:val="center"/>
              <w:rPr>
                <w:rFonts w:ascii="宋体" w:hAnsi="宋体" w:cs="宋体"/>
                <w:b/>
                <w:color w:val="auto"/>
                <w:highlight w:val="none"/>
              </w:rPr>
            </w:pPr>
            <w:r>
              <w:rPr>
                <w:rFonts w:hint="eastAsia" w:ascii="宋体" w:hAnsi="宋体" w:cs="宋体"/>
                <w:b/>
                <w:color w:val="auto"/>
                <w:highlight w:val="none"/>
              </w:rPr>
              <w:t>备注(如果有)</w:t>
            </w:r>
          </w:p>
          <w:p w14:paraId="032694AA">
            <w:pPr>
              <w:kinsoku/>
              <w:spacing w:line="360" w:lineRule="auto"/>
              <w:jc w:val="center"/>
              <w:rPr>
                <w:rFonts w:ascii="宋体" w:hAnsi="宋体" w:cs="宋体"/>
                <w:b/>
                <w:color w:val="auto"/>
                <w:highlight w:val="none"/>
              </w:rPr>
            </w:pPr>
          </w:p>
        </w:tc>
      </w:tr>
      <w:tr w14:paraId="2B55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6C6DC1">
            <w:pPr>
              <w:kinsoku/>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10FC86">
            <w:pPr>
              <w:kinsoku/>
              <w:spacing w:line="360" w:lineRule="auto"/>
              <w:jc w:val="center"/>
              <w:rPr>
                <w:rFonts w:ascii="宋体" w:hAnsi="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0E1DA7">
            <w:pPr>
              <w:kinsoku/>
              <w:spacing w:line="360" w:lineRule="auto"/>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059FE8">
            <w:pPr>
              <w:kinsoku/>
              <w:spacing w:line="360" w:lineRule="auto"/>
              <w:jc w:val="center"/>
              <w:rPr>
                <w:rFonts w:ascii="宋体" w:hAnsi="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50FC1">
            <w:pPr>
              <w:kinsoku/>
              <w:spacing w:line="360" w:lineRule="auto"/>
              <w:jc w:val="center"/>
              <w:rPr>
                <w:rFonts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BCFBFF">
            <w:pPr>
              <w:kinsoku/>
              <w:spacing w:line="360" w:lineRule="auto"/>
              <w:jc w:val="center"/>
              <w:rPr>
                <w:rFonts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C3F593">
            <w:pPr>
              <w:kinsoku/>
              <w:spacing w:line="360" w:lineRule="auto"/>
              <w:jc w:val="center"/>
              <w:rPr>
                <w:rFonts w:ascii="宋体" w:hAnsi="宋体" w:cs="宋体"/>
                <w:color w:val="auto"/>
                <w:highlight w:val="none"/>
              </w:rPr>
            </w:pPr>
          </w:p>
        </w:tc>
      </w:tr>
      <w:tr w14:paraId="6AC8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27099">
            <w:pPr>
              <w:kinsoku/>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03B923">
            <w:pPr>
              <w:kinsoku/>
              <w:spacing w:line="360" w:lineRule="auto"/>
              <w:jc w:val="center"/>
              <w:rPr>
                <w:rFonts w:ascii="宋体" w:hAnsi="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646F69">
            <w:pPr>
              <w:kinsoku/>
              <w:spacing w:line="360" w:lineRule="auto"/>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90CFDB">
            <w:pPr>
              <w:kinsoku/>
              <w:spacing w:line="360" w:lineRule="auto"/>
              <w:jc w:val="center"/>
              <w:rPr>
                <w:rFonts w:ascii="宋体" w:hAnsi="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3D27A6">
            <w:pPr>
              <w:kinsoku/>
              <w:spacing w:line="360" w:lineRule="auto"/>
              <w:jc w:val="center"/>
              <w:rPr>
                <w:rFonts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6D3972">
            <w:pPr>
              <w:kinsoku/>
              <w:spacing w:line="360" w:lineRule="auto"/>
              <w:jc w:val="center"/>
              <w:rPr>
                <w:rFonts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1AD1C7">
            <w:pPr>
              <w:kinsoku/>
              <w:spacing w:line="360" w:lineRule="auto"/>
              <w:jc w:val="center"/>
              <w:rPr>
                <w:rFonts w:ascii="宋体" w:hAnsi="宋体" w:cs="宋体"/>
                <w:color w:val="auto"/>
                <w:highlight w:val="none"/>
              </w:rPr>
            </w:pPr>
          </w:p>
        </w:tc>
      </w:tr>
      <w:tr w14:paraId="1593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E11A34">
            <w:pPr>
              <w:kinsoku/>
              <w:spacing w:line="360" w:lineRule="auto"/>
              <w:jc w:val="center"/>
              <w:rPr>
                <w:rFonts w:ascii="宋体" w:hAnsi="宋体" w:cs="宋体"/>
                <w:color w:val="auto"/>
                <w:highlight w:val="none"/>
              </w:rPr>
            </w:pPr>
            <w:r>
              <w:rPr>
                <w:rFonts w:hint="eastAsia" w:ascii="宋体" w:hAnsi="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05950E7">
            <w:pPr>
              <w:kinsoku/>
              <w:spacing w:line="360" w:lineRule="auto"/>
              <w:jc w:val="center"/>
              <w:rPr>
                <w:rFonts w:ascii="宋体" w:hAnsi="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EB1D5E">
            <w:pPr>
              <w:kinsoku/>
              <w:spacing w:line="360" w:lineRule="auto"/>
              <w:jc w:val="center"/>
              <w:rPr>
                <w:rFonts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8F486B">
            <w:pPr>
              <w:kinsoku/>
              <w:spacing w:line="360" w:lineRule="auto"/>
              <w:jc w:val="center"/>
              <w:rPr>
                <w:rFonts w:ascii="宋体" w:hAnsi="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EBD71B">
            <w:pPr>
              <w:kinsoku/>
              <w:spacing w:line="360" w:lineRule="auto"/>
              <w:jc w:val="center"/>
              <w:rPr>
                <w:rFonts w:ascii="宋体" w:hAnsi="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EF06E8">
            <w:pPr>
              <w:kinsoku/>
              <w:spacing w:line="360" w:lineRule="auto"/>
              <w:jc w:val="center"/>
              <w:rPr>
                <w:rFonts w:ascii="宋体" w:hAnsi="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86497A">
            <w:pPr>
              <w:kinsoku/>
              <w:spacing w:line="360" w:lineRule="auto"/>
              <w:jc w:val="center"/>
              <w:rPr>
                <w:rFonts w:ascii="宋体" w:hAnsi="宋体" w:cs="宋体"/>
                <w:color w:val="auto"/>
                <w:highlight w:val="none"/>
              </w:rPr>
            </w:pPr>
          </w:p>
        </w:tc>
      </w:tr>
    </w:tbl>
    <w:p w14:paraId="12003A3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8CD6B0">
      <w:pPr>
        <w:jc w:val="center"/>
        <w:rPr>
          <w:rFonts w:ascii="仿宋" w:hAnsi="仿宋" w:eastAsia="仿宋" w:cs="仿宋"/>
          <w:b/>
          <w:color w:val="auto"/>
          <w:kern w:val="0"/>
          <w:sz w:val="32"/>
          <w:szCs w:val="32"/>
          <w:highlight w:val="none"/>
        </w:rPr>
      </w:pPr>
    </w:p>
    <w:p w14:paraId="1634F36B">
      <w:pPr>
        <w:pStyle w:val="64"/>
        <w:ind w:firstLine="643"/>
        <w:rPr>
          <w:rFonts w:ascii="仿宋" w:hAnsi="仿宋" w:eastAsia="仿宋" w:cs="仿宋"/>
          <w:b/>
          <w:color w:val="auto"/>
          <w:kern w:val="0"/>
          <w:sz w:val="32"/>
          <w:szCs w:val="32"/>
          <w:highlight w:val="none"/>
        </w:rPr>
      </w:pPr>
    </w:p>
    <w:p w14:paraId="75DA5F97">
      <w:pPr>
        <w:pStyle w:val="64"/>
        <w:ind w:firstLine="643"/>
        <w:rPr>
          <w:rFonts w:ascii="仿宋" w:hAnsi="仿宋" w:eastAsia="仿宋" w:cs="仿宋"/>
          <w:b/>
          <w:color w:val="auto"/>
          <w:kern w:val="0"/>
          <w:sz w:val="32"/>
          <w:szCs w:val="32"/>
          <w:highlight w:val="none"/>
        </w:rPr>
      </w:pPr>
    </w:p>
    <w:p w14:paraId="74040AF4">
      <w:pPr>
        <w:jc w:val="center"/>
        <w:rPr>
          <w:rFonts w:ascii="仿宋" w:hAnsi="仿宋" w:eastAsia="仿宋" w:cs="仿宋"/>
          <w:b/>
          <w:color w:val="auto"/>
          <w:kern w:val="0"/>
          <w:sz w:val="32"/>
          <w:szCs w:val="32"/>
          <w:highlight w:val="none"/>
        </w:rPr>
      </w:pPr>
    </w:p>
    <w:p w14:paraId="5C595E2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2D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924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8678CD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EFE5F1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47571F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DE9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58C09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4284163">
            <w:pPr>
              <w:jc w:val="center"/>
              <w:rPr>
                <w:rFonts w:ascii="仿宋" w:hAnsi="仿宋" w:eastAsia="仿宋" w:cs="仿宋"/>
                <w:b/>
                <w:color w:val="auto"/>
                <w:kern w:val="0"/>
                <w:sz w:val="32"/>
                <w:szCs w:val="32"/>
                <w:highlight w:val="none"/>
              </w:rPr>
            </w:pPr>
          </w:p>
        </w:tc>
        <w:tc>
          <w:tcPr>
            <w:tcW w:w="3546" w:type="dxa"/>
          </w:tcPr>
          <w:p w14:paraId="122D04C6">
            <w:pPr>
              <w:jc w:val="center"/>
              <w:rPr>
                <w:rFonts w:ascii="仿宋" w:hAnsi="仿宋" w:eastAsia="仿宋" w:cs="仿宋"/>
                <w:b/>
                <w:color w:val="auto"/>
                <w:kern w:val="0"/>
                <w:sz w:val="32"/>
                <w:szCs w:val="32"/>
                <w:highlight w:val="none"/>
              </w:rPr>
            </w:pPr>
          </w:p>
        </w:tc>
        <w:tc>
          <w:tcPr>
            <w:tcW w:w="1276" w:type="dxa"/>
          </w:tcPr>
          <w:p w14:paraId="75D13FEF">
            <w:pPr>
              <w:jc w:val="center"/>
              <w:rPr>
                <w:rFonts w:ascii="仿宋" w:hAnsi="仿宋" w:eastAsia="仿宋" w:cs="仿宋"/>
                <w:b/>
                <w:color w:val="auto"/>
                <w:kern w:val="0"/>
                <w:sz w:val="32"/>
                <w:szCs w:val="32"/>
                <w:highlight w:val="none"/>
              </w:rPr>
            </w:pPr>
          </w:p>
        </w:tc>
      </w:tr>
      <w:tr w14:paraId="57BB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4D19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10165A5">
            <w:pPr>
              <w:jc w:val="center"/>
              <w:rPr>
                <w:rFonts w:ascii="仿宋" w:hAnsi="仿宋" w:eastAsia="仿宋" w:cs="仿宋"/>
                <w:b/>
                <w:color w:val="auto"/>
                <w:kern w:val="0"/>
                <w:sz w:val="32"/>
                <w:szCs w:val="32"/>
                <w:highlight w:val="none"/>
              </w:rPr>
            </w:pPr>
          </w:p>
        </w:tc>
        <w:tc>
          <w:tcPr>
            <w:tcW w:w="3546" w:type="dxa"/>
          </w:tcPr>
          <w:p w14:paraId="70F02E8A">
            <w:pPr>
              <w:jc w:val="center"/>
              <w:rPr>
                <w:rFonts w:ascii="仿宋" w:hAnsi="仿宋" w:eastAsia="仿宋" w:cs="仿宋"/>
                <w:b/>
                <w:color w:val="auto"/>
                <w:kern w:val="0"/>
                <w:sz w:val="32"/>
                <w:szCs w:val="32"/>
                <w:highlight w:val="none"/>
              </w:rPr>
            </w:pPr>
          </w:p>
        </w:tc>
        <w:tc>
          <w:tcPr>
            <w:tcW w:w="1276" w:type="dxa"/>
          </w:tcPr>
          <w:p w14:paraId="46D1ABE8">
            <w:pPr>
              <w:jc w:val="center"/>
              <w:rPr>
                <w:rFonts w:ascii="仿宋" w:hAnsi="仿宋" w:eastAsia="仿宋" w:cs="仿宋"/>
                <w:b/>
                <w:color w:val="auto"/>
                <w:kern w:val="0"/>
                <w:sz w:val="32"/>
                <w:szCs w:val="32"/>
                <w:highlight w:val="none"/>
              </w:rPr>
            </w:pPr>
          </w:p>
        </w:tc>
      </w:tr>
      <w:tr w14:paraId="159F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1E8C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6A90F40">
            <w:pPr>
              <w:jc w:val="center"/>
              <w:rPr>
                <w:rFonts w:ascii="仿宋" w:hAnsi="仿宋" w:eastAsia="仿宋" w:cs="仿宋"/>
                <w:b/>
                <w:color w:val="auto"/>
                <w:kern w:val="0"/>
                <w:sz w:val="32"/>
                <w:szCs w:val="32"/>
                <w:highlight w:val="none"/>
              </w:rPr>
            </w:pPr>
          </w:p>
        </w:tc>
        <w:tc>
          <w:tcPr>
            <w:tcW w:w="3546" w:type="dxa"/>
          </w:tcPr>
          <w:p w14:paraId="50653BB8">
            <w:pPr>
              <w:jc w:val="center"/>
              <w:rPr>
                <w:rFonts w:ascii="仿宋" w:hAnsi="仿宋" w:eastAsia="仿宋" w:cs="仿宋"/>
                <w:b/>
                <w:color w:val="auto"/>
                <w:kern w:val="0"/>
                <w:sz w:val="32"/>
                <w:szCs w:val="32"/>
                <w:highlight w:val="none"/>
              </w:rPr>
            </w:pPr>
          </w:p>
        </w:tc>
        <w:tc>
          <w:tcPr>
            <w:tcW w:w="1276" w:type="dxa"/>
          </w:tcPr>
          <w:p w14:paraId="4CD15C49">
            <w:pPr>
              <w:jc w:val="center"/>
              <w:rPr>
                <w:rFonts w:ascii="仿宋" w:hAnsi="仿宋" w:eastAsia="仿宋" w:cs="仿宋"/>
                <w:b/>
                <w:color w:val="auto"/>
                <w:kern w:val="0"/>
                <w:sz w:val="32"/>
                <w:szCs w:val="32"/>
                <w:highlight w:val="none"/>
              </w:rPr>
            </w:pPr>
          </w:p>
        </w:tc>
      </w:tr>
    </w:tbl>
    <w:p w14:paraId="455C995F">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9378D08">
      <w:pPr>
        <w:jc w:val="center"/>
        <w:rPr>
          <w:rFonts w:ascii="仿宋" w:hAnsi="仿宋" w:eastAsia="仿宋" w:cs="仿宋"/>
          <w:b/>
          <w:color w:val="auto"/>
          <w:kern w:val="0"/>
          <w:sz w:val="32"/>
          <w:szCs w:val="32"/>
          <w:highlight w:val="none"/>
        </w:rPr>
      </w:pPr>
    </w:p>
    <w:p w14:paraId="1A85328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989783">
      <w:pPr>
        <w:rPr>
          <w:rFonts w:ascii="仿宋" w:hAnsi="仿宋" w:eastAsia="仿宋" w:cs="仿宋"/>
          <w:b/>
          <w:bCs/>
          <w:color w:val="auto"/>
          <w:sz w:val="32"/>
          <w:szCs w:val="32"/>
          <w:highlight w:val="none"/>
        </w:rPr>
      </w:pPr>
    </w:p>
    <w:p w14:paraId="27188CAC">
      <w:pPr>
        <w:ind w:firstLine="1911" w:firstLineChars="595"/>
        <w:rPr>
          <w:rFonts w:ascii="仿宋" w:hAnsi="仿宋" w:eastAsia="仿宋" w:cs="仿宋"/>
          <w:b/>
          <w:bCs/>
          <w:color w:val="auto"/>
          <w:sz w:val="32"/>
          <w:szCs w:val="32"/>
          <w:highlight w:val="none"/>
        </w:rPr>
      </w:pPr>
    </w:p>
    <w:p w14:paraId="45876C80">
      <w:pPr>
        <w:ind w:firstLine="1911" w:firstLineChars="595"/>
        <w:rPr>
          <w:rFonts w:ascii="仿宋" w:hAnsi="仿宋" w:eastAsia="仿宋" w:cs="仿宋"/>
          <w:b/>
          <w:bCs/>
          <w:color w:val="auto"/>
          <w:sz w:val="32"/>
          <w:szCs w:val="32"/>
          <w:highlight w:val="none"/>
        </w:rPr>
      </w:pPr>
    </w:p>
    <w:p w14:paraId="4CA18B75">
      <w:pPr>
        <w:ind w:firstLine="1911" w:firstLineChars="595"/>
        <w:rPr>
          <w:rFonts w:hint="eastAsia" w:ascii="仿宋" w:hAnsi="仿宋" w:eastAsia="仿宋" w:cs="仿宋"/>
          <w:b/>
          <w:bCs/>
          <w:color w:val="auto"/>
          <w:sz w:val="32"/>
          <w:szCs w:val="32"/>
          <w:highlight w:val="none"/>
        </w:rPr>
      </w:pPr>
    </w:p>
    <w:p w14:paraId="4880123E">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ED938F">
      <w:pPr>
        <w:snapToGrid w:val="0"/>
        <w:spacing w:line="360" w:lineRule="auto"/>
        <w:rPr>
          <w:rFonts w:ascii="仿宋" w:hAnsi="仿宋" w:eastAsia="仿宋" w:cs="仿宋"/>
          <w:color w:val="auto"/>
          <w:sz w:val="24"/>
          <w:highlight w:val="none"/>
        </w:rPr>
      </w:pPr>
    </w:p>
    <w:p w14:paraId="3412289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杭州市上城区彭埠街道应急消防管理站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6991BFD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F77C32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7749B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8C9DA1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26C99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6B6BD1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9B32F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8E2C353">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BBAD1E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DB2D7F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C5229BE">
      <w:pPr>
        <w:autoSpaceDE w:val="0"/>
        <w:autoSpaceDN w:val="0"/>
        <w:spacing w:line="360" w:lineRule="auto"/>
        <w:ind w:left="2"/>
        <w:jc w:val="left"/>
        <w:rPr>
          <w:rFonts w:ascii="仿宋" w:hAnsi="仿宋" w:eastAsia="仿宋" w:cs="仿宋"/>
          <w:color w:val="auto"/>
          <w:kern w:val="0"/>
          <w:sz w:val="24"/>
          <w:highlight w:val="none"/>
          <w:lang w:val="zh-CN"/>
        </w:rPr>
      </w:pPr>
    </w:p>
    <w:p w14:paraId="1DA5F12C">
      <w:pPr>
        <w:autoSpaceDE w:val="0"/>
        <w:autoSpaceDN w:val="0"/>
        <w:spacing w:line="360" w:lineRule="auto"/>
        <w:ind w:left="2"/>
        <w:jc w:val="left"/>
        <w:rPr>
          <w:rFonts w:ascii="仿宋" w:hAnsi="仿宋" w:eastAsia="仿宋" w:cs="仿宋"/>
          <w:color w:val="auto"/>
          <w:kern w:val="0"/>
          <w:sz w:val="24"/>
          <w:highlight w:val="none"/>
          <w:lang w:val="zh-CN"/>
        </w:rPr>
      </w:pPr>
    </w:p>
    <w:p w14:paraId="6037E9EA">
      <w:pPr>
        <w:autoSpaceDE w:val="0"/>
        <w:autoSpaceDN w:val="0"/>
        <w:spacing w:line="360" w:lineRule="auto"/>
        <w:ind w:left="2"/>
        <w:jc w:val="left"/>
        <w:rPr>
          <w:rFonts w:ascii="仿宋" w:hAnsi="仿宋" w:eastAsia="仿宋" w:cs="仿宋"/>
          <w:color w:val="auto"/>
          <w:kern w:val="0"/>
          <w:sz w:val="24"/>
          <w:highlight w:val="none"/>
          <w:lang w:val="zh-CN"/>
        </w:rPr>
      </w:pPr>
    </w:p>
    <w:p w14:paraId="5048A4EB">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D729BD9">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D1D7C6C">
      <w:pPr>
        <w:spacing w:line="360" w:lineRule="auto"/>
        <w:jc w:val="center"/>
        <w:rPr>
          <w:rFonts w:ascii="仿宋" w:hAnsi="仿宋" w:eastAsia="仿宋" w:cs="仿宋"/>
          <w:b/>
          <w:bCs/>
          <w:color w:val="auto"/>
          <w:sz w:val="24"/>
          <w:highlight w:val="none"/>
        </w:rPr>
      </w:pPr>
    </w:p>
    <w:p w14:paraId="1063370D">
      <w:pPr>
        <w:spacing w:line="360" w:lineRule="auto"/>
        <w:ind w:right="420"/>
        <w:rPr>
          <w:rFonts w:ascii="仿宋" w:hAnsi="仿宋" w:eastAsia="仿宋" w:cs="仿宋"/>
          <w:b/>
          <w:bCs/>
          <w:color w:val="auto"/>
          <w:sz w:val="24"/>
          <w:highlight w:val="none"/>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注：按本格式和要求提供。</w:t>
      </w:r>
    </w:p>
    <w:p w14:paraId="124CA76C">
      <w:pPr>
        <w:spacing w:line="360" w:lineRule="auto"/>
        <w:jc w:val="both"/>
        <w:outlineLvl w:val="0"/>
        <w:rPr>
          <w:rFonts w:ascii="仿宋" w:hAnsi="仿宋" w:eastAsia="仿宋" w:cs="仿宋"/>
          <w:b/>
          <w:color w:val="auto"/>
          <w:kern w:val="0"/>
          <w:sz w:val="36"/>
          <w:szCs w:val="36"/>
          <w:highlight w:val="none"/>
        </w:rPr>
      </w:pPr>
    </w:p>
    <w:p w14:paraId="781F32A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EC16C7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F79FDC2">
      <w:pPr>
        <w:spacing w:line="360" w:lineRule="auto"/>
        <w:jc w:val="center"/>
        <w:outlineLvl w:val="0"/>
        <w:rPr>
          <w:rFonts w:ascii="仿宋" w:hAnsi="仿宋" w:eastAsia="仿宋" w:cs="仿宋"/>
          <w:b/>
          <w:color w:val="auto"/>
          <w:kern w:val="0"/>
          <w:sz w:val="36"/>
          <w:szCs w:val="36"/>
          <w:highlight w:val="none"/>
        </w:rPr>
      </w:pPr>
    </w:p>
    <w:p w14:paraId="66C7A20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8F2AF91">
      <w:pPr>
        <w:snapToGrid w:val="0"/>
        <w:spacing w:line="360" w:lineRule="auto"/>
        <w:ind w:right="480"/>
        <w:jc w:val="center"/>
        <w:rPr>
          <w:rFonts w:ascii="仿宋" w:hAnsi="仿宋" w:eastAsia="仿宋" w:cs="仿宋"/>
          <w:b/>
          <w:color w:val="auto"/>
          <w:kern w:val="0"/>
          <w:sz w:val="32"/>
          <w:szCs w:val="32"/>
          <w:highlight w:val="none"/>
        </w:rPr>
      </w:pPr>
    </w:p>
    <w:p w14:paraId="486B69FF">
      <w:pPr>
        <w:snapToGrid w:val="0"/>
        <w:spacing w:line="360" w:lineRule="auto"/>
        <w:ind w:right="480"/>
        <w:jc w:val="center"/>
        <w:rPr>
          <w:rFonts w:ascii="仿宋" w:hAnsi="仿宋" w:eastAsia="仿宋" w:cs="仿宋"/>
          <w:b/>
          <w:color w:val="auto"/>
          <w:kern w:val="0"/>
          <w:sz w:val="32"/>
          <w:szCs w:val="32"/>
          <w:highlight w:val="none"/>
        </w:rPr>
      </w:pPr>
    </w:p>
    <w:p w14:paraId="7CCA986A">
      <w:pPr>
        <w:snapToGrid w:val="0"/>
        <w:spacing w:line="360" w:lineRule="auto"/>
        <w:ind w:right="480"/>
        <w:jc w:val="center"/>
        <w:rPr>
          <w:rFonts w:ascii="仿宋" w:hAnsi="仿宋" w:eastAsia="仿宋" w:cs="仿宋"/>
          <w:b/>
          <w:color w:val="auto"/>
          <w:kern w:val="0"/>
          <w:sz w:val="32"/>
          <w:szCs w:val="32"/>
          <w:highlight w:val="none"/>
        </w:rPr>
      </w:pPr>
    </w:p>
    <w:p w14:paraId="689E7C58">
      <w:pPr>
        <w:snapToGrid w:val="0"/>
        <w:spacing w:line="360" w:lineRule="auto"/>
        <w:ind w:right="480"/>
        <w:jc w:val="center"/>
        <w:rPr>
          <w:rFonts w:ascii="仿宋" w:hAnsi="仿宋" w:eastAsia="仿宋" w:cs="仿宋"/>
          <w:b/>
          <w:color w:val="auto"/>
          <w:kern w:val="0"/>
          <w:sz w:val="32"/>
          <w:szCs w:val="32"/>
          <w:highlight w:val="none"/>
        </w:rPr>
      </w:pPr>
    </w:p>
    <w:p w14:paraId="55264A7D">
      <w:pPr>
        <w:snapToGrid w:val="0"/>
        <w:spacing w:line="360" w:lineRule="auto"/>
        <w:ind w:right="480"/>
        <w:jc w:val="center"/>
        <w:rPr>
          <w:rFonts w:ascii="仿宋" w:hAnsi="仿宋" w:eastAsia="仿宋" w:cs="仿宋"/>
          <w:b/>
          <w:color w:val="auto"/>
          <w:kern w:val="0"/>
          <w:sz w:val="32"/>
          <w:szCs w:val="32"/>
          <w:highlight w:val="none"/>
        </w:rPr>
      </w:pPr>
    </w:p>
    <w:p w14:paraId="1F269E89">
      <w:pPr>
        <w:snapToGrid w:val="0"/>
        <w:spacing w:line="360" w:lineRule="auto"/>
        <w:ind w:right="480"/>
        <w:jc w:val="center"/>
        <w:rPr>
          <w:rFonts w:ascii="仿宋" w:hAnsi="仿宋" w:eastAsia="仿宋" w:cs="仿宋"/>
          <w:b/>
          <w:color w:val="auto"/>
          <w:kern w:val="0"/>
          <w:sz w:val="32"/>
          <w:szCs w:val="32"/>
          <w:highlight w:val="none"/>
        </w:rPr>
      </w:pPr>
    </w:p>
    <w:p w14:paraId="566C84C4">
      <w:pPr>
        <w:snapToGrid w:val="0"/>
        <w:spacing w:line="360" w:lineRule="auto"/>
        <w:ind w:right="480"/>
        <w:jc w:val="center"/>
        <w:rPr>
          <w:rFonts w:ascii="仿宋" w:hAnsi="仿宋" w:eastAsia="仿宋" w:cs="仿宋"/>
          <w:b/>
          <w:color w:val="auto"/>
          <w:kern w:val="0"/>
          <w:sz w:val="32"/>
          <w:szCs w:val="32"/>
          <w:highlight w:val="none"/>
        </w:rPr>
      </w:pPr>
    </w:p>
    <w:p w14:paraId="6C511047">
      <w:pPr>
        <w:snapToGrid w:val="0"/>
        <w:spacing w:line="360" w:lineRule="auto"/>
        <w:ind w:right="480"/>
        <w:jc w:val="center"/>
        <w:rPr>
          <w:rFonts w:ascii="仿宋" w:hAnsi="仿宋" w:eastAsia="仿宋" w:cs="仿宋"/>
          <w:b/>
          <w:color w:val="auto"/>
          <w:kern w:val="0"/>
          <w:sz w:val="32"/>
          <w:szCs w:val="32"/>
          <w:highlight w:val="none"/>
        </w:rPr>
      </w:pPr>
    </w:p>
    <w:p w14:paraId="2847711D">
      <w:pPr>
        <w:snapToGrid w:val="0"/>
        <w:spacing w:line="360" w:lineRule="auto"/>
        <w:ind w:right="480"/>
        <w:jc w:val="center"/>
        <w:rPr>
          <w:rFonts w:ascii="仿宋" w:hAnsi="仿宋" w:eastAsia="仿宋" w:cs="仿宋"/>
          <w:b/>
          <w:color w:val="auto"/>
          <w:kern w:val="0"/>
          <w:sz w:val="32"/>
          <w:szCs w:val="32"/>
          <w:highlight w:val="none"/>
        </w:rPr>
      </w:pPr>
    </w:p>
    <w:p w14:paraId="34BB1BAD">
      <w:pPr>
        <w:snapToGrid w:val="0"/>
        <w:spacing w:line="360" w:lineRule="auto"/>
        <w:ind w:right="480"/>
        <w:jc w:val="center"/>
        <w:rPr>
          <w:rFonts w:ascii="仿宋" w:hAnsi="仿宋" w:eastAsia="仿宋" w:cs="仿宋"/>
          <w:b/>
          <w:color w:val="auto"/>
          <w:kern w:val="0"/>
          <w:sz w:val="32"/>
          <w:szCs w:val="32"/>
          <w:highlight w:val="none"/>
        </w:rPr>
      </w:pPr>
    </w:p>
    <w:p w14:paraId="48A5DC75">
      <w:pPr>
        <w:snapToGrid w:val="0"/>
        <w:spacing w:line="360" w:lineRule="auto"/>
        <w:ind w:right="480"/>
        <w:jc w:val="center"/>
        <w:rPr>
          <w:rFonts w:ascii="仿宋" w:hAnsi="仿宋" w:eastAsia="仿宋" w:cs="仿宋"/>
          <w:b/>
          <w:color w:val="auto"/>
          <w:kern w:val="0"/>
          <w:sz w:val="32"/>
          <w:szCs w:val="32"/>
          <w:highlight w:val="none"/>
        </w:rPr>
      </w:pPr>
    </w:p>
    <w:p w14:paraId="37B0940F">
      <w:pPr>
        <w:snapToGrid w:val="0"/>
        <w:spacing w:line="360" w:lineRule="auto"/>
        <w:ind w:right="480"/>
        <w:jc w:val="center"/>
        <w:rPr>
          <w:rFonts w:ascii="仿宋" w:hAnsi="仿宋" w:eastAsia="仿宋" w:cs="仿宋"/>
          <w:b/>
          <w:color w:val="auto"/>
          <w:kern w:val="0"/>
          <w:sz w:val="32"/>
          <w:szCs w:val="32"/>
          <w:highlight w:val="none"/>
        </w:rPr>
      </w:pPr>
    </w:p>
    <w:p w14:paraId="28BA7FC9">
      <w:pPr>
        <w:snapToGrid w:val="0"/>
        <w:spacing w:line="360" w:lineRule="auto"/>
        <w:ind w:right="480"/>
        <w:jc w:val="center"/>
        <w:rPr>
          <w:rFonts w:ascii="仿宋" w:hAnsi="仿宋" w:eastAsia="仿宋" w:cs="仿宋"/>
          <w:b/>
          <w:color w:val="auto"/>
          <w:kern w:val="0"/>
          <w:sz w:val="32"/>
          <w:szCs w:val="32"/>
          <w:highlight w:val="none"/>
        </w:rPr>
      </w:pPr>
    </w:p>
    <w:p w14:paraId="0DA32366">
      <w:pPr>
        <w:snapToGrid w:val="0"/>
        <w:spacing w:line="360" w:lineRule="auto"/>
        <w:ind w:right="480"/>
        <w:jc w:val="center"/>
        <w:rPr>
          <w:rFonts w:ascii="仿宋" w:hAnsi="仿宋" w:eastAsia="仿宋" w:cs="仿宋"/>
          <w:b/>
          <w:color w:val="auto"/>
          <w:kern w:val="0"/>
          <w:sz w:val="32"/>
          <w:szCs w:val="32"/>
          <w:highlight w:val="none"/>
        </w:rPr>
      </w:pPr>
    </w:p>
    <w:p w14:paraId="5A50676E">
      <w:pPr>
        <w:snapToGrid w:val="0"/>
        <w:spacing w:line="360" w:lineRule="auto"/>
        <w:ind w:right="480"/>
        <w:jc w:val="center"/>
        <w:rPr>
          <w:rFonts w:ascii="仿宋" w:hAnsi="仿宋" w:eastAsia="仿宋" w:cs="仿宋"/>
          <w:b/>
          <w:color w:val="auto"/>
          <w:kern w:val="0"/>
          <w:sz w:val="32"/>
          <w:szCs w:val="32"/>
          <w:highlight w:val="none"/>
        </w:rPr>
      </w:pPr>
    </w:p>
    <w:p w14:paraId="78EFA624">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5262E0C">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1AE7AB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杭州市上城区彭埠街道应急消防管理站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杭州广厦建筑咨询有限公司</w:t>
      </w:r>
      <w:r>
        <w:rPr>
          <w:rFonts w:hint="eastAsia" w:ascii="仿宋" w:hAnsi="仿宋" w:eastAsia="仿宋" w:cs="仿宋"/>
          <w:color w:val="auto"/>
          <w:kern w:val="0"/>
          <w:sz w:val="24"/>
          <w:highlight w:val="none"/>
          <w:lang w:val="zh-CN"/>
        </w:rPr>
        <w:t>：</w:t>
      </w:r>
    </w:p>
    <w:p w14:paraId="01D035B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杭州市上城区彭埠街道2025年度企退人员自管小组文体活动服务采购项目【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85B9179">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615"/>
        <w:gridCol w:w="1695"/>
        <w:gridCol w:w="1785"/>
        <w:gridCol w:w="2055"/>
        <w:gridCol w:w="2085"/>
        <w:gridCol w:w="1740"/>
        <w:gridCol w:w="2160"/>
      </w:tblGrid>
      <w:tr w14:paraId="2C46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78" w:type="dxa"/>
            <w:noWrap w:val="0"/>
            <w:vAlign w:val="center"/>
          </w:tcPr>
          <w:p w14:paraId="622C536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序号</w:t>
            </w:r>
          </w:p>
        </w:tc>
        <w:tc>
          <w:tcPr>
            <w:tcW w:w="2615" w:type="dxa"/>
            <w:noWrap w:val="0"/>
            <w:vAlign w:val="center"/>
          </w:tcPr>
          <w:p w14:paraId="79469651">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名称</w:t>
            </w:r>
          </w:p>
        </w:tc>
        <w:tc>
          <w:tcPr>
            <w:tcW w:w="1695" w:type="dxa"/>
            <w:noWrap w:val="0"/>
            <w:vAlign w:val="center"/>
          </w:tcPr>
          <w:p w14:paraId="0A1AEB6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服务范围</w:t>
            </w:r>
          </w:p>
        </w:tc>
        <w:tc>
          <w:tcPr>
            <w:tcW w:w="1785" w:type="dxa"/>
            <w:noWrap w:val="0"/>
            <w:vAlign w:val="center"/>
          </w:tcPr>
          <w:p w14:paraId="32414307">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服务要求</w:t>
            </w:r>
          </w:p>
        </w:tc>
        <w:tc>
          <w:tcPr>
            <w:tcW w:w="2055" w:type="dxa"/>
            <w:noWrap w:val="0"/>
            <w:vAlign w:val="center"/>
          </w:tcPr>
          <w:p w14:paraId="402C688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服务时间</w:t>
            </w:r>
          </w:p>
        </w:tc>
        <w:tc>
          <w:tcPr>
            <w:tcW w:w="2085" w:type="dxa"/>
            <w:noWrap w:val="0"/>
            <w:vAlign w:val="center"/>
          </w:tcPr>
          <w:p w14:paraId="1727C1C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lang w:val="en-US" w:eastAsia="zh-CN"/>
              </w:rPr>
            </w:pPr>
            <w:r>
              <w:rPr>
                <w:rFonts w:hint="eastAsia" w:ascii="宋体" w:hAnsi="宋体" w:eastAsia="宋体" w:cs="宋体"/>
                <w:b/>
                <w:i w:val="0"/>
                <w:iCs w:val="0"/>
                <w:color w:val="auto"/>
                <w:sz w:val="24"/>
                <w:highlight w:val="none"/>
                <w:shd w:val="clear" w:color="auto" w:fill="auto"/>
                <w:lang w:val="en-US" w:eastAsia="zh-CN"/>
              </w:rPr>
              <w:t>单价（元/人/次）</w:t>
            </w:r>
          </w:p>
        </w:tc>
        <w:tc>
          <w:tcPr>
            <w:tcW w:w="1740" w:type="dxa"/>
            <w:noWrap w:val="0"/>
            <w:vAlign w:val="center"/>
          </w:tcPr>
          <w:p w14:paraId="4D35692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lang w:val="en-US" w:eastAsia="zh-CN"/>
              </w:rPr>
            </w:pPr>
            <w:r>
              <w:rPr>
                <w:rFonts w:hint="eastAsia" w:ascii="宋体" w:hAnsi="宋体" w:eastAsia="宋体" w:cs="宋体"/>
                <w:b/>
                <w:i w:val="0"/>
                <w:iCs w:val="0"/>
                <w:color w:val="auto"/>
                <w:sz w:val="24"/>
                <w:highlight w:val="none"/>
                <w:shd w:val="clear" w:color="auto" w:fill="auto"/>
              </w:rPr>
              <w:t>人数</w:t>
            </w:r>
            <w:r>
              <w:rPr>
                <w:rFonts w:hint="eastAsia" w:ascii="宋体" w:hAnsi="宋体" w:eastAsia="宋体" w:cs="宋体"/>
                <w:b/>
                <w:i w:val="0"/>
                <w:iCs w:val="0"/>
                <w:color w:val="auto"/>
                <w:sz w:val="24"/>
                <w:highlight w:val="none"/>
                <w:shd w:val="clear" w:color="auto" w:fill="auto"/>
                <w:lang w:eastAsia="zh-CN"/>
              </w:rPr>
              <w:t>（</w:t>
            </w:r>
            <w:r>
              <w:rPr>
                <w:rFonts w:hint="eastAsia" w:ascii="宋体" w:hAnsi="宋体" w:eastAsia="宋体" w:cs="宋体"/>
                <w:b/>
                <w:i w:val="0"/>
                <w:iCs w:val="0"/>
                <w:color w:val="auto"/>
                <w:sz w:val="24"/>
                <w:highlight w:val="none"/>
                <w:shd w:val="clear" w:color="auto" w:fill="auto"/>
                <w:lang w:val="en-US" w:eastAsia="zh-CN"/>
              </w:rPr>
              <w:t>人</w:t>
            </w:r>
            <w:r>
              <w:rPr>
                <w:rFonts w:hint="eastAsia" w:ascii="宋体" w:hAnsi="宋体" w:eastAsia="宋体" w:cs="宋体"/>
                <w:b/>
                <w:i w:val="0"/>
                <w:iCs w:val="0"/>
                <w:color w:val="auto"/>
                <w:sz w:val="24"/>
                <w:highlight w:val="none"/>
                <w:shd w:val="clear" w:color="auto" w:fill="auto"/>
                <w:lang w:eastAsia="zh-CN"/>
              </w:rPr>
              <w:t>）</w:t>
            </w:r>
          </w:p>
        </w:tc>
        <w:tc>
          <w:tcPr>
            <w:tcW w:w="2160" w:type="dxa"/>
            <w:noWrap w:val="0"/>
            <w:vAlign w:val="center"/>
          </w:tcPr>
          <w:p w14:paraId="55B2296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lang w:val="en-US" w:eastAsia="zh-CN"/>
              </w:rPr>
              <w:t>备注</w:t>
            </w:r>
            <w:r>
              <w:rPr>
                <w:rFonts w:hint="eastAsia" w:ascii="宋体" w:hAnsi="宋体" w:eastAsia="宋体" w:cs="宋体"/>
                <w:b/>
                <w:i w:val="0"/>
                <w:iCs w:val="0"/>
                <w:color w:val="auto"/>
                <w:sz w:val="24"/>
                <w:highlight w:val="none"/>
                <w:shd w:val="clear" w:color="auto" w:fill="auto"/>
              </w:rPr>
              <w:t>（如果有）</w:t>
            </w:r>
          </w:p>
        </w:tc>
      </w:tr>
      <w:tr w14:paraId="136B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8" w:type="dxa"/>
            <w:noWrap w:val="0"/>
            <w:vAlign w:val="center"/>
          </w:tcPr>
          <w:p w14:paraId="7CC46059">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1</w:t>
            </w:r>
          </w:p>
        </w:tc>
        <w:tc>
          <w:tcPr>
            <w:tcW w:w="2615" w:type="dxa"/>
            <w:noWrap w:val="0"/>
            <w:vAlign w:val="center"/>
          </w:tcPr>
          <w:p w14:paraId="5FA3CDE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eastAsia="zh-CN"/>
              </w:rPr>
              <w:t>杭州市上城区彭埠街道2025年度企退人员自管小组文体活动服务采购项目</w:t>
            </w:r>
          </w:p>
        </w:tc>
        <w:tc>
          <w:tcPr>
            <w:tcW w:w="1695" w:type="dxa"/>
            <w:noWrap w:val="0"/>
            <w:vAlign w:val="center"/>
          </w:tcPr>
          <w:p w14:paraId="13503DD1">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按照招标文件要求执行</w:t>
            </w:r>
          </w:p>
        </w:tc>
        <w:tc>
          <w:tcPr>
            <w:tcW w:w="1785" w:type="dxa"/>
            <w:noWrap w:val="0"/>
            <w:vAlign w:val="center"/>
          </w:tcPr>
          <w:p w14:paraId="6F15A776">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按照招标文件要求执行</w:t>
            </w:r>
          </w:p>
        </w:tc>
        <w:tc>
          <w:tcPr>
            <w:tcW w:w="2055" w:type="dxa"/>
            <w:noWrap w:val="0"/>
            <w:vAlign w:val="center"/>
          </w:tcPr>
          <w:p w14:paraId="665FDAA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合同生效之日起至202</w:t>
            </w:r>
            <w:r>
              <w:rPr>
                <w:rFonts w:hint="eastAsia" w:ascii="宋体" w:hAnsi="宋体" w:eastAsia="宋体" w:cs="宋体"/>
                <w:i w:val="0"/>
                <w:iCs w:val="0"/>
                <w:color w:val="auto"/>
                <w:sz w:val="24"/>
                <w:highlight w:val="none"/>
                <w:shd w:val="clear" w:color="auto" w:fill="auto"/>
                <w:lang w:val="en-US" w:eastAsia="zh-CN"/>
              </w:rPr>
              <w:t>5</w:t>
            </w:r>
            <w:r>
              <w:rPr>
                <w:rFonts w:hint="eastAsia" w:ascii="宋体" w:hAnsi="宋体" w:eastAsia="宋体" w:cs="宋体"/>
                <w:i w:val="0"/>
                <w:iCs w:val="0"/>
                <w:color w:val="auto"/>
                <w:sz w:val="24"/>
                <w:highlight w:val="none"/>
                <w:shd w:val="clear" w:color="auto" w:fill="auto"/>
              </w:rPr>
              <w:t>年12月31日</w:t>
            </w:r>
          </w:p>
        </w:tc>
        <w:tc>
          <w:tcPr>
            <w:tcW w:w="2085" w:type="dxa"/>
            <w:noWrap w:val="0"/>
            <w:vAlign w:val="center"/>
          </w:tcPr>
          <w:p w14:paraId="2DD2B2C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lang w:val="en-US" w:eastAsia="zh-CN"/>
              </w:rPr>
              <w:t>130</w:t>
            </w:r>
          </w:p>
        </w:tc>
        <w:tc>
          <w:tcPr>
            <w:tcW w:w="1740" w:type="dxa"/>
            <w:noWrap w:val="0"/>
            <w:vAlign w:val="center"/>
          </w:tcPr>
          <w:p w14:paraId="1663445C">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仿宋" w:hAnsi="仿宋" w:eastAsia="仿宋" w:cs="仿宋"/>
                <w:color w:val="auto"/>
                <w:sz w:val="24"/>
                <w:szCs w:val="24"/>
                <w:highlight w:val="none"/>
                <w:lang w:val="en-US" w:eastAsia="zh-CN"/>
              </w:rPr>
              <w:t>20500</w:t>
            </w:r>
          </w:p>
        </w:tc>
        <w:tc>
          <w:tcPr>
            <w:tcW w:w="2160" w:type="dxa"/>
            <w:noWrap w:val="0"/>
            <w:vAlign w:val="center"/>
          </w:tcPr>
          <w:p w14:paraId="791B3B27">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14:paraId="3C16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73" w:type="dxa"/>
            <w:gridSpan w:val="4"/>
            <w:noWrap w:val="0"/>
            <w:vAlign w:val="center"/>
          </w:tcPr>
          <w:p w14:paraId="3F1C716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投标报价（小写）</w:t>
            </w:r>
          </w:p>
        </w:tc>
        <w:tc>
          <w:tcPr>
            <w:tcW w:w="8040" w:type="dxa"/>
            <w:gridSpan w:val="4"/>
            <w:noWrap w:val="0"/>
            <w:vAlign w:val="center"/>
          </w:tcPr>
          <w:p w14:paraId="2B1050AD">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lang w:val="en-US" w:eastAsia="zh-CN"/>
              </w:rPr>
              <w:t>2665000元</w:t>
            </w:r>
          </w:p>
        </w:tc>
      </w:tr>
      <w:tr w14:paraId="3A2C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73" w:type="dxa"/>
            <w:gridSpan w:val="4"/>
            <w:noWrap w:val="0"/>
            <w:vAlign w:val="center"/>
          </w:tcPr>
          <w:p w14:paraId="0A5715D2">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投标报价（大写）</w:t>
            </w:r>
          </w:p>
        </w:tc>
        <w:tc>
          <w:tcPr>
            <w:tcW w:w="8040" w:type="dxa"/>
            <w:gridSpan w:val="4"/>
            <w:noWrap w:val="0"/>
            <w:vAlign w:val="center"/>
          </w:tcPr>
          <w:p w14:paraId="06FFDE55">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lang w:val="en-US" w:eastAsia="zh-CN"/>
              </w:rPr>
              <w:t>贰佰陆拾陆万伍仟元</w:t>
            </w:r>
          </w:p>
        </w:tc>
      </w:tr>
    </w:tbl>
    <w:p w14:paraId="5E46640B">
      <w:pPr>
        <w:snapToGrid w:val="0"/>
        <w:spacing w:line="500" w:lineRule="exac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1D723FD">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26100774">
      <w:pPr>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3689A885">
      <w:pPr>
        <w:pStyle w:val="5"/>
        <w:ind w:left="434" w:leftChars="202" w:hanging="10" w:hangingChars="4"/>
        <w:rPr>
          <w:rFonts w:hint="eastAsia" w:ascii="仿宋" w:hAnsi="仿宋" w:eastAsia="仿宋" w:cs="仿宋"/>
          <w:color w:val="auto"/>
          <w:kern w:val="0"/>
          <w:sz w:val="24"/>
          <w:highlight w:val="none"/>
          <w:lang w:val="zh-CN"/>
        </w:rPr>
      </w:pPr>
      <w:r>
        <w:rPr>
          <w:rFonts w:hint="eastAsia" w:asci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9BC17E">
      <w:pPr>
        <w:pStyle w:val="5"/>
        <w:ind w:left="434" w:leftChars="202" w:hanging="10" w:hangingChars="4"/>
        <w:rPr>
          <w:rFonts w:ascii="仿宋" w:hAnsi="仿宋" w:eastAsia="仿宋" w:cs="仿宋"/>
          <w:color w:val="auto"/>
          <w:kern w:val="2"/>
          <w:sz w:val="32"/>
          <w:szCs w:val="32"/>
          <w:highlight w:val="none"/>
        </w:rPr>
      </w:pPr>
      <w:r>
        <w:rPr>
          <w:rFonts w:hint="eastAsia" w:ascii="仿宋" w:eastAsia="仿宋" w:cs="仿宋"/>
          <w:bCs w:val="0"/>
          <w:color w:val="auto"/>
          <w:kern w:val="0"/>
          <w:sz w:val="24"/>
          <w:szCs w:val="24"/>
          <w:highlight w:val="none"/>
          <w:lang w:val="en-US" w:eastAsia="zh-CN"/>
        </w:rPr>
        <w:t>4</w:t>
      </w:r>
      <w:r>
        <w:rPr>
          <w:rFonts w:hint="eastAsia" w:ascii="仿宋" w:eastAsia="仿宋" w:cs="仿宋"/>
          <w:bCs w:val="0"/>
          <w:color w:val="auto"/>
          <w:kern w:val="0"/>
          <w:sz w:val="24"/>
          <w:szCs w:val="24"/>
          <w:highlight w:val="none"/>
          <w:lang w:val="en-US"/>
        </w:rPr>
        <w:t>、供应商报价低于项目预算50%的，应当在报价文件中详细阐述不影响产品质量或者诚信履约的具体原因，否则做无效标处理。</w:t>
      </w:r>
    </w:p>
    <w:p w14:paraId="2922B006">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718DEF6">
      <w:pPr>
        <w:spacing w:line="360" w:lineRule="auto"/>
        <w:ind w:right="420"/>
        <w:rPr>
          <w:rFonts w:ascii="仿宋" w:hAnsi="仿宋" w:eastAsia="仿宋" w:cs="仿宋"/>
          <w:b/>
          <w:color w:val="auto"/>
          <w:kern w:val="0"/>
          <w:sz w:val="36"/>
          <w:szCs w:val="36"/>
          <w:highlight w:val="none"/>
        </w:rPr>
      </w:pPr>
    </w:p>
    <w:p w14:paraId="304E5A5F">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E5ABF4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DC7C7BD">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5A303D8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3464B9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37D211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3BB9F7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2F3F2C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365ACECF">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20CD47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10A61A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2C227D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2397BE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49EFD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AAD38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27E958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36BF9C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27F38B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47DF3CE7">
      <w:pPr>
        <w:pStyle w:val="5"/>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2F83CDBD">
      <w:pPr>
        <w:pStyle w:val="5"/>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1C5267C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3F286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0A6A0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9379A6F">
      <w:pPr>
        <w:spacing w:line="360" w:lineRule="auto"/>
        <w:ind w:left="5060" w:hanging="5060" w:hangingChars="2100"/>
        <w:rPr>
          <w:rFonts w:ascii="仿宋" w:hAnsi="仿宋" w:eastAsia="仿宋" w:cs="仿宋"/>
          <w:b/>
          <w:bCs/>
          <w:color w:val="auto"/>
          <w:kern w:val="0"/>
          <w:sz w:val="24"/>
          <w:highlight w:val="none"/>
        </w:rPr>
      </w:pPr>
    </w:p>
    <w:p w14:paraId="04544396">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156" w:name="_Toc465665161"/>
      <w:r>
        <w:rPr>
          <w:rFonts w:hint="eastAsia" w:ascii="仿宋" w:hAnsi="仿宋" w:eastAsia="仿宋" w:cs="仿宋"/>
          <w:color w:val="auto"/>
          <w:highlight w:val="none"/>
        </w:rPr>
        <w:t>附件</w:t>
      </w:r>
      <w:bookmarkEnd w:id="156"/>
    </w:p>
    <w:p w14:paraId="322FE11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728C1B7">
      <w:pPr>
        <w:spacing w:line="360" w:lineRule="auto"/>
        <w:jc w:val="center"/>
        <w:rPr>
          <w:rFonts w:ascii="仿宋" w:hAnsi="仿宋" w:eastAsia="仿宋" w:cs="仿宋"/>
          <w:b/>
          <w:color w:val="auto"/>
          <w:spacing w:val="6"/>
          <w:sz w:val="32"/>
          <w:szCs w:val="32"/>
          <w:highlight w:val="none"/>
        </w:rPr>
      </w:pPr>
      <w:bookmarkStart w:id="157" w:name="OLE_LINK14"/>
      <w:bookmarkStart w:id="158" w:name="OLE_LINK13"/>
      <w:r>
        <w:rPr>
          <w:rFonts w:hint="eastAsia" w:ascii="仿宋" w:hAnsi="仿宋" w:eastAsia="仿宋" w:cs="仿宋"/>
          <w:b/>
          <w:color w:val="auto"/>
          <w:spacing w:val="6"/>
          <w:sz w:val="32"/>
          <w:szCs w:val="32"/>
          <w:highlight w:val="none"/>
        </w:rPr>
        <w:t>残疾人福利性单位声明函</w:t>
      </w:r>
    </w:p>
    <w:bookmarkEnd w:id="157"/>
    <w:bookmarkEnd w:id="158"/>
    <w:p w14:paraId="56436F32">
      <w:pPr>
        <w:spacing w:line="360" w:lineRule="auto"/>
        <w:rPr>
          <w:rFonts w:ascii="仿宋" w:hAnsi="仿宋" w:eastAsia="仿宋" w:cs="仿宋"/>
          <w:b/>
          <w:color w:val="auto"/>
          <w:spacing w:val="6"/>
          <w:sz w:val="30"/>
          <w:szCs w:val="30"/>
          <w:highlight w:val="none"/>
        </w:rPr>
      </w:pPr>
    </w:p>
    <w:p w14:paraId="0C2AE4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87E0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66EEA8">
      <w:pPr>
        <w:spacing w:line="360" w:lineRule="auto"/>
        <w:ind w:firstLine="480" w:firstLineChars="200"/>
        <w:rPr>
          <w:rFonts w:ascii="仿宋" w:hAnsi="仿宋" w:eastAsia="仿宋" w:cs="仿宋"/>
          <w:color w:val="auto"/>
          <w:sz w:val="24"/>
          <w:highlight w:val="none"/>
        </w:rPr>
      </w:pPr>
    </w:p>
    <w:p w14:paraId="3CAE8638">
      <w:pPr>
        <w:spacing w:line="360" w:lineRule="auto"/>
        <w:ind w:firstLine="480" w:firstLineChars="200"/>
        <w:rPr>
          <w:rFonts w:ascii="仿宋" w:hAnsi="仿宋" w:eastAsia="仿宋" w:cs="仿宋"/>
          <w:color w:val="auto"/>
          <w:sz w:val="24"/>
          <w:highlight w:val="none"/>
        </w:rPr>
      </w:pPr>
    </w:p>
    <w:p w14:paraId="1130332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531598E">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BCFFCFB">
      <w:pPr>
        <w:spacing w:line="360" w:lineRule="auto"/>
        <w:ind w:firstLine="480" w:firstLineChars="200"/>
        <w:rPr>
          <w:rFonts w:ascii="仿宋" w:hAnsi="仿宋" w:eastAsia="仿宋" w:cs="仿宋"/>
          <w:color w:val="auto"/>
          <w:sz w:val="24"/>
          <w:highlight w:val="none"/>
        </w:rPr>
      </w:pPr>
    </w:p>
    <w:p w14:paraId="499B5FE3">
      <w:pPr>
        <w:spacing w:line="360" w:lineRule="auto"/>
        <w:ind w:firstLine="420" w:firstLineChars="200"/>
        <w:rPr>
          <w:rFonts w:ascii="仿宋" w:hAnsi="仿宋" w:eastAsia="仿宋" w:cs="仿宋"/>
          <w:color w:val="auto"/>
          <w:highlight w:val="none"/>
        </w:rPr>
      </w:pPr>
    </w:p>
    <w:p w14:paraId="52F8579B">
      <w:pPr>
        <w:spacing w:line="360" w:lineRule="auto"/>
        <w:ind w:firstLine="420" w:firstLineChars="200"/>
        <w:rPr>
          <w:rFonts w:ascii="仿宋" w:hAnsi="仿宋" w:eastAsia="仿宋" w:cs="仿宋"/>
          <w:color w:val="auto"/>
          <w:highlight w:val="none"/>
        </w:rPr>
      </w:pPr>
    </w:p>
    <w:p w14:paraId="26C281D4">
      <w:pPr>
        <w:spacing w:line="360" w:lineRule="auto"/>
        <w:ind w:firstLine="420" w:firstLineChars="200"/>
        <w:rPr>
          <w:rFonts w:ascii="仿宋" w:hAnsi="仿宋" w:eastAsia="仿宋" w:cs="仿宋"/>
          <w:color w:val="auto"/>
          <w:highlight w:val="none"/>
        </w:rPr>
      </w:pPr>
    </w:p>
    <w:p w14:paraId="77D2CBED">
      <w:pPr>
        <w:spacing w:line="360" w:lineRule="auto"/>
        <w:ind w:firstLine="420" w:firstLineChars="200"/>
        <w:rPr>
          <w:rFonts w:ascii="仿宋" w:hAnsi="仿宋" w:eastAsia="仿宋" w:cs="仿宋"/>
          <w:color w:val="auto"/>
          <w:highlight w:val="none"/>
        </w:rPr>
      </w:pPr>
    </w:p>
    <w:p w14:paraId="023E222A">
      <w:pPr>
        <w:spacing w:line="360" w:lineRule="auto"/>
        <w:rPr>
          <w:rFonts w:ascii="仿宋" w:hAnsi="仿宋" w:eastAsia="仿宋" w:cs="仿宋"/>
          <w:b/>
          <w:color w:val="auto"/>
          <w:sz w:val="24"/>
          <w:highlight w:val="none"/>
        </w:rPr>
      </w:pPr>
    </w:p>
    <w:p w14:paraId="161D0776">
      <w:pPr>
        <w:spacing w:line="360" w:lineRule="auto"/>
        <w:rPr>
          <w:rFonts w:ascii="仿宋" w:hAnsi="仿宋" w:eastAsia="仿宋" w:cs="仿宋"/>
          <w:b/>
          <w:color w:val="auto"/>
          <w:sz w:val="24"/>
          <w:highlight w:val="none"/>
        </w:rPr>
      </w:pPr>
    </w:p>
    <w:p w14:paraId="17E0191C">
      <w:pPr>
        <w:spacing w:line="360" w:lineRule="auto"/>
        <w:rPr>
          <w:rFonts w:ascii="仿宋" w:hAnsi="仿宋" w:eastAsia="仿宋" w:cs="仿宋"/>
          <w:b/>
          <w:color w:val="auto"/>
          <w:sz w:val="24"/>
          <w:highlight w:val="none"/>
        </w:rPr>
      </w:pPr>
    </w:p>
    <w:p w14:paraId="7A1F24B9">
      <w:pPr>
        <w:spacing w:line="360" w:lineRule="auto"/>
        <w:rPr>
          <w:rFonts w:ascii="仿宋" w:hAnsi="仿宋" w:eastAsia="仿宋" w:cs="仿宋"/>
          <w:b/>
          <w:color w:val="auto"/>
          <w:sz w:val="24"/>
          <w:highlight w:val="none"/>
        </w:rPr>
      </w:pPr>
    </w:p>
    <w:p w14:paraId="373E7278">
      <w:pPr>
        <w:spacing w:line="360" w:lineRule="auto"/>
        <w:rPr>
          <w:rFonts w:ascii="仿宋" w:hAnsi="仿宋" w:eastAsia="仿宋" w:cs="仿宋"/>
          <w:b/>
          <w:color w:val="auto"/>
          <w:sz w:val="24"/>
          <w:highlight w:val="none"/>
        </w:rPr>
      </w:pPr>
    </w:p>
    <w:p w14:paraId="13510ABA">
      <w:pPr>
        <w:spacing w:line="360" w:lineRule="auto"/>
        <w:rPr>
          <w:rFonts w:ascii="仿宋" w:hAnsi="仿宋" w:eastAsia="仿宋" w:cs="仿宋"/>
          <w:b/>
          <w:color w:val="auto"/>
          <w:sz w:val="24"/>
          <w:highlight w:val="none"/>
        </w:rPr>
      </w:pPr>
    </w:p>
    <w:p w14:paraId="660545B6">
      <w:pPr>
        <w:spacing w:line="360" w:lineRule="auto"/>
        <w:rPr>
          <w:rFonts w:ascii="仿宋" w:hAnsi="仿宋" w:eastAsia="仿宋" w:cs="仿宋"/>
          <w:b/>
          <w:color w:val="auto"/>
          <w:sz w:val="24"/>
          <w:highlight w:val="none"/>
        </w:rPr>
      </w:pPr>
    </w:p>
    <w:p w14:paraId="58F70B3F">
      <w:pPr>
        <w:spacing w:line="360" w:lineRule="auto"/>
        <w:rPr>
          <w:rFonts w:ascii="仿宋" w:hAnsi="仿宋" w:eastAsia="仿宋" w:cs="仿宋"/>
          <w:b/>
          <w:color w:val="auto"/>
          <w:sz w:val="24"/>
          <w:highlight w:val="none"/>
        </w:rPr>
      </w:pPr>
    </w:p>
    <w:p w14:paraId="76ACA950">
      <w:pPr>
        <w:spacing w:line="360" w:lineRule="auto"/>
        <w:rPr>
          <w:rFonts w:ascii="仿宋" w:hAnsi="仿宋" w:eastAsia="仿宋" w:cs="仿宋"/>
          <w:b/>
          <w:color w:val="auto"/>
          <w:sz w:val="24"/>
          <w:highlight w:val="none"/>
        </w:rPr>
      </w:pPr>
    </w:p>
    <w:p w14:paraId="2D02E934">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234A64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9422970">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B56FE2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054B0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3441A4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126374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070573D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8320D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516C3468">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96EB1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7626C2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FD6416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775461A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6DDE2D3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24756A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FDCEF8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C659472">
      <w:pPr>
        <w:snapToGrid w:val="0"/>
        <w:spacing w:line="360" w:lineRule="auto"/>
        <w:rPr>
          <w:rFonts w:ascii="仿宋" w:hAnsi="仿宋" w:eastAsia="仿宋" w:cs="仿宋"/>
          <w:color w:val="auto"/>
          <w:sz w:val="24"/>
          <w:highlight w:val="none"/>
        </w:rPr>
      </w:pPr>
    </w:p>
    <w:p w14:paraId="338318D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7BB7853">
      <w:pPr>
        <w:snapToGrid w:val="0"/>
        <w:spacing w:line="360" w:lineRule="auto"/>
        <w:rPr>
          <w:rFonts w:ascii="仿宋" w:hAnsi="仿宋" w:eastAsia="仿宋" w:cs="仿宋"/>
          <w:color w:val="auto"/>
          <w:sz w:val="24"/>
          <w:highlight w:val="none"/>
          <w:u w:val="dotted"/>
        </w:rPr>
      </w:pPr>
    </w:p>
    <w:p w14:paraId="1F58676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047797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CF2474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08E8F6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74E137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E5ED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C601BA0">
      <w:pPr>
        <w:spacing w:line="360" w:lineRule="auto"/>
        <w:jc w:val="center"/>
        <w:rPr>
          <w:rFonts w:ascii="仿宋" w:hAnsi="仿宋" w:eastAsia="仿宋" w:cs="仿宋"/>
          <w:b/>
          <w:bCs/>
          <w:color w:val="auto"/>
          <w:sz w:val="24"/>
          <w:highlight w:val="none"/>
        </w:rPr>
      </w:pPr>
    </w:p>
    <w:p w14:paraId="592C2C97">
      <w:pPr>
        <w:spacing w:line="360" w:lineRule="auto"/>
        <w:rPr>
          <w:rFonts w:ascii="仿宋" w:hAnsi="仿宋" w:eastAsia="仿宋" w:cs="仿宋"/>
          <w:b/>
          <w:color w:val="auto"/>
          <w:sz w:val="24"/>
          <w:highlight w:val="none"/>
        </w:rPr>
      </w:pPr>
    </w:p>
    <w:p w14:paraId="0638EEFE">
      <w:pPr>
        <w:spacing w:line="360" w:lineRule="auto"/>
        <w:rPr>
          <w:rFonts w:ascii="仿宋" w:hAnsi="仿宋" w:eastAsia="仿宋" w:cs="仿宋"/>
          <w:b/>
          <w:color w:val="auto"/>
          <w:sz w:val="24"/>
          <w:highlight w:val="none"/>
        </w:rPr>
      </w:pPr>
    </w:p>
    <w:p w14:paraId="491DC28E">
      <w:pPr>
        <w:spacing w:line="360" w:lineRule="auto"/>
        <w:rPr>
          <w:rFonts w:ascii="仿宋" w:hAnsi="仿宋" w:eastAsia="仿宋" w:cs="仿宋"/>
          <w:b/>
          <w:color w:val="auto"/>
          <w:sz w:val="24"/>
          <w:highlight w:val="none"/>
        </w:rPr>
      </w:pPr>
    </w:p>
    <w:p w14:paraId="2858D51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7AB878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6F9CF0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86AD2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8A268A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5D75E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E5B6E4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4A9EAD">
      <w:pPr>
        <w:widowControl/>
        <w:spacing w:line="360" w:lineRule="auto"/>
        <w:ind w:firstLine="600" w:firstLineChars="200"/>
        <w:jc w:val="left"/>
        <w:rPr>
          <w:rFonts w:ascii="仿宋" w:hAnsi="仿宋" w:eastAsia="仿宋" w:cs="仿宋"/>
          <w:color w:val="auto"/>
          <w:sz w:val="30"/>
          <w:szCs w:val="30"/>
          <w:highlight w:val="none"/>
        </w:rPr>
      </w:pPr>
    </w:p>
    <w:p w14:paraId="0D2C54DE">
      <w:pPr>
        <w:spacing w:line="360" w:lineRule="auto"/>
        <w:jc w:val="center"/>
        <w:rPr>
          <w:rFonts w:ascii="仿宋" w:hAnsi="仿宋" w:eastAsia="仿宋" w:cs="仿宋"/>
          <w:b/>
          <w:color w:val="auto"/>
          <w:spacing w:val="6"/>
          <w:sz w:val="32"/>
          <w:szCs w:val="32"/>
          <w:highlight w:val="none"/>
        </w:rPr>
      </w:pPr>
    </w:p>
    <w:p w14:paraId="3743E82F">
      <w:pPr>
        <w:spacing w:line="360" w:lineRule="auto"/>
        <w:jc w:val="center"/>
        <w:rPr>
          <w:rFonts w:ascii="仿宋" w:hAnsi="仿宋" w:eastAsia="仿宋" w:cs="仿宋"/>
          <w:b/>
          <w:color w:val="auto"/>
          <w:spacing w:val="6"/>
          <w:sz w:val="32"/>
          <w:szCs w:val="32"/>
          <w:highlight w:val="none"/>
        </w:rPr>
      </w:pPr>
    </w:p>
    <w:p w14:paraId="57D8E404">
      <w:pPr>
        <w:spacing w:line="360" w:lineRule="auto"/>
        <w:jc w:val="center"/>
        <w:rPr>
          <w:rFonts w:ascii="仿宋" w:hAnsi="仿宋" w:eastAsia="仿宋" w:cs="仿宋"/>
          <w:b/>
          <w:color w:val="auto"/>
          <w:spacing w:val="6"/>
          <w:sz w:val="32"/>
          <w:szCs w:val="32"/>
          <w:highlight w:val="none"/>
        </w:rPr>
      </w:pPr>
    </w:p>
    <w:p w14:paraId="0ABBCB4A">
      <w:pPr>
        <w:spacing w:line="360" w:lineRule="auto"/>
        <w:jc w:val="center"/>
        <w:rPr>
          <w:rFonts w:ascii="仿宋" w:hAnsi="仿宋" w:eastAsia="仿宋" w:cs="仿宋"/>
          <w:b/>
          <w:color w:val="auto"/>
          <w:spacing w:val="6"/>
          <w:sz w:val="32"/>
          <w:szCs w:val="32"/>
          <w:highlight w:val="none"/>
        </w:rPr>
      </w:pPr>
    </w:p>
    <w:p w14:paraId="765F6843">
      <w:pPr>
        <w:spacing w:line="360" w:lineRule="auto"/>
        <w:jc w:val="center"/>
        <w:rPr>
          <w:rFonts w:ascii="仿宋" w:hAnsi="仿宋" w:eastAsia="仿宋" w:cs="仿宋"/>
          <w:b/>
          <w:color w:val="auto"/>
          <w:spacing w:val="6"/>
          <w:sz w:val="32"/>
          <w:szCs w:val="32"/>
          <w:highlight w:val="none"/>
        </w:rPr>
      </w:pPr>
    </w:p>
    <w:p w14:paraId="6DE6A286">
      <w:pPr>
        <w:spacing w:line="360" w:lineRule="auto"/>
        <w:jc w:val="center"/>
        <w:rPr>
          <w:rFonts w:ascii="仿宋" w:hAnsi="仿宋" w:eastAsia="仿宋" w:cs="仿宋"/>
          <w:b/>
          <w:color w:val="auto"/>
          <w:spacing w:val="6"/>
          <w:sz w:val="32"/>
          <w:szCs w:val="32"/>
          <w:highlight w:val="none"/>
        </w:rPr>
      </w:pPr>
    </w:p>
    <w:p w14:paraId="56966F92">
      <w:pPr>
        <w:spacing w:line="360" w:lineRule="auto"/>
        <w:jc w:val="center"/>
        <w:rPr>
          <w:rFonts w:ascii="仿宋" w:hAnsi="仿宋" w:eastAsia="仿宋" w:cs="仿宋"/>
          <w:b/>
          <w:color w:val="auto"/>
          <w:spacing w:val="6"/>
          <w:sz w:val="32"/>
          <w:szCs w:val="32"/>
          <w:highlight w:val="none"/>
        </w:rPr>
      </w:pPr>
    </w:p>
    <w:p w14:paraId="79050A27">
      <w:pPr>
        <w:spacing w:line="360" w:lineRule="auto"/>
        <w:jc w:val="center"/>
        <w:rPr>
          <w:rFonts w:ascii="仿宋" w:hAnsi="仿宋" w:eastAsia="仿宋" w:cs="仿宋"/>
          <w:b/>
          <w:color w:val="auto"/>
          <w:spacing w:val="6"/>
          <w:sz w:val="32"/>
          <w:szCs w:val="32"/>
          <w:highlight w:val="none"/>
        </w:rPr>
      </w:pPr>
    </w:p>
    <w:p w14:paraId="5BF9B311">
      <w:pPr>
        <w:spacing w:line="360" w:lineRule="auto"/>
        <w:jc w:val="center"/>
        <w:rPr>
          <w:rFonts w:ascii="仿宋" w:hAnsi="仿宋" w:eastAsia="仿宋" w:cs="仿宋"/>
          <w:b/>
          <w:color w:val="auto"/>
          <w:spacing w:val="6"/>
          <w:sz w:val="32"/>
          <w:szCs w:val="32"/>
          <w:highlight w:val="none"/>
        </w:rPr>
      </w:pPr>
    </w:p>
    <w:p w14:paraId="7CACAF7E">
      <w:pPr>
        <w:spacing w:line="360" w:lineRule="auto"/>
        <w:jc w:val="center"/>
        <w:rPr>
          <w:rFonts w:ascii="仿宋" w:hAnsi="仿宋" w:eastAsia="仿宋" w:cs="仿宋"/>
          <w:b/>
          <w:color w:val="auto"/>
          <w:spacing w:val="6"/>
          <w:sz w:val="32"/>
          <w:szCs w:val="32"/>
          <w:highlight w:val="none"/>
        </w:rPr>
      </w:pPr>
    </w:p>
    <w:p w14:paraId="05B1ACA0">
      <w:pPr>
        <w:spacing w:line="360" w:lineRule="auto"/>
        <w:jc w:val="center"/>
        <w:rPr>
          <w:rFonts w:ascii="仿宋" w:hAnsi="仿宋" w:eastAsia="仿宋" w:cs="仿宋"/>
          <w:b/>
          <w:color w:val="auto"/>
          <w:spacing w:val="6"/>
          <w:sz w:val="32"/>
          <w:szCs w:val="32"/>
          <w:highlight w:val="none"/>
        </w:rPr>
      </w:pPr>
    </w:p>
    <w:p w14:paraId="439BFA40">
      <w:pPr>
        <w:spacing w:line="360" w:lineRule="auto"/>
        <w:jc w:val="center"/>
        <w:rPr>
          <w:rFonts w:ascii="仿宋" w:hAnsi="仿宋" w:eastAsia="仿宋" w:cs="仿宋"/>
          <w:b/>
          <w:color w:val="auto"/>
          <w:spacing w:val="6"/>
          <w:sz w:val="32"/>
          <w:szCs w:val="32"/>
          <w:highlight w:val="none"/>
        </w:rPr>
      </w:pPr>
    </w:p>
    <w:p w14:paraId="5385C076">
      <w:pPr>
        <w:spacing w:line="360" w:lineRule="auto"/>
        <w:jc w:val="left"/>
        <w:rPr>
          <w:rFonts w:ascii="仿宋" w:hAnsi="仿宋" w:eastAsia="仿宋" w:cs="仿宋"/>
          <w:b/>
          <w:color w:val="auto"/>
          <w:spacing w:val="6"/>
          <w:sz w:val="32"/>
          <w:szCs w:val="32"/>
          <w:highlight w:val="none"/>
        </w:rPr>
      </w:pPr>
    </w:p>
    <w:p w14:paraId="143C0B67">
      <w:pPr>
        <w:spacing w:line="360" w:lineRule="auto"/>
        <w:jc w:val="left"/>
        <w:rPr>
          <w:rFonts w:ascii="仿宋" w:hAnsi="仿宋" w:eastAsia="仿宋" w:cs="仿宋"/>
          <w:b/>
          <w:color w:val="auto"/>
          <w:spacing w:val="6"/>
          <w:sz w:val="32"/>
          <w:szCs w:val="32"/>
          <w:highlight w:val="none"/>
        </w:rPr>
      </w:pPr>
    </w:p>
    <w:p w14:paraId="75953A4F">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8F6E6EE">
      <w:pPr>
        <w:spacing w:line="360" w:lineRule="auto"/>
        <w:jc w:val="center"/>
        <w:rPr>
          <w:rFonts w:ascii="仿宋" w:hAnsi="仿宋" w:eastAsia="仿宋" w:cs="仿宋"/>
          <w:b/>
          <w:color w:val="auto"/>
          <w:sz w:val="24"/>
          <w:highlight w:val="none"/>
        </w:rPr>
      </w:pPr>
    </w:p>
    <w:p w14:paraId="5E425C4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C12E5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E8F8FE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140561B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D58C42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178E4D52">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6F5472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5D59AB2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58B6C97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F1BDA6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2168AF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D414A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987075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30805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0F33728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42A937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CAB38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FB5F86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22AC523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447E786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25C540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A01AF8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A48027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A22B5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D68B14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CBA58A0">
      <w:pPr>
        <w:spacing w:line="360" w:lineRule="auto"/>
        <w:rPr>
          <w:rFonts w:ascii="仿宋" w:hAnsi="仿宋" w:eastAsia="仿宋" w:cs="仿宋"/>
          <w:color w:val="auto"/>
          <w:sz w:val="24"/>
          <w:highlight w:val="none"/>
          <w:u w:val="dotted"/>
        </w:rPr>
      </w:pPr>
    </w:p>
    <w:p w14:paraId="142842D2">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119F21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1963E6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4522C5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50FD540">
      <w:pPr>
        <w:spacing w:line="360" w:lineRule="auto"/>
        <w:rPr>
          <w:rFonts w:ascii="仿宋" w:hAnsi="仿宋" w:eastAsia="仿宋" w:cs="仿宋"/>
          <w:color w:val="auto"/>
          <w:sz w:val="24"/>
          <w:highlight w:val="none"/>
          <w:u w:val="dotted"/>
        </w:rPr>
      </w:pPr>
    </w:p>
    <w:p w14:paraId="20CB9DF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DE568EB">
      <w:pPr>
        <w:spacing w:line="360" w:lineRule="auto"/>
        <w:rPr>
          <w:rFonts w:ascii="仿宋" w:hAnsi="仿宋" w:eastAsia="仿宋" w:cs="仿宋"/>
          <w:color w:val="auto"/>
          <w:sz w:val="24"/>
          <w:highlight w:val="none"/>
          <w:u w:val="dotted"/>
        </w:rPr>
      </w:pPr>
    </w:p>
    <w:p w14:paraId="280974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7DB8F7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C40F7A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AB2F9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61546241">
      <w:pPr>
        <w:spacing w:line="360" w:lineRule="auto"/>
        <w:rPr>
          <w:rFonts w:ascii="仿宋" w:hAnsi="仿宋" w:eastAsia="仿宋" w:cs="仿宋"/>
          <w:color w:val="auto"/>
          <w:sz w:val="24"/>
          <w:highlight w:val="none"/>
          <w:u w:val="single"/>
        </w:rPr>
      </w:pPr>
    </w:p>
    <w:p w14:paraId="711647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D2568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2E86F03">
      <w:pPr>
        <w:spacing w:line="360" w:lineRule="auto"/>
        <w:rPr>
          <w:rFonts w:ascii="仿宋" w:hAnsi="仿宋" w:eastAsia="仿宋" w:cs="仿宋"/>
          <w:b/>
          <w:color w:val="auto"/>
          <w:sz w:val="24"/>
          <w:highlight w:val="none"/>
        </w:rPr>
      </w:pPr>
    </w:p>
    <w:p w14:paraId="34ADCDD5">
      <w:pPr>
        <w:spacing w:line="360" w:lineRule="auto"/>
        <w:rPr>
          <w:rFonts w:ascii="仿宋" w:hAnsi="仿宋" w:eastAsia="仿宋" w:cs="仿宋"/>
          <w:b/>
          <w:color w:val="auto"/>
          <w:sz w:val="24"/>
          <w:highlight w:val="none"/>
        </w:rPr>
      </w:pPr>
    </w:p>
    <w:p w14:paraId="0875ACD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2EEC54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BDC5BE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EBAE18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9497E8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BCA5F0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917713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501CA3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A3E5523">
      <w:pPr>
        <w:spacing w:line="360" w:lineRule="auto"/>
        <w:rPr>
          <w:rFonts w:ascii="仿宋" w:hAnsi="仿宋" w:eastAsia="仿宋" w:cs="仿宋"/>
          <w:b/>
          <w:color w:val="auto"/>
          <w:sz w:val="24"/>
          <w:highlight w:val="none"/>
        </w:rPr>
      </w:pPr>
    </w:p>
    <w:p w14:paraId="35AB7704">
      <w:pPr>
        <w:autoSpaceDE w:val="0"/>
        <w:autoSpaceDN w:val="0"/>
        <w:jc w:val="center"/>
        <w:rPr>
          <w:rFonts w:ascii="仿宋" w:hAnsi="仿宋" w:eastAsia="仿宋" w:cs="仿宋"/>
          <w:b/>
          <w:color w:val="auto"/>
          <w:spacing w:val="6"/>
          <w:sz w:val="32"/>
          <w:szCs w:val="32"/>
          <w:highlight w:val="none"/>
        </w:rPr>
      </w:pPr>
    </w:p>
    <w:p w14:paraId="1D5E9C26">
      <w:pPr>
        <w:autoSpaceDE w:val="0"/>
        <w:autoSpaceDN w:val="0"/>
        <w:jc w:val="center"/>
        <w:rPr>
          <w:rFonts w:ascii="仿宋" w:hAnsi="仿宋" w:eastAsia="仿宋" w:cs="仿宋"/>
          <w:b/>
          <w:color w:val="auto"/>
          <w:spacing w:val="6"/>
          <w:sz w:val="32"/>
          <w:szCs w:val="32"/>
          <w:highlight w:val="none"/>
        </w:rPr>
      </w:pPr>
    </w:p>
    <w:p w14:paraId="2949288C">
      <w:pPr>
        <w:autoSpaceDE w:val="0"/>
        <w:autoSpaceDN w:val="0"/>
        <w:jc w:val="center"/>
        <w:rPr>
          <w:rFonts w:ascii="仿宋" w:hAnsi="仿宋" w:eastAsia="仿宋" w:cs="仿宋"/>
          <w:b/>
          <w:color w:val="auto"/>
          <w:spacing w:val="6"/>
          <w:sz w:val="32"/>
          <w:szCs w:val="32"/>
          <w:highlight w:val="none"/>
        </w:rPr>
      </w:pPr>
    </w:p>
    <w:p w14:paraId="558856D9">
      <w:pPr>
        <w:autoSpaceDE w:val="0"/>
        <w:autoSpaceDN w:val="0"/>
        <w:jc w:val="center"/>
        <w:rPr>
          <w:rFonts w:ascii="仿宋" w:hAnsi="仿宋" w:eastAsia="仿宋" w:cs="仿宋"/>
          <w:b/>
          <w:color w:val="auto"/>
          <w:spacing w:val="6"/>
          <w:sz w:val="32"/>
          <w:szCs w:val="32"/>
          <w:highlight w:val="none"/>
        </w:rPr>
      </w:pPr>
    </w:p>
    <w:p w14:paraId="63C32308">
      <w:pPr>
        <w:autoSpaceDE w:val="0"/>
        <w:autoSpaceDN w:val="0"/>
        <w:jc w:val="center"/>
        <w:rPr>
          <w:rFonts w:ascii="仿宋" w:hAnsi="仿宋" w:eastAsia="仿宋" w:cs="仿宋"/>
          <w:b/>
          <w:color w:val="auto"/>
          <w:spacing w:val="6"/>
          <w:sz w:val="32"/>
          <w:szCs w:val="32"/>
          <w:highlight w:val="none"/>
        </w:rPr>
      </w:pPr>
    </w:p>
    <w:p w14:paraId="561B048D">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C78E2A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杭州市上城区彭埠街道应急消防管理站</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杭州广厦建筑咨询有限公司</w:t>
      </w:r>
    </w:p>
    <w:p w14:paraId="2BDFBB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D7341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1B6192F">
      <w:pPr>
        <w:spacing w:line="360" w:lineRule="auto"/>
        <w:ind w:firstLine="494"/>
        <w:rPr>
          <w:rFonts w:ascii="仿宋" w:hAnsi="仿宋" w:eastAsia="仿宋" w:cs="仿宋"/>
          <w:color w:val="auto"/>
          <w:sz w:val="24"/>
          <w:highlight w:val="none"/>
        </w:rPr>
      </w:pPr>
    </w:p>
    <w:p w14:paraId="66A0539E">
      <w:pPr>
        <w:spacing w:line="360" w:lineRule="auto"/>
        <w:ind w:firstLine="494"/>
        <w:rPr>
          <w:rFonts w:ascii="仿宋" w:hAnsi="仿宋" w:eastAsia="仿宋" w:cs="仿宋"/>
          <w:color w:val="auto"/>
          <w:sz w:val="24"/>
          <w:highlight w:val="none"/>
        </w:rPr>
      </w:pPr>
    </w:p>
    <w:p w14:paraId="0DC3451B">
      <w:pPr>
        <w:spacing w:line="360" w:lineRule="auto"/>
        <w:ind w:firstLine="494"/>
        <w:rPr>
          <w:rFonts w:ascii="仿宋" w:hAnsi="仿宋" w:eastAsia="仿宋" w:cs="仿宋"/>
          <w:color w:val="auto"/>
          <w:sz w:val="24"/>
          <w:highlight w:val="none"/>
        </w:rPr>
      </w:pPr>
    </w:p>
    <w:p w14:paraId="36DBAC50">
      <w:pPr>
        <w:spacing w:line="360" w:lineRule="auto"/>
        <w:ind w:firstLine="494"/>
        <w:rPr>
          <w:rFonts w:ascii="仿宋" w:hAnsi="仿宋" w:eastAsia="仿宋" w:cs="仿宋"/>
          <w:color w:val="auto"/>
          <w:sz w:val="24"/>
          <w:highlight w:val="none"/>
        </w:rPr>
      </w:pPr>
    </w:p>
    <w:p w14:paraId="5761D684">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0835798">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ED60CC5">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A21E697">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w:pict>
          <v:rect id="Rectangle 17" o:spid="_x0000_s2050"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qnMpjTACAACDBAAADgAAAAAAAAABACAAAAAnAQAAZHJzL2Uyb0RvYy54&#10;bWxQSwUGAAAAAAYABgBZAQAAyQUAAAAA&#10;">
            <v:path/>
            <v:fill focussize="0,0"/>
            <v:stroke miterlimit="2"/>
            <v:imagedata o:title=""/>
            <o:lock v:ext="edit"/>
          </v:rect>
        </w:pict>
      </w:r>
      <w:r>
        <w:rPr>
          <w:rFonts w:ascii="仿宋" w:hAnsi="仿宋" w:eastAsia="仿宋" w:cs="仿宋"/>
          <w:b/>
          <w:bCs/>
          <w:color w:val="auto"/>
          <w:sz w:val="24"/>
          <w:highlight w:val="none"/>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zN3C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sTM3cLwIAAIMEAAAOAAAAAAAAAAEAIAAAACcBAABkcnMvZTJvRG9jLnht&#10;bFBLBQYAAAAABgAGAFkBAADIBQ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14:paraId="4CFE0825">
      <w:pPr>
        <w:autoSpaceDE w:val="0"/>
        <w:autoSpaceDN w:val="0"/>
        <w:jc w:val="center"/>
        <w:rPr>
          <w:rFonts w:ascii="仿宋" w:hAnsi="仿宋" w:eastAsia="仿宋" w:cs="仿宋"/>
          <w:b/>
          <w:color w:val="auto"/>
          <w:spacing w:val="6"/>
          <w:sz w:val="32"/>
          <w:szCs w:val="32"/>
          <w:highlight w:val="none"/>
        </w:rPr>
      </w:pPr>
    </w:p>
    <w:p w14:paraId="6D4A2B5C">
      <w:pPr>
        <w:autoSpaceDE w:val="0"/>
        <w:autoSpaceDN w:val="0"/>
        <w:jc w:val="center"/>
        <w:rPr>
          <w:rFonts w:ascii="仿宋" w:hAnsi="仿宋" w:eastAsia="仿宋" w:cs="仿宋"/>
          <w:b/>
          <w:color w:val="auto"/>
          <w:spacing w:val="6"/>
          <w:sz w:val="32"/>
          <w:szCs w:val="32"/>
          <w:highlight w:val="none"/>
        </w:rPr>
      </w:pPr>
    </w:p>
    <w:p w14:paraId="6A109D1C">
      <w:pPr>
        <w:autoSpaceDE w:val="0"/>
        <w:autoSpaceDN w:val="0"/>
        <w:jc w:val="center"/>
        <w:rPr>
          <w:rFonts w:ascii="仿宋" w:hAnsi="仿宋" w:eastAsia="仿宋" w:cs="仿宋"/>
          <w:b/>
          <w:color w:val="auto"/>
          <w:spacing w:val="6"/>
          <w:sz w:val="32"/>
          <w:szCs w:val="32"/>
          <w:highlight w:val="none"/>
        </w:rPr>
      </w:pPr>
    </w:p>
    <w:p w14:paraId="6DCAD71B">
      <w:pPr>
        <w:autoSpaceDE w:val="0"/>
        <w:autoSpaceDN w:val="0"/>
        <w:jc w:val="center"/>
        <w:rPr>
          <w:rFonts w:ascii="仿宋" w:hAnsi="仿宋" w:eastAsia="仿宋" w:cs="仿宋"/>
          <w:b/>
          <w:color w:val="auto"/>
          <w:spacing w:val="6"/>
          <w:sz w:val="32"/>
          <w:szCs w:val="32"/>
          <w:highlight w:val="none"/>
        </w:rPr>
      </w:pPr>
    </w:p>
    <w:p w14:paraId="36FE535B">
      <w:pPr>
        <w:autoSpaceDE w:val="0"/>
        <w:autoSpaceDN w:val="0"/>
        <w:jc w:val="center"/>
        <w:rPr>
          <w:rFonts w:ascii="仿宋" w:hAnsi="仿宋" w:eastAsia="仿宋" w:cs="仿宋"/>
          <w:b/>
          <w:color w:val="auto"/>
          <w:spacing w:val="6"/>
          <w:sz w:val="32"/>
          <w:szCs w:val="32"/>
          <w:highlight w:val="none"/>
        </w:rPr>
      </w:pPr>
    </w:p>
    <w:p w14:paraId="6E2CA4F6">
      <w:pPr>
        <w:autoSpaceDE w:val="0"/>
        <w:autoSpaceDN w:val="0"/>
        <w:jc w:val="center"/>
        <w:rPr>
          <w:rFonts w:ascii="仿宋" w:hAnsi="仿宋" w:eastAsia="仿宋" w:cs="仿宋"/>
          <w:b/>
          <w:color w:val="auto"/>
          <w:spacing w:val="6"/>
          <w:sz w:val="32"/>
          <w:szCs w:val="32"/>
          <w:highlight w:val="none"/>
        </w:rPr>
      </w:pPr>
    </w:p>
    <w:p w14:paraId="6AAF7ED5">
      <w:pPr>
        <w:autoSpaceDE w:val="0"/>
        <w:autoSpaceDN w:val="0"/>
        <w:jc w:val="center"/>
        <w:rPr>
          <w:rFonts w:ascii="仿宋" w:hAnsi="仿宋" w:eastAsia="仿宋" w:cs="仿宋"/>
          <w:b/>
          <w:color w:val="auto"/>
          <w:spacing w:val="6"/>
          <w:sz w:val="32"/>
          <w:szCs w:val="32"/>
          <w:highlight w:val="none"/>
        </w:rPr>
      </w:pPr>
    </w:p>
    <w:p w14:paraId="39816704">
      <w:pPr>
        <w:autoSpaceDE w:val="0"/>
        <w:autoSpaceDN w:val="0"/>
        <w:jc w:val="center"/>
        <w:rPr>
          <w:rFonts w:ascii="仿宋" w:hAnsi="仿宋" w:eastAsia="仿宋" w:cs="仿宋"/>
          <w:b/>
          <w:color w:val="auto"/>
          <w:spacing w:val="6"/>
          <w:sz w:val="32"/>
          <w:szCs w:val="32"/>
          <w:highlight w:val="none"/>
        </w:rPr>
      </w:pPr>
    </w:p>
    <w:p w14:paraId="47FE8BD5">
      <w:pPr>
        <w:autoSpaceDE w:val="0"/>
        <w:autoSpaceDN w:val="0"/>
        <w:jc w:val="center"/>
        <w:rPr>
          <w:rFonts w:ascii="仿宋" w:hAnsi="仿宋" w:eastAsia="仿宋" w:cs="仿宋"/>
          <w:b/>
          <w:color w:val="auto"/>
          <w:spacing w:val="6"/>
          <w:sz w:val="32"/>
          <w:szCs w:val="32"/>
          <w:highlight w:val="none"/>
        </w:rPr>
      </w:pPr>
    </w:p>
    <w:p w14:paraId="6940497E">
      <w:pPr>
        <w:autoSpaceDE w:val="0"/>
        <w:autoSpaceDN w:val="0"/>
        <w:jc w:val="center"/>
        <w:rPr>
          <w:rFonts w:ascii="仿宋" w:hAnsi="仿宋" w:eastAsia="仿宋" w:cs="仿宋"/>
          <w:b/>
          <w:color w:val="auto"/>
          <w:spacing w:val="6"/>
          <w:sz w:val="32"/>
          <w:szCs w:val="32"/>
          <w:highlight w:val="none"/>
        </w:rPr>
      </w:pPr>
    </w:p>
    <w:p w14:paraId="032717C3">
      <w:pPr>
        <w:autoSpaceDE w:val="0"/>
        <w:autoSpaceDN w:val="0"/>
        <w:jc w:val="center"/>
        <w:rPr>
          <w:rFonts w:ascii="仿宋" w:hAnsi="仿宋" w:eastAsia="仿宋" w:cs="仿宋"/>
          <w:b/>
          <w:color w:val="auto"/>
          <w:spacing w:val="6"/>
          <w:sz w:val="32"/>
          <w:szCs w:val="32"/>
          <w:highlight w:val="none"/>
        </w:rPr>
      </w:pPr>
    </w:p>
    <w:p w14:paraId="7EEF1955">
      <w:pPr>
        <w:autoSpaceDE w:val="0"/>
        <w:autoSpaceDN w:val="0"/>
        <w:jc w:val="center"/>
        <w:rPr>
          <w:rFonts w:ascii="仿宋" w:hAnsi="仿宋" w:eastAsia="仿宋" w:cs="仿宋"/>
          <w:b/>
          <w:color w:val="auto"/>
          <w:spacing w:val="6"/>
          <w:sz w:val="32"/>
          <w:szCs w:val="32"/>
          <w:highlight w:val="none"/>
        </w:rPr>
      </w:pPr>
    </w:p>
    <w:p w14:paraId="3BB23428">
      <w:pPr>
        <w:autoSpaceDE w:val="0"/>
        <w:autoSpaceDN w:val="0"/>
        <w:jc w:val="center"/>
        <w:rPr>
          <w:rFonts w:ascii="仿宋" w:hAnsi="仿宋" w:eastAsia="仿宋" w:cs="仿宋"/>
          <w:b/>
          <w:color w:val="auto"/>
          <w:spacing w:val="6"/>
          <w:sz w:val="32"/>
          <w:szCs w:val="32"/>
          <w:highlight w:val="none"/>
        </w:rPr>
      </w:pPr>
    </w:p>
    <w:p w14:paraId="65D91928">
      <w:pPr>
        <w:autoSpaceDE w:val="0"/>
        <w:autoSpaceDN w:val="0"/>
        <w:jc w:val="center"/>
        <w:rPr>
          <w:rFonts w:ascii="仿宋" w:hAnsi="仿宋" w:eastAsia="仿宋" w:cs="仿宋"/>
          <w:b/>
          <w:color w:val="auto"/>
          <w:spacing w:val="6"/>
          <w:sz w:val="32"/>
          <w:szCs w:val="32"/>
          <w:highlight w:val="none"/>
        </w:rPr>
      </w:pPr>
    </w:p>
    <w:p w14:paraId="41A3C394">
      <w:pPr>
        <w:autoSpaceDE w:val="0"/>
        <w:autoSpaceDN w:val="0"/>
        <w:jc w:val="center"/>
        <w:rPr>
          <w:rFonts w:ascii="仿宋" w:hAnsi="仿宋" w:eastAsia="仿宋" w:cs="仿宋"/>
          <w:b/>
          <w:color w:val="auto"/>
          <w:spacing w:val="6"/>
          <w:sz w:val="32"/>
          <w:szCs w:val="32"/>
          <w:highlight w:val="none"/>
        </w:rPr>
      </w:pPr>
    </w:p>
    <w:p w14:paraId="7D3EDF27">
      <w:pPr>
        <w:autoSpaceDE w:val="0"/>
        <w:autoSpaceDN w:val="0"/>
        <w:jc w:val="center"/>
        <w:rPr>
          <w:rFonts w:ascii="仿宋" w:hAnsi="仿宋" w:eastAsia="仿宋" w:cs="仿宋"/>
          <w:b/>
          <w:color w:val="auto"/>
          <w:spacing w:val="6"/>
          <w:sz w:val="32"/>
          <w:szCs w:val="32"/>
          <w:highlight w:val="none"/>
        </w:rPr>
      </w:pPr>
    </w:p>
    <w:p w14:paraId="01F7A078">
      <w:pPr>
        <w:autoSpaceDE w:val="0"/>
        <w:autoSpaceDN w:val="0"/>
        <w:jc w:val="both"/>
        <w:rPr>
          <w:rFonts w:ascii="仿宋" w:hAnsi="仿宋" w:eastAsia="仿宋" w:cs="仿宋"/>
          <w:b/>
          <w:color w:val="auto"/>
          <w:spacing w:val="6"/>
          <w:sz w:val="32"/>
          <w:szCs w:val="32"/>
          <w:highlight w:val="none"/>
        </w:rPr>
      </w:pPr>
    </w:p>
    <w:p w14:paraId="30A45103">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F920E2A">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E3FB6E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val="zh-CN"/>
        </w:rPr>
        <w:t>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4B142C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959C23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A973B6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C93C199">
      <w:pPr>
        <w:snapToGrid w:val="0"/>
        <w:spacing w:line="360" w:lineRule="auto"/>
        <w:ind w:firstLine="576"/>
        <w:rPr>
          <w:rFonts w:ascii="仿宋" w:hAnsi="仿宋" w:eastAsia="仿宋" w:cs="仿宋"/>
          <w:color w:val="auto"/>
          <w:kern w:val="0"/>
          <w:sz w:val="24"/>
          <w:highlight w:val="none"/>
          <w:lang w:val="zh-CN"/>
        </w:rPr>
      </w:pPr>
      <w:bookmarkStart w:id="15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77AF0D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399D718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159"/>
    <w:p w14:paraId="4EBFF1B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57EAEA">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5F223B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3C8B19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614A39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3C05C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B2E18A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0F0C06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0A9482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52B2AA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AD7CC2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D8CFD29">
      <w:pPr>
        <w:autoSpaceDE w:val="0"/>
        <w:autoSpaceDN w:val="0"/>
        <w:jc w:val="center"/>
        <w:rPr>
          <w:rFonts w:ascii="仿宋" w:hAnsi="仿宋" w:eastAsia="仿宋" w:cs="仿宋"/>
          <w:b/>
          <w:color w:val="auto"/>
          <w:spacing w:val="6"/>
          <w:sz w:val="32"/>
          <w:szCs w:val="32"/>
          <w:highlight w:val="none"/>
        </w:rPr>
      </w:pPr>
    </w:p>
    <w:p w14:paraId="5A6628C9">
      <w:pPr>
        <w:autoSpaceDE w:val="0"/>
        <w:autoSpaceDN w:val="0"/>
        <w:jc w:val="center"/>
        <w:rPr>
          <w:rFonts w:ascii="仿宋" w:hAnsi="仿宋" w:eastAsia="仿宋" w:cs="仿宋"/>
          <w:b/>
          <w:color w:val="auto"/>
          <w:spacing w:val="6"/>
          <w:sz w:val="32"/>
          <w:szCs w:val="32"/>
          <w:highlight w:val="none"/>
        </w:rPr>
      </w:pPr>
    </w:p>
    <w:p w14:paraId="03C91BA6">
      <w:pPr>
        <w:autoSpaceDE w:val="0"/>
        <w:autoSpaceDN w:val="0"/>
        <w:jc w:val="center"/>
        <w:rPr>
          <w:rFonts w:ascii="仿宋" w:hAnsi="仿宋" w:eastAsia="仿宋" w:cs="仿宋"/>
          <w:b/>
          <w:color w:val="auto"/>
          <w:spacing w:val="6"/>
          <w:sz w:val="32"/>
          <w:szCs w:val="32"/>
          <w:highlight w:val="none"/>
        </w:rPr>
      </w:pPr>
    </w:p>
    <w:p w14:paraId="09DA379A">
      <w:pPr>
        <w:autoSpaceDE w:val="0"/>
        <w:autoSpaceDN w:val="0"/>
        <w:jc w:val="center"/>
        <w:rPr>
          <w:rFonts w:ascii="仿宋" w:hAnsi="仿宋" w:eastAsia="仿宋" w:cs="仿宋"/>
          <w:b/>
          <w:color w:val="auto"/>
          <w:spacing w:val="6"/>
          <w:sz w:val="32"/>
          <w:szCs w:val="32"/>
          <w:highlight w:val="none"/>
        </w:rPr>
      </w:pPr>
    </w:p>
    <w:p w14:paraId="7B6CC7F0">
      <w:pPr>
        <w:autoSpaceDE w:val="0"/>
        <w:autoSpaceDN w:val="0"/>
        <w:jc w:val="center"/>
        <w:rPr>
          <w:rFonts w:ascii="仿宋" w:hAnsi="仿宋" w:eastAsia="仿宋" w:cs="仿宋"/>
          <w:b/>
          <w:color w:val="auto"/>
          <w:spacing w:val="6"/>
          <w:sz w:val="32"/>
          <w:szCs w:val="32"/>
          <w:highlight w:val="none"/>
        </w:rPr>
      </w:pPr>
    </w:p>
    <w:p w14:paraId="2170FB4E">
      <w:pPr>
        <w:autoSpaceDE w:val="0"/>
        <w:autoSpaceDN w:val="0"/>
        <w:jc w:val="center"/>
        <w:rPr>
          <w:rFonts w:ascii="仿宋" w:hAnsi="仿宋" w:eastAsia="仿宋" w:cs="仿宋"/>
          <w:b/>
          <w:color w:val="auto"/>
          <w:spacing w:val="6"/>
          <w:sz w:val="32"/>
          <w:szCs w:val="32"/>
          <w:highlight w:val="none"/>
        </w:rPr>
      </w:pPr>
    </w:p>
    <w:p w14:paraId="0722B265">
      <w:pPr>
        <w:autoSpaceDE w:val="0"/>
        <w:autoSpaceDN w:val="0"/>
        <w:jc w:val="center"/>
        <w:rPr>
          <w:rFonts w:ascii="仿宋" w:hAnsi="仿宋" w:eastAsia="仿宋" w:cs="仿宋"/>
          <w:b/>
          <w:color w:val="auto"/>
          <w:spacing w:val="6"/>
          <w:sz w:val="32"/>
          <w:szCs w:val="32"/>
          <w:highlight w:val="none"/>
        </w:rPr>
      </w:pPr>
    </w:p>
    <w:p w14:paraId="3096885D">
      <w:pPr>
        <w:autoSpaceDE w:val="0"/>
        <w:autoSpaceDN w:val="0"/>
        <w:jc w:val="center"/>
        <w:rPr>
          <w:rFonts w:ascii="仿宋" w:hAnsi="仿宋" w:eastAsia="仿宋" w:cs="仿宋"/>
          <w:b/>
          <w:color w:val="auto"/>
          <w:spacing w:val="6"/>
          <w:sz w:val="32"/>
          <w:szCs w:val="32"/>
          <w:highlight w:val="none"/>
        </w:rPr>
      </w:pPr>
    </w:p>
    <w:p w14:paraId="59BC4298">
      <w:pPr>
        <w:autoSpaceDE w:val="0"/>
        <w:autoSpaceDN w:val="0"/>
        <w:jc w:val="center"/>
        <w:rPr>
          <w:rFonts w:ascii="仿宋" w:hAnsi="仿宋" w:eastAsia="仿宋" w:cs="仿宋"/>
          <w:b/>
          <w:color w:val="auto"/>
          <w:spacing w:val="6"/>
          <w:sz w:val="32"/>
          <w:szCs w:val="32"/>
          <w:highlight w:val="none"/>
        </w:rPr>
      </w:pPr>
    </w:p>
    <w:p w14:paraId="2945E54B">
      <w:pPr>
        <w:autoSpaceDE w:val="0"/>
        <w:autoSpaceDN w:val="0"/>
        <w:jc w:val="center"/>
        <w:rPr>
          <w:rFonts w:ascii="仿宋" w:hAnsi="仿宋" w:eastAsia="仿宋" w:cs="仿宋"/>
          <w:b/>
          <w:color w:val="auto"/>
          <w:spacing w:val="6"/>
          <w:sz w:val="32"/>
          <w:szCs w:val="32"/>
          <w:highlight w:val="none"/>
        </w:rPr>
      </w:pPr>
    </w:p>
    <w:p w14:paraId="4ADE8E2F">
      <w:pPr>
        <w:autoSpaceDE w:val="0"/>
        <w:autoSpaceDN w:val="0"/>
        <w:jc w:val="center"/>
        <w:rPr>
          <w:rFonts w:ascii="仿宋" w:hAnsi="仿宋" w:eastAsia="仿宋" w:cs="仿宋"/>
          <w:b/>
          <w:color w:val="auto"/>
          <w:spacing w:val="6"/>
          <w:sz w:val="32"/>
          <w:szCs w:val="32"/>
          <w:highlight w:val="none"/>
        </w:rPr>
      </w:pPr>
    </w:p>
    <w:p w14:paraId="68EBCD3C">
      <w:pPr>
        <w:autoSpaceDE w:val="0"/>
        <w:autoSpaceDN w:val="0"/>
        <w:jc w:val="center"/>
        <w:rPr>
          <w:rFonts w:ascii="仿宋" w:hAnsi="仿宋" w:eastAsia="仿宋" w:cs="仿宋"/>
          <w:b/>
          <w:color w:val="auto"/>
          <w:spacing w:val="6"/>
          <w:sz w:val="32"/>
          <w:szCs w:val="32"/>
          <w:highlight w:val="none"/>
        </w:rPr>
      </w:pPr>
    </w:p>
    <w:p w14:paraId="2FA450D9">
      <w:pPr>
        <w:autoSpaceDE w:val="0"/>
        <w:autoSpaceDN w:val="0"/>
        <w:jc w:val="center"/>
        <w:rPr>
          <w:rFonts w:ascii="仿宋" w:hAnsi="仿宋" w:eastAsia="仿宋" w:cs="仿宋"/>
          <w:b/>
          <w:color w:val="auto"/>
          <w:spacing w:val="6"/>
          <w:sz w:val="32"/>
          <w:szCs w:val="32"/>
          <w:highlight w:val="none"/>
        </w:rPr>
      </w:pPr>
    </w:p>
    <w:p w14:paraId="4403D11C">
      <w:pPr>
        <w:autoSpaceDE w:val="0"/>
        <w:autoSpaceDN w:val="0"/>
        <w:jc w:val="center"/>
        <w:rPr>
          <w:rFonts w:ascii="仿宋" w:hAnsi="仿宋" w:eastAsia="仿宋" w:cs="仿宋"/>
          <w:b/>
          <w:color w:val="auto"/>
          <w:spacing w:val="6"/>
          <w:sz w:val="32"/>
          <w:szCs w:val="32"/>
          <w:highlight w:val="none"/>
        </w:rPr>
      </w:pPr>
    </w:p>
    <w:p w14:paraId="1B6116CB">
      <w:pPr>
        <w:autoSpaceDE w:val="0"/>
        <w:autoSpaceDN w:val="0"/>
        <w:jc w:val="center"/>
        <w:rPr>
          <w:rFonts w:ascii="仿宋" w:hAnsi="仿宋" w:eastAsia="仿宋" w:cs="仿宋"/>
          <w:b/>
          <w:color w:val="auto"/>
          <w:spacing w:val="6"/>
          <w:sz w:val="32"/>
          <w:szCs w:val="32"/>
          <w:highlight w:val="none"/>
        </w:rPr>
      </w:pPr>
    </w:p>
    <w:p w14:paraId="22EF3726">
      <w:pPr>
        <w:autoSpaceDE w:val="0"/>
        <w:autoSpaceDN w:val="0"/>
        <w:jc w:val="center"/>
        <w:rPr>
          <w:rFonts w:ascii="仿宋" w:hAnsi="仿宋" w:eastAsia="仿宋" w:cs="仿宋"/>
          <w:b/>
          <w:color w:val="auto"/>
          <w:spacing w:val="6"/>
          <w:sz w:val="32"/>
          <w:szCs w:val="32"/>
          <w:highlight w:val="none"/>
        </w:rPr>
      </w:pPr>
    </w:p>
    <w:p w14:paraId="01729FF1">
      <w:pPr>
        <w:autoSpaceDE w:val="0"/>
        <w:autoSpaceDN w:val="0"/>
        <w:jc w:val="center"/>
        <w:rPr>
          <w:rFonts w:ascii="仿宋" w:hAnsi="仿宋" w:eastAsia="仿宋" w:cs="仿宋"/>
          <w:b/>
          <w:color w:val="auto"/>
          <w:spacing w:val="6"/>
          <w:sz w:val="32"/>
          <w:szCs w:val="32"/>
          <w:highlight w:val="none"/>
        </w:rPr>
      </w:pPr>
    </w:p>
    <w:p w14:paraId="75883E19">
      <w:pPr>
        <w:autoSpaceDE w:val="0"/>
        <w:autoSpaceDN w:val="0"/>
        <w:jc w:val="center"/>
        <w:rPr>
          <w:rFonts w:ascii="仿宋" w:hAnsi="仿宋" w:eastAsia="仿宋" w:cs="仿宋"/>
          <w:b/>
          <w:color w:val="auto"/>
          <w:spacing w:val="6"/>
          <w:sz w:val="32"/>
          <w:szCs w:val="32"/>
          <w:highlight w:val="none"/>
        </w:rPr>
      </w:pPr>
    </w:p>
    <w:p w14:paraId="64A52A70">
      <w:pPr>
        <w:autoSpaceDE w:val="0"/>
        <w:autoSpaceDN w:val="0"/>
        <w:jc w:val="center"/>
        <w:rPr>
          <w:rFonts w:ascii="仿宋" w:hAnsi="仿宋" w:eastAsia="仿宋" w:cs="仿宋"/>
          <w:b/>
          <w:color w:val="auto"/>
          <w:spacing w:val="6"/>
          <w:sz w:val="32"/>
          <w:szCs w:val="32"/>
          <w:highlight w:val="none"/>
        </w:rPr>
      </w:pPr>
    </w:p>
    <w:p w14:paraId="47CA402C">
      <w:pPr>
        <w:autoSpaceDE w:val="0"/>
        <w:autoSpaceDN w:val="0"/>
        <w:jc w:val="center"/>
        <w:rPr>
          <w:rFonts w:ascii="仿宋" w:hAnsi="仿宋" w:eastAsia="仿宋" w:cs="仿宋"/>
          <w:b/>
          <w:color w:val="auto"/>
          <w:spacing w:val="6"/>
          <w:sz w:val="32"/>
          <w:szCs w:val="32"/>
          <w:highlight w:val="none"/>
        </w:rPr>
      </w:pPr>
    </w:p>
    <w:p w14:paraId="2631CB66">
      <w:pPr>
        <w:autoSpaceDE w:val="0"/>
        <w:autoSpaceDN w:val="0"/>
        <w:jc w:val="center"/>
        <w:rPr>
          <w:rFonts w:ascii="仿宋" w:hAnsi="仿宋" w:eastAsia="仿宋" w:cs="仿宋"/>
          <w:b/>
          <w:color w:val="auto"/>
          <w:spacing w:val="6"/>
          <w:sz w:val="32"/>
          <w:szCs w:val="32"/>
          <w:highlight w:val="none"/>
        </w:rPr>
      </w:pPr>
    </w:p>
    <w:p w14:paraId="71740D12">
      <w:pPr>
        <w:autoSpaceDE w:val="0"/>
        <w:autoSpaceDN w:val="0"/>
        <w:jc w:val="center"/>
        <w:rPr>
          <w:rFonts w:ascii="仿宋" w:hAnsi="仿宋" w:eastAsia="仿宋" w:cs="仿宋"/>
          <w:b/>
          <w:color w:val="auto"/>
          <w:spacing w:val="6"/>
          <w:sz w:val="32"/>
          <w:szCs w:val="32"/>
          <w:highlight w:val="none"/>
        </w:rPr>
      </w:pPr>
    </w:p>
    <w:p w14:paraId="30D3D6FC">
      <w:pPr>
        <w:snapToGrid w:val="0"/>
        <w:spacing w:line="360" w:lineRule="auto"/>
        <w:rPr>
          <w:rFonts w:ascii="仿宋" w:hAnsi="仿宋" w:eastAsia="仿宋" w:cs="仿宋"/>
          <w:b/>
          <w:color w:val="auto"/>
          <w:spacing w:val="6"/>
          <w:sz w:val="32"/>
          <w:szCs w:val="32"/>
          <w:highlight w:val="none"/>
        </w:rPr>
      </w:pPr>
    </w:p>
    <w:p w14:paraId="327C7D34">
      <w:pPr>
        <w:pStyle w:val="18"/>
        <w:rPr>
          <w:rFonts w:ascii="仿宋" w:hAnsi="仿宋" w:eastAsia="仿宋" w:cs="仿宋"/>
          <w:b/>
          <w:color w:val="auto"/>
          <w:spacing w:val="6"/>
          <w:sz w:val="32"/>
          <w:szCs w:val="32"/>
          <w:highlight w:val="none"/>
        </w:rPr>
      </w:pPr>
    </w:p>
    <w:p w14:paraId="53C9E3AD">
      <w:pPr>
        <w:pStyle w:val="42"/>
        <w:rPr>
          <w:rFonts w:ascii="仿宋" w:hAnsi="仿宋" w:eastAsia="仿宋" w:cs="仿宋"/>
          <w:b/>
          <w:color w:val="auto"/>
          <w:spacing w:val="6"/>
          <w:sz w:val="32"/>
          <w:szCs w:val="32"/>
          <w:highlight w:val="none"/>
        </w:rPr>
      </w:pPr>
    </w:p>
    <w:p w14:paraId="15A18362">
      <w:pPr>
        <w:pStyle w:val="42"/>
        <w:rPr>
          <w:rFonts w:ascii="仿宋" w:hAnsi="仿宋" w:eastAsia="仿宋" w:cs="仿宋"/>
          <w:b/>
          <w:color w:val="auto"/>
          <w:spacing w:val="6"/>
          <w:sz w:val="32"/>
          <w:szCs w:val="32"/>
          <w:highlight w:val="none"/>
        </w:rPr>
      </w:pPr>
    </w:p>
    <w:p w14:paraId="60080727">
      <w:pPr>
        <w:pStyle w:val="42"/>
        <w:rPr>
          <w:rFonts w:ascii="仿宋" w:hAnsi="仿宋" w:eastAsia="仿宋" w:cs="仿宋"/>
          <w:b/>
          <w:color w:val="auto"/>
          <w:spacing w:val="6"/>
          <w:sz w:val="32"/>
          <w:szCs w:val="32"/>
          <w:highlight w:val="none"/>
        </w:rPr>
      </w:pPr>
    </w:p>
    <w:p w14:paraId="6B3177F2">
      <w:pP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5546178">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14F9A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若成为杭州市上城区彭埠街道2025年度企退人员自管小组文体活动服务采购项目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HZGS-XM2025-PBJD-0523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05679A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6F9027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3230F0">
      <w:pPr>
        <w:pStyle w:val="5"/>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622ECE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27A22A0">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3967D69">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0"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160"/>
    </w:p>
    <w:p w14:paraId="61E399B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C96DDBC">
      <w:pPr>
        <w:snapToGrid w:val="0"/>
        <w:spacing w:line="360" w:lineRule="auto"/>
        <w:ind w:firstLine="576"/>
        <w:rPr>
          <w:rFonts w:ascii="仿宋" w:hAnsi="仿宋" w:eastAsia="仿宋" w:cs="仿宋"/>
          <w:color w:val="auto"/>
          <w:highlight w:val="none"/>
          <w:u w:val="single"/>
        </w:rPr>
      </w:pPr>
    </w:p>
    <w:p w14:paraId="00B15F7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04706B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2AFECAD">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FD08CA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1E5664">
      <w:pPr>
        <w:snapToGrid w:val="0"/>
        <w:spacing w:line="360" w:lineRule="auto"/>
        <w:ind w:firstLine="576"/>
        <w:rPr>
          <w:rFonts w:ascii="仿宋" w:hAnsi="仿宋" w:eastAsia="仿宋" w:cs="仿宋"/>
          <w:color w:val="auto"/>
          <w:kern w:val="0"/>
          <w:sz w:val="24"/>
          <w:highlight w:val="none"/>
          <w:lang w:val="zh-CN"/>
        </w:rPr>
      </w:pPr>
    </w:p>
    <w:p w14:paraId="2D8C306F">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BC4C0FC">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F7AC2B1">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1B89DA">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color w:val="auto"/>
          <w:kern w:val="0"/>
          <w:sz w:val="24"/>
          <w:highlight w:val="none"/>
          <w:lang w:val="zh-CN"/>
        </w:rPr>
        <w:t xml:space="preserve">                                        日期：  年  月   日</w:t>
      </w:r>
    </w:p>
    <w:p w14:paraId="27B8D2F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中小企业声明函（工程、服务）</w:t>
      </w:r>
    </w:p>
    <w:p w14:paraId="3BD3A52B">
      <w:pPr>
        <w:spacing w:line="360" w:lineRule="auto"/>
        <w:jc w:val="center"/>
        <w:rPr>
          <w:rFonts w:ascii="仿宋" w:hAnsi="仿宋" w:eastAsia="仿宋" w:cs="仿宋"/>
          <w:color w:val="auto"/>
          <w:sz w:val="24"/>
          <w:highlight w:val="none"/>
          <w:u w:val="single"/>
        </w:rPr>
      </w:pPr>
    </w:p>
    <w:p w14:paraId="00BA0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CFF52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284C9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8DAC38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B2955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642BC8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B956B54">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A03068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F178B5F">
      <w:pPr>
        <w:spacing w:line="360" w:lineRule="auto"/>
        <w:jc w:val="left"/>
        <w:rPr>
          <w:rFonts w:ascii="仿宋" w:hAnsi="仿宋" w:eastAsia="仿宋" w:cs="仿宋"/>
          <w:color w:val="auto"/>
          <w:sz w:val="18"/>
          <w:szCs w:val="18"/>
          <w:highlight w:val="none"/>
        </w:rPr>
      </w:pPr>
    </w:p>
    <w:p w14:paraId="475BC003">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5274A94">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31E089C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A742CB">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495364">
      <w:pPr>
        <w:spacing w:line="360" w:lineRule="auto"/>
        <w:jc w:val="center"/>
        <w:rPr>
          <w:rFonts w:ascii="仿宋" w:hAnsi="仿宋" w:eastAsia="仿宋" w:cs="仿宋"/>
          <w:b/>
          <w:color w:val="auto"/>
          <w:sz w:val="32"/>
          <w:szCs w:val="32"/>
          <w:highlight w:val="none"/>
        </w:rPr>
      </w:pPr>
    </w:p>
    <w:p w14:paraId="5F515443">
      <w:pPr>
        <w:spacing w:line="360" w:lineRule="auto"/>
        <w:jc w:val="center"/>
        <w:rPr>
          <w:rFonts w:ascii="仿宋" w:hAnsi="仿宋" w:eastAsia="仿宋" w:cs="仿宋"/>
          <w:b/>
          <w:color w:val="auto"/>
          <w:sz w:val="32"/>
          <w:szCs w:val="32"/>
          <w:highlight w:val="none"/>
        </w:rPr>
      </w:pPr>
    </w:p>
    <w:p w14:paraId="6CE31530">
      <w:pPr>
        <w:spacing w:line="360" w:lineRule="auto"/>
        <w:jc w:val="center"/>
        <w:rPr>
          <w:rFonts w:ascii="仿宋" w:hAnsi="仿宋" w:eastAsia="仿宋" w:cs="仿宋"/>
          <w:b/>
          <w:color w:val="auto"/>
          <w:sz w:val="32"/>
          <w:szCs w:val="32"/>
          <w:highlight w:val="none"/>
        </w:rPr>
      </w:pPr>
    </w:p>
    <w:p w14:paraId="17899A2A">
      <w:pPr>
        <w:spacing w:line="360" w:lineRule="auto"/>
        <w:jc w:val="center"/>
        <w:rPr>
          <w:rFonts w:ascii="仿宋" w:hAnsi="仿宋" w:eastAsia="仿宋" w:cs="仿宋"/>
          <w:b/>
          <w:color w:val="auto"/>
          <w:sz w:val="32"/>
          <w:szCs w:val="32"/>
          <w:highlight w:val="none"/>
        </w:rPr>
      </w:pPr>
    </w:p>
    <w:p w14:paraId="66575CB2">
      <w:pPr>
        <w:spacing w:line="360" w:lineRule="auto"/>
        <w:jc w:val="center"/>
        <w:rPr>
          <w:rFonts w:ascii="仿宋" w:hAnsi="仿宋" w:eastAsia="仿宋" w:cs="仿宋"/>
          <w:b/>
          <w:color w:val="auto"/>
          <w:sz w:val="32"/>
          <w:szCs w:val="32"/>
          <w:highlight w:val="none"/>
        </w:rPr>
      </w:pPr>
    </w:p>
    <w:p w14:paraId="4FAC35D1">
      <w:pPr>
        <w:spacing w:line="360" w:lineRule="auto"/>
        <w:jc w:val="center"/>
        <w:rPr>
          <w:rFonts w:ascii="仿宋" w:hAnsi="仿宋" w:eastAsia="仿宋" w:cs="仿宋"/>
          <w:b/>
          <w:color w:val="auto"/>
          <w:sz w:val="32"/>
          <w:szCs w:val="32"/>
          <w:highlight w:val="none"/>
        </w:rPr>
      </w:pPr>
    </w:p>
    <w:p w14:paraId="3361C60C">
      <w:pPr>
        <w:spacing w:line="360" w:lineRule="auto"/>
        <w:jc w:val="center"/>
        <w:rPr>
          <w:rFonts w:ascii="仿宋" w:hAnsi="仿宋" w:eastAsia="仿宋" w:cs="仿宋"/>
          <w:b/>
          <w:color w:val="auto"/>
          <w:sz w:val="32"/>
          <w:szCs w:val="32"/>
          <w:highlight w:val="none"/>
        </w:rPr>
      </w:pPr>
    </w:p>
    <w:p w14:paraId="77578795">
      <w:pPr>
        <w:spacing w:line="360" w:lineRule="auto"/>
        <w:jc w:val="center"/>
        <w:rPr>
          <w:rFonts w:ascii="仿宋" w:hAnsi="仿宋" w:eastAsia="仿宋" w:cs="仿宋"/>
          <w:b/>
          <w:color w:val="auto"/>
          <w:sz w:val="32"/>
          <w:szCs w:val="32"/>
          <w:highlight w:val="none"/>
        </w:rPr>
      </w:pPr>
    </w:p>
    <w:p w14:paraId="2B014DDA">
      <w:pPr>
        <w:spacing w:line="360" w:lineRule="auto"/>
        <w:rPr>
          <w:rFonts w:ascii="仿宋" w:hAnsi="仿宋" w:eastAsia="仿宋" w:cs="仿宋"/>
          <w:bCs/>
          <w:color w:val="auto"/>
          <w:sz w:val="24"/>
          <w:highlight w:val="none"/>
        </w:rPr>
      </w:pPr>
    </w:p>
    <w:sectPr>
      <w:footerReference r:id="rId21" w:type="firs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A9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922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B0DE">
    <w:pPr>
      <w:pStyle w:val="41"/>
      <w:framePr w:wrap="around" w:vAnchor="text" w:hAnchor="margin" w:xAlign="right" w:y="1"/>
      <w:rPr>
        <w:rStyle w:val="75"/>
      </w:rPr>
    </w:pPr>
    <w:r>
      <w:fldChar w:fldCharType="begin"/>
    </w:r>
    <w:r>
      <w:rPr>
        <w:rStyle w:val="75"/>
      </w:rPr>
      <w:instrText xml:space="preserve">PAGE  </w:instrText>
    </w:r>
    <w:r>
      <w:fldChar w:fldCharType="end"/>
    </w:r>
  </w:p>
  <w:p w14:paraId="296015D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E4E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161" w:name="_Toc91899912"/>
    <w:bookmarkStart w:id="162" w:name="_Toc36110187"/>
    <w:bookmarkStart w:id="163" w:name="_Toc131845147"/>
    <w:bookmarkStart w:id="164" w:name="_Toc164085800"/>
    <w:r>
      <w:rPr>
        <w:rFonts w:hint="eastAsia" w:ascii="仿宋_GB2312" w:eastAsia="仿宋_GB2312"/>
        <w:kern w:val="0"/>
        <w:szCs w:val="21"/>
      </w:rPr>
      <w:t xml:space="preserve"> 页</w:t>
    </w:r>
    <w:bookmarkEnd w:id="161"/>
    <w:bookmarkEnd w:id="162"/>
    <w:bookmarkEnd w:id="163"/>
    <w:bookmarkEnd w:id="1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3BB4">
    <w:pPr>
      <w:pStyle w:val="41"/>
      <w:framePr w:wrap="around" w:vAnchor="text" w:hAnchor="margin" w:xAlign="right" w:y="1"/>
      <w:rPr>
        <w:rStyle w:val="75"/>
      </w:rPr>
    </w:pPr>
    <w:r>
      <w:fldChar w:fldCharType="begin"/>
    </w:r>
    <w:r>
      <w:rPr>
        <w:rStyle w:val="75"/>
      </w:rPr>
      <w:instrText xml:space="preserve">PAGE  </w:instrText>
    </w:r>
    <w:r>
      <w:fldChar w:fldCharType="end"/>
    </w:r>
  </w:p>
  <w:p w14:paraId="543351E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21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4D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34E10C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0A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3A504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ED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07E4D7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15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212E0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B86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DF9B3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0A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4B10D3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2B0F">
    <w:pPr>
      <w:pStyle w:val="43"/>
      <w:pBdr>
        <w:bottom w:val="single" w:color="auto" w:sz="6" w:space="0"/>
      </w:pBdr>
      <w:tabs>
        <w:tab w:val="center" w:pos="4535"/>
        <w:tab w:val="right" w:pos="9070"/>
        <w:tab w:val="clear" w:pos="4153"/>
        <w:tab w:val="clear" w:pos="8306"/>
      </w:tabs>
      <w:ind w:right="180"/>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079E">
    <w:pPr>
      <w:pStyle w:val="43"/>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973C">
    <w:pPr>
      <w:pStyle w:val="43"/>
      <w:pBdr>
        <w:bottom w:val="single" w:color="auto" w:sz="6" w:space="0"/>
      </w:pBdr>
      <w:tabs>
        <w:tab w:val="center" w:pos="4535"/>
        <w:tab w:val="right" w:pos="9070"/>
        <w:tab w:val="clear" w:pos="4153"/>
        <w:tab w:val="clear" w:pos="8306"/>
      </w:tabs>
      <w:jc w:val="right"/>
      <w:rPr>
        <w:rFonts w:ascii="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329F">
    <w:pPr>
      <w:pStyle w:val="43"/>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B719">
    <w:pPr>
      <w:pStyle w:val="43"/>
      <w:pBdr>
        <w:bottom w:val="single" w:color="auto" w:sz="6" w:space="0"/>
      </w:pBdr>
      <w:tabs>
        <w:tab w:val="center" w:pos="4535"/>
        <w:tab w:val="right" w:pos="9070"/>
        <w:tab w:val="clear" w:pos="4153"/>
        <w:tab w:val="clear" w:pos="8306"/>
      </w:tabs>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6A4B">
    <w:pPr>
      <w:pStyle w:val="43"/>
      <w:pBdr>
        <w:bottom w:val="single" w:color="auto" w:sz="6" w:space="0"/>
      </w:pBdr>
      <w:tabs>
        <w:tab w:val="center" w:pos="4535"/>
        <w:tab w:val="right" w:pos="9070"/>
        <w:tab w:val="clear" w:pos="4153"/>
        <w:tab w:val="clear" w:pos="8306"/>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2499">
    <w:pPr>
      <w:pStyle w:val="43"/>
      <w:pBdr>
        <w:bottom w:val="single" w:color="auto" w:sz="6" w:space="0"/>
      </w:pBdr>
      <w:tabs>
        <w:tab w:val="center" w:pos="4535"/>
        <w:tab w:val="right" w:pos="907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5A8F"/>
    <w:multiLevelType w:val="singleLevel"/>
    <w:tmpl w:val="C6905A8F"/>
    <w:lvl w:ilvl="0" w:tentative="0">
      <w:start w:val="3"/>
      <w:numFmt w:val="upperLetter"/>
      <w:suff w:val="nothing"/>
      <w:lvlText w:val="%1、"/>
      <w:lvlJc w:val="left"/>
    </w:lvl>
  </w:abstractNum>
  <w:abstractNum w:abstractNumId="1">
    <w:nsid w:val="5CB7507A"/>
    <w:multiLevelType w:val="singleLevel"/>
    <w:tmpl w:val="5CB7507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iZDIzMjBhYjY3YjcwYmIxYWI1NjM4YzVmYjEyMDMifQ=="/>
  </w:docVars>
  <w:rsids>
    <w:rsidRoot w:val="00172A27"/>
    <w:rsid w:val="00000451"/>
    <w:rsid w:val="0000108B"/>
    <w:rsid w:val="0000133D"/>
    <w:rsid w:val="00001509"/>
    <w:rsid w:val="000032B2"/>
    <w:rsid w:val="000032E3"/>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86C"/>
    <w:rsid w:val="00032EA0"/>
    <w:rsid w:val="000331B0"/>
    <w:rsid w:val="0003353E"/>
    <w:rsid w:val="000336D4"/>
    <w:rsid w:val="00034FA7"/>
    <w:rsid w:val="0003533D"/>
    <w:rsid w:val="000357E4"/>
    <w:rsid w:val="00035ACA"/>
    <w:rsid w:val="00036C29"/>
    <w:rsid w:val="00040447"/>
    <w:rsid w:val="00040494"/>
    <w:rsid w:val="00040B70"/>
    <w:rsid w:val="00041B1F"/>
    <w:rsid w:val="00042441"/>
    <w:rsid w:val="00042533"/>
    <w:rsid w:val="00042DBB"/>
    <w:rsid w:val="00042E65"/>
    <w:rsid w:val="0004347C"/>
    <w:rsid w:val="00043907"/>
    <w:rsid w:val="00044F48"/>
    <w:rsid w:val="00047354"/>
    <w:rsid w:val="00047E6D"/>
    <w:rsid w:val="00047F93"/>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26B"/>
    <w:rsid w:val="00063928"/>
    <w:rsid w:val="00064278"/>
    <w:rsid w:val="000646CA"/>
    <w:rsid w:val="000665C4"/>
    <w:rsid w:val="00067821"/>
    <w:rsid w:val="0006785E"/>
    <w:rsid w:val="00067F92"/>
    <w:rsid w:val="00067FA7"/>
    <w:rsid w:val="0007038E"/>
    <w:rsid w:val="0007077C"/>
    <w:rsid w:val="00070825"/>
    <w:rsid w:val="00071CD8"/>
    <w:rsid w:val="00071DB2"/>
    <w:rsid w:val="0007260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0EF"/>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49A"/>
    <w:rsid w:val="000B268D"/>
    <w:rsid w:val="000B291B"/>
    <w:rsid w:val="000B456C"/>
    <w:rsid w:val="000B45B9"/>
    <w:rsid w:val="000B47CE"/>
    <w:rsid w:val="000B4B56"/>
    <w:rsid w:val="000B4C62"/>
    <w:rsid w:val="000B533C"/>
    <w:rsid w:val="000B541D"/>
    <w:rsid w:val="000B54C1"/>
    <w:rsid w:val="000B5553"/>
    <w:rsid w:val="000B5FE8"/>
    <w:rsid w:val="000B666E"/>
    <w:rsid w:val="000B7A1C"/>
    <w:rsid w:val="000C02E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DFD"/>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3E"/>
    <w:rsid w:val="001102B5"/>
    <w:rsid w:val="00111C7D"/>
    <w:rsid w:val="0011202C"/>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034A"/>
    <w:rsid w:val="00131C2D"/>
    <w:rsid w:val="00131F3D"/>
    <w:rsid w:val="0013202C"/>
    <w:rsid w:val="00132704"/>
    <w:rsid w:val="00132CBF"/>
    <w:rsid w:val="001334F4"/>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30A"/>
    <w:rsid w:val="00156853"/>
    <w:rsid w:val="00157432"/>
    <w:rsid w:val="00161185"/>
    <w:rsid w:val="001620BA"/>
    <w:rsid w:val="001623AC"/>
    <w:rsid w:val="00162BAA"/>
    <w:rsid w:val="00163C40"/>
    <w:rsid w:val="00163C5B"/>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4F8"/>
    <w:rsid w:val="00173631"/>
    <w:rsid w:val="0017372D"/>
    <w:rsid w:val="00173826"/>
    <w:rsid w:val="00173C58"/>
    <w:rsid w:val="00173E59"/>
    <w:rsid w:val="001741DC"/>
    <w:rsid w:val="00174C4F"/>
    <w:rsid w:val="00174F57"/>
    <w:rsid w:val="00175078"/>
    <w:rsid w:val="001755DC"/>
    <w:rsid w:val="001763D8"/>
    <w:rsid w:val="00176AA6"/>
    <w:rsid w:val="00177063"/>
    <w:rsid w:val="0017755B"/>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39"/>
    <w:rsid w:val="0019756A"/>
    <w:rsid w:val="001A06B5"/>
    <w:rsid w:val="001A07F8"/>
    <w:rsid w:val="001A0A23"/>
    <w:rsid w:val="001A0C98"/>
    <w:rsid w:val="001A128B"/>
    <w:rsid w:val="001A1475"/>
    <w:rsid w:val="001A1F0E"/>
    <w:rsid w:val="001A3335"/>
    <w:rsid w:val="001A473A"/>
    <w:rsid w:val="001A4977"/>
    <w:rsid w:val="001A4ED9"/>
    <w:rsid w:val="001A5785"/>
    <w:rsid w:val="001A5D9C"/>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AD"/>
    <w:rsid w:val="001C08DB"/>
    <w:rsid w:val="001C10BD"/>
    <w:rsid w:val="001C1F01"/>
    <w:rsid w:val="001C2092"/>
    <w:rsid w:val="001C232F"/>
    <w:rsid w:val="001C2544"/>
    <w:rsid w:val="001C268B"/>
    <w:rsid w:val="001C2A17"/>
    <w:rsid w:val="001C31F5"/>
    <w:rsid w:val="001C42A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B2"/>
    <w:rsid w:val="001D330D"/>
    <w:rsid w:val="001D372B"/>
    <w:rsid w:val="001D4AB6"/>
    <w:rsid w:val="001D4AD3"/>
    <w:rsid w:val="001D5281"/>
    <w:rsid w:val="001E0A6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CED"/>
    <w:rsid w:val="001F5DA1"/>
    <w:rsid w:val="001F612E"/>
    <w:rsid w:val="001F6A92"/>
    <w:rsid w:val="001F77E8"/>
    <w:rsid w:val="0020022C"/>
    <w:rsid w:val="00201A0C"/>
    <w:rsid w:val="00201B0F"/>
    <w:rsid w:val="0020255A"/>
    <w:rsid w:val="00202800"/>
    <w:rsid w:val="0020295E"/>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B1"/>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4F8"/>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3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3C"/>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EE7"/>
    <w:rsid w:val="002F134F"/>
    <w:rsid w:val="002F1D0B"/>
    <w:rsid w:val="002F1E1D"/>
    <w:rsid w:val="002F1F02"/>
    <w:rsid w:val="002F21E3"/>
    <w:rsid w:val="002F27E5"/>
    <w:rsid w:val="002F2D81"/>
    <w:rsid w:val="002F2F66"/>
    <w:rsid w:val="002F39D4"/>
    <w:rsid w:val="002F443F"/>
    <w:rsid w:val="002F4BA9"/>
    <w:rsid w:val="002F541B"/>
    <w:rsid w:val="002F5BFE"/>
    <w:rsid w:val="002F5DA5"/>
    <w:rsid w:val="002F5E17"/>
    <w:rsid w:val="002F647C"/>
    <w:rsid w:val="002F6C6B"/>
    <w:rsid w:val="002F6CB0"/>
    <w:rsid w:val="002F6EFF"/>
    <w:rsid w:val="002F7BEB"/>
    <w:rsid w:val="002F7DF0"/>
    <w:rsid w:val="002F7FAF"/>
    <w:rsid w:val="00300573"/>
    <w:rsid w:val="003025FE"/>
    <w:rsid w:val="003029AE"/>
    <w:rsid w:val="003029E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D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66"/>
    <w:rsid w:val="00345644"/>
    <w:rsid w:val="00345C05"/>
    <w:rsid w:val="00345D0E"/>
    <w:rsid w:val="00345D7A"/>
    <w:rsid w:val="0034607E"/>
    <w:rsid w:val="00346A96"/>
    <w:rsid w:val="00346B6D"/>
    <w:rsid w:val="00346BA3"/>
    <w:rsid w:val="00346C69"/>
    <w:rsid w:val="00347356"/>
    <w:rsid w:val="00347D30"/>
    <w:rsid w:val="0035005C"/>
    <w:rsid w:val="00350896"/>
    <w:rsid w:val="00350C31"/>
    <w:rsid w:val="00350C9F"/>
    <w:rsid w:val="00351391"/>
    <w:rsid w:val="003519CD"/>
    <w:rsid w:val="00351A3A"/>
    <w:rsid w:val="0035407F"/>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79"/>
    <w:rsid w:val="003672B3"/>
    <w:rsid w:val="003676DF"/>
    <w:rsid w:val="00367783"/>
    <w:rsid w:val="00367898"/>
    <w:rsid w:val="003679D3"/>
    <w:rsid w:val="00367A87"/>
    <w:rsid w:val="00367EE7"/>
    <w:rsid w:val="003703BB"/>
    <w:rsid w:val="003705EA"/>
    <w:rsid w:val="00370A56"/>
    <w:rsid w:val="00371213"/>
    <w:rsid w:val="003714B5"/>
    <w:rsid w:val="00372842"/>
    <w:rsid w:val="003729A5"/>
    <w:rsid w:val="00372C89"/>
    <w:rsid w:val="00372E9A"/>
    <w:rsid w:val="003735B9"/>
    <w:rsid w:val="00373634"/>
    <w:rsid w:val="00374677"/>
    <w:rsid w:val="0037510C"/>
    <w:rsid w:val="003755F5"/>
    <w:rsid w:val="00375850"/>
    <w:rsid w:val="0037632F"/>
    <w:rsid w:val="003766F6"/>
    <w:rsid w:val="00376E67"/>
    <w:rsid w:val="00377B26"/>
    <w:rsid w:val="00381014"/>
    <w:rsid w:val="00381604"/>
    <w:rsid w:val="00381C68"/>
    <w:rsid w:val="00381F60"/>
    <w:rsid w:val="00383204"/>
    <w:rsid w:val="00383AB0"/>
    <w:rsid w:val="003847BB"/>
    <w:rsid w:val="00384814"/>
    <w:rsid w:val="00384C0A"/>
    <w:rsid w:val="003850AE"/>
    <w:rsid w:val="003852C4"/>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055"/>
    <w:rsid w:val="003922DE"/>
    <w:rsid w:val="00392E35"/>
    <w:rsid w:val="00393247"/>
    <w:rsid w:val="00393551"/>
    <w:rsid w:val="00393816"/>
    <w:rsid w:val="00393FCD"/>
    <w:rsid w:val="003944EA"/>
    <w:rsid w:val="00394639"/>
    <w:rsid w:val="00394DF6"/>
    <w:rsid w:val="00394EC6"/>
    <w:rsid w:val="00395A02"/>
    <w:rsid w:val="00395AED"/>
    <w:rsid w:val="00395CD9"/>
    <w:rsid w:val="003962E6"/>
    <w:rsid w:val="00396831"/>
    <w:rsid w:val="003971A1"/>
    <w:rsid w:val="003A0F6B"/>
    <w:rsid w:val="003A12B6"/>
    <w:rsid w:val="003A12C9"/>
    <w:rsid w:val="003A1804"/>
    <w:rsid w:val="003A1C44"/>
    <w:rsid w:val="003A20D5"/>
    <w:rsid w:val="003A24CC"/>
    <w:rsid w:val="003A2512"/>
    <w:rsid w:val="003A2A53"/>
    <w:rsid w:val="003A2EE8"/>
    <w:rsid w:val="003A373C"/>
    <w:rsid w:val="003A5378"/>
    <w:rsid w:val="003A553C"/>
    <w:rsid w:val="003A56DF"/>
    <w:rsid w:val="003A5AC2"/>
    <w:rsid w:val="003A6008"/>
    <w:rsid w:val="003A703F"/>
    <w:rsid w:val="003A7E2B"/>
    <w:rsid w:val="003A7E40"/>
    <w:rsid w:val="003B0336"/>
    <w:rsid w:val="003B0A3A"/>
    <w:rsid w:val="003B0A6B"/>
    <w:rsid w:val="003B0D79"/>
    <w:rsid w:val="003B19ED"/>
    <w:rsid w:val="003B2930"/>
    <w:rsid w:val="003B31A7"/>
    <w:rsid w:val="003B3C1C"/>
    <w:rsid w:val="003B4587"/>
    <w:rsid w:val="003B4B51"/>
    <w:rsid w:val="003B4FE1"/>
    <w:rsid w:val="003B514E"/>
    <w:rsid w:val="003B5531"/>
    <w:rsid w:val="003B5BD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6F63"/>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198"/>
    <w:rsid w:val="003D6448"/>
    <w:rsid w:val="003D646C"/>
    <w:rsid w:val="003D663E"/>
    <w:rsid w:val="003D664B"/>
    <w:rsid w:val="003D6793"/>
    <w:rsid w:val="003D6B03"/>
    <w:rsid w:val="003D75D8"/>
    <w:rsid w:val="003E006E"/>
    <w:rsid w:val="003E0587"/>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40E"/>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E6C"/>
    <w:rsid w:val="00440262"/>
    <w:rsid w:val="004406BF"/>
    <w:rsid w:val="00440814"/>
    <w:rsid w:val="00440E03"/>
    <w:rsid w:val="0044105D"/>
    <w:rsid w:val="00441424"/>
    <w:rsid w:val="00442731"/>
    <w:rsid w:val="00442A0C"/>
    <w:rsid w:val="00442C12"/>
    <w:rsid w:val="004434DF"/>
    <w:rsid w:val="0044354B"/>
    <w:rsid w:val="00444318"/>
    <w:rsid w:val="0044493E"/>
    <w:rsid w:val="00444A1F"/>
    <w:rsid w:val="00444FC6"/>
    <w:rsid w:val="00445874"/>
    <w:rsid w:val="00445BA3"/>
    <w:rsid w:val="00445C38"/>
    <w:rsid w:val="0044686B"/>
    <w:rsid w:val="004475F7"/>
    <w:rsid w:val="0045057B"/>
    <w:rsid w:val="0045069B"/>
    <w:rsid w:val="00450B22"/>
    <w:rsid w:val="00451709"/>
    <w:rsid w:val="004518FA"/>
    <w:rsid w:val="00451A02"/>
    <w:rsid w:val="0045277C"/>
    <w:rsid w:val="00453507"/>
    <w:rsid w:val="00453592"/>
    <w:rsid w:val="00453688"/>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A21"/>
    <w:rsid w:val="00461F80"/>
    <w:rsid w:val="0046240D"/>
    <w:rsid w:val="00462898"/>
    <w:rsid w:val="00462D84"/>
    <w:rsid w:val="00463208"/>
    <w:rsid w:val="00463576"/>
    <w:rsid w:val="004636D6"/>
    <w:rsid w:val="0046399D"/>
    <w:rsid w:val="00463D23"/>
    <w:rsid w:val="00463EA4"/>
    <w:rsid w:val="00464E1E"/>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5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4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C8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54"/>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65"/>
    <w:rsid w:val="004C27CF"/>
    <w:rsid w:val="004C2CA7"/>
    <w:rsid w:val="004C3592"/>
    <w:rsid w:val="004C3984"/>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8DD"/>
    <w:rsid w:val="004D1934"/>
    <w:rsid w:val="004D1E41"/>
    <w:rsid w:val="004D2326"/>
    <w:rsid w:val="004D2E11"/>
    <w:rsid w:val="004D3108"/>
    <w:rsid w:val="004D329C"/>
    <w:rsid w:val="004D34D1"/>
    <w:rsid w:val="004D378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919"/>
    <w:rsid w:val="004F000B"/>
    <w:rsid w:val="004F07F2"/>
    <w:rsid w:val="004F07F9"/>
    <w:rsid w:val="004F0A50"/>
    <w:rsid w:val="004F0D1F"/>
    <w:rsid w:val="004F0E82"/>
    <w:rsid w:val="004F0F3D"/>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B24"/>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2DA1"/>
    <w:rsid w:val="005131A2"/>
    <w:rsid w:val="005137E4"/>
    <w:rsid w:val="00513BB9"/>
    <w:rsid w:val="0051440E"/>
    <w:rsid w:val="00514480"/>
    <w:rsid w:val="005148CD"/>
    <w:rsid w:val="00515180"/>
    <w:rsid w:val="00515973"/>
    <w:rsid w:val="00515F2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76"/>
    <w:rsid w:val="00527ED6"/>
    <w:rsid w:val="0053024F"/>
    <w:rsid w:val="005307A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34"/>
    <w:rsid w:val="00534D55"/>
    <w:rsid w:val="00535B53"/>
    <w:rsid w:val="0053624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03F"/>
    <w:rsid w:val="00547BA2"/>
    <w:rsid w:val="00550AC5"/>
    <w:rsid w:val="00550AF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1"/>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56"/>
    <w:rsid w:val="005863D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9E"/>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D3B"/>
    <w:rsid w:val="005C1433"/>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B5C"/>
    <w:rsid w:val="005D4EBA"/>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0DC"/>
    <w:rsid w:val="00610440"/>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B65"/>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643"/>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DF"/>
    <w:rsid w:val="00662D3D"/>
    <w:rsid w:val="00662F1F"/>
    <w:rsid w:val="00663D15"/>
    <w:rsid w:val="00665030"/>
    <w:rsid w:val="00665670"/>
    <w:rsid w:val="006659EA"/>
    <w:rsid w:val="006661E8"/>
    <w:rsid w:val="00666424"/>
    <w:rsid w:val="0066676C"/>
    <w:rsid w:val="006673B9"/>
    <w:rsid w:val="0066790C"/>
    <w:rsid w:val="00667FF0"/>
    <w:rsid w:val="00670C7C"/>
    <w:rsid w:val="00670E6E"/>
    <w:rsid w:val="00671480"/>
    <w:rsid w:val="006717E7"/>
    <w:rsid w:val="00671FD5"/>
    <w:rsid w:val="006720BC"/>
    <w:rsid w:val="00672906"/>
    <w:rsid w:val="00672C73"/>
    <w:rsid w:val="00673B64"/>
    <w:rsid w:val="006746F6"/>
    <w:rsid w:val="006753AC"/>
    <w:rsid w:val="00675430"/>
    <w:rsid w:val="006755F0"/>
    <w:rsid w:val="00675749"/>
    <w:rsid w:val="006759FE"/>
    <w:rsid w:val="00675CB7"/>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43C"/>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5C6"/>
    <w:rsid w:val="006A39D0"/>
    <w:rsid w:val="006A3E91"/>
    <w:rsid w:val="006A430B"/>
    <w:rsid w:val="006A4321"/>
    <w:rsid w:val="006A4E20"/>
    <w:rsid w:val="006A4F11"/>
    <w:rsid w:val="006A53C9"/>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B02"/>
    <w:rsid w:val="006B3D00"/>
    <w:rsid w:val="006B4CF8"/>
    <w:rsid w:val="006B506B"/>
    <w:rsid w:val="006B54E8"/>
    <w:rsid w:val="006B5FBC"/>
    <w:rsid w:val="006B69A9"/>
    <w:rsid w:val="006B6ED2"/>
    <w:rsid w:val="006B7F74"/>
    <w:rsid w:val="006C0230"/>
    <w:rsid w:val="006C05BE"/>
    <w:rsid w:val="006C05C7"/>
    <w:rsid w:val="006C25AB"/>
    <w:rsid w:val="006C2DA6"/>
    <w:rsid w:val="006C3581"/>
    <w:rsid w:val="006C36AF"/>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B5"/>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ABC"/>
    <w:rsid w:val="006E3CF3"/>
    <w:rsid w:val="006E41ED"/>
    <w:rsid w:val="006E4667"/>
    <w:rsid w:val="006E46B7"/>
    <w:rsid w:val="006E475A"/>
    <w:rsid w:val="006E486D"/>
    <w:rsid w:val="006E4880"/>
    <w:rsid w:val="006E48BB"/>
    <w:rsid w:val="006E5C2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B1"/>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8B5"/>
    <w:rsid w:val="00725D6A"/>
    <w:rsid w:val="007263A2"/>
    <w:rsid w:val="007266B9"/>
    <w:rsid w:val="00727351"/>
    <w:rsid w:val="00727AC5"/>
    <w:rsid w:val="00727C65"/>
    <w:rsid w:val="007300F0"/>
    <w:rsid w:val="00730904"/>
    <w:rsid w:val="0073118A"/>
    <w:rsid w:val="00731942"/>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0C"/>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067"/>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1F0C"/>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37B"/>
    <w:rsid w:val="007705F0"/>
    <w:rsid w:val="00770FFF"/>
    <w:rsid w:val="00771CAC"/>
    <w:rsid w:val="00772036"/>
    <w:rsid w:val="00773098"/>
    <w:rsid w:val="007738B0"/>
    <w:rsid w:val="007739A3"/>
    <w:rsid w:val="00773BD9"/>
    <w:rsid w:val="00773CB0"/>
    <w:rsid w:val="00773D71"/>
    <w:rsid w:val="00775526"/>
    <w:rsid w:val="00775651"/>
    <w:rsid w:val="00775F3F"/>
    <w:rsid w:val="0077710B"/>
    <w:rsid w:val="0077765A"/>
    <w:rsid w:val="007778AE"/>
    <w:rsid w:val="00780032"/>
    <w:rsid w:val="0078019F"/>
    <w:rsid w:val="00780636"/>
    <w:rsid w:val="00780E86"/>
    <w:rsid w:val="0078108C"/>
    <w:rsid w:val="00781727"/>
    <w:rsid w:val="007823E8"/>
    <w:rsid w:val="00782CF3"/>
    <w:rsid w:val="00783959"/>
    <w:rsid w:val="00783BA5"/>
    <w:rsid w:val="007844A9"/>
    <w:rsid w:val="00785091"/>
    <w:rsid w:val="00785B86"/>
    <w:rsid w:val="0078638C"/>
    <w:rsid w:val="007869F9"/>
    <w:rsid w:val="00786CBB"/>
    <w:rsid w:val="00786E21"/>
    <w:rsid w:val="00787639"/>
    <w:rsid w:val="0079038E"/>
    <w:rsid w:val="00790DBE"/>
    <w:rsid w:val="00790DC5"/>
    <w:rsid w:val="00790EBB"/>
    <w:rsid w:val="00791C6E"/>
    <w:rsid w:val="007921F7"/>
    <w:rsid w:val="00792909"/>
    <w:rsid w:val="00792BC6"/>
    <w:rsid w:val="00792C3F"/>
    <w:rsid w:val="00792EE2"/>
    <w:rsid w:val="00792EFD"/>
    <w:rsid w:val="00793105"/>
    <w:rsid w:val="007931E8"/>
    <w:rsid w:val="00793333"/>
    <w:rsid w:val="00793BFD"/>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935"/>
    <w:rsid w:val="007B0D86"/>
    <w:rsid w:val="007B1B1F"/>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B2"/>
    <w:rsid w:val="007C029E"/>
    <w:rsid w:val="007C0636"/>
    <w:rsid w:val="007C10E4"/>
    <w:rsid w:val="007C17B4"/>
    <w:rsid w:val="007C1DF4"/>
    <w:rsid w:val="007C20F8"/>
    <w:rsid w:val="007C21C5"/>
    <w:rsid w:val="007C2229"/>
    <w:rsid w:val="007C2313"/>
    <w:rsid w:val="007C2D47"/>
    <w:rsid w:val="007C3590"/>
    <w:rsid w:val="007C387A"/>
    <w:rsid w:val="007C3A0D"/>
    <w:rsid w:val="007C3EB0"/>
    <w:rsid w:val="007C43D6"/>
    <w:rsid w:val="007C47FF"/>
    <w:rsid w:val="007C5DB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69"/>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D0"/>
    <w:rsid w:val="007E41A4"/>
    <w:rsid w:val="007E43E3"/>
    <w:rsid w:val="007E54B8"/>
    <w:rsid w:val="007E5D12"/>
    <w:rsid w:val="007E6420"/>
    <w:rsid w:val="007E677F"/>
    <w:rsid w:val="007E6B25"/>
    <w:rsid w:val="007E6E06"/>
    <w:rsid w:val="007E6F4A"/>
    <w:rsid w:val="007E79CC"/>
    <w:rsid w:val="007F1124"/>
    <w:rsid w:val="007F152D"/>
    <w:rsid w:val="007F2002"/>
    <w:rsid w:val="007F20C4"/>
    <w:rsid w:val="007F20EE"/>
    <w:rsid w:val="007F23D8"/>
    <w:rsid w:val="007F2DAC"/>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0C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C9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55"/>
    <w:rsid w:val="00842DC2"/>
    <w:rsid w:val="0084357B"/>
    <w:rsid w:val="00845119"/>
    <w:rsid w:val="00845B14"/>
    <w:rsid w:val="008465B4"/>
    <w:rsid w:val="00846D25"/>
    <w:rsid w:val="00850013"/>
    <w:rsid w:val="008500DD"/>
    <w:rsid w:val="00850A0A"/>
    <w:rsid w:val="00850A83"/>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4C"/>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58"/>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D4"/>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3E2"/>
    <w:rsid w:val="008A0BFE"/>
    <w:rsid w:val="008A13F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0A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B6"/>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726"/>
    <w:rsid w:val="009159C2"/>
    <w:rsid w:val="0091627F"/>
    <w:rsid w:val="00916E45"/>
    <w:rsid w:val="00917837"/>
    <w:rsid w:val="0092038C"/>
    <w:rsid w:val="0092077A"/>
    <w:rsid w:val="00920DC0"/>
    <w:rsid w:val="009212E2"/>
    <w:rsid w:val="009219F3"/>
    <w:rsid w:val="009221CB"/>
    <w:rsid w:val="00922320"/>
    <w:rsid w:val="00922645"/>
    <w:rsid w:val="00923643"/>
    <w:rsid w:val="00923E1A"/>
    <w:rsid w:val="009242DA"/>
    <w:rsid w:val="009245CC"/>
    <w:rsid w:val="0092490A"/>
    <w:rsid w:val="00925304"/>
    <w:rsid w:val="00925A3E"/>
    <w:rsid w:val="00925A9A"/>
    <w:rsid w:val="009261DB"/>
    <w:rsid w:val="00926939"/>
    <w:rsid w:val="00926F4C"/>
    <w:rsid w:val="00927330"/>
    <w:rsid w:val="00927710"/>
    <w:rsid w:val="009307CA"/>
    <w:rsid w:val="00931100"/>
    <w:rsid w:val="009312F9"/>
    <w:rsid w:val="00931445"/>
    <w:rsid w:val="00931518"/>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757"/>
    <w:rsid w:val="00947BA5"/>
    <w:rsid w:val="00947F1B"/>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432"/>
    <w:rsid w:val="00966A21"/>
    <w:rsid w:val="00966AD2"/>
    <w:rsid w:val="0097025C"/>
    <w:rsid w:val="00970C3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61"/>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410"/>
    <w:rsid w:val="009B7505"/>
    <w:rsid w:val="009B771E"/>
    <w:rsid w:val="009C0020"/>
    <w:rsid w:val="009C03F7"/>
    <w:rsid w:val="009C10DA"/>
    <w:rsid w:val="009C17FC"/>
    <w:rsid w:val="009C19FC"/>
    <w:rsid w:val="009C27F7"/>
    <w:rsid w:val="009C3BC4"/>
    <w:rsid w:val="009C3C93"/>
    <w:rsid w:val="009C3E97"/>
    <w:rsid w:val="009C4017"/>
    <w:rsid w:val="009C424E"/>
    <w:rsid w:val="009C4708"/>
    <w:rsid w:val="009C4870"/>
    <w:rsid w:val="009C496E"/>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6E"/>
    <w:rsid w:val="009D6D30"/>
    <w:rsid w:val="009D7523"/>
    <w:rsid w:val="009D76B5"/>
    <w:rsid w:val="009D77B8"/>
    <w:rsid w:val="009D7AF1"/>
    <w:rsid w:val="009D7BC7"/>
    <w:rsid w:val="009D7FAC"/>
    <w:rsid w:val="009E0109"/>
    <w:rsid w:val="009E0342"/>
    <w:rsid w:val="009E098B"/>
    <w:rsid w:val="009E09AB"/>
    <w:rsid w:val="009E0D7D"/>
    <w:rsid w:val="009E0DAF"/>
    <w:rsid w:val="009E19BB"/>
    <w:rsid w:val="009E1B80"/>
    <w:rsid w:val="009E1C47"/>
    <w:rsid w:val="009E345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F5"/>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B0"/>
    <w:rsid w:val="00A11C11"/>
    <w:rsid w:val="00A11FD3"/>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1D"/>
    <w:rsid w:val="00A23DA6"/>
    <w:rsid w:val="00A249D2"/>
    <w:rsid w:val="00A24E8E"/>
    <w:rsid w:val="00A254AB"/>
    <w:rsid w:val="00A259F2"/>
    <w:rsid w:val="00A26617"/>
    <w:rsid w:val="00A266CC"/>
    <w:rsid w:val="00A26DB4"/>
    <w:rsid w:val="00A27425"/>
    <w:rsid w:val="00A27867"/>
    <w:rsid w:val="00A3023E"/>
    <w:rsid w:val="00A305C5"/>
    <w:rsid w:val="00A30919"/>
    <w:rsid w:val="00A31F05"/>
    <w:rsid w:val="00A31FD2"/>
    <w:rsid w:val="00A33744"/>
    <w:rsid w:val="00A3404D"/>
    <w:rsid w:val="00A341AB"/>
    <w:rsid w:val="00A34290"/>
    <w:rsid w:val="00A355F9"/>
    <w:rsid w:val="00A357D3"/>
    <w:rsid w:val="00A35AA9"/>
    <w:rsid w:val="00A35F3C"/>
    <w:rsid w:val="00A36CF6"/>
    <w:rsid w:val="00A37309"/>
    <w:rsid w:val="00A37329"/>
    <w:rsid w:val="00A37558"/>
    <w:rsid w:val="00A3786A"/>
    <w:rsid w:val="00A3794D"/>
    <w:rsid w:val="00A4008C"/>
    <w:rsid w:val="00A402A8"/>
    <w:rsid w:val="00A40685"/>
    <w:rsid w:val="00A40E2F"/>
    <w:rsid w:val="00A41819"/>
    <w:rsid w:val="00A41C9A"/>
    <w:rsid w:val="00A41D73"/>
    <w:rsid w:val="00A41E0E"/>
    <w:rsid w:val="00A42406"/>
    <w:rsid w:val="00A433E8"/>
    <w:rsid w:val="00A43A1D"/>
    <w:rsid w:val="00A43AB0"/>
    <w:rsid w:val="00A44854"/>
    <w:rsid w:val="00A44A45"/>
    <w:rsid w:val="00A45B5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657"/>
    <w:rsid w:val="00A5792A"/>
    <w:rsid w:val="00A6054E"/>
    <w:rsid w:val="00A60799"/>
    <w:rsid w:val="00A6080C"/>
    <w:rsid w:val="00A6170B"/>
    <w:rsid w:val="00A61991"/>
    <w:rsid w:val="00A61B7F"/>
    <w:rsid w:val="00A61B91"/>
    <w:rsid w:val="00A61C3A"/>
    <w:rsid w:val="00A61CD8"/>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93"/>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A5"/>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1D"/>
    <w:rsid w:val="00AB7EAA"/>
    <w:rsid w:val="00AC0432"/>
    <w:rsid w:val="00AC0770"/>
    <w:rsid w:val="00AC1683"/>
    <w:rsid w:val="00AC1D82"/>
    <w:rsid w:val="00AC277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AD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30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77"/>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EA9"/>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4F"/>
    <w:rsid w:val="00B54B19"/>
    <w:rsid w:val="00B55F64"/>
    <w:rsid w:val="00B562D4"/>
    <w:rsid w:val="00B56ECA"/>
    <w:rsid w:val="00B56F8D"/>
    <w:rsid w:val="00B57093"/>
    <w:rsid w:val="00B57B5D"/>
    <w:rsid w:val="00B57E98"/>
    <w:rsid w:val="00B57EA4"/>
    <w:rsid w:val="00B6032B"/>
    <w:rsid w:val="00B6044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5F5"/>
    <w:rsid w:val="00B9378C"/>
    <w:rsid w:val="00B93849"/>
    <w:rsid w:val="00B938BD"/>
    <w:rsid w:val="00B93CF3"/>
    <w:rsid w:val="00B9407F"/>
    <w:rsid w:val="00B944E9"/>
    <w:rsid w:val="00B945D7"/>
    <w:rsid w:val="00B94896"/>
    <w:rsid w:val="00B94CDD"/>
    <w:rsid w:val="00B94DA7"/>
    <w:rsid w:val="00B95163"/>
    <w:rsid w:val="00B954D0"/>
    <w:rsid w:val="00B96DD9"/>
    <w:rsid w:val="00B96EA6"/>
    <w:rsid w:val="00B976EF"/>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C8"/>
    <w:rsid w:val="00BC3BCB"/>
    <w:rsid w:val="00BC3CF1"/>
    <w:rsid w:val="00BC428A"/>
    <w:rsid w:val="00BC4C40"/>
    <w:rsid w:val="00BC5A29"/>
    <w:rsid w:val="00BC5AE3"/>
    <w:rsid w:val="00BC5BAD"/>
    <w:rsid w:val="00BC669F"/>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3F"/>
    <w:rsid w:val="00BE1EF0"/>
    <w:rsid w:val="00BE246C"/>
    <w:rsid w:val="00BE2657"/>
    <w:rsid w:val="00BE2FD2"/>
    <w:rsid w:val="00BE3638"/>
    <w:rsid w:val="00BE377A"/>
    <w:rsid w:val="00BE37AE"/>
    <w:rsid w:val="00BE3B14"/>
    <w:rsid w:val="00BE3C65"/>
    <w:rsid w:val="00BE4222"/>
    <w:rsid w:val="00BE472D"/>
    <w:rsid w:val="00BE4C03"/>
    <w:rsid w:val="00BE5480"/>
    <w:rsid w:val="00BE717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646"/>
    <w:rsid w:val="00C14662"/>
    <w:rsid w:val="00C148B2"/>
    <w:rsid w:val="00C14ABD"/>
    <w:rsid w:val="00C151E0"/>
    <w:rsid w:val="00C155A8"/>
    <w:rsid w:val="00C159FD"/>
    <w:rsid w:val="00C15B31"/>
    <w:rsid w:val="00C15F66"/>
    <w:rsid w:val="00C1604F"/>
    <w:rsid w:val="00C166D4"/>
    <w:rsid w:val="00C168E5"/>
    <w:rsid w:val="00C1696D"/>
    <w:rsid w:val="00C16C90"/>
    <w:rsid w:val="00C17771"/>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1E"/>
    <w:rsid w:val="00C30B0B"/>
    <w:rsid w:val="00C31320"/>
    <w:rsid w:val="00C316B4"/>
    <w:rsid w:val="00C332D4"/>
    <w:rsid w:val="00C33A27"/>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B6"/>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E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28"/>
    <w:rsid w:val="00C705B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9A"/>
    <w:rsid w:val="00C75A8F"/>
    <w:rsid w:val="00C76129"/>
    <w:rsid w:val="00C76C0C"/>
    <w:rsid w:val="00C76FFC"/>
    <w:rsid w:val="00C774E0"/>
    <w:rsid w:val="00C776BA"/>
    <w:rsid w:val="00C7791E"/>
    <w:rsid w:val="00C81716"/>
    <w:rsid w:val="00C832CB"/>
    <w:rsid w:val="00C84085"/>
    <w:rsid w:val="00C852DC"/>
    <w:rsid w:val="00C854A8"/>
    <w:rsid w:val="00C85677"/>
    <w:rsid w:val="00C856B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3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C2"/>
    <w:rsid w:val="00CA3CAB"/>
    <w:rsid w:val="00CA3FC0"/>
    <w:rsid w:val="00CA4FCF"/>
    <w:rsid w:val="00CA5685"/>
    <w:rsid w:val="00CA581E"/>
    <w:rsid w:val="00CA6A2E"/>
    <w:rsid w:val="00CA6B56"/>
    <w:rsid w:val="00CA7D3E"/>
    <w:rsid w:val="00CB0317"/>
    <w:rsid w:val="00CB0662"/>
    <w:rsid w:val="00CB0A82"/>
    <w:rsid w:val="00CB0F2F"/>
    <w:rsid w:val="00CB0F76"/>
    <w:rsid w:val="00CB1556"/>
    <w:rsid w:val="00CB2288"/>
    <w:rsid w:val="00CB2913"/>
    <w:rsid w:val="00CB3771"/>
    <w:rsid w:val="00CB3970"/>
    <w:rsid w:val="00CB42B9"/>
    <w:rsid w:val="00CB4550"/>
    <w:rsid w:val="00CB4783"/>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04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64E"/>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0E"/>
    <w:rsid w:val="00CF157E"/>
    <w:rsid w:val="00CF1631"/>
    <w:rsid w:val="00CF1834"/>
    <w:rsid w:val="00CF1A44"/>
    <w:rsid w:val="00CF1AAA"/>
    <w:rsid w:val="00CF1EC2"/>
    <w:rsid w:val="00CF2ACF"/>
    <w:rsid w:val="00CF345B"/>
    <w:rsid w:val="00CF475F"/>
    <w:rsid w:val="00CF5008"/>
    <w:rsid w:val="00CF5069"/>
    <w:rsid w:val="00CF5E34"/>
    <w:rsid w:val="00CF6707"/>
    <w:rsid w:val="00CF6AC0"/>
    <w:rsid w:val="00CF7101"/>
    <w:rsid w:val="00CF7327"/>
    <w:rsid w:val="00CF7385"/>
    <w:rsid w:val="00CF7539"/>
    <w:rsid w:val="00CF75C6"/>
    <w:rsid w:val="00CF7B77"/>
    <w:rsid w:val="00CF7DF5"/>
    <w:rsid w:val="00D001D2"/>
    <w:rsid w:val="00D02A80"/>
    <w:rsid w:val="00D0352D"/>
    <w:rsid w:val="00D038DC"/>
    <w:rsid w:val="00D03DE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09"/>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DFD"/>
    <w:rsid w:val="00D32E12"/>
    <w:rsid w:val="00D32FA0"/>
    <w:rsid w:val="00D33112"/>
    <w:rsid w:val="00D331CB"/>
    <w:rsid w:val="00D346D0"/>
    <w:rsid w:val="00D3497A"/>
    <w:rsid w:val="00D35F2F"/>
    <w:rsid w:val="00D35FC6"/>
    <w:rsid w:val="00D36BB8"/>
    <w:rsid w:val="00D377D4"/>
    <w:rsid w:val="00D401A1"/>
    <w:rsid w:val="00D40217"/>
    <w:rsid w:val="00D40385"/>
    <w:rsid w:val="00D404CE"/>
    <w:rsid w:val="00D406B9"/>
    <w:rsid w:val="00D40E8F"/>
    <w:rsid w:val="00D412BF"/>
    <w:rsid w:val="00D417C6"/>
    <w:rsid w:val="00D417D0"/>
    <w:rsid w:val="00D42B0C"/>
    <w:rsid w:val="00D42D6E"/>
    <w:rsid w:val="00D4304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CD6"/>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F5"/>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0"/>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971"/>
    <w:rsid w:val="00D96B12"/>
    <w:rsid w:val="00D96F59"/>
    <w:rsid w:val="00DA0175"/>
    <w:rsid w:val="00DA099C"/>
    <w:rsid w:val="00DA0F18"/>
    <w:rsid w:val="00DA2125"/>
    <w:rsid w:val="00DA21EC"/>
    <w:rsid w:val="00DA24DE"/>
    <w:rsid w:val="00DA270C"/>
    <w:rsid w:val="00DA281F"/>
    <w:rsid w:val="00DA3C5B"/>
    <w:rsid w:val="00DA3D23"/>
    <w:rsid w:val="00DA3D5D"/>
    <w:rsid w:val="00DA3EC5"/>
    <w:rsid w:val="00DA440A"/>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5D2"/>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7E8"/>
    <w:rsid w:val="00DD09F2"/>
    <w:rsid w:val="00DD0DEE"/>
    <w:rsid w:val="00DD1205"/>
    <w:rsid w:val="00DD1633"/>
    <w:rsid w:val="00DD17A0"/>
    <w:rsid w:val="00DD1B97"/>
    <w:rsid w:val="00DD2831"/>
    <w:rsid w:val="00DD2A6D"/>
    <w:rsid w:val="00DD2E17"/>
    <w:rsid w:val="00DD42DE"/>
    <w:rsid w:val="00DD4309"/>
    <w:rsid w:val="00DD4344"/>
    <w:rsid w:val="00DD4357"/>
    <w:rsid w:val="00DD43EC"/>
    <w:rsid w:val="00DD4DDD"/>
    <w:rsid w:val="00DD573B"/>
    <w:rsid w:val="00DD57E7"/>
    <w:rsid w:val="00DD5A1E"/>
    <w:rsid w:val="00DD5B8C"/>
    <w:rsid w:val="00DD5DFA"/>
    <w:rsid w:val="00DD5E91"/>
    <w:rsid w:val="00DD6CE2"/>
    <w:rsid w:val="00DD720D"/>
    <w:rsid w:val="00DE0229"/>
    <w:rsid w:val="00DE04E0"/>
    <w:rsid w:val="00DE086B"/>
    <w:rsid w:val="00DE12F1"/>
    <w:rsid w:val="00DE1A9D"/>
    <w:rsid w:val="00DE1CB1"/>
    <w:rsid w:val="00DE1EA4"/>
    <w:rsid w:val="00DE2073"/>
    <w:rsid w:val="00DE30AC"/>
    <w:rsid w:val="00DE38D1"/>
    <w:rsid w:val="00DE3ECA"/>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4E2D"/>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2C"/>
    <w:rsid w:val="00E4208F"/>
    <w:rsid w:val="00E42E94"/>
    <w:rsid w:val="00E43006"/>
    <w:rsid w:val="00E4312A"/>
    <w:rsid w:val="00E4331B"/>
    <w:rsid w:val="00E43551"/>
    <w:rsid w:val="00E437FA"/>
    <w:rsid w:val="00E45A2C"/>
    <w:rsid w:val="00E46A6B"/>
    <w:rsid w:val="00E46A9C"/>
    <w:rsid w:val="00E46E34"/>
    <w:rsid w:val="00E47DB1"/>
    <w:rsid w:val="00E50BDD"/>
    <w:rsid w:val="00E50FC2"/>
    <w:rsid w:val="00E510CF"/>
    <w:rsid w:val="00E513D7"/>
    <w:rsid w:val="00E519FE"/>
    <w:rsid w:val="00E5206C"/>
    <w:rsid w:val="00E52AAB"/>
    <w:rsid w:val="00E5448E"/>
    <w:rsid w:val="00E54E0D"/>
    <w:rsid w:val="00E55247"/>
    <w:rsid w:val="00E558E5"/>
    <w:rsid w:val="00E55B3C"/>
    <w:rsid w:val="00E55FC6"/>
    <w:rsid w:val="00E56795"/>
    <w:rsid w:val="00E57932"/>
    <w:rsid w:val="00E606C4"/>
    <w:rsid w:val="00E60811"/>
    <w:rsid w:val="00E60AB8"/>
    <w:rsid w:val="00E6103E"/>
    <w:rsid w:val="00E6185F"/>
    <w:rsid w:val="00E61D32"/>
    <w:rsid w:val="00E63C60"/>
    <w:rsid w:val="00E64050"/>
    <w:rsid w:val="00E6471F"/>
    <w:rsid w:val="00E64B7B"/>
    <w:rsid w:val="00E6514D"/>
    <w:rsid w:val="00E65161"/>
    <w:rsid w:val="00E652C9"/>
    <w:rsid w:val="00E6593B"/>
    <w:rsid w:val="00E65A1B"/>
    <w:rsid w:val="00E65D74"/>
    <w:rsid w:val="00E669E8"/>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84"/>
    <w:rsid w:val="00E7783E"/>
    <w:rsid w:val="00E778B8"/>
    <w:rsid w:val="00E801C7"/>
    <w:rsid w:val="00E80A3D"/>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728"/>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1A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AA"/>
    <w:rsid w:val="00EC11A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D7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62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40"/>
    <w:rsid w:val="00F43777"/>
    <w:rsid w:val="00F4482B"/>
    <w:rsid w:val="00F44F02"/>
    <w:rsid w:val="00F45039"/>
    <w:rsid w:val="00F4526B"/>
    <w:rsid w:val="00F45298"/>
    <w:rsid w:val="00F45CFE"/>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44"/>
    <w:rsid w:val="00F52CB7"/>
    <w:rsid w:val="00F53216"/>
    <w:rsid w:val="00F53A44"/>
    <w:rsid w:val="00F54E5E"/>
    <w:rsid w:val="00F551DB"/>
    <w:rsid w:val="00F55810"/>
    <w:rsid w:val="00F559BE"/>
    <w:rsid w:val="00F55C6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AD"/>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A59"/>
    <w:rsid w:val="00FA23F7"/>
    <w:rsid w:val="00FA27EB"/>
    <w:rsid w:val="00FA35B6"/>
    <w:rsid w:val="00FA3EBC"/>
    <w:rsid w:val="00FA423C"/>
    <w:rsid w:val="00FA44D0"/>
    <w:rsid w:val="00FA4590"/>
    <w:rsid w:val="00FA4E9D"/>
    <w:rsid w:val="00FA55A2"/>
    <w:rsid w:val="00FA672F"/>
    <w:rsid w:val="00FA775E"/>
    <w:rsid w:val="00FA7792"/>
    <w:rsid w:val="00FA7AA8"/>
    <w:rsid w:val="00FA7F1D"/>
    <w:rsid w:val="00FB011C"/>
    <w:rsid w:val="00FB09E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6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24"/>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83C"/>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3EB"/>
    <w:rsid w:val="010651D9"/>
    <w:rsid w:val="010B6DD1"/>
    <w:rsid w:val="011F6449"/>
    <w:rsid w:val="01236AFB"/>
    <w:rsid w:val="012F2DFA"/>
    <w:rsid w:val="01461D80"/>
    <w:rsid w:val="01470450"/>
    <w:rsid w:val="01553404"/>
    <w:rsid w:val="01587623"/>
    <w:rsid w:val="015D28CD"/>
    <w:rsid w:val="019F7441"/>
    <w:rsid w:val="01B37585"/>
    <w:rsid w:val="01D55165"/>
    <w:rsid w:val="01DF6BF8"/>
    <w:rsid w:val="01EC2C57"/>
    <w:rsid w:val="025F0711"/>
    <w:rsid w:val="026B2E25"/>
    <w:rsid w:val="026E6F9B"/>
    <w:rsid w:val="02824D4D"/>
    <w:rsid w:val="02AD10DB"/>
    <w:rsid w:val="02DC4B10"/>
    <w:rsid w:val="02DD76CE"/>
    <w:rsid w:val="02F36323"/>
    <w:rsid w:val="02F5619C"/>
    <w:rsid w:val="030D08A2"/>
    <w:rsid w:val="0326446A"/>
    <w:rsid w:val="032D5555"/>
    <w:rsid w:val="035A717B"/>
    <w:rsid w:val="036634D2"/>
    <w:rsid w:val="03776A9F"/>
    <w:rsid w:val="03DD35E4"/>
    <w:rsid w:val="04057868"/>
    <w:rsid w:val="04076900"/>
    <w:rsid w:val="041A5A3B"/>
    <w:rsid w:val="042311BA"/>
    <w:rsid w:val="042B157A"/>
    <w:rsid w:val="047C0ACB"/>
    <w:rsid w:val="047F0461"/>
    <w:rsid w:val="048F763B"/>
    <w:rsid w:val="049D021F"/>
    <w:rsid w:val="049F330E"/>
    <w:rsid w:val="04AA775C"/>
    <w:rsid w:val="04AF1889"/>
    <w:rsid w:val="04E521D9"/>
    <w:rsid w:val="04F66F48"/>
    <w:rsid w:val="050741EF"/>
    <w:rsid w:val="0518585E"/>
    <w:rsid w:val="052120A3"/>
    <w:rsid w:val="05251E14"/>
    <w:rsid w:val="05844EFE"/>
    <w:rsid w:val="05971A70"/>
    <w:rsid w:val="05A16594"/>
    <w:rsid w:val="05A7762D"/>
    <w:rsid w:val="05C370FE"/>
    <w:rsid w:val="060E5941"/>
    <w:rsid w:val="06110FAF"/>
    <w:rsid w:val="06493CA7"/>
    <w:rsid w:val="065A6178"/>
    <w:rsid w:val="066F1CF3"/>
    <w:rsid w:val="067F29CE"/>
    <w:rsid w:val="06930BB8"/>
    <w:rsid w:val="06B640BD"/>
    <w:rsid w:val="06E728E4"/>
    <w:rsid w:val="07245D42"/>
    <w:rsid w:val="07264C62"/>
    <w:rsid w:val="07404DBD"/>
    <w:rsid w:val="0779354C"/>
    <w:rsid w:val="07CF7608"/>
    <w:rsid w:val="07EC1847"/>
    <w:rsid w:val="08036279"/>
    <w:rsid w:val="08061376"/>
    <w:rsid w:val="08452D77"/>
    <w:rsid w:val="086401F8"/>
    <w:rsid w:val="086F4E97"/>
    <w:rsid w:val="0873507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40C03"/>
    <w:rsid w:val="09A92330"/>
    <w:rsid w:val="09B06B87"/>
    <w:rsid w:val="09B34B71"/>
    <w:rsid w:val="09C004A9"/>
    <w:rsid w:val="09C13146"/>
    <w:rsid w:val="09E04166"/>
    <w:rsid w:val="0A1C0718"/>
    <w:rsid w:val="0A3E7710"/>
    <w:rsid w:val="0A5B7E63"/>
    <w:rsid w:val="0AA374A5"/>
    <w:rsid w:val="0AAB7649"/>
    <w:rsid w:val="0ABC5606"/>
    <w:rsid w:val="0AEA1D91"/>
    <w:rsid w:val="0B30404E"/>
    <w:rsid w:val="0B4C6C14"/>
    <w:rsid w:val="0B547599"/>
    <w:rsid w:val="0B631A88"/>
    <w:rsid w:val="0B683D45"/>
    <w:rsid w:val="0B7F3F11"/>
    <w:rsid w:val="0B824F15"/>
    <w:rsid w:val="0B884417"/>
    <w:rsid w:val="0BF6188C"/>
    <w:rsid w:val="0BF73C91"/>
    <w:rsid w:val="0C0E263B"/>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870FF"/>
    <w:rsid w:val="0D787130"/>
    <w:rsid w:val="0D827401"/>
    <w:rsid w:val="0D84094E"/>
    <w:rsid w:val="0D8A00E9"/>
    <w:rsid w:val="0D8D589E"/>
    <w:rsid w:val="0DA01C73"/>
    <w:rsid w:val="0DD63300"/>
    <w:rsid w:val="0DF50604"/>
    <w:rsid w:val="0DF702FE"/>
    <w:rsid w:val="0E060E51"/>
    <w:rsid w:val="0E107089"/>
    <w:rsid w:val="0E2345EF"/>
    <w:rsid w:val="0E5604B2"/>
    <w:rsid w:val="0E6D5D79"/>
    <w:rsid w:val="0E9D0089"/>
    <w:rsid w:val="0EB803EE"/>
    <w:rsid w:val="0ED64FCB"/>
    <w:rsid w:val="0EE0355D"/>
    <w:rsid w:val="0EF94D4B"/>
    <w:rsid w:val="0F4958DC"/>
    <w:rsid w:val="0F515DF7"/>
    <w:rsid w:val="0F596BA8"/>
    <w:rsid w:val="0F6248D2"/>
    <w:rsid w:val="0F693536"/>
    <w:rsid w:val="0F796537"/>
    <w:rsid w:val="0F7B0511"/>
    <w:rsid w:val="0F7B76D9"/>
    <w:rsid w:val="0F816ACD"/>
    <w:rsid w:val="0F872B93"/>
    <w:rsid w:val="0F9832DB"/>
    <w:rsid w:val="0FBF3FD2"/>
    <w:rsid w:val="0FBF7FF3"/>
    <w:rsid w:val="10263F10"/>
    <w:rsid w:val="10646583"/>
    <w:rsid w:val="107D4B15"/>
    <w:rsid w:val="108A3C80"/>
    <w:rsid w:val="10C26171"/>
    <w:rsid w:val="10CD328B"/>
    <w:rsid w:val="10F33360"/>
    <w:rsid w:val="10FB0679"/>
    <w:rsid w:val="10FC16EA"/>
    <w:rsid w:val="110F1D40"/>
    <w:rsid w:val="11266F33"/>
    <w:rsid w:val="114415F3"/>
    <w:rsid w:val="116D12E2"/>
    <w:rsid w:val="118963A1"/>
    <w:rsid w:val="11937133"/>
    <w:rsid w:val="11C12B01"/>
    <w:rsid w:val="11C6522A"/>
    <w:rsid w:val="11E104CC"/>
    <w:rsid w:val="11E20309"/>
    <w:rsid w:val="120E372E"/>
    <w:rsid w:val="121E0096"/>
    <w:rsid w:val="12255233"/>
    <w:rsid w:val="12372845"/>
    <w:rsid w:val="124B5F51"/>
    <w:rsid w:val="12530213"/>
    <w:rsid w:val="127723A9"/>
    <w:rsid w:val="12862074"/>
    <w:rsid w:val="12883966"/>
    <w:rsid w:val="128D5129"/>
    <w:rsid w:val="129E45B4"/>
    <w:rsid w:val="12D81596"/>
    <w:rsid w:val="13072A44"/>
    <w:rsid w:val="131A2D36"/>
    <w:rsid w:val="135F4BE2"/>
    <w:rsid w:val="13601731"/>
    <w:rsid w:val="137633A8"/>
    <w:rsid w:val="138362CF"/>
    <w:rsid w:val="139B1A0A"/>
    <w:rsid w:val="139D25C7"/>
    <w:rsid w:val="13BB610A"/>
    <w:rsid w:val="13BF3CE4"/>
    <w:rsid w:val="13E0137B"/>
    <w:rsid w:val="141008D8"/>
    <w:rsid w:val="14125FE6"/>
    <w:rsid w:val="14635079"/>
    <w:rsid w:val="146D271E"/>
    <w:rsid w:val="14856738"/>
    <w:rsid w:val="14982588"/>
    <w:rsid w:val="149A5AD9"/>
    <w:rsid w:val="14A7619D"/>
    <w:rsid w:val="150536C3"/>
    <w:rsid w:val="150C1963"/>
    <w:rsid w:val="151447A0"/>
    <w:rsid w:val="15473638"/>
    <w:rsid w:val="154A6454"/>
    <w:rsid w:val="15762120"/>
    <w:rsid w:val="15EB622C"/>
    <w:rsid w:val="15FA43F3"/>
    <w:rsid w:val="16483E1A"/>
    <w:rsid w:val="165F3067"/>
    <w:rsid w:val="168E7020"/>
    <w:rsid w:val="169311EC"/>
    <w:rsid w:val="16A05B2E"/>
    <w:rsid w:val="16A8729C"/>
    <w:rsid w:val="16B33777"/>
    <w:rsid w:val="16BC70A7"/>
    <w:rsid w:val="16C6339E"/>
    <w:rsid w:val="16D7452C"/>
    <w:rsid w:val="16F45869"/>
    <w:rsid w:val="16F72CB9"/>
    <w:rsid w:val="172F2D79"/>
    <w:rsid w:val="1741548E"/>
    <w:rsid w:val="17557BEF"/>
    <w:rsid w:val="177B2F13"/>
    <w:rsid w:val="17CF6390"/>
    <w:rsid w:val="17D349C1"/>
    <w:rsid w:val="182D42C1"/>
    <w:rsid w:val="1830729E"/>
    <w:rsid w:val="18416A46"/>
    <w:rsid w:val="184A3267"/>
    <w:rsid w:val="1870062C"/>
    <w:rsid w:val="18817102"/>
    <w:rsid w:val="18830A15"/>
    <w:rsid w:val="18852B28"/>
    <w:rsid w:val="188B5321"/>
    <w:rsid w:val="194D1F1B"/>
    <w:rsid w:val="196566D8"/>
    <w:rsid w:val="19932372"/>
    <w:rsid w:val="19A20DD5"/>
    <w:rsid w:val="19AE03F1"/>
    <w:rsid w:val="19CE069F"/>
    <w:rsid w:val="19DA4391"/>
    <w:rsid w:val="1A071A03"/>
    <w:rsid w:val="1A1F16AE"/>
    <w:rsid w:val="1A3B5C77"/>
    <w:rsid w:val="1A505ABA"/>
    <w:rsid w:val="1A7A42D7"/>
    <w:rsid w:val="1A9143F5"/>
    <w:rsid w:val="1A984BAD"/>
    <w:rsid w:val="1A9A0149"/>
    <w:rsid w:val="1AB8220E"/>
    <w:rsid w:val="1AE4166C"/>
    <w:rsid w:val="1AF06CFB"/>
    <w:rsid w:val="1AF11B8D"/>
    <w:rsid w:val="1B11359C"/>
    <w:rsid w:val="1B2A271F"/>
    <w:rsid w:val="1B4B70D9"/>
    <w:rsid w:val="1B530544"/>
    <w:rsid w:val="1B713184"/>
    <w:rsid w:val="1B923CE2"/>
    <w:rsid w:val="1BA209CF"/>
    <w:rsid w:val="1BB4777D"/>
    <w:rsid w:val="1BD75AB8"/>
    <w:rsid w:val="1BFA27ED"/>
    <w:rsid w:val="1C0459C2"/>
    <w:rsid w:val="1C1B3B4A"/>
    <w:rsid w:val="1C4346C6"/>
    <w:rsid w:val="1C461390"/>
    <w:rsid w:val="1C88086E"/>
    <w:rsid w:val="1C8E5E18"/>
    <w:rsid w:val="1CB35E72"/>
    <w:rsid w:val="1CC37203"/>
    <w:rsid w:val="1CCA6392"/>
    <w:rsid w:val="1D266CE1"/>
    <w:rsid w:val="1D2E61D3"/>
    <w:rsid w:val="1D3963AF"/>
    <w:rsid w:val="1D685755"/>
    <w:rsid w:val="1D6A673C"/>
    <w:rsid w:val="1D9247AE"/>
    <w:rsid w:val="1DB567EC"/>
    <w:rsid w:val="1DDB074E"/>
    <w:rsid w:val="1DDF26C0"/>
    <w:rsid w:val="1DE85152"/>
    <w:rsid w:val="1DF51A98"/>
    <w:rsid w:val="1E3D060F"/>
    <w:rsid w:val="1E3F7D2E"/>
    <w:rsid w:val="1E4134E4"/>
    <w:rsid w:val="1E5062B3"/>
    <w:rsid w:val="1E523514"/>
    <w:rsid w:val="1E613B35"/>
    <w:rsid w:val="1E696B3C"/>
    <w:rsid w:val="1E714A66"/>
    <w:rsid w:val="1E802593"/>
    <w:rsid w:val="1E8B6156"/>
    <w:rsid w:val="1EA03D0F"/>
    <w:rsid w:val="1EA703CC"/>
    <w:rsid w:val="1EB7330C"/>
    <w:rsid w:val="1ECA63D7"/>
    <w:rsid w:val="1ECC50A5"/>
    <w:rsid w:val="1EDE4C32"/>
    <w:rsid w:val="1F0A0FF3"/>
    <w:rsid w:val="1F394E10"/>
    <w:rsid w:val="1F3A72FF"/>
    <w:rsid w:val="1F5771FF"/>
    <w:rsid w:val="1F8C612C"/>
    <w:rsid w:val="1FD56262"/>
    <w:rsid w:val="1FE868A9"/>
    <w:rsid w:val="1FF7511C"/>
    <w:rsid w:val="20034907"/>
    <w:rsid w:val="20173E4B"/>
    <w:rsid w:val="204E48BC"/>
    <w:rsid w:val="206A35BB"/>
    <w:rsid w:val="208921B3"/>
    <w:rsid w:val="20973DEB"/>
    <w:rsid w:val="20B26522"/>
    <w:rsid w:val="20B44310"/>
    <w:rsid w:val="20B850A8"/>
    <w:rsid w:val="211116EB"/>
    <w:rsid w:val="21250680"/>
    <w:rsid w:val="214C15A2"/>
    <w:rsid w:val="216133FC"/>
    <w:rsid w:val="21A44B0C"/>
    <w:rsid w:val="21A732BA"/>
    <w:rsid w:val="21BF1561"/>
    <w:rsid w:val="21D306EF"/>
    <w:rsid w:val="21D56769"/>
    <w:rsid w:val="21E52EF3"/>
    <w:rsid w:val="21FB5D7B"/>
    <w:rsid w:val="22015E94"/>
    <w:rsid w:val="220B1C3D"/>
    <w:rsid w:val="221D1D20"/>
    <w:rsid w:val="221E3E6C"/>
    <w:rsid w:val="22334A87"/>
    <w:rsid w:val="224E1232"/>
    <w:rsid w:val="22501E9A"/>
    <w:rsid w:val="2258407E"/>
    <w:rsid w:val="226002D5"/>
    <w:rsid w:val="22661256"/>
    <w:rsid w:val="2277254C"/>
    <w:rsid w:val="22B34630"/>
    <w:rsid w:val="22BE6801"/>
    <w:rsid w:val="22F559BC"/>
    <w:rsid w:val="233500BF"/>
    <w:rsid w:val="23377FF7"/>
    <w:rsid w:val="23557B00"/>
    <w:rsid w:val="236B425F"/>
    <w:rsid w:val="23836192"/>
    <w:rsid w:val="23901F29"/>
    <w:rsid w:val="239C0061"/>
    <w:rsid w:val="23A36271"/>
    <w:rsid w:val="23B908A4"/>
    <w:rsid w:val="23C46732"/>
    <w:rsid w:val="23CF2AF9"/>
    <w:rsid w:val="23E95BEF"/>
    <w:rsid w:val="23FD0064"/>
    <w:rsid w:val="245375B0"/>
    <w:rsid w:val="246175D6"/>
    <w:rsid w:val="24642C0A"/>
    <w:rsid w:val="24831C3C"/>
    <w:rsid w:val="24B22173"/>
    <w:rsid w:val="24B95AD9"/>
    <w:rsid w:val="24BE24DA"/>
    <w:rsid w:val="24CF5825"/>
    <w:rsid w:val="24CF67B2"/>
    <w:rsid w:val="24D663E6"/>
    <w:rsid w:val="24D67487"/>
    <w:rsid w:val="24D77F2B"/>
    <w:rsid w:val="2539077A"/>
    <w:rsid w:val="25714580"/>
    <w:rsid w:val="258B00E2"/>
    <w:rsid w:val="25985A60"/>
    <w:rsid w:val="25A917A6"/>
    <w:rsid w:val="25B072C1"/>
    <w:rsid w:val="25BE27CC"/>
    <w:rsid w:val="25F74A5C"/>
    <w:rsid w:val="2628662C"/>
    <w:rsid w:val="262D45DE"/>
    <w:rsid w:val="26871DC8"/>
    <w:rsid w:val="26A53EF9"/>
    <w:rsid w:val="26A94201"/>
    <w:rsid w:val="26AC274F"/>
    <w:rsid w:val="26F776F9"/>
    <w:rsid w:val="27044A29"/>
    <w:rsid w:val="271D34C8"/>
    <w:rsid w:val="27235667"/>
    <w:rsid w:val="27591236"/>
    <w:rsid w:val="275E19A6"/>
    <w:rsid w:val="276142BF"/>
    <w:rsid w:val="27783712"/>
    <w:rsid w:val="27907362"/>
    <w:rsid w:val="27BF40EE"/>
    <w:rsid w:val="27E40FE2"/>
    <w:rsid w:val="281E42DA"/>
    <w:rsid w:val="28333E1D"/>
    <w:rsid w:val="284269A9"/>
    <w:rsid w:val="28454BD6"/>
    <w:rsid w:val="28455253"/>
    <w:rsid w:val="28551971"/>
    <w:rsid w:val="285B1C53"/>
    <w:rsid w:val="289F7086"/>
    <w:rsid w:val="28AC5FA3"/>
    <w:rsid w:val="28C32028"/>
    <w:rsid w:val="28CC490F"/>
    <w:rsid w:val="28DE40AA"/>
    <w:rsid w:val="291A1CCA"/>
    <w:rsid w:val="29345E77"/>
    <w:rsid w:val="294C65AD"/>
    <w:rsid w:val="29806583"/>
    <w:rsid w:val="298B3C4C"/>
    <w:rsid w:val="29E54440"/>
    <w:rsid w:val="29E95751"/>
    <w:rsid w:val="29EF6283"/>
    <w:rsid w:val="29F26D24"/>
    <w:rsid w:val="2A15033F"/>
    <w:rsid w:val="2A1662C1"/>
    <w:rsid w:val="2A1C7367"/>
    <w:rsid w:val="2A2815FA"/>
    <w:rsid w:val="2A2E58E4"/>
    <w:rsid w:val="2A6D6092"/>
    <w:rsid w:val="2A7D76B4"/>
    <w:rsid w:val="2B1563DB"/>
    <w:rsid w:val="2B1A6A27"/>
    <w:rsid w:val="2B437463"/>
    <w:rsid w:val="2B460677"/>
    <w:rsid w:val="2B7807EE"/>
    <w:rsid w:val="2B9176D3"/>
    <w:rsid w:val="2BA50BF7"/>
    <w:rsid w:val="2BBF00EC"/>
    <w:rsid w:val="2BC37CFD"/>
    <w:rsid w:val="2BD5237F"/>
    <w:rsid w:val="2BE536CE"/>
    <w:rsid w:val="2BE758D9"/>
    <w:rsid w:val="2C09049E"/>
    <w:rsid w:val="2C0A653C"/>
    <w:rsid w:val="2C191F85"/>
    <w:rsid w:val="2C3441E9"/>
    <w:rsid w:val="2C5B7E2D"/>
    <w:rsid w:val="2C910276"/>
    <w:rsid w:val="2C9F6F67"/>
    <w:rsid w:val="2CE82D6F"/>
    <w:rsid w:val="2D343236"/>
    <w:rsid w:val="2DD15014"/>
    <w:rsid w:val="2DF6530A"/>
    <w:rsid w:val="2DF72DE4"/>
    <w:rsid w:val="2E0220AF"/>
    <w:rsid w:val="2E4B082A"/>
    <w:rsid w:val="2E5D4E86"/>
    <w:rsid w:val="2E5D790B"/>
    <w:rsid w:val="2E612AAC"/>
    <w:rsid w:val="2E9A3C18"/>
    <w:rsid w:val="2EBB0FEE"/>
    <w:rsid w:val="2EC63002"/>
    <w:rsid w:val="2F0A6B38"/>
    <w:rsid w:val="2F1A178D"/>
    <w:rsid w:val="2F946CCB"/>
    <w:rsid w:val="2FCF214A"/>
    <w:rsid w:val="2FD25781"/>
    <w:rsid w:val="2FDC745C"/>
    <w:rsid w:val="2FEF3361"/>
    <w:rsid w:val="2FFD7934"/>
    <w:rsid w:val="301607F4"/>
    <w:rsid w:val="30733ACD"/>
    <w:rsid w:val="308C3862"/>
    <w:rsid w:val="309379D8"/>
    <w:rsid w:val="30A270F7"/>
    <w:rsid w:val="30B93BBC"/>
    <w:rsid w:val="30DF1478"/>
    <w:rsid w:val="30EC586F"/>
    <w:rsid w:val="30EF2F05"/>
    <w:rsid w:val="31362DF6"/>
    <w:rsid w:val="315E2BBB"/>
    <w:rsid w:val="31880C30"/>
    <w:rsid w:val="319C6071"/>
    <w:rsid w:val="31AC537E"/>
    <w:rsid w:val="31E3679B"/>
    <w:rsid w:val="31E732FD"/>
    <w:rsid w:val="31FC6035"/>
    <w:rsid w:val="32230597"/>
    <w:rsid w:val="324C0B3F"/>
    <w:rsid w:val="32517576"/>
    <w:rsid w:val="32872E51"/>
    <w:rsid w:val="32BE5C2C"/>
    <w:rsid w:val="32FB6478"/>
    <w:rsid w:val="3309537C"/>
    <w:rsid w:val="33263B3F"/>
    <w:rsid w:val="336963EB"/>
    <w:rsid w:val="337D4DA6"/>
    <w:rsid w:val="33816EEB"/>
    <w:rsid w:val="33A7460A"/>
    <w:rsid w:val="33EB55CD"/>
    <w:rsid w:val="33EC4C02"/>
    <w:rsid w:val="340D2360"/>
    <w:rsid w:val="3410665D"/>
    <w:rsid w:val="34211214"/>
    <w:rsid w:val="342E63AB"/>
    <w:rsid w:val="34367F4E"/>
    <w:rsid w:val="34420190"/>
    <w:rsid w:val="34950E68"/>
    <w:rsid w:val="34986E94"/>
    <w:rsid w:val="34AF62C9"/>
    <w:rsid w:val="34C671FE"/>
    <w:rsid w:val="34CB4388"/>
    <w:rsid w:val="34FA6E12"/>
    <w:rsid w:val="354D7158"/>
    <w:rsid w:val="357A7939"/>
    <w:rsid w:val="358D5588"/>
    <w:rsid w:val="35BC570A"/>
    <w:rsid w:val="363A3B40"/>
    <w:rsid w:val="363D2B1E"/>
    <w:rsid w:val="363E204F"/>
    <w:rsid w:val="365302AE"/>
    <w:rsid w:val="36607A0A"/>
    <w:rsid w:val="366E227C"/>
    <w:rsid w:val="366F2E0D"/>
    <w:rsid w:val="367B6A5C"/>
    <w:rsid w:val="368C4B94"/>
    <w:rsid w:val="36A74ADA"/>
    <w:rsid w:val="36AD60D5"/>
    <w:rsid w:val="36B224F9"/>
    <w:rsid w:val="36E777FD"/>
    <w:rsid w:val="36EC0CC9"/>
    <w:rsid w:val="373F410B"/>
    <w:rsid w:val="374875BA"/>
    <w:rsid w:val="37517291"/>
    <w:rsid w:val="379B0400"/>
    <w:rsid w:val="37A44758"/>
    <w:rsid w:val="37EE7094"/>
    <w:rsid w:val="38296C89"/>
    <w:rsid w:val="383002EB"/>
    <w:rsid w:val="38586797"/>
    <w:rsid w:val="386E7680"/>
    <w:rsid w:val="38B60DFD"/>
    <w:rsid w:val="38BC0149"/>
    <w:rsid w:val="38CD7118"/>
    <w:rsid w:val="38D5710E"/>
    <w:rsid w:val="38D87D1C"/>
    <w:rsid w:val="39636459"/>
    <w:rsid w:val="396B7F6C"/>
    <w:rsid w:val="39B417A9"/>
    <w:rsid w:val="39FC5695"/>
    <w:rsid w:val="3A006D8E"/>
    <w:rsid w:val="3A3651E5"/>
    <w:rsid w:val="3A4E6AE9"/>
    <w:rsid w:val="3A5079B8"/>
    <w:rsid w:val="3A744481"/>
    <w:rsid w:val="3A8C7BEF"/>
    <w:rsid w:val="3A906246"/>
    <w:rsid w:val="3ACA3C4C"/>
    <w:rsid w:val="3B1B2CF9"/>
    <w:rsid w:val="3B2349B7"/>
    <w:rsid w:val="3B616CFF"/>
    <w:rsid w:val="3B6259F6"/>
    <w:rsid w:val="3B871C66"/>
    <w:rsid w:val="3B93261D"/>
    <w:rsid w:val="3B976654"/>
    <w:rsid w:val="3B9C1E3B"/>
    <w:rsid w:val="3BB05953"/>
    <w:rsid w:val="3BC01EFC"/>
    <w:rsid w:val="3BCA786A"/>
    <w:rsid w:val="3BD31E2F"/>
    <w:rsid w:val="3BE56CFA"/>
    <w:rsid w:val="3BEE6D61"/>
    <w:rsid w:val="3BF15831"/>
    <w:rsid w:val="3C0655DD"/>
    <w:rsid w:val="3C105946"/>
    <w:rsid w:val="3C471448"/>
    <w:rsid w:val="3C5766D5"/>
    <w:rsid w:val="3C5F759A"/>
    <w:rsid w:val="3C653D83"/>
    <w:rsid w:val="3C6B3C08"/>
    <w:rsid w:val="3C6C525A"/>
    <w:rsid w:val="3CCE23CB"/>
    <w:rsid w:val="3CD17D17"/>
    <w:rsid w:val="3D3C7F39"/>
    <w:rsid w:val="3D440F09"/>
    <w:rsid w:val="3D4504A0"/>
    <w:rsid w:val="3D494D55"/>
    <w:rsid w:val="3D8734BB"/>
    <w:rsid w:val="3D8923ED"/>
    <w:rsid w:val="3D9A11D4"/>
    <w:rsid w:val="3DA16D89"/>
    <w:rsid w:val="3DA364BE"/>
    <w:rsid w:val="3DE041CB"/>
    <w:rsid w:val="3E0D48F6"/>
    <w:rsid w:val="3E1868B4"/>
    <w:rsid w:val="3E377251"/>
    <w:rsid w:val="3E42664B"/>
    <w:rsid w:val="3E5A7334"/>
    <w:rsid w:val="3E6F56B5"/>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D6809"/>
    <w:rsid w:val="406E1CAE"/>
    <w:rsid w:val="40A0133A"/>
    <w:rsid w:val="40B63606"/>
    <w:rsid w:val="40C31A53"/>
    <w:rsid w:val="40C80CD5"/>
    <w:rsid w:val="40FF545D"/>
    <w:rsid w:val="410067C8"/>
    <w:rsid w:val="41065B9E"/>
    <w:rsid w:val="418C0E04"/>
    <w:rsid w:val="418F0D2A"/>
    <w:rsid w:val="41C41F40"/>
    <w:rsid w:val="41D01505"/>
    <w:rsid w:val="41DB6C24"/>
    <w:rsid w:val="42474939"/>
    <w:rsid w:val="42493775"/>
    <w:rsid w:val="424C3C57"/>
    <w:rsid w:val="42613FF3"/>
    <w:rsid w:val="42660D96"/>
    <w:rsid w:val="428667D2"/>
    <w:rsid w:val="429E6541"/>
    <w:rsid w:val="42CD1CE0"/>
    <w:rsid w:val="42E1381E"/>
    <w:rsid w:val="42ED6459"/>
    <w:rsid w:val="42FE58DD"/>
    <w:rsid w:val="43174B3D"/>
    <w:rsid w:val="432634A2"/>
    <w:rsid w:val="434B790E"/>
    <w:rsid w:val="4360274F"/>
    <w:rsid w:val="437D2908"/>
    <w:rsid w:val="438C1010"/>
    <w:rsid w:val="43977AB6"/>
    <w:rsid w:val="43A3342B"/>
    <w:rsid w:val="43C77C27"/>
    <w:rsid w:val="43CC0D1D"/>
    <w:rsid w:val="43DE09EE"/>
    <w:rsid w:val="44002FAD"/>
    <w:rsid w:val="444D1317"/>
    <w:rsid w:val="449101DD"/>
    <w:rsid w:val="44AB79B3"/>
    <w:rsid w:val="44B230AE"/>
    <w:rsid w:val="44DE1391"/>
    <w:rsid w:val="44E24D0F"/>
    <w:rsid w:val="451B225C"/>
    <w:rsid w:val="452410C9"/>
    <w:rsid w:val="45317DFB"/>
    <w:rsid w:val="455C0021"/>
    <w:rsid w:val="456D3CE4"/>
    <w:rsid w:val="4579042C"/>
    <w:rsid w:val="457F0571"/>
    <w:rsid w:val="45851176"/>
    <w:rsid w:val="458F4DE8"/>
    <w:rsid w:val="45C63B94"/>
    <w:rsid w:val="45F66549"/>
    <w:rsid w:val="460E7DA5"/>
    <w:rsid w:val="46422483"/>
    <w:rsid w:val="4659254A"/>
    <w:rsid w:val="465B0637"/>
    <w:rsid w:val="465E3F0D"/>
    <w:rsid w:val="466A16E6"/>
    <w:rsid w:val="46893F2B"/>
    <w:rsid w:val="46C4686E"/>
    <w:rsid w:val="4714156F"/>
    <w:rsid w:val="477B778F"/>
    <w:rsid w:val="478203EC"/>
    <w:rsid w:val="47B025FA"/>
    <w:rsid w:val="47E754BB"/>
    <w:rsid w:val="4809698F"/>
    <w:rsid w:val="4811697D"/>
    <w:rsid w:val="4816666E"/>
    <w:rsid w:val="48300562"/>
    <w:rsid w:val="48371BE1"/>
    <w:rsid w:val="487A3E25"/>
    <w:rsid w:val="488B5503"/>
    <w:rsid w:val="48937E21"/>
    <w:rsid w:val="489A0361"/>
    <w:rsid w:val="48A05298"/>
    <w:rsid w:val="48AD0CE6"/>
    <w:rsid w:val="48B94FF3"/>
    <w:rsid w:val="48BD7FC1"/>
    <w:rsid w:val="48E37AAB"/>
    <w:rsid w:val="48FD4B4C"/>
    <w:rsid w:val="490A68E0"/>
    <w:rsid w:val="491055FE"/>
    <w:rsid w:val="491835FD"/>
    <w:rsid w:val="495F5B3E"/>
    <w:rsid w:val="496F77D7"/>
    <w:rsid w:val="497654FD"/>
    <w:rsid w:val="49AF4E14"/>
    <w:rsid w:val="49B64211"/>
    <w:rsid w:val="49F34FF2"/>
    <w:rsid w:val="49F6167F"/>
    <w:rsid w:val="4A017ABA"/>
    <w:rsid w:val="4A064FA0"/>
    <w:rsid w:val="4A16615C"/>
    <w:rsid w:val="4A4424D7"/>
    <w:rsid w:val="4A7B0548"/>
    <w:rsid w:val="4AB82D0F"/>
    <w:rsid w:val="4AEB7664"/>
    <w:rsid w:val="4AFD7C19"/>
    <w:rsid w:val="4B0567D1"/>
    <w:rsid w:val="4B236AAE"/>
    <w:rsid w:val="4B4C408E"/>
    <w:rsid w:val="4B516700"/>
    <w:rsid w:val="4B707271"/>
    <w:rsid w:val="4B893ACB"/>
    <w:rsid w:val="4B9739F7"/>
    <w:rsid w:val="4BEE2503"/>
    <w:rsid w:val="4C245A30"/>
    <w:rsid w:val="4C8A2ADB"/>
    <w:rsid w:val="4C905CCA"/>
    <w:rsid w:val="4CB6685F"/>
    <w:rsid w:val="4CC367FE"/>
    <w:rsid w:val="4D077F3C"/>
    <w:rsid w:val="4D123355"/>
    <w:rsid w:val="4D2A3B31"/>
    <w:rsid w:val="4D312C52"/>
    <w:rsid w:val="4D426A4E"/>
    <w:rsid w:val="4D905305"/>
    <w:rsid w:val="4D964A72"/>
    <w:rsid w:val="4D9C1254"/>
    <w:rsid w:val="4DB37D6B"/>
    <w:rsid w:val="4DDA76B6"/>
    <w:rsid w:val="4DDE62FD"/>
    <w:rsid w:val="4E21617A"/>
    <w:rsid w:val="4E405D42"/>
    <w:rsid w:val="4E4C65A4"/>
    <w:rsid w:val="4E793892"/>
    <w:rsid w:val="4E796D74"/>
    <w:rsid w:val="4E800872"/>
    <w:rsid w:val="4E8054F0"/>
    <w:rsid w:val="4EC14AE1"/>
    <w:rsid w:val="4EC569ED"/>
    <w:rsid w:val="4ED05E94"/>
    <w:rsid w:val="4ED50EA1"/>
    <w:rsid w:val="4EEC050C"/>
    <w:rsid w:val="4F104EC3"/>
    <w:rsid w:val="4F47354A"/>
    <w:rsid w:val="4F4C4876"/>
    <w:rsid w:val="4F51739D"/>
    <w:rsid w:val="4F642A16"/>
    <w:rsid w:val="4F911C54"/>
    <w:rsid w:val="4FBE7692"/>
    <w:rsid w:val="4FC1669B"/>
    <w:rsid w:val="4FE625E0"/>
    <w:rsid w:val="4FFE39E6"/>
    <w:rsid w:val="5021480F"/>
    <w:rsid w:val="50631654"/>
    <w:rsid w:val="50962ECB"/>
    <w:rsid w:val="50A42E38"/>
    <w:rsid w:val="50A4577F"/>
    <w:rsid w:val="50B73D1F"/>
    <w:rsid w:val="50BD5BC9"/>
    <w:rsid w:val="50C11EEE"/>
    <w:rsid w:val="50D11BCF"/>
    <w:rsid w:val="50E97CFC"/>
    <w:rsid w:val="50FA4028"/>
    <w:rsid w:val="51050284"/>
    <w:rsid w:val="510D65B7"/>
    <w:rsid w:val="511157AB"/>
    <w:rsid w:val="5111628F"/>
    <w:rsid w:val="51305287"/>
    <w:rsid w:val="51340732"/>
    <w:rsid w:val="5142540C"/>
    <w:rsid w:val="51461106"/>
    <w:rsid w:val="518832C8"/>
    <w:rsid w:val="518E5E30"/>
    <w:rsid w:val="519B00B4"/>
    <w:rsid w:val="519D3C50"/>
    <w:rsid w:val="51A0432A"/>
    <w:rsid w:val="51A86090"/>
    <w:rsid w:val="51AA202E"/>
    <w:rsid w:val="51B7396D"/>
    <w:rsid w:val="520F39C4"/>
    <w:rsid w:val="522E4CC3"/>
    <w:rsid w:val="522E6FC6"/>
    <w:rsid w:val="5244713B"/>
    <w:rsid w:val="52615633"/>
    <w:rsid w:val="526F4DE4"/>
    <w:rsid w:val="52977FD4"/>
    <w:rsid w:val="52A25790"/>
    <w:rsid w:val="52A96B6F"/>
    <w:rsid w:val="52AC0952"/>
    <w:rsid w:val="52B45975"/>
    <w:rsid w:val="52D94AA4"/>
    <w:rsid w:val="52EA3A62"/>
    <w:rsid w:val="52ED1325"/>
    <w:rsid w:val="52F50BB8"/>
    <w:rsid w:val="52FB2494"/>
    <w:rsid w:val="53097272"/>
    <w:rsid w:val="53544462"/>
    <w:rsid w:val="535B5B95"/>
    <w:rsid w:val="537F4F5B"/>
    <w:rsid w:val="538B0C1D"/>
    <w:rsid w:val="5397158E"/>
    <w:rsid w:val="54013861"/>
    <w:rsid w:val="54053B6C"/>
    <w:rsid w:val="54212AF2"/>
    <w:rsid w:val="54234E18"/>
    <w:rsid w:val="542E14EF"/>
    <w:rsid w:val="54487265"/>
    <w:rsid w:val="544D6070"/>
    <w:rsid w:val="54605E1E"/>
    <w:rsid w:val="54B3506A"/>
    <w:rsid w:val="54CA0D16"/>
    <w:rsid w:val="54DD4057"/>
    <w:rsid w:val="54E7490F"/>
    <w:rsid w:val="550764A4"/>
    <w:rsid w:val="550B2BF6"/>
    <w:rsid w:val="55214EB5"/>
    <w:rsid w:val="55364EFD"/>
    <w:rsid w:val="55385010"/>
    <w:rsid w:val="555D4828"/>
    <w:rsid w:val="55765B7D"/>
    <w:rsid w:val="557A4C8B"/>
    <w:rsid w:val="558931E1"/>
    <w:rsid w:val="55923347"/>
    <w:rsid w:val="55925180"/>
    <w:rsid w:val="55983B1B"/>
    <w:rsid w:val="55A8376B"/>
    <w:rsid w:val="55B17EA6"/>
    <w:rsid w:val="55DC29B6"/>
    <w:rsid w:val="55DD4241"/>
    <w:rsid w:val="564A2F5E"/>
    <w:rsid w:val="565556F2"/>
    <w:rsid w:val="566B6D1E"/>
    <w:rsid w:val="56EF6ED8"/>
    <w:rsid w:val="57032A2C"/>
    <w:rsid w:val="570F5219"/>
    <w:rsid w:val="571E4C0C"/>
    <w:rsid w:val="575A18F9"/>
    <w:rsid w:val="575D12B5"/>
    <w:rsid w:val="57610A87"/>
    <w:rsid w:val="57731F1E"/>
    <w:rsid w:val="577B1140"/>
    <w:rsid w:val="577B7F21"/>
    <w:rsid w:val="577F181B"/>
    <w:rsid w:val="57825F9E"/>
    <w:rsid w:val="57921984"/>
    <w:rsid w:val="579737F0"/>
    <w:rsid w:val="57A763F4"/>
    <w:rsid w:val="57AB7B30"/>
    <w:rsid w:val="57AF5251"/>
    <w:rsid w:val="57B26373"/>
    <w:rsid w:val="57B63F04"/>
    <w:rsid w:val="57CD20C2"/>
    <w:rsid w:val="57D675AB"/>
    <w:rsid w:val="57D95FDD"/>
    <w:rsid w:val="57E21628"/>
    <w:rsid w:val="57ED3984"/>
    <w:rsid w:val="583D4704"/>
    <w:rsid w:val="58917D2F"/>
    <w:rsid w:val="5894085C"/>
    <w:rsid w:val="58A40196"/>
    <w:rsid w:val="58AE4F0C"/>
    <w:rsid w:val="58B85899"/>
    <w:rsid w:val="58E363A9"/>
    <w:rsid w:val="58FE255D"/>
    <w:rsid w:val="591860D8"/>
    <w:rsid w:val="5949249D"/>
    <w:rsid w:val="595E1678"/>
    <w:rsid w:val="596D5BD4"/>
    <w:rsid w:val="597E3DD8"/>
    <w:rsid w:val="598C48FA"/>
    <w:rsid w:val="59EC0196"/>
    <w:rsid w:val="59F80043"/>
    <w:rsid w:val="5A09252F"/>
    <w:rsid w:val="5A0B2778"/>
    <w:rsid w:val="5A2A7C7B"/>
    <w:rsid w:val="5A3E2560"/>
    <w:rsid w:val="5A5D3B6E"/>
    <w:rsid w:val="5A637A76"/>
    <w:rsid w:val="5A6D33BA"/>
    <w:rsid w:val="5A792B1F"/>
    <w:rsid w:val="5A852625"/>
    <w:rsid w:val="5A874767"/>
    <w:rsid w:val="5AA85BE2"/>
    <w:rsid w:val="5AAD6F28"/>
    <w:rsid w:val="5AD63A24"/>
    <w:rsid w:val="5B1B5337"/>
    <w:rsid w:val="5B202115"/>
    <w:rsid w:val="5B2E1A1D"/>
    <w:rsid w:val="5B58092E"/>
    <w:rsid w:val="5B6E6044"/>
    <w:rsid w:val="5B843A1C"/>
    <w:rsid w:val="5B873E3F"/>
    <w:rsid w:val="5B8E531E"/>
    <w:rsid w:val="5BC16A98"/>
    <w:rsid w:val="5BD03D10"/>
    <w:rsid w:val="5C02690E"/>
    <w:rsid w:val="5C196DA7"/>
    <w:rsid w:val="5C252DFD"/>
    <w:rsid w:val="5C2A048C"/>
    <w:rsid w:val="5C516C67"/>
    <w:rsid w:val="5C80234E"/>
    <w:rsid w:val="5C8A680C"/>
    <w:rsid w:val="5D0972B3"/>
    <w:rsid w:val="5D0C4701"/>
    <w:rsid w:val="5D0F0395"/>
    <w:rsid w:val="5D1F4A4E"/>
    <w:rsid w:val="5D221076"/>
    <w:rsid w:val="5D261051"/>
    <w:rsid w:val="5D397964"/>
    <w:rsid w:val="5D5A391C"/>
    <w:rsid w:val="5D5F10C0"/>
    <w:rsid w:val="5D891B7B"/>
    <w:rsid w:val="5DAD38EE"/>
    <w:rsid w:val="5DB5274B"/>
    <w:rsid w:val="5DC41D74"/>
    <w:rsid w:val="5DDA1FA8"/>
    <w:rsid w:val="5E006862"/>
    <w:rsid w:val="5E0207B9"/>
    <w:rsid w:val="5E1834A1"/>
    <w:rsid w:val="5E261785"/>
    <w:rsid w:val="5E4A7017"/>
    <w:rsid w:val="5E552BBA"/>
    <w:rsid w:val="5E611C10"/>
    <w:rsid w:val="5E6249D6"/>
    <w:rsid w:val="5E751504"/>
    <w:rsid w:val="5E7A0F3F"/>
    <w:rsid w:val="5E964A4B"/>
    <w:rsid w:val="5EAC0B49"/>
    <w:rsid w:val="5EF6177A"/>
    <w:rsid w:val="5EFC7377"/>
    <w:rsid w:val="5F06174D"/>
    <w:rsid w:val="5F2B03ED"/>
    <w:rsid w:val="5F3A3602"/>
    <w:rsid w:val="5F45733B"/>
    <w:rsid w:val="5F6277C6"/>
    <w:rsid w:val="5F634C19"/>
    <w:rsid w:val="5F6D0B1D"/>
    <w:rsid w:val="5F8D0B82"/>
    <w:rsid w:val="5FCC5339"/>
    <w:rsid w:val="5FD17D3E"/>
    <w:rsid w:val="5FE34A5B"/>
    <w:rsid w:val="5FFE1E36"/>
    <w:rsid w:val="60051DD8"/>
    <w:rsid w:val="60232584"/>
    <w:rsid w:val="607330CE"/>
    <w:rsid w:val="60825176"/>
    <w:rsid w:val="609F2AC4"/>
    <w:rsid w:val="60A52CFD"/>
    <w:rsid w:val="60D54800"/>
    <w:rsid w:val="60FA2EE8"/>
    <w:rsid w:val="61054A27"/>
    <w:rsid w:val="610A52BC"/>
    <w:rsid w:val="611170FD"/>
    <w:rsid w:val="611D2366"/>
    <w:rsid w:val="612B23F8"/>
    <w:rsid w:val="61357BDD"/>
    <w:rsid w:val="61421856"/>
    <w:rsid w:val="615227C4"/>
    <w:rsid w:val="61654E3F"/>
    <w:rsid w:val="6182012C"/>
    <w:rsid w:val="6182292A"/>
    <w:rsid w:val="61920923"/>
    <w:rsid w:val="619F7F92"/>
    <w:rsid w:val="61B553BD"/>
    <w:rsid w:val="61E41603"/>
    <w:rsid w:val="61EF1F26"/>
    <w:rsid w:val="61F94C26"/>
    <w:rsid w:val="62000E56"/>
    <w:rsid w:val="624F3E49"/>
    <w:rsid w:val="62632286"/>
    <w:rsid w:val="62885958"/>
    <w:rsid w:val="62F40B65"/>
    <w:rsid w:val="62FC2CFE"/>
    <w:rsid w:val="63024505"/>
    <w:rsid w:val="631B3C86"/>
    <w:rsid w:val="635600A5"/>
    <w:rsid w:val="635B1DB5"/>
    <w:rsid w:val="63711FED"/>
    <w:rsid w:val="63880DDC"/>
    <w:rsid w:val="638D750D"/>
    <w:rsid w:val="63AC6CC0"/>
    <w:rsid w:val="63D970DD"/>
    <w:rsid w:val="64055776"/>
    <w:rsid w:val="64112913"/>
    <w:rsid w:val="642021C6"/>
    <w:rsid w:val="64240056"/>
    <w:rsid w:val="643E143A"/>
    <w:rsid w:val="64491666"/>
    <w:rsid w:val="648B6EEF"/>
    <w:rsid w:val="648C1B70"/>
    <w:rsid w:val="649A0049"/>
    <w:rsid w:val="64C158BF"/>
    <w:rsid w:val="64C15F46"/>
    <w:rsid w:val="64CE2EAA"/>
    <w:rsid w:val="650703D0"/>
    <w:rsid w:val="653C3090"/>
    <w:rsid w:val="65757516"/>
    <w:rsid w:val="65854376"/>
    <w:rsid w:val="658767BE"/>
    <w:rsid w:val="65892531"/>
    <w:rsid w:val="66195831"/>
    <w:rsid w:val="662E75B1"/>
    <w:rsid w:val="66313B50"/>
    <w:rsid w:val="66342C2E"/>
    <w:rsid w:val="663E784C"/>
    <w:rsid w:val="668B6A45"/>
    <w:rsid w:val="66F83CDD"/>
    <w:rsid w:val="672F3F24"/>
    <w:rsid w:val="673D77EB"/>
    <w:rsid w:val="673E055F"/>
    <w:rsid w:val="67551CE3"/>
    <w:rsid w:val="67706CC4"/>
    <w:rsid w:val="679D6775"/>
    <w:rsid w:val="67A22552"/>
    <w:rsid w:val="67AA4E8D"/>
    <w:rsid w:val="67B22DCC"/>
    <w:rsid w:val="67BE71AA"/>
    <w:rsid w:val="67BF007B"/>
    <w:rsid w:val="67D90273"/>
    <w:rsid w:val="67DE5875"/>
    <w:rsid w:val="67E55852"/>
    <w:rsid w:val="67EB1AB4"/>
    <w:rsid w:val="67FA1285"/>
    <w:rsid w:val="681B4DBF"/>
    <w:rsid w:val="68233A20"/>
    <w:rsid w:val="68443ACC"/>
    <w:rsid w:val="68450664"/>
    <w:rsid w:val="68551F4F"/>
    <w:rsid w:val="687C10C9"/>
    <w:rsid w:val="68840C16"/>
    <w:rsid w:val="68876EFB"/>
    <w:rsid w:val="68884654"/>
    <w:rsid w:val="689F444F"/>
    <w:rsid w:val="68B96DBB"/>
    <w:rsid w:val="68C45D21"/>
    <w:rsid w:val="68CA2805"/>
    <w:rsid w:val="68E937A3"/>
    <w:rsid w:val="6913536F"/>
    <w:rsid w:val="693E15D3"/>
    <w:rsid w:val="69627681"/>
    <w:rsid w:val="6977531D"/>
    <w:rsid w:val="69CC2BFF"/>
    <w:rsid w:val="69FD55B8"/>
    <w:rsid w:val="6A0B1C62"/>
    <w:rsid w:val="6A2406C8"/>
    <w:rsid w:val="6AAB518D"/>
    <w:rsid w:val="6AC472E4"/>
    <w:rsid w:val="6ACE294D"/>
    <w:rsid w:val="6ADE0BD1"/>
    <w:rsid w:val="6AE96859"/>
    <w:rsid w:val="6B147746"/>
    <w:rsid w:val="6B174C46"/>
    <w:rsid w:val="6B24787C"/>
    <w:rsid w:val="6B2C59AB"/>
    <w:rsid w:val="6B2E3DCA"/>
    <w:rsid w:val="6B306FC3"/>
    <w:rsid w:val="6B573233"/>
    <w:rsid w:val="6B5B6274"/>
    <w:rsid w:val="6B935D53"/>
    <w:rsid w:val="6C196F71"/>
    <w:rsid w:val="6C226FCB"/>
    <w:rsid w:val="6C31226F"/>
    <w:rsid w:val="6C552F0B"/>
    <w:rsid w:val="6C8C67B7"/>
    <w:rsid w:val="6C9D744C"/>
    <w:rsid w:val="6CCE55B8"/>
    <w:rsid w:val="6D167928"/>
    <w:rsid w:val="6D1F075D"/>
    <w:rsid w:val="6D26299B"/>
    <w:rsid w:val="6D4772EC"/>
    <w:rsid w:val="6D5601FE"/>
    <w:rsid w:val="6D596D8B"/>
    <w:rsid w:val="6D9078AF"/>
    <w:rsid w:val="6DAA3FEF"/>
    <w:rsid w:val="6DAC7528"/>
    <w:rsid w:val="6DBD75EC"/>
    <w:rsid w:val="6DC0172B"/>
    <w:rsid w:val="6DC85CD5"/>
    <w:rsid w:val="6DCB690C"/>
    <w:rsid w:val="6DD41A5B"/>
    <w:rsid w:val="6DF43C2E"/>
    <w:rsid w:val="6DF51CA3"/>
    <w:rsid w:val="6E087CA4"/>
    <w:rsid w:val="6E140DC9"/>
    <w:rsid w:val="6E576B35"/>
    <w:rsid w:val="6E8335BD"/>
    <w:rsid w:val="6E8E12EF"/>
    <w:rsid w:val="6E906A48"/>
    <w:rsid w:val="6E972936"/>
    <w:rsid w:val="6ECD4BA8"/>
    <w:rsid w:val="6ED446C5"/>
    <w:rsid w:val="6F2A7D94"/>
    <w:rsid w:val="6F8331F1"/>
    <w:rsid w:val="6F8539B5"/>
    <w:rsid w:val="6F902197"/>
    <w:rsid w:val="6FAE1A09"/>
    <w:rsid w:val="6FD75BF8"/>
    <w:rsid w:val="70406D9D"/>
    <w:rsid w:val="707723D0"/>
    <w:rsid w:val="707B3B10"/>
    <w:rsid w:val="70897A5F"/>
    <w:rsid w:val="70BF0390"/>
    <w:rsid w:val="70DC0B34"/>
    <w:rsid w:val="70F5661B"/>
    <w:rsid w:val="710C4966"/>
    <w:rsid w:val="71360107"/>
    <w:rsid w:val="71392E65"/>
    <w:rsid w:val="713B688E"/>
    <w:rsid w:val="71405103"/>
    <w:rsid w:val="7147317D"/>
    <w:rsid w:val="715B75C0"/>
    <w:rsid w:val="71A010A2"/>
    <w:rsid w:val="71C07C18"/>
    <w:rsid w:val="71D43752"/>
    <w:rsid w:val="71F1796A"/>
    <w:rsid w:val="72154626"/>
    <w:rsid w:val="72262B5D"/>
    <w:rsid w:val="72283FF7"/>
    <w:rsid w:val="722E7212"/>
    <w:rsid w:val="723A0474"/>
    <w:rsid w:val="725923E4"/>
    <w:rsid w:val="72864BF7"/>
    <w:rsid w:val="729023FC"/>
    <w:rsid w:val="72A16966"/>
    <w:rsid w:val="738844E4"/>
    <w:rsid w:val="73C0646E"/>
    <w:rsid w:val="73CF7C0D"/>
    <w:rsid w:val="73F6008A"/>
    <w:rsid w:val="742222F5"/>
    <w:rsid w:val="74476126"/>
    <w:rsid w:val="745D2D50"/>
    <w:rsid w:val="74706664"/>
    <w:rsid w:val="747F3682"/>
    <w:rsid w:val="749C4185"/>
    <w:rsid w:val="75067759"/>
    <w:rsid w:val="75094D24"/>
    <w:rsid w:val="752E6DCD"/>
    <w:rsid w:val="7551380D"/>
    <w:rsid w:val="755E5F9F"/>
    <w:rsid w:val="75600BE5"/>
    <w:rsid w:val="7564475C"/>
    <w:rsid w:val="757252C7"/>
    <w:rsid w:val="7583797F"/>
    <w:rsid w:val="75BE74AB"/>
    <w:rsid w:val="75D20F1D"/>
    <w:rsid w:val="75DA2C18"/>
    <w:rsid w:val="75DF4869"/>
    <w:rsid w:val="75F54412"/>
    <w:rsid w:val="75F872F7"/>
    <w:rsid w:val="760C2423"/>
    <w:rsid w:val="761D08E0"/>
    <w:rsid w:val="761D0ABE"/>
    <w:rsid w:val="761E6939"/>
    <w:rsid w:val="765D347C"/>
    <w:rsid w:val="76826699"/>
    <w:rsid w:val="76AF13FE"/>
    <w:rsid w:val="76C87133"/>
    <w:rsid w:val="76CD08D5"/>
    <w:rsid w:val="76DB4B92"/>
    <w:rsid w:val="7702213B"/>
    <w:rsid w:val="77052AA4"/>
    <w:rsid w:val="77136511"/>
    <w:rsid w:val="77340A39"/>
    <w:rsid w:val="77351FD0"/>
    <w:rsid w:val="77472422"/>
    <w:rsid w:val="77683925"/>
    <w:rsid w:val="777A3402"/>
    <w:rsid w:val="777F31F2"/>
    <w:rsid w:val="77A65800"/>
    <w:rsid w:val="77D1700D"/>
    <w:rsid w:val="77D6332B"/>
    <w:rsid w:val="77EC04CC"/>
    <w:rsid w:val="7822206A"/>
    <w:rsid w:val="783959E3"/>
    <w:rsid w:val="783E7867"/>
    <w:rsid w:val="78775729"/>
    <w:rsid w:val="78810ADD"/>
    <w:rsid w:val="78A42DB0"/>
    <w:rsid w:val="78A656AB"/>
    <w:rsid w:val="78B2245C"/>
    <w:rsid w:val="78E172CC"/>
    <w:rsid w:val="78EA1D1F"/>
    <w:rsid w:val="78EC499F"/>
    <w:rsid w:val="7904172F"/>
    <w:rsid w:val="790F7E27"/>
    <w:rsid w:val="791A1E16"/>
    <w:rsid w:val="792A231A"/>
    <w:rsid w:val="79316829"/>
    <w:rsid w:val="794B64B6"/>
    <w:rsid w:val="797E66A9"/>
    <w:rsid w:val="798518A4"/>
    <w:rsid w:val="79A97383"/>
    <w:rsid w:val="79E27E8B"/>
    <w:rsid w:val="79F850CE"/>
    <w:rsid w:val="79FD443C"/>
    <w:rsid w:val="7A1D1975"/>
    <w:rsid w:val="7A3E5150"/>
    <w:rsid w:val="7A4670D6"/>
    <w:rsid w:val="7A5223BA"/>
    <w:rsid w:val="7A534B63"/>
    <w:rsid w:val="7A5A6CA8"/>
    <w:rsid w:val="7A615382"/>
    <w:rsid w:val="7A67303B"/>
    <w:rsid w:val="7A8825AD"/>
    <w:rsid w:val="7AAB1D04"/>
    <w:rsid w:val="7ABA4368"/>
    <w:rsid w:val="7ACA3E04"/>
    <w:rsid w:val="7AD05746"/>
    <w:rsid w:val="7B257FFD"/>
    <w:rsid w:val="7B343476"/>
    <w:rsid w:val="7B5A2978"/>
    <w:rsid w:val="7B5A7E4C"/>
    <w:rsid w:val="7B667AF9"/>
    <w:rsid w:val="7B7468F8"/>
    <w:rsid w:val="7B835895"/>
    <w:rsid w:val="7BEE0103"/>
    <w:rsid w:val="7C062C89"/>
    <w:rsid w:val="7C0A0FE4"/>
    <w:rsid w:val="7C254906"/>
    <w:rsid w:val="7C590818"/>
    <w:rsid w:val="7C7C10F6"/>
    <w:rsid w:val="7C853BEA"/>
    <w:rsid w:val="7C881368"/>
    <w:rsid w:val="7CE27788"/>
    <w:rsid w:val="7D0C32F1"/>
    <w:rsid w:val="7D0F408D"/>
    <w:rsid w:val="7D167F3A"/>
    <w:rsid w:val="7D193607"/>
    <w:rsid w:val="7D491C6C"/>
    <w:rsid w:val="7D5429C0"/>
    <w:rsid w:val="7D6E6D43"/>
    <w:rsid w:val="7DB57A34"/>
    <w:rsid w:val="7DC66308"/>
    <w:rsid w:val="7DE60973"/>
    <w:rsid w:val="7DEF005C"/>
    <w:rsid w:val="7DEF0916"/>
    <w:rsid w:val="7E1E5218"/>
    <w:rsid w:val="7E927604"/>
    <w:rsid w:val="7E9A4E1F"/>
    <w:rsid w:val="7EA7723A"/>
    <w:rsid w:val="7EAA5EA3"/>
    <w:rsid w:val="7EBE5411"/>
    <w:rsid w:val="7ED67F06"/>
    <w:rsid w:val="7EE62574"/>
    <w:rsid w:val="7EF56FBB"/>
    <w:rsid w:val="7F0768EB"/>
    <w:rsid w:val="7F143BEC"/>
    <w:rsid w:val="7F715AF2"/>
    <w:rsid w:val="7F886E69"/>
    <w:rsid w:val="7F945FBF"/>
    <w:rsid w:val="7FD76547"/>
    <w:rsid w:val="7FDB19B8"/>
    <w:rsid w:val="7FFA22C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6"/>
    <w:autoRedefine/>
    <w:qFormat/>
    <w:uiPriority w:val="99"/>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8"/>
    <w:autoRedefine/>
    <w:qFormat/>
    <w:uiPriority w:val="0"/>
    <w:pPr>
      <w:spacing w:line="480" w:lineRule="exact"/>
      <w:ind w:firstLine="480" w:firstLineChars="200"/>
    </w:pPr>
    <w:rPr>
      <w:rFonts w:ascii="宋体" w:hAnsi="宋体"/>
      <w:sz w:val="24"/>
    </w:r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5"/>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1"/>
    <w:autoRedefine/>
    <w:qFormat/>
    <w:uiPriority w:val="99"/>
    <w:rPr>
      <w:sz w:val="18"/>
      <w:szCs w:val="18"/>
    </w:rPr>
  </w:style>
  <w:style w:type="paragraph" w:styleId="41">
    <w:name w:val="footer"/>
    <w:basedOn w:val="1"/>
    <w:link w:val="386"/>
    <w:autoRedefine/>
    <w:qFormat/>
    <w:uiPriority w:val="0"/>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rPr>
  </w:style>
  <w:style w:type="paragraph" w:styleId="43">
    <w:name w:val="header"/>
    <w:basedOn w:val="1"/>
    <w:link w:val="395"/>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9"/>
    <w:autoRedefine/>
    <w:qFormat/>
    <w:uiPriority w:val="0"/>
    <w:rPr>
      <w:b/>
      <w:bCs/>
    </w:rPr>
  </w:style>
  <w:style w:type="paragraph" w:styleId="63">
    <w:name w:val="Body Text First Indent"/>
    <w:basedOn w:val="26"/>
    <w:link w:val="324"/>
    <w:autoRedefine/>
    <w:qFormat/>
    <w:uiPriority w:val="0"/>
    <w:pPr>
      <w:ind w:firstLine="420"/>
    </w:pPr>
    <w:rPr>
      <w:rFonts w:hAnsi="Calibri" w:cs="Times New Roman"/>
      <w:snapToGrid/>
      <w:szCs w:val="20"/>
    </w:rPr>
  </w:style>
  <w:style w:type="paragraph" w:styleId="64">
    <w:name w:val="Body Text First Indent 2"/>
    <w:basedOn w:val="18"/>
    <w:next w:val="1"/>
    <w:link w:val="124"/>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Normal]"/>
    <w:qFormat/>
    <w:uiPriority w:val="0"/>
    <w:rPr>
      <w:rFonts w:ascii="宋体" w:hAnsi="宋体" w:eastAsia="宋体" w:cs="Times New Roman"/>
      <w:sz w:val="24"/>
      <w:szCs w:val="22"/>
      <w:lang w:val="zh-CN"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99"/>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4"/>
    <w:autoRedefine/>
    <w:qFormat/>
    <w:uiPriority w:val="99"/>
    <w:rPr>
      <w:rFonts w:ascii="宋体" w:hAnsi="宋体"/>
      <w:kern w:val="2"/>
      <w:sz w:val="21"/>
      <w:szCs w:val="24"/>
    </w:rPr>
  </w:style>
  <w:style w:type="character" w:customStyle="1" w:styleId="125">
    <w:name w:val="font11"/>
    <w:basedOn w:val="72"/>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99"/>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99"/>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autoRedefine/>
    <w:qFormat/>
    <w:uiPriority w:val="99"/>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99"/>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1"/>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8"/>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1"/>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9"/>
    <w:autoRedefine/>
    <w:qFormat/>
    <w:uiPriority w:val="0"/>
    <w:rPr>
      <w:rFonts w:ascii="黑体" w:hAnsi="Courier New" w:eastAsia="黑体"/>
    </w:rPr>
  </w:style>
  <w:style w:type="character" w:customStyle="1" w:styleId="305">
    <w:name w:val="正文文本 2 字符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3"/>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autoRedefine/>
    <w:qFormat/>
    <w:uiPriority w:val="0"/>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2"/>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2"/>
    <w:autoRedefine/>
    <w:qFormat/>
    <w:uiPriority w:val="0"/>
    <w:rPr>
      <w:rFonts w:ascii="Arial" w:hAnsi="Arial" w:eastAsia="黑体" w:cs="Arial"/>
      <w:snapToGrid w:val="0"/>
      <w:kern w:val="0"/>
      <w:szCs w:val="21"/>
    </w:rPr>
  </w:style>
  <w:style w:type="character" w:customStyle="1" w:styleId="435">
    <w:name w:val="hui"/>
    <w:basedOn w:val="72"/>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26"/>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2"/>
    <w:autoRedefine/>
    <w:qFormat/>
    <w:uiPriority w:val="0"/>
    <w:pPr>
      <w:tabs>
        <w:tab w:val="left" w:pos="1260"/>
        <w:tab w:val="left" w:pos="1680"/>
        <w:tab w:val="left" w:pos="2100"/>
      </w:tabs>
      <w:ind w:left="0"/>
      <w:outlineLvl w:val="3"/>
    </w:pPr>
  </w:style>
  <w:style w:type="paragraph" w:customStyle="1" w:styleId="659">
    <w:name w:val="一级条标题"/>
    <w:basedOn w:val="660"/>
    <w:next w:val="82"/>
    <w:autoRedefine/>
    <w:qFormat/>
    <w:uiPriority w:val="0"/>
    <w:pPr>
      <w:tabs>
        <w:tab w:val="left" w:pos="1260"/>
        <w:tab w:val="left" w:pos="1680"/>
      </w:tabs>
      <w:spacing w:beforeLines="0" w:afterLines="0"/>
      <w:ind w:left="1680"/>
      <w:outlineLvl w:val="2"/>
    </w:pPr>
  </w:style>
  <w:style w:type="paragraph" w:customStyle="1" w:styleId="660">
    <w:name w:val="章标题"/>
    <w:next w:val="8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8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8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9"/>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font111"/>
    <w:basedOn w:val="72"/>
    <w:autoRedefine/>
    <w:qFormat/>
    <w:uiPriority w:val="0"/>
    <w:rPr>
      <w:rFonts w:hint="eastAsia" w:ascii="微软雅黑" w:hAnsi="微软雅黑" w:eastAsia="微软雅黑" w:cs="微软雅黑"/>
      <w:color w:val="FF0000"/>
      <w:sz w:val="16"/>
      <w:szCs w:val="16"/>
      <w:u w:val="none"/>
    </w:rPr>
  </w:style>
  <w:style w:type="character" w:customStyle="1" w:styleId="968">
    <w:name w:val="font121"/>
    <w:basedOn w:val="72"/>
    <w:autoRedefine/>
    <w:qFormat/>
    <w:uiPriority w:val="0"/>
    <w:rPr>
      <w:rFonts w:hint="default" w:ascii="Arial" w:hAnsi="Arial" w:cs="Arial"/>
      <w:color w:val="000000"/>
      <w:sz w:val="16"/>
      <w:szCs w:val="16"/>
      <w:u w:val="none"/>
    </w:rPr>
  </w:style>
  <w:style w:type="paragraph" w:customStyle="1" w:styleId="969">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character" w:customStyle="1" w:styleId="970">
    <w:name w:val="Unresolved Mention"/>
    <w:basedOn w:val="72"/>
    <w:autoRedefine/>
    <w:semiHidden/>
    <w:unhideWhenUsed/>
    <w:qFormat/>
    <w:uiPriority w:val="99"/>
    <w:rPr>
      <w:color w:val="605E5C"/>
      <w:shd w:val="clear" w:color="auto" w:fill="E1DFDD"/>
    </w:rPr>
  </w:style>
  <w:style w:type="paragraph" w:customStyle="1" w:styleId="97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2">
    <w:name w:val="列出段落21"/>
    <w:basedOn w:val="1"/>
    <w:qFormat/>
    <w:uiPriority w:val="34"/>
    <w:pPr>
      <w:adjustRightInd/>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23200</Words>
  <Characters>24761</Characters>
  <Lines>317</Lines>
  <Paragraphs>89</Paragraphs>
  <TotalTime>20</TotalTime>
  <ScaleCrop>false</ScaleCrop>
  <LinksUpToDate>false</LinksUpToDate>
  <CharactersWithSpaces>25355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2023-03-23T08:47:00Z</dcterms:created>
  <dc:creator>玥</dc:creator>
  <cp:lastModifiedBy>张先生</cp:lastModifiedBy>
  <cp:lastPrinted>2023-03-31T03:14:00Z</cp:lastPrinted>
  <dcterms:modified xsi:type="dcterms:W3CDTF">2025-06-20T07:32:30Z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39C552273F4A4B00B5CE00EBC573B93B</vt:lpwstr>
  </property>
  <property fmtid="{D5CDD505-2E9C-101B-9397-08002B2CF9AE}" pid="5" name="KSOTemplateDocerSaveRecord">
    <vt:lpwstr>eyJoZGlkIjoiM2FiZDIzMjBhYjY3YjcwYmIxYWI1NjM4YzVmYjEyMDMiLCJ1c2VySWQiOiI3NDIxOTkyNzgifQ==</vt:lpwstr>
  </property>
</Properties>
</file>