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B3C92">
      <w:pPr>
        <w:spacing w:line="360" w:lineRule="auto"/>
        <w:jc w:val="center"/>
        <w:rPr>
          <w:rFonts w:hint="eastAsia" w:ascii="宋体" w:hAnsi="宋体" w:eastAsia="宋体" w:cs="宋体"/>
          <w:color w:val="auto"/>
          <w:sz w:val="24"/>
          <w:highlight w:val="none"/>
        </w:rPr>
      </w:pPr>
    </w:p>
    <w:p w14:paraId="3FD5164D">
      <w:pPr>
        <w:spacing w:before="120" w:beforeLines="50" w:line="360" w:lineRule="auto"/>
        <w:jc w:val="center"/>
        <w:rPr>
          <w:rFonts w:hint="eastAsia" w:ascii="宋体" w:hAnsi="宋体" w:eastAsia="宋体" w:cs="宋体"/>
          <w:b/>
          <w:color w:val="auto"/>
          <w:sz w:val="44"/>
          <w:szCs w:val="44"/>
          <w:highlight w:val="none"/>
        </w:rPr>
      </w:pPr>
    </w:p>
    <w:p w14:paraId="7B211516">
      <w:pPr>
        <w:spacing w:before="120" w:beforeLines="50"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4"/>
          <w:szCs w:val="44"/>
          <w:highlight w:val="none"/>
          <w:lang w:eastAsia="zh-CN"/>
        </w:rPr>
        <w:t>浙江省公安特警训练基地2025年度保障性基建维修项目</w:t>
      </w:r>
    </w:p>
    <w:p w14:paraId="49A1C360">
      <w:pPr>
        <w:spacing w:before="120" w:beforeLines="50"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（政府采购</w:t>
      </w:r>
      <w:r>
        <w:rPr>
          <w:rFonts w:hint="eastAsia" w:ascii="宋体" w:hAnsi="宋体" w:eastAsia="宋体" w:cs="宋体"/>
          <w:b/>
          <w:color w:val="auto"/>
          <w:sz w:val="36"/>
          <w:szCs w:val="36"/>
          <w:highlight w:val="none"/>
          <w:lang w:val="en-US" w:eastAsia="zh-CN"/>
        </w:rPr>
        <w:t>项目</w:t>
      </w:r>
      <w:r>
        <w:rPr>
          <w:rFonts w:hint="eastAsia" w:ascii="宋体" w:hAnsi="宋体" w:eastAsia="宋体" w:cs="宋体"/>
          <w:b/>
          <w:color w:val="auto"/>
          <w:sz w:val="36"/>
          <w:szCs w:val="36"/>
          <w:highlight w:val="none"/>
        </w:rPr>
        <w:t>）</w:t>
      </w:r>
    </w:p>
    <w:p w14:paraId="74C0AD42">
      <w:pPr>
        <w:spacing w:before="120" w:beforeLines="50" w:line="360" w:lineRule="auto"/>
        <w:jc w:val="center"/>
        <w:rPr>
          <w:rFonts w:hint="eastAsia" w:ascii="宋体" w:hAnsi="宋体" w:eastAsia="宋体" w:cs="宋体"/>
          <w:b/>
          <w:color w:val="auto"/>
          <w:sz w:val="36"/>
          <w:szCs w:val="36"/>
          <w:highlight w:val="none"/>
        </w:rPr>
      </w:pPr>
    </w:p>
    <w:p w14:paraId="7A6EFFFD">
      <w:pPr>
        <w:spacing w:before="120" w:beforeLines="50" w:line="360" w:lineRule="auto"/>
        <w:jc w:val="center"/>
        <w:rPr>
          <w:rFonts w:hint="eastAsia" w:ascii="宋体" w:hAnsi="宋体" w:eastAsia="宋体" w:cs="宋体"/>
          <w:b/>
          <w:color w:val="auto"/>
          <w:szCs w:val="21"/>
          <w:highlight w:val="none"/>
        </w:rPr>
      </w:pPr>
    </w:p>
    <w:p w14:paraId="798B9CB5">
      <w:pPr>
        <w:spacing w:before="120" w:beforeLines="50" w:line="360" w:lineRule="auto"/>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rPr>
        <w:t>竞争性磋商采购文件</w:t>
      </w:r>
    </w:p>
    <w:p w14:paraId="378F56FE">
      <w:pPr>
        <w:pStyle w:val="8"/>
        <w:snapToGrid w:val="0"/>
        <w:spacing w:before="120" w:after="120" w:line="240" w:lineRule="auto"/>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项目编号：</w:t>
      </w:r>
      <w:r>
        <w:rPr>
          <w:rFonts w:hint="eastAsia" w:ascii="宋体" w:hAnsi="宋体" w:eastAsia="宋体" w:cs="宋体"/>
          <w:b/>
          <w:bCs/>
          <w:color w:val="auto"/>
          <w:sz w:val="32"/>
          <w:szCs w:val="32"/>
          <w:highlight w:val="none"/>
          <w:lang w:eastAsia="zh-CN"/>
        </w:rPr>
        <w:t>YHQT25-01044</w:t>
      </w:r>
    </w:p>
    <w:p w14:paraId="3B348536">
      <w:pPr>
        <w:pStyle w:val="8"/>
        <w:snapToGrid w:val="0"/>
        <w:spacing w:before="120" w:after="120" w:line="360" w:lineRule="auto"/>
        <w:rPr>
          <w:rFonts w:hint="eastAsia" w:ascii="宋体" w:hAnsi="宋体" w:eastAsia="宋体" w:cs="宋体"/>
          <w:b/>
          <w:bCs/>
          <w:color w:val="auto"/>
          <w:sz w:val="30"/>
          <w:szCs w:val="30"/>
          <w:highlight w:val="none"/>
        </w:rPr>
      </w:pPr>
    </w:p>
    <w:p w14:paraId="744D8190">
      <w:pPr>
        <w:pStyle w:val="8"/>
        <w:snapToGrid w:val="0"/>
        <w:spacing w:before="120" w:after="120" w:line="360" w:lineRule="auto"/>
        <w:rPr>
          <w:rFonts w:hint="eastAsia" w:ascii="宋体" w:hAnsi="宋体" w:eastAsia="宋体" w:cs="宋体"/>
          <w:b/>
          <w:bCs/>
          <w:color w:val="auto"/>
          <w:sz w:val="30"/>
          <w:szCs w:val="30"/>
          <w:highlight w:val="none"/>
        </w:rPr>
      </w:pPr>
    </w:p>
    <w:p w14:paraId="334D29DC">
      <w:pPr>
        <w:pStyle w:val="8"/>
        <w:snapToGrid w:val="0"/>
        <w:spacing w:before="120" w:after="120" w:line="360" w:lineRule="auto"/>
        <w:rPr>
          <w:rFonts w:hint="eastAsia" w:ascii="宋体" w:hAnsi="宋体" w:eastAsia="宋体" w:cs="宋体"/>
          <w:b/>
          <w:bCs/>
          <w:color w:val="auto"/>
          <w:sz w:val="30"/>
          <w:szCs w:val="30"/>
          <w:highlight w:val="none"/>
        </w:rPr>
      </w:pPr>
    </w:p>
    <w:p w14:paraId="2198E974">
      <w:pPr>
        <w:pStyle w:val="8"/>
        <w:snapToGrid w:val="0"/>
        <w:spacing w:before="120" w:after="120" w:line="360" w:lineRule="auto"/>
        <w:rPr>
          <w:rFonts w:hint="eastAsia" w:ascii="宋体" w:hAnsi="宋体" w:eastAsia="宋体" w:cs="宋体"/>
          <w:b/>
          <w:bCs/>
          <w:color w:val="auto"/>
          <w:sz w:val="30"/>
          <w:szCs w:val="30"/>
          <w:highlight w:val="none"/>
        </w:rPr>
      </w:pPr>
    </w:p>
    <w:p w14:paraId="11983B45">
      <w:pPr>
        <w:pStyle w:val="8"/>
        <w:snapToGrid w:val="0"/>
        <w:spacing w:before="120" w:after="120" w:line="360" w:lineRule="auto"/>
        <w:rPr>
          <w:rFonts w:hint="eastAsia" w:ascii="宋体" w:hAnsi="宋体" w:eastAsia="宋体" w:cs="宋体"/>
          <w:b/>
          <w:bCs/>
          <w:color w:val="auto"/>
          <w:sz w:val="32"/>
          <w:szCs w:val="32"/>
          <w:highlight w:val="none"/>
        </w:rPr>
      </w:pPr>
    </w:p>
    <w:p w14:paraId="2571BA86">
      <w:pPr>
        <w:pStyle w:val="8"/>
        <w:snapToGrid w:val="0"/>
        <w:spacing w:before="120" w:after="120"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采购单位：</w:t>
      </w:r>
      <w:r>
        <w:rPr>
          <w:rFonts w:hint="eastAsia" w:ascii="宋体" w:hAnsi="宋体" w:eastAsia="宋体" w:cs="宋体"/>
          <w:b/>
          <w:color w:val="auto"/>
          <w:sz w:val="32"/>
          <w:szCs w:val="32"/>
          <w:highlight w:val="none"/>
          <w:lang w:eastAsia="zh-CN"/>
        </w:rPr>
        <w:t>浙江警察学院</w:t>
      </w:r>
    </w:p>
    <w:p w14:paraId="37BFC0FA">
      <w:pPr>
        <w:pStyle w:val="8"/>
        <w:snapToGrid w:val="0"/>
        <w:spacing w:before="120" w:after="120"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代理机构：耀华建设管理有限公司</w:t>
      </w:r>
    </w:p>
    <w:p w14:paraId="320F4847">
      <w:pPr>
        <w:snapToGrid w:val="0"/>
        <w:spacing w:before="120" w:beforeLines="50" w:line="360" w:lineRule="auto"/>
        <w:jc w:val="center"/>
        <w:rPr>
          <w:rFonts w:hint="eastAsia" w:ascii="宋体" w:hAnsi="宋体" w:eastAsia="宋体" w:cs="宋体"/>
          <w:b/>
          <w:bCs/>
          <w:color w:val="auto"/>
          <w:w w:val="95"/>
          <w:sz w:val="32"/>
          <w:szCs w:val="32"/>
          <w:highlight w:val="none"/>
        </w:rPr>
      </w:pPr>
      <w:r>
        <w:rPr>
          <w:rFonts w:hint="eastAsia" w:ascii="宋体" w:hAnsi="宋体" w:eastAsia="宋体" w:cs="宋体"/>
          <w:b/>
          <w:bCs/>
          <w:color w:val="auto"/>
          <w:w w:val="95"/>
          <w:sz w:val="32"/>
          <w:szCs w:val="32"/>
          <w:highlight w:val="none"/>
        </w:rPr>
        <w:t>202</w:t>
      </w:r>
      <w:r>
        <w:rPr>
          <w:rFonts w:hint="eastAsia" w:ascii="宋体" w:hAnsi="宋体" w:eastAsia="宋体" w:cs="宋体"/>
          <w:b/>
          <w:bCs/>
          <w:color w:val="auto"/>
          <w:w w:val="95"/>
          <w:sz w:val="32"/>
          <w:szCs w:val="32"/>
          <w:highlight w:val="none"/>
          <w:lang w:val="en-US" w:eastAsia="zh-CN"/>
        </w:rPr>
        <w:t>5</w:t>
      </w:r>
      <w:r>
        <w:rPr>
          <w:rFonts w:hint="eastAsia" w:ascii="宋体" w:hAnsi="宋体" w:eastAsia="宋体" w:cs="宋体"/>
          <w:b/>
          <w:bCs/>
          <w:color w:val="auto"/>
          <w:w w:val="95"/>
          <w:sz w:val="32"/>
          <w:szCs w:val="32"/>
          <w:highlight w:val="none"/>
        </w:rPr>
        <w:t>年</w:t>
      </w:r>
      <w:r>
        <w:rPr>
          <w:rFonts w:hint="eastAsia" w:ascii="宋体" w:hAnsi="宋体" w:eastAsia="宋体" w:cs="宋体"/>
          <w:b/>
          <w:bCs/>
          <w:color w:val="auto"/>
          <w:w w:val="95"/>
          <w:sz w:val="32"/>
          <w:szCs w:val="32"/>
          <w:highlight w:val="none"/>
          <w:lang w:val="en-US" w:eastAsia="zh-CN"/>
        </w:rPr>
        <w:t>7</w:t>
      </w:r>
      <w:r>
        <w:rPr>
          <w:rFonts w:hint="eastAsia" w:ascii="宋体" w:hAnsi="宋体" w:eastAsia="宋体" w:cs="宋体"/>
          <w:b/>
          <w:bCs/>
          <w:color w:val="auto"/>
          <w:w w:val="95"/>
          <w:sz w:val="32"/>
          <w:szCs w:val="32"/>
          <w:highlight w:val="none"/>
        </w:rPr>
        <w:t>月</w:t>
      </w:r>
    </w:p>
    <w:p w14:paraId="027C9522">
      <w:pPr>
        <w:snapToGrid w:val="0"/>
        <w:spacing w:before="120" w:beforeLines="50" w:line="360" w:lineRule="auto"/>
        <w:jc w:val="center"/>
        <w:rPr>
          <w:rFonts w:hint="eastAsia" w:ascii="宋体" w:hAnsi="宋体" w:eastAsia="宋体" w:cs="宋体"/>
          <w:b/>
          <w:bCs/>
          <w:color w:val="auto"/>
          <w:w w:val="95"/>
          <w:sz w:val="32"/>
          <w:szCs w:val="32"/>
          <w:highlight w:val="none"/>
        </w:rPr>
      </w:pPr>
      <w:r>
        <w:rPr>
          <w:rFonts w:hint="eastAsia" w:ascii="宋体" w:hAnsi="宋体" w:eastAsia="宋体" w:cs="宋体"/>
          <w:b/>
          <w:bCs/>
          <w:color w:val="auto"/>
          <w:w w:val="95"/>
          <w:sz w:val="32"/>
          <w:szCs w:val="32"/>
          <w:highlight w:val="none"/>
        </w:rPr>
        <w:br w:type="page"/>
      </w:r>
    </w:p>
    <w:p w14:paraId="4EAD185E">
      <w:pPr>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目录</w:t>
      </w:r>
    </w:p>
    <w:p w14:paraId="4507442C">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TOC \o "1-1" \h \u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_Toc21104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第一章 竞争性磋商公告</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_Toc21104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3</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23EA5AB4">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_Toc9596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第二章 供应商须知</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_Toc9596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0DE06CAB">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_Toc13347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第三章  评审办法</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_Toc13347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21</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5E963ABB">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_Toc11067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第四章  采购内容及需求</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_Toc11067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25</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628F49E5">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_Toc28028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第五章  合同主要条款</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_Toc28028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36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65163BA7">
      <w:pPr>
        <w:pStyle w:val="13"/>
        <w:tabs>
          <w:tab w:val="right" w:leader="dot" w:pos="8620"/>
        </w:tabs>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\l _Toc15881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第六章　响应文件格式</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_Toc15881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75</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3100EF72">
      <w:pPr>
        <w:pStyle w:val="7"/>
        <w:spacing w:line="360" w:lineRule="auto"/>
        <w:ind w:left="0" w:leftChars="0" w:firstLine="0" w:firstLineChars="0"/>
        <w:rPr>
          <w:rFonts w:hint="eastAsia" w:ascii="宋体" w:hAnsi="宋体" w:eastAsia="宋体" w:cs="宋体"/>
          <w:color w:val="auto"/>
          <w:highlight w:val="none"/>
        </w:rPr>
        <w:sectPr>
          <w:footerReference r:id="rId4" w:type="default"/>
          <w:footerReference r:id="rId5" w:type="even"/>
          <w:pgSz w:w="11906" w:h="16838"/>
          <w:pgMar w:top="1440" w:right="1483" w:bottom="1440" w:left="1803" w:header="851" w:footer="851" w:gutter="0"/>
          <w:pgNumType w:start="1"/>
          <w:cols w:space="720" w:num="1"/>
          <w:docGrid w:linePitch="312" w:charSpace="0"/>
        </w:sectPr>
      </w:pPr>
      <w:r>
        <w:rPr>
          <w:rFonts w:hint="eastAsia" w:ascii="宋体" w:hAnsi="宋体" w:eastAsia="宋体" w:cs="宋体"/>
          <w:color w:val="auto"/>
          <w:sz w:val="32"/>
          <w:szCs w:val="32"/>
          <w:highlight w:val="none"/>
        </w:rPr>
        <w:fldChar w:fldCharType="end"/>
      </w:r>
    </w:p>
    <w:p w14:paraId="745AD273">
      <w:pPr>
        <w:pStyle w:val="8"/>
        <w:snapToGrid w:val="0"/>
        <w:spacing w:line="360" w:lineRule="auto"/>
        <w:jc w:val="center"/>
        <w:outlineLvl w:val="0"/>
        <w:rPr>
          <w:rFonts w:hint="eastAsia" w:ascii="宋体" w:hAnsi="宋体" w:eastAsia="宋体" w:cs="宋体"/>
          <w:b/>
          <w:color w:val="auto"/>
          <w:sz w:val="36"/>
          <w:szCs w:val="36"/>
          <w:highlight w:val="none"/>
        </w:rPr>
      </w:pPr>
      <w:bookmarkStart w:id="0" w:name="_Toc21104"/>
      <w:r>
        <w:rPr>
          <w:rFonts w:hint="eastAsia" w:ascii="宋体" w:hAnsi="宋体" w:eastAsia="宋体" w:cs="宋体"/>
          <w:b/>
          <w:color w:val="auto"/>
          <w:sz w:val="36"/>
          <w:szCs w:val="36"/>
          <w:highlight w:val="none"/>
        </w:rPr>
        <w:t>第一章 竞争性磋商公告</w:t>
      </w:r>
      <w:bookmarkEnd w:id="0"/>
    </w:p>
    <w:p w14:paraId="5C0B1786">
      <w:pPr>
        <w:pBdr>
          <w:top w:val="single" w:color="auto" w:sz="4" w:space="1"/>
          <w:left w:val="single" w:color="auto" w:sz="4" w:space="4"/>
          <w:bottom w:val="single" w:color="auto" w:sz="4" w:space="1"/>
          <w:right w:val="single" w:color="auto" w:sz="4" w:space="4"/>
        </w:pBd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14:paraId="6F4710E9">
      <w:pPr>
        <w:pBdr>
          <w:top w:val="single" w:color="auto" w:sz="4" w:space="1"/>
          <w:left w:val="single" w:color="auto" w:sz="4" w:space="4"/>
          <w:bottom w:val="single" w:color="auto" w:sz="4" w:space="1"/>
          <w:right w:val="single" w:color="auto" w:sz="4" w:space="4"/>
        </w:pBdr>
        <w:wordWrap w:val="0"/>
        <w:topLinePunct/>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eastAsia="zh-CN"/>
        </w:rPr>
        <w:t>浙江省公安特警训练基地2025年度保障性基建维修项目</w:t>
      </w:r>
      <w:r>
        <w:rPr>
          <w:rFonts w:hint="eastAsia" w:ascii="宋体" w:hAnsi="宋体" w:eastAsia="宋体" w:cs="宋体"/>
          <w:color w:val="auto"/>
          <w:sz w:val="24"/>
          <w:highlight w:val="none"/>
        </w:rPr>
        <w:t>的潜在供应商应在</w:t>
      </w:r>
      <w:r>
        <w:rPr>
          <w:rFonts w:hint="eastAsia" w:ascii="宋体" w:hAnsi="宋体" w:eastAsia="宋体" w:cs="宋体"/>
          <w:color w:val="auto"/>
          <w:sz w:val="24"/>
          <w:highlight w:val="none"/>
          <w:u w:val="single"/>
        </w:rPr>
        <w:t>https://www.zcygov.cn</w:t>
      </w:r>
      <w:r>
        <w:rPr>
          <w:rFonts w:hint="eastAsia" w:ascii="宋体" w:hAnsi="宋体" w:eastAsia="宋体" w:cs="宋体"/>
          <w:color w:val="auto"/>
          <w:sz w:val="24"/>
          <w:highlight w:val="none"/>
        </w:rPr>
        <w:t>获取（下载）采购文件，并于</w:t>
      </w:r>
      <w:r>
        <w:rPr>
          <w:rFonts w:hint="eastAsia" w:ascii="宋体" w:hAnsi="宋体" w:eastAsia="宋体" w:cs="宋体"/>
          <w:color w:val="auto"/>
          <w:sz w:val="24"/>
          <w:highlight w:val="none"/>
          <w:u w:val="single"/>
          <w:lang w:eastAsia="zh-CN"/>
        </w:rPr>
        <w:t>2025年</w:t>
      </w:r>
      <w:r>
        <w:rPr>
          <w:rFonts w:hint="eastAsia" w:ascii="宋体" w:hAnsi="宋体" w:eastAsia="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3</w:t>
      </w:r>
      <w:r>
        <w:rPr>
          <w:rFonts w:hint="eastAsia" w:ascii="宋体" w:hAnsi="宋体" w:eastAsia="宋体" w:cs="宋体"/>
          <w:color w:val="auto"/>
          <w:sz w:val="24"/>
          <w:highlight w:val="none"/>
          <w:u w:val="single"/>
        </w:rPr>
        <w:t>0:00</w:t>
      </w:r>
      <w:r>
        <w:rPr>
          <w:rFonts w:hint="eastAsia" w:ascii="宋体" w:hAnsi="宋体" w:eastAsia="宋体" w:cs="宋体"/>
          <w:bCs/>
          <w:color w:val="auto"/>
          <w:sz w:val="24"/>
          <w:highlight w:val="none"/>
        </w:rPr>
        <w:t>（北京时间）前提交（上传）响应文件</w:t>
      </w:r>
      <w:r>
        <w:rPr>
          <w:rFonts w:hint="eastAsia" w:ascii="宋体" w:hAnsi="宋体" w:eastAsia="宋体" w:cs="宋体"/>
          <w:color w:val="auto"/>
          <w:sz w:val="24"/>
          <w:highlight w:val="none"/>
        </w:rPr>
        <w:t>。</w:t>
      </w:r>
    </w:p>
    <w:p w14:paraId="43C60BA5">
      <w:pPr>
        <w:adjustRightInd w:val="0"/>
        <w:snapToGrid w:val="0"/>
        <w:spacing w:line="360" w:lineRule="auto"/>
        <w:rPr>
          <w:rFonts w:hint="eastAsia" w:ascii="宋体" w:hAnsi="宋体" w:eastAsia="宋体" w:cs="宋体"/>
          <w:b/>
          <w:color w:val="auto"/>
          <w:sz w:val="24"/>
          <w:highlight w:val="none"/>
        </w:rPr>
      </w:pPr>
      <w:bookmarkStart w:id="1" w:name="_Toc28359079"/>
      <w:bookmarkStart w:id="2" w:name="_Toc35393621"/>
      <w:bookmarkStart w:id="3" w:name="_Toc35393790"/>
      <w:bookmarkStart w:id="4" w:name="_Toc28359002"/>
      <w:bookmarkStart w:id="5" w:name="_Hlk24379207"/>
      <w:r>
        <w:rPr>
          <w:rFonts w:hint="eastAsia" w:ascii="宋体" w:hAnsi="宋体" w:eastAsia="宋体" w:cs="宋体"/>
          <w:b/>
          <w:color w:val="auto"/>
          <w:sz w:val="24"/>
          <w:highlight w:val="none"/>
        </w:rPr>
        <w:t>一、项目基本情况</w:t>
      </w:r>
      <w:bookmarkEnd w:id="1"/>
      <w:bookmarkEnd w:id="2"/>
      <w:bookmarkEnd w:id="3"/>
      <w:bookmarkEnd w:id="4"/>
    </w:p>
    <w:p w14:paraId="61E30EAA">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YHQT25-01044</w:t>
      </w:r>
    </w:p>
    <w:p w14:paraId="0AF8BA69">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浙江省公安特警训练基地2025年度保障性基建维修项目</w:t>
      </w:r>
    </w:p>
    <w:p w14:paraId="4EB6ABC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采购方式：竞争性磋商</w:t>
      </w:r>
      <w:bookmarkEnd w:id="5"/>
    </w:p>
    <w:p w14:paraId="12AB370F">
      <w:pPr>
        <w:adjustRightInd w:val="0"/>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预算金额（元）：</w:t>
      </w:r>
      <w:r>
        <w:rPr>
          <w:rFonts w:hint="eastAsia" w:ascii="宋体" w:hAnsi="宋体" w:eastAsia="宋体" w:cs="宋体"/>
          <w:color w:val="auto"/>
          <w:sz w:val="24"/>
          <w:highlight w:val="none"/>
          <w:lang w:val="en-US" w:eastAsia="zh-CN"/>
        </w:rPr>
        <w:t>458304</w:t>
      </w:r>
    </w:p>
    <w:p w14:paraId="3E1B8A95">
      <w:pPr>
        <w:adjustRightInd w:val="0"/>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最高限价（元）：</w:t>
      </w:r>
      <w:r>
        <w:rPr>
          <w:rFonts w:hint="eastAsia" w:ascii="宋体" w:hAnsi="宋体" w:eastAsia="宋体" w:cs="宋体"/>
          <w:color w:val="auto"/>
          <w:sz w:val="24"/>
          <w:highlight w:val="none"/>
          <w:lang w:val="en-US" w:eastAsia="zh-CN"/>
        </w:rPr>
        <w:t>458304</w:t>
      </w:r>
    </w:p>
    <w:p w14:paraId="4998715A">
      <w:pPr>
        <w:adjustRightInd w:val="0"/>
        <w:snapToGrid w:val="0"/>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采购需求：</w:t>
      </w:r>
    </w:p>
    <w:p w14:paraId="4DCF779C">
      <w:pPr>
        <w:adjustRightInd w:val="0"/>
        <w:snapToGrid w:val="0"/>
        <w:spacing w:line="360" w:lineRule="auto"/>
        <w:ind w:firstLine="638" w:firstLineChars="266"/>
        <w:rPr>
          <w:rFonts w:hint="eastAsia" w:ascii="宋体" w:hAnsi="宋体" w:eastAsia="宋体" w:cs="宋体"/>
          <w:color w:val="auto"/>
          <w:sz w:val="24"/>
          <w:highlight w:val="none"/>
        </w:rPr>
      </w:pPr>
      <w:r>
        <w:rPr>
          <w:rFonts w:hint="eastAsia" w:ascii="宋体" w:hAnsi="宋体" w:eastAsia="宋体" w:cs="宋体"/>
          <w:color w:val="auto"/>
          <w:sz w:val="24"/>
          <w:highlight w:val="none"/>
        </w:rPr>
        <w:t>数量：1</w:t>
      </w:r>
    </w:p>
    <w:p w14:paraId="31AC0A29">
      <w:pPr>
        <w:adjustRightInd w:val="0"/>
        <w:snapToGrid w:val="0"/>
        <w:spacing w:line="360" w:lineRule="auto"/>
        <w:ind w:firstLine="638" w:firstLineChars="266"/>
        <w:rPr>
          <w:rFonts w:hint="eastAsia" w:ascii="宋体" w:hAnsi="宋体" w:eastAsia="宋体" w:cs="宋体"/>
          <w:color w:val="auto"/>
          <w:sz w:val="24"/>
          <w:highlight w:val="none"/>
        </w:rPr>
      </w:pPr>
      <w:r>
        <w:rPr>
          <w:rFonts w:hint="eastAsia" w:ascii="宋体" w:hAnsi="宋体" w:eastAsia="宋体" w:cs="宋体"/>
          <w:color w:val="auto"/>
          <w:sz w:val="24"/>
          <w:highlight w:val="none"/>
        </w:rPr>
        <w:t>单位：项</w:t>
      </w:r>
    </w:p>
    <w:p w14:paraId="238E7EF8">
      <w:pPr>
        <w:adjustRightInd w:val="0"/>
        <w:snapToGrid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预算金额（元）：</w:t>
      </w:r>
      <w:r>
        <w:rPr>
          <w:rFonts w:hint="eastAsia" w:ascii="宋体" w:hAnsi="宋体" w:eastAsia="宋体" w:cs="宋体"/>
          <w:color w:val="auto"/>
          <w:sz w:val="24"/>
          <w:highlight w:val="none"/>
          <w:lang w:val="en-US" w:eastAsia="zh-CN"/>
        </w:rPr>
        <w:t>458304</w:t>
      </w:r>
    </w:p>
    <w:p w14:paraId="5C5A92A6">
      <w:pPr>
        <w:adjustRightInd w:val="0"/>
        <w:snapToGrid w:val="0"/>
        <w:spacing w:line="360" w:lineRule="auto"/>
        <w:ind w:firstLine="638" w:firstLineChars="266"/>
        <w:rPr>
          <w:rFonts w:hint="eastAsia" w:ascii="宋体" w:hAnsi="宋体" w:eastAsia="宋体" w:cs="宋体"/>
          <w:color w:val="auto"/>
          <w:sz w:val="24"/>
          <w:highlight w:val="none"/>
        </w:rPr>
      </w:pPr>
      <w:r>
        <w:rPr>
          <w:rFonts w:hint="eastAsia" w:ascii="宋体" w:hAnsi="宋体" w:eastAsia="宋体" w:cs="宋体"/>
          <w:color w:val="auto"/>
          <w:sz w:val="24"/>
          <w:highlight w:val="none"/>
        </w:rPr>
        <w:t>简要规格描述：</w:t>
      </w:r>
      <w:r>
        <w:rPr>
          <w:rFonts w:hint="eastAsia" w:ascii="宋体" w:hAnsi="宋体" w:eastAsia="宋体" w:cs="宋体"/>
          <w:color w:val="auto"/>
          <w:sz w:val="24"/>
          <w:highlight w:val="none"/>
          <w:lang w:eastAsia="zh-CN"/>
        </w:rPr>
        <w:t>浙江省公安特警训练基地2025年度保障性基建维修项目</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rPr>
        <w:t>具体详见清单</w:t>
      </w:r>
      <w:r>
        <w:rPr>
          <w:rFonts w:hint="eastAsia" w:ascii="宋体" w:hAnsi="宋体" w:eastAsia="宋体" w:cs="宋体"/>
          <w:color w:val="auto"/>
          <w:sz w:val="24"/>
          <w:highlight w:val="none"/>
        </w:rPr>
        <w:t>。</w:t>
      </w:r>
    </w:p>
    <w:p w14:paraId="0372E8B7">
      <w:pPr>
        <w:adjustRightInd w:val="0"/>
        <w:snapToGrid w:val="0"/>
        <w:spacing w:line="360" w:lineRule="auto"/>
        <w:ind w:firstLine="638" w:firstLineChars="266"/>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合同履行期限：</w:t>
      </w:r>
      <w:r>
        <w:rPr>
          <w:rFonts w:hint="eastAsia" w:ascii="宋体" w:hAnsi="宋体" w:eastAsia="宋体" w:cs="宋体"/>
          <w:sz w:val="24"/>
          <w:highlight w:val="none"/>
        </w:rPr>
        <w:t>30日历天内完成。</w:t>
      </w:r>
    </w:p>
    <w:p w14:paraId="70C2013F">
      <w:pPr>
        <w:adjustRightInd w:val="0"/>
        <w:snapToGrid w:val="0"/>
        <w:spacing w:line="360" w:lineRule="auto"/>
        <w:ind w:firstLine="638" w:firstLineChars="266"/>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本项目接受联合体参加磋商。</w:t>
      </w:r>
    </w:p>
    <w:p w14:paraId="205851EC">
      <w:pPr>
        <w:adjustRightInd w:val="0"/>
        <w:snapToGrid w:val="0"/>
        <w:spacing w:line="360" w:lineRule="auto"/>
        <w:rPr>
          <w:rFonts w:hint="eastAsia" w:ascii="宋体" w:hAnsi="宋体" w:eastAsia="宋体" w:cs="宋体"/>
          <w:b/>
          <w:color w:val="auto"/>
          <w:sz w:val="24"/>
          <w:highlight w:val="none"/>
        </w:rPr>
      </w:pPr>
      <w:bookmarkStart w:id="6" w:name="_Toc28359080"/>
      <w:bookmarkStart w:id="7" w:name="_Toc35393791"/>
      <w:bookmarkStart w:id="8" w:name="_Toc35393622"/>
      <w:bookmarkStart w:id="9" w:name="_Toc28359003"/>
      <w:r>
        <w:rPr>
          <w:rFonts w:hint="eastAsia" w:ascii="宋体" w:hAnsi="宋体" w:eastAsia="宋体" w:cs="宋体"/>
          <w:b/>
          <w:color w:val="auto"/>
          <w:sz w:val="24"/>
          <w:highlight w:val="none"/>
        </w:rPr>
        <w:t>二、供应商的资格要求：</w:t>
      </w:r>
      <w:bookmarkEnd w:id="6"/>
      <w:bookmarkEnd w:id="7"/>
      <w:bookmarkEnd w:id="8"/>
      <w:bookmarkEnd w:id="9"/>
    </w:p>
    <w:p w14:paraId="5FF89E8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0F0AF2CF">
      <w:pPr>
        <w:adjustRightInd w:val="0"/>
        <w:snapToGrid w:val="0"/>
        <w:spacing w:line="360" w:lineRule="auto"/>
        <w:ind w:firstLine="480" w:firstLineChars="200"/>
        <w:rPr>
          <w:rFonts w:hint="eastAsia" w:ascii="宋体" w:hAnsi="宋体" w:eastAsia="宋体" w:cs="宋体"/>
          <w:color w:val="auto"/>
          <w:sz w:val="24"/>
          <w:highlight w:val="none"/>
          <w:u w:val="single"/>
        </w:rPr>
      </w:pPr>
      <w:bookmarkStart w:id="10" w:name="_Toc28359081"/>
      <w:bookmarkStart w:id="11" w:name="_Toc28359004"/>
      <w:r>
        <w:rPr>
          <w:rFonts w:hint="eastAsia" w:ascii="宋体" w:hAnsi="宋体" w:eastAsia="宋体" w:cs="宋体"/>
          <w:color w:val="auto"/>
          <w:sz w:val="24"/>
          <w:highlight w:val="none"/>
        </w:rPr>
        <w:t>2.落实政府采购政策需满足的资格要求：本项目专门面向中小企业采购,提供</w:t>
      </w:r>
      <w:r>
        <w:rPr>
          <w:rFonts w:hint="eastAsia" w:ascii="宋体" w:hAnsi="宋体" w:eastAsia="宋体" w:cs="宋体"/>
          <w:color w:val="auto"/>
          <w:sz w:val="24"/>
          <w:highlight w:val="none"/>
          <w:lang w:val="en-US" w:eastAsia="zh-CN"/>
        </w:rPr>
        <w:t>工程</w:t>
      </w:r>
      <w:r>
        <w:rPr>
          <w:rFonts w:hint="eastAsia" w:ascii="宋体" w:hAnsi="宋体" w:eastAsia="宋体" w:cs="宋体"/>
          <w:color w:val="auto"/>
          <w:sz w:val="24"/>
          <w:highlight w:val="none"/>
        </w:rPr>
        <w:t>的供应商应为中小微企业或监狱企业或残疾人福利性单位，提供中小企业声明函 。</w:t>
      </w:r>
    </w:p>
    <w:p w14:paraId="074C2FA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3.本项目的特定资格要求：</w:t>
      </w:r>
      <w:r>
        <w:rPr>
          <w:rFonts w:hint="eastAsia" w:ascii="宋体" w:hAnsi="宋体" w:eastAsia="宋体" w:cs="宋体"/>
          <w:color w:val="auto"/>
          <w:sz w:val="24"/>
          <w:highlight w:val="none"/>
          <w:u w:val="single"/>
        </w:rPr>
        <w:t>①供应商具有建设行政主管部门核定的建筑</w:t>
      </w:r>
      <w:r>
        <w:rPr>
          <w:rFonts w:hint="eastAsia" w:ascii="宋体" w:hAnsi="宋体" w:eastAsia="宋体" w:cs="宋体"/>
          <w:color w:val="auto"/>
          <w:sz w:val="24"/>
          <w:highlight w:val="none"/>
          <w:u w:val="single"/>
          <w:lang w:val="en-US" w:eastAsia="zh-CN"/>
        </w:rPr>
        <w:t>施工总</w:t>
      </w:r>
      <w:r>
        <w:rPr>
          <w:rFonts w:hint="eastAsia" w:ascii="宋体" w:hAnsi="宋体" w:eastAsia="宋体" w:cs="宋体"/>
          <w:color w:val="auto"/>
          <w:sz w:val="24"/>
          <w:highlight w:val="none"/>
          <w:u w:val="single"/>
        </w:rPr>
        <w:t>承包</w:t>
      </w:r>
      <w:r>
        <w:rPr>
          <w:rFonts w:hint="eastAsia" w:ascii="宋体" w:hAnsi="宋体" w:eastAsia="宋体" w:cs="宋体"/>
          <w:color w:val="auto"/>
          <w:sz w:val="24"/>
          <w:highlight w:val="none"/>
          <w:u w:val="single"/>
          <w:lang w:val="en-US" w:eastAsia="zh-CN"/>
        </w:rPr>
        <w:t>三</w:t>
      </w:r>
      <w:r>
        <w:rPr>
          <w:rFonts w:hint="eastAsia" w:ascii="宋体" w:hAnsi="宋体" w:eastAsia="宋体" w:cs="宋体"/>
          <w:color w:val="auto"/>
          <w:sz w:val="24"/>
          <w:highlight w:val="none"/>
          <w:u w:val="single"/>
        </w:rPr>
        <w:t>级及以上资质且具有有效期内的《安全生产许可证书》；②项目</w:t>
      </w:r>
      <w:r>
        <w:rPr>
          <w:rFonts w:hint="eastAsia" w:ascii="宋体" w:hAnsi="宋体" w:eastAsia="宋体" w:cs="宋体"/>
          <w:color w:val="auto"/>
          <w:sz w:val="24"/>
          <w:highlight w:val="none"/>
          <w:u w:val="single"/>
          <w:lang w:val="en-US" w:eastAsia="zh-CN"/>
        </w:rPr>
        <w:t>负责人</w:t>
      </w:r>
      <w:r>
        <w:rPr>
          <w:rFonts w:hint="eastAsia" w:ascii="宋体" w:hAnsi="宋体" w:eastAsia="宋体" w:cs="宋体"/>
          <w:color w:val="auto"/>
          <w:sz w:val="24"/>
          <w:highlight w:val="none"/>
          <w:u w:val="single"/>
        </w:rPr>
        <w:t>具有</w:t>
      </w:r>
      <w:r>
        <w:rPr>
          <w:rFonts w:hint="eastAsia" w:ascii="宋体" w:hAnsi="宋体" w:eastAsia="宋体" w:cs="宋体"/>
          <w:color w:val="auto"/>
          <w:sz w:val="24"/>
          <w:highlight w:val="none"/>
          <w:u w:val="single"/>
          <w:lang w:val="en-US" w:eastAsia="zh-CN"/>
        </w:rPr>
        <w:t>建筑</w:t>
      </w:r>
      <w:r>
        <w:rPr>
          <w:rFonts w:hint="eastAsia" w:ascii="宋体" w:hAnsi="宋体" w:eastAsia="宋体" w:cs="宋体"/>
          <w:color w:val="auto"/>
          <w:sz w:val="24"/>
          <w:highlight w:val="none"/>
          <w:u w:val="single"/>
        </w:rPr>
        <w:t>工程专业二级及以上建造师资格证书且具有安全考核证书B证</w:t>
      </w:r>
      <w:r>
        <w:rPr>
          <w:rFonts w:hint="eastAsia" w:ascii="宋体" w:hAnsi="宋体" w:eastAsia="宋体" w:cs="宋体"/>
          <w:color w:val="auto"/>
          <w:sz w:val="24"/>
          <w:highlight w:val="none"/>
        </w:rPr>
        <w:t>；</w:t>
      </w:r>
    </w:p>
    <w:p w14:paraId="3F4A6523">
      <w:pPr>
        <w:adjustRightInd w:val="0"/>
        <w:snapToGrid w:val="0"/>
        <w:spacing w:line="360" w:lineRule="auto"/>
        <w:rPr>
          <w:rFonts w:hint="eastAsia" w:ascii="宋体" w:hAnsi="宋体" w:eastAsia="宋体" w:cs="宋体"/>
          <w:b/>
          <w:color w:val="auto"/>
          <w:sz w:val="24"/>
          <w:highlight w:val="none"/>
        </w:rPr>
      </w:pPr>
      <w:bookmarkStart w:id="12" w:name="_Toc35393792"/>
      <w:bookmarkStart w:id="13" w:name="_Toc35393623"/>
      <w:r>
        <w:rPr>
          <w:rFonts w:hint="eastAsia" w:ascii="宋体" w:hAnsi="宋体" w:eastAsia="宋体" w:cs="宋体"/>
          <w:b/>
          <w:color w:val="auto"/>
          <w:sz w:val="24"/>
          <w:highlight w:val="none"/>
        </w:rPr>
        <w:t>三、获取采购文件</w:t>
      </w:r>
      <w:bookmarkEnd w:id="10"/>
      <w:bookmarkEnd w:id="11"/>
      <w:bookmarkEnd w:id="12"/>
      <w:bookmarkEnd w:id="13"/>
    </w:p>
    <w:p w14:paraId="28018E8B">
      <w:pPr>
        <w:adjustRightInd w:val="0"/>
        <w:snapToGrid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1.时间：自本公告发布之日起至响应文件递交截止时间止，每天上午00:00至12:00 ，下午12:00至23:59（北京时间，节假日除外）；</w:t>
      </w:r>
    </w:p>
    <w:p w14:paraId="7CD0FFF6">
      <w:pPr>
        <w:adjustRightInd w:val="0"/>
        <w:snapToGrid w:val="0"/>
        <w:spacing w:line="360" w:lineRule="auto"/>
        <w:ind w:firstLine="54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2.地点（网址）：</w:t>
      </w:r>
      <w:r>
        <w:rPr>
          <w:rFonts w:hint="eastAsia" w:ascii="宋体" w:hAnsi="宋体" w:eastAsia="宋体" w:cs="宋体"/>
          <w:color w:val="auto"/>
          <w:sz w:val="24"/>
          <w:highlight w:val="none"/>
          <w:u w:val="single"/>
        </w:rPr>
        <w:t>政采云平台（https://www.zcygov.cn/）</w:t>
      </w:r>
    </w:p>
    <w:p w14:paraId="76AC482C">
      <w:pPr>
        <w:adjustRightInd w:val="0"/>
        <w:snapToGrid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3.方式：线上获取（登录政府采购云平台 → 项目采购 → 获取采购文件 → 申请，审核通过后可下载采购文件）。本次采购不提供纸质版采购文件。（2）供应商获取采购文件前应通过浙江政府采购网“浙江政府采购供应商信息登记管理系统”进行信息登记，获得线上政府采购活动操作权限。</w:t>
      </w:r>
    </w:p>
    <w:p w14:paraId="6BE3A635">
      <w:pPr>
        <w:adjustRightInd w:val="0"/>
        <w:snapToGrid w:val="0"/>
        <w:spacing w:line="360" w:lineRule="auto"/>
        <w:rPr>
          <w:rFonts w:hint="eastAsia" w:ascii="宋体" w:hAnsi="宋体" w:eastAsia="宋体" w:cs="宋体"/>
          <w:b/>
          <w:color w:val="auto"/>
          <w:sz w:val="24"/>
          <w:highlight w:val="none"/>
        </w:rPr>
      </w:pPr>
      <w:bookmarkStart w:id="14" w:name="_Toc35393793"/>
      <w:bookmarkStart w:id="15" w:name="_Toc28359005"/>
      <w:bookmarkStart w:id="16" w:name="_Toc35393624"/>
      <w:bookmarkStart w:id="17" w:name="_Toc28359082"/>
      <w:r>
        <w:rPr>
          <w:rFonts w:hint="eastAsia" w:ascii="宋体" w:hAnsi="宋体" w:eastAsia="宋体" w:cs="宋体"/>
          <w:b/>
          <w:color w:val="auto"/>
          <w:sz w:val="24"/>
          <w:highlight w:val="none"/>
        </w:rPr>
        <w:t>四、</w:t>
      </w:r>
      <w:bookmarkEnd w:id="14"/>
      <w:bookmarkEnd w:id="15"/>
      <w:bookmarkEnd w:id="16"/>
      <w:bookmarkEnd w:id="17"/>
      <w:r>
        <w:rPr>
          <w:rFonts w:hint="eastAsia" w:ascii="宋体" w:hAnsi="宋体" w:eastAsia="宋体" w:cs="宋体"/>
          <w:b/>
          <w:color w:val="auto"/>
          <w:sz w:val="24"/>
          <w:highlight w:val="none"/>
        </w:rPr>
        <w:t>响应文件递交（上传）</w:t>
      </w:r>
    </w:p>
    <w:p w14:paraId="3973F7E9">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1.递交响应文件截止时间：</w:t>
      </w:r>
      <w:r>
        <w:rPr>
          <w:rFonts w:hint="eastAsia" w:ascii="宋体" w:hAnsi="宋体" w:eastAsia="宋体" w:cs="宋体"/>
          <w:color w:val="auto"/>
          <w:sz w:val="24"/>
          <w:highlight w:val="none"/>
          <w:u w:val="single"/>
          <w:lang w:eastAsia="zh-CN"/>
        </w:rPr>
        <w:t>2025年</w:t>
      </w:r>
      <w:r>
        <w:rPr>
          <w:rFonts w:hint="eastAsia" w:ascii="宋体" w:hAnsi="宋体" w:eastAsia="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3</w:t>
      </w:r>
      <w:r>
        <w:rPr>
          <w:rFonts w:hint="eastAsia" w:ascii="宋体" w:hAnsi="宋体" w:eastAsia="宋体" w:cs="宋体"/>
          <w:color w:val="auto"/>
          <w:sz w:val="24"/>
          <w:highlight w:val="none"/>
          <w:u w:val="single"/>
        </w:rPr>
        <w:t>0:00</w:t>
      </w:r>
      <w:r>
        <w:rPr>
          <w:rFonts w:hint="eastAsia" w:ascii="宋体" w:hAnsi="宋体" w:eastAsia="宋体" w:cs="宋体"/>
          <w:bCs/>
          <w:color w:val="auto"/>
          <w:sz w:val="24"/>
          <w:highlight w:val="none"/>
        </w:rPr>
        <w:t>（北京时间）</w:t>
      </w:r>
    </w:p>
    <w:p w14:paraId="538AE681">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2.递交地点（网址）：政采云平台（https://www.zcygov.cn/）。</w:t>
      </w:r>
    </w:p>
    <w:p w14:paraId="7C9B451B">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五、响应文件开启</w:t>
      </w:r>
    </w:p>
    <w:p w14:paraId="223A78B5">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1.开启时间：</w:t>
      </w:r>
      <w:r>
        <w:rPr>
          <w:rFonts w:hint="eastAsia" w:ascii="宋体" w:hAnsi="宋体" w:eastAsia="宋体" w:cs="宋体"/>
          <w:color w:val="auto"/>
          <w:sz w:val="24"/>
          <w:highlight w:val="none"/>
          <w:u w:val="single"/>
          <w:lang w:eastAsia="zh-CN"/>
        </w:rPr>
        <w:t>2025年</w:t>
      </w:r>
      <w:r>
        <w:rPr>
          <w:rFonts w:hint="eastAsia" w:ascii="宋体" w:hAnsi="宋体" w:eastAsia="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3</w:t>
      </w:r>
      <w:r>
        <w:rPr>
          <w:rFonts w:hint="eastAsia" w:ascii="宋体" w:hAnsi="宋体" w:eastAsia="宋体" w:cs="宋体"/>
          <w:color w:val="auto"/>
          <w:sz w:val="24"/>
          <w:highlight w:val="none"/>
          <w:u w:val="single"/>
        </w:rPr>
        <w:t>0:00</w:t>
      </w:r>
      <w:r>
        <w:rPr>
          <w:rFonts w:hint="eastAsia" w:ascii="宋体" w:hAnsi="宋体" w:eastAsia="宋体" w:cs="宋体"/>
          <w:bCs/>
          <w:color w:val="auto"/>
          <w:sz w:val="24"/>
          <w:highlight w:val="none"/>
        </w:rPr>
        <w:t>（北京时间）</w:t>
      </w:r>
    </w:p>
    <w:p w14:paraId="05E2ED4B">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2.地点（网址）：</w:t>
      </w:r>
      <w:r>
        <w:rPr>
          <w:rFonts w:hint="eastAsia" w:ascii="宋体" w:hAnsi="宋体" w:eastAsia="宋体" w:cs="宋体"/>
          <w:bCs/>
          <w:color w:val="auto"/>
          <w:sz w:val="24"/>
          <w:highlight w:val="none"/>
          <w:u w:val="single"/>
        </w:rPr>
        <w:t>政采云平台（https://www.zcygov.cn/）。</w:t>
      </w:r>
    </w:p>
    <w:p w14:paraId="7BD6D581">
      <w:pPr>
        <w:adjustRightInd w:val="0"/>
        <w:snapToGrid w:val="0"/>
        <w:spacing w:line="360" w:lineRule="auto"/>
        <w:jc w:val="left"/>
        <w:rPr>
          <w:rFonts w:hint="eastAsia" w:ascii="宋体" w:hAnsi="宋体" w:eastAsia="宋体" w:cs="宋体"/>
          <w:b/>
          <w:color w:val="auto"/>
          <w:sz w:val="24"/>
          <w:highlight w:val="none"/>
        </w:rPr>
      </w:pPr>
      <w:bookmarkStart w:id="18" w:name="_Toc35393625"/>
      <w:bookmarkStart w:id="19" w:name="_Toc28359084"/>
      <w:bookmarkStart w:id="20" w:name="_Toc28359007"/>
      <w:bookmarkStart w:id="21" w:name="_Toc35393794"/>
      <w:r>
        <w:rPr>
          <w:rFonts w:hint="eastAsia" w:ascii="宋体" w:hAnsi="宋体" w:eastAsia="宋体" w:cs="宋体"/>
          <w:b/>
          <w:color w:val="auto"/>
          <w:sz w:val="24"/>
          <w:highlight w:val="none"/>
        </w:rPr>
        <w:t>六、公告期限</w:t>
      </w:r>
      <w:bookmarkEnd w:id="18"/>
      <w:bookmarkEnd w:id="19"/>
      <w:bookmarkEnd w:id="20"/>
      <w:bookmarkEnd w:id="21"/>
    </w:p>
    <w:p w14:paraId="697EF165">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自本公告发布之日起3个工作日。</w:t>
      </w:r>
    </w:p>
    <w:p w14:paraId="4AFE3BF5">
      <w:pPr>
        <w:adjustRightInd w:val="0"/>
        <w:snapToGrid w:val="0"/>
        <w:spacing w:line="360" w:lineRule="auto"/>
        <w:rPr>
          <w:rFonts w:hint="eastAsia" w:ascii="宋体" w:hAnsi="宋体" w:eastAsia="宋体" w:cs="宋体"/>
          <w:b/>
          <w:color w:val="auto"/>
          <w:sz w:val="24"/>
          <w:highlight w:val="none"/>
        </w:rPr>
      </w:pPr>
      <w:bookmarkStart w:id="22" w:name="_Toc35393626"/>
      <w:bookmarkStart w:id="23" w:name="_Toc35393795"/>
      <w:r>
        <w:rPr>
          <w:rFonts w:hint="eastAsia" w:ascii="宋体" w:hAnsi="宋体" w:eastAsia="宋体" w:cs="宋体"/>
          <w:b/>
          <w:color w:val="auto"/>
          <w:sz w:val="24"/>
          <w:highlight w:val="none"/>
        </w:rPr>
        <w:t>七、其他补充事宜</w:t>
      </w:r>
      <w:bookmarkEnd w:id="22"/>
      <w:bookmarkEnd w:id="23"/>
    </w:p>
    <w:p w14:paraId="3EBF94C7">
      <w:pPr>
        <w:pStyle w:val="23"/>
        <w:adjustRightInd w:val="0"/>
        <w:snapToGrid w:val="0"/>
        <w:spacing w:line="360" w:lineRule="auto"/>
        <w:ind w:firstLine="46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5A3BAD19">
      <w:pPr>
        <w:pStyle w:val="23"/>
        <w:adjustRightInd w:val="0"/>
        <w:snapToGrid w:val="0"/>
        <w:spacing w:line="360" w:lineRule="auto"/>
        <w:ind w:firstLine="46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F0E9293">
      <w:pPr>
        <w:pStyle w:val="23"/>
        <w:adjustRightInd w:val="0"/>
        <w:snapToGrid w:val="0"/>
        <w:spacing w:line="360" w:lineRule="auto"/>
        <w:ind w:firstLine="46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278EC641">
      <w:pPr>
        <w:pStyle w:val="23"/>
        <w:adjustRightInd w:val="0"/>
        <w:snapToGrid w:val="0"/>
        <w:spacing w:line="360" w:lineRule="auto"/>
        <w:ind w:firstLine="465"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6030A05F">
      <w:pPr>
        <w:adjustRightInd w:val="0"/>
        <w:snapToGrid w:val="0"/>
        <w:spacing w:line="360" w:lineRule="auto"/>
        <w:rPr>
          <w:rFonts w:hint="eastAsia" w:ascii="宋体" w:hAnsi="宋体" w:eastAsia="宋体" w:cs="宋体"/>
          <w:color w:val="auto"/>
          <w:kern w:val="2"/>
          <w:sz w:val="24"/>
          <w:szCs w:val="24"/>
          <w:highlight w:val="none"/>
          <w:lang w:val="en-US" w:eastAsia="zh-CN" w:bidi="ar-SA"/>
        </w:rPr>
      </w:pPr>
      <w:bookmarkStart w:id="24" w:name="_Toc28359008"/>
      <w:bookmarkStart w:id="25" w:name="_Toc35393627"/>
      <w:bookmarkStart w:id="26" w:name="_Toc28359085"/>
      <w:bookmarkStart w:id="27" w:name="_Toc35393796"/>
      <w:r>
        <w:rPr>
          <w:rFonts w:hint="eastAsia" w:ascii="宋体" w:hAnsi="宋体" w:eastAsia="宋体" w:cs="宋体"/>
          <w:b/>
          <w:color w:val="auto"/>
          <w:sz w:val="24"/>
          <w:highlight w:val="none"/>
        </w:rPr>
        <w:t>八、对本次采购提出询问、质疑、投诉，请按以下方式联系。</w:t>
      </w:r>
      <w:bookmarkEnd w:id="24"/>
      <w:bookmarkEnd w:id="25"/>
      <w:bookmarkEnd w:id="26"/>
      <w:bookmarkEnd w:id="27"/>
    </w:p>
    <w:p w14:paraId="3FF263AD">
      <w:pPr>
        <w:widowControl/>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1.采购人信息</w:t>
      </w:r>
    </w:p>
    <w:p w14:paraId="4E8044B9">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名称：浙江警察学院</w:t>
      </w:r>
    </w:p>
    <w:p w14:paraId="2BC66571">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地址：浙江省杭州市滨江区滨文路555号</w:t>
      </w:r>
    </w:p>
    <w:p w14:paraId="5F9949FE">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项目联系人（询问）：王老师</w:t>
      </w:r>
    </w:p>
    <w:p w14:paraId="17C8CAEB">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项目联系方式（询问）：</w:t>
      </w:r>
      <w:bookmarkStart w:id="28" w:name="_Toc28359009"/>
      <w:bookmarkStart w:id="29" w:name="_Toc28359086"/>
      <w:r>
        <w:rPr>
          <w:rFonts w:hint="eastAsia" w:ascii="宋体" w:hAnsi="宋体" w:eastAsia="宋体" w:cs="宋体"/>
          <w:color w:val="auto"/>
          <w:kern w:val="2"/>
          <w:sz w:val="24"/>
          <w:szCs w:val="24"/>
          <w:highlight w:val="none"/>
          <w:lang w:val="en-US" w:eastAsia="zh-CN" w:bidi="ar-SA"/>
        </w:rPr>
        <w:t>0571-88892715</w:t>
      </w:r>
      <w:bookmarkEnd w:id="28"/>
      <w:bookmarkEnd w:id="29"/>
    </w:p>
    <w:p w14:paraId="7DD445D0">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质疑联系人：梁老师</w:t>
      </w:r>
    </w:p>
    <w:p w14:paraId="40D2F8F3">
      <w:pPr>
        <w:adjustRightInd w:val="0"/>
        <w:snapToGrid w:val="0"/>
        <w:spacing w:line="360" w:lineRule="auto"/>
        <w:ind w:firstLine="420" w:firstLineChars="175"/>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质疑联系方式：0571-87787163</w:t>
      </w:r>
    </w:p>
    <w:p w14:paraId="53195063">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2.采购代理机构信息</w:t>
      </w:r>
    </w:p>
    <w:p w14:paraId="30DD5355">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名  称：耀华建设管理有限公司</w:t>
      </w:r>
    </w:p>
    <w:p w14:paraId="31BDF587">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地  址：杭州市钱塘区智慧谷1号楼7楼701室</w:t>
      </w:r>
    </w:p>
    <w:p w14:paraId="3BA31299">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传  真：/</w:t>
      </w:r>
    </w:p>
    <w:p w14:paraId="58E6537A">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项目联系人（询问）：王菁菁</w:t>
      </w:r>
    </w:p>
    <w:p w14:paraId="77A9E712">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项目联系方式（询问）：13600522749</w:t>
      </w:r>
    </w:p>
    <w:p w14:paraId="4DC73E38">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质疑联系人：陈庆朋  </w:t>
      </w:r>
    </w:p>
    <w:p w14:paraId="04030D7E">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质疑联系方式：15268185845</w:t>
      </w:r>
    </w:p>
    <w:p w14:paraId="6F1D35B2">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p>
    <w:p w14:paraId="19E9B69F">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3.该项目由采购人处理采购争议。质疑环节，采购人委托采购代理机构处理的，可由采购代理机构答复。对质疑答复不满意的，向采购人内部设置的采购监督机构反映。</w:t>
      </w:r>
    </w:p>
    <w:p w14:paraId="785D6E95">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政策咨询：何一平、冯华，0571-87058424、87055741    </w:t>
      </w:r>
    </w:p>
    <w:p w14:paraId="284CC1D7">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预算金额未达100万元的采购项目，由采购人处理采购争议。    </w:t>
      </w:r>
    </w:p>
    <w:p w14:paraId="3A9FD1FC">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若对项目采购电子交易系统操作有疑问，可登录政采云（https://www.zcygov.cn/），点击右侧咨询小采，获取采小蜜智能服务管家帮助，或拨打政采云服务热线95763获取热线服务帮助。</w:t>
      </w:r>
    </w:p>
    <w:p w14:paraId="75AB32DF">
      <w:pPr>
        <w:pStyle w:val="6"/>
        <w:spacing w:line="440" w:lineRule="exact"/>
        <w:ind w:firstLine="464"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CA问题联系电话（人工）：汇信CA 400-888-4636；天谷CA 400-087-8198。</w:t>
      </w:r>
    </w:p>
    <w:p w14:paraId="79AEA735">
      <w:pPr>
        <w:rPr>
          <w:rFonts w:hint="eastAsia" w:ascii="宋体" w:hAnsi="宋体" w:eastAsia="宋体" w:cs="宋体"/>
          <w:color w:val="auto"/>
          <w:kern w:val="2"/>
          <w:sz w:val="24"/>
          <w:szCs w:val="24"/>
          <w:highlight w:val="none"/>
          <w:lang w:val="en-US" w:eastAsia="zh-CN" w:bidi="ar-SA"/>
        </w:rPr>
      </w:pPr>
    </w:p>
    <w:p w14:paraId="4482CD50">
      <w:pPr>
        <w:adjustRightInd w:val="0"/>
        <w:snapToGrid w:val="0"/>
        <w:spacing w:line="312" w:lineRule="auto"/>
        <w:ind w:left="238"/>
        <w:jc w:val="right"/>
        <w:rPr>
          <w:rFonts w:hint="eastAsia" w:ascii="宋体" w:hAnsi="宋体" w:eastAsia="宋体" w:cs="宋体"/>
          <w:color w:val="auto"/>
          <w:sz w:val="24"/>
          <w:szCs w:val="20"/>
          <w:highlight w:val="none"/>
        </w:rPr>
      </w:pPr>
    </w:p>
    <w:p w14:paraId="6CB66FCC">
      <w:pPr>
        <w:snapToGrid w:val="0"/>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bookmarkStart w:id="30" w:name="_Toc9596"/>
      <w:r>
        <w:rPr>
          <w:rFonts w:hint="eastAsia" w:ascii="宋体" w:hAnsi="宋体" w:eastAsia="宋体" w:cs="宋体"/>
          <w:b/>
          <w:color w:val="auto"/>
          <w:sz w:val="36"/>
          <w:szCs w:val="36"/>
          <w:highlight w:val="none"/>
        </w:rPr>
        <w:t>第二章 供应商须知</w:t>
      </w:r>
      <w:bookmarkEnd w:id="30"/>
    </w:p>
    <w:p w14:paraId="79019960">
      <w:pPr>
        <w:snapToGrid w:val="0"/>
        <w:spacing w:before="156" w:beforeLines="50" w:after="156" w:afterLines="50" w:line="360" w:lineRule="auto"/>
        <w:ind w:left="238"/>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前附表</w:t>
      </w:r>
    </w:p>
    <w:tbl>
      <w:tblPr>
        <w:tblStyle w:val="16"/>
        <w:tblW w:w="93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
        <w:gridCol w:w="1440"/>
        <w:gridCol w:w="7052"/>
      </w:tblGrid>
      <w:tr w14:paraId="36901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144999C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E0EFF9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0E443F0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14:paraId="6A9293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717D2EF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77D583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1082EE9E">
            <w:pPr>
              <w:adjustRightInd w:val="0"/>
              <w:snapToGrid w:val="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浙江省公安特警训练基地2025年度保障性基建维修项目</w:t>
            </w:r>
          </w:p>
        </w:tc>
      </w:tr>
      <w:tr w14:paraId="45569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4218B58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8F01913">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采购内</w:t>
            </w:r>
          </w:p>
          <w:p w14:paraId="1DCA7449">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容及数量</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36F8C990">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详见竞争性磋商采购文件第四章采购内容及需求部分</w:t>
            </w:r>
          </w:p>
        </w:tc>
      </w:tr>
      <w:tr w14:paraId="380386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2BBBD500">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29AB30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预算金额</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2C1BD6B3">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详见竞争性磋商公告</w:t>
            </w:r>
          </w:p>
        </w:tc>
      </w:tr>
      <w:tr w14:paraId="25769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12D75A2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FC9550D">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公告媒体</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6683EF4A">
            <w:pPr>
              <w:adjustRightInd w:val="0"/>
              <w:snapToGrid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浙江政府采购网（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"http://zfcg.czt.zj.gov.cn"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http://zfcg.czt.zj.gov.cn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w:t>
            </w:r>
          </w:p>
        </w:tc>
      </w:tr>
      <w:tr w14:paraId="3B240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69A639A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E1565D0">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电子交</w:t>
            </w:r>
          </w:p>
          <w:p w14:paraId="76614CD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易平台</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5504963D">
            <w:pPr>
              <w:adjustRightInd w:val="0"/>
              <w:snapToGrid w:val="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政采云平台（https://www.zcygov.cn/）</w:t>
            </w:r>
          </w:p>
        </w:tc>
      </w:tr>
      <w:tr w14:paraId="0F253A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289C8D7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A056A0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磋商报价</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09745A66">
            <w:pPr>
              <w:adjustRightInd w:val="0"/>
              <w:snapToGrid w:val="0"/>
              <w:ind w:left="360"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1、本项目报价应为完成本项目实施所需的一切费用。</w:t>
            </w:r>
          </w:p>
          <w:p w14:paraId="3D781BEE">
            <w:pPr>
              <w:adjustRightInd w:val="0"/>
              <w:snapToGrid w:val="0"/>
              <w:ind w:left="360"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2、不论采购结果如何，供应商均应自行承担所有与磋商有关的全部费用。</w:t>
            </w:r>
          </w:p>
        </w:tc>
      </w:tr>
      <w:tr w14:paraId="5B8AB3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357393A4">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573B4B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磋商保证金</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1B086F7B">
            <w:pPr>
              <w:adjustRightInd w:val="0"/>
              <w:snapToGrid w:val="0"/>
              <w:ind w:left="360"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不收取</w:t>
            </w:r>
          </w:p>
        </w:tc>
      </w:tr>
      <w:tr w14:paraId="440F51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6E5A8B22">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BB4061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现场考察/标前答疑会</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674F0C73">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组织（详细内容）</w:t>
            </w:r>
          </w:p>
          <w:p w14:paraId="27675E5E">
            <w:pPr>
              <w:adjustRightInd w:val="0"/>
              <w:snapToGrid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■不组织</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本项目不组织集体踏勘，投标人可在2025年7月10日前投标人可自行踏勘现场，踏勘前需提交扫码预约进入现场）</w:t>
            </w:r>
          </w:p>
          <w:p w14:paraId="1BF5CB08">
            <w:pPr>
              <w:adjustRightInd w:val="0"/>
              <w:snapToGrid w:val="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联系人：王工  联系电话：</w:t>
            </w:r>
            <w:r>
              <w:rPr>
                <w:rFonts w:hint="eastAsia" w:ascii="宋体" w:hAnsi="宋体" w:eastAsia="宋体" w:cs="宋体"/>
                <w:color w:val="auto"/>
                <w:kern w:val="2"/>
                <w:sz w:val="24"/>
                <w:szCs w:val="24"/>
                <w:highlight w:val="none"/>
                <w:lang w:val="en-US" w:eastAsia="zh-CN" w:bidi="ar-SA"/>
              </w:rPr>
              <w:t>13600522749/王老师  联系电话：88892715</w:t>
            </w:r>
          </w:p>
        </w:tc>
      </w:tr>
      <w:tr w14:paraId="19275F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611BD24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AC50DB9">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样品</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98E0601">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提供</w:t>
            </w:r>
            <w:bookmarkStart w:id="576" w:name="_GoBack"/>
            <w:bookmarkEnd w:id="576"/>
          </w:p>
          <w:p w14:paraId="0B95FA8E">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■不提供</w:t>
            </w:r>
          </w:p>
        </w:tc>
      </w:tr>
      <w:tr w14:paraId="32A852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16E65306">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C79957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演示</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108D9441">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□要求（详细内容）</w:t>
            </w:r>
          </w:p>
          <w:p w14:paraId="66125324">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不要求</w:t>
            </w:r>
          </w:p>
        </w:tc>
      </w:tr>
      <w:tr w14:paraId="070E5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02CEFA81">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AA3BBE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采购文</w:t>
            </w:r>
          </w:p>
          <w:p w14:paraId="265B6EA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件澄清</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12949228">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1.已获取磋商文件的潜在供应商，若有问题需要澄清，应于提交首次响应文件截止时间前，以书面形式向采购代理机构提出。</w:t>
            </w:r>
          </w:p>
          <w:p w14:paraId="2DB9779F">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6A052BD1">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14:paraId="68920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52F5AA20">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859993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w:t>
            </w:r>
          </w:p>
          <w:p w14:paraId="4C062CB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件组成</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50FCD76">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响应文件由资格文件、商务技术文件、报价文件组成。</w:t>
            </w:r>
          </w:p>
        </w:tc>
      </w:tr>
      <w:tr w14:paraId="33673A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5BD03A4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F19EAA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w:t>
            </w:r>
          </w:p>
          <w:p w14:paraId="5C37D21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的编制</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625A3BF4">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1、“电子加密响应文件”：</w:t>
            </w:r>
          </w:p>
          <w:p w14:paraId="2FF3C5A6">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（1）“电子加密响应文件”是指通过“政采云电子交易客户端”完成响应文件编制后生成并加密的数据电文形式的响应文件。</w:t>
            </w:r>
          </w:p>
          <w:p w14:paraId="52754297">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（2）供应商应先安装“政采云电子交易客户端”，并按照本采购文件和“政府采购云平台”的要求，通过“政采云电子交易客户端”编制并加密响应文件。</w:t>
            </w:r>
          </w:p>
          <w:p w14:paraId="5CA96E95">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w:t>
            </w:r>
          </w:p>
          <w:p w14:paraId="0E407DD4">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（1）“电子备份响应文件”是指与“电子加密响应文件”同时生成的数据电文形式的电子文件。</w:t>
            </w:r>
          </w:p>
          <w:p w14:paraId="26BBCE87">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（2）供应商可自主选择是否编制“电子备份响应文件”。</w:t>
            </w:r>
          </w:p>
          <w:p w14:paraId="6C3B4BEF">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（3）其他方式编制的备份响应文件视为无效备份响应文件。</w:t>
            </w:r>
          </w:p>
        </w:tc>
      </w:tr>
      <w:tr w14:paraId="5FBCC6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206DFB1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14</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9241161">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w:t>
            </w:r>
          </w:p>
          <w:p w14:paraId="7E8230F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的签章</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54AD715">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采用电子签章。</w:t>
            </w:r>
          </w:p>
        </w:tc>
      </w:tr>
      <w:tr w14:paraId="7200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0B5946E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15</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E2C830D">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w:t>
            </w:r>
          </w:p>
          <w:p w14:paraId="24FA521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的包装、密封和递交</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4EECF515">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1、“电子加密响应文件”的递交：在线上传递交。</w:t>
            </w:r>
          </w:p>
          <w:p w14:paraId="7020FB5F">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（1）供应商应在递交响应文件截止时间前将“电子加密响应文件”成功上传递交至“政府采购云平台”，否则响应无效。</w:t>
            </w:r>
          </w:p>
          <w:p w14:paraId="262FD7D2">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（2）“电子加密响应文件”成功上传递交后，供应商可自行打印响应文件接收回执。</w:t>
            </w:r>
          </w:p>
          <w:p w14:paraId="5535C63E">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2、“电子备份响应文件”的密封、包装和递交：</w:t>
            </w:r>
          </w:p>
          <w:p w14:paraId="321BEDEA">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（1）供应商可自主选择是否递交“电子备份响应文件”。</w:t>
            </w:r>
          </w:p>
          <w:p w14:paraId="35011F7B">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（2）“电子备份响应文件”存入U盘（一份）。</w:t>
            </w:r>
          </w:p>
          <w:p w14:paraId="3713DAA7">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（3）“电子备份响应文件” 应当在响应文件递交截止时间前以邮寄或送达方式递交：</w:t>
            </w:r>
          </w:p>
          <w:p w14:paraId="3E0AA3CF">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4）“电子备份响应文件”应当密封包装，并在包装上标注采购项目编号、项目名称、响应单位名称等并加盖公章（详见第六章响应文件格式）。没有密封包装或者逾期送达至采购代理指定地点处的“电子备份响应文件”将不予接收。</w:t>
            </w:r>
          </w:p>
        </w:tc>
      </w:tr>
      <w:tr w14:paraId="329F5D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13F3C14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088D077">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w:t>
            </w:r>
          </w:p>
          <w:p w14:paraId="70F92B0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递交截止</w:t>
            </w:r>
          </w:p>
          <w:p w14:paraId="4F6478B1">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时间和地点</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11009978">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r>
              <w:rPr>
                <w:rFonts w:hint="eastAsia" w:ascii="宋体" w:hAnsi="宋体" w:eastAsia="宋体" w:cs="宋体"/>
                <w:color w:val="auto"/>
                <w:sz w:val="24"/>
                <w:highlight w:val="none"/>
                <w:u w:val="single"/>
                <w:lang w:eastAsia="zh-CN"/>
              </w:rPr>
              <w:t>2025年</w:t>
            </w:r>
            <w:r>
              <w:rPr>
                <w:rFonts w:hint="eastAsia" w:ascii="宋体" w:hAnsi="宋体" w:eastAsia="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3</w:t>
            </w:r>
            <w:r>
              <w:rPr>
                <w:rFonts w:hint="eastAsia" w:ascii="宋体" w:hAnsi="宋体" w:eastAsia="宋体" w:cs="宋体"/>
                <w:color w:val="auto"/>
                <w:sz w:val="24"/>
                <w:highlight w:val="none"/>
                <w:u w:val="single"/>
              </w:rPr>
              <w:t xml:space="preserve">0:00 </w:t>
            </w:r>
            <w:r>
              <w:rPr>
                <w:rFonts w:hint="eastAsia" w:ascii="宋体" w:hAnsi="宋体" w:eastAsia="宋体" w:cs="宋体"/>
                <w:color w:val="auto"/>
                <w:sz w:val="24"/>
                <w:highlight w:val="none"/>
              </w:rPr>
              <w:t>（北京时间）</w:t>
            </w:r>
          </w:p>
          <w:p w14:paraId="1A4A182B">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p w14:paraId="36D8B999">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（1）“电子加密响应文件”：政府采购云平台在线递交。</w:t>
            </w:r>
          </w:p>
          <w:p w14:paraId="503A4C0A">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（2）“电子备份响应文件”：杭州市拱墅区科园路101号兆瑞商务中心30</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室。</w:t>
            </w:r>
          </w:p>
          <w:p w14:paraId="5130AFF9">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收件人：</w:t>
            </w:r>
            <w:r>
              <w:rPr>
                <w:rFonts w:hint="eastAsia" w:ascii="宋体" w:hAnsi="宋体" w:eastAsia="宋体" w:cs="宋体"/>
                <w:color w:val="auto"/>
                <w:sz w:val="24"/>
                <w:highlight w:val="none"/>
                <w:lang w:val="en-US" w:eastAsia="zh-CN"/>
              </w:rPr>
              <w:t>张</w:t>
            </w:r>
            <w:r>
              <w:rPr>
                <w:rFonts w:hint="eastAsia" w:ascii="宋体" w:hAnsi="宋体" w:eastAsia="宋体" w:cs="宋体"/>
                <w:color w:val="auto"/>
                <w:sz w:val="24"/>
                <w:highlight w:val="none"/>
              </w:rPr>
              <w:t>工；联系电话：</w:t>
            </w:r>
            <w:r>
              <w:rPr>
                <w:rFonts w:hint="eastAsia" w:ascii="宋体" w:hAnsi="宋体" w:eastAsia="宋体" w:cs="宋体"/>
                <w:color w:val="auto"/>
                <w:sz w:val="24"/>
                <w:highlight w:val="none"/>
                <w:lang w:val="en-US" w:eastAsia="zh-CN"/>
              </w:rPr>
              <w:t>15972010593</w:t>
            </w:r>
          </w:p>
        </w:tc>
      </w:tr>
      <w:tr w14:paraId="03A26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4F77C4F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17</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FDDF00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w:t>
            </w:r>
          </w:p>
          <w:p w14:paraId="17CEFE6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开启时间</w:t>
            </w:r>
          </w:p>
          <w:p w14:paraId="2DF8D869">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和地点</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1BC6C32">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开启时间：</w:t>
            </w:r>
            <w:r>
              <w:rPr>
                <w:rFonts w:hint="eastAsia" w:ascii="宋体" w:hAnsi="宋体" w:eastAsia="宋体" w:cs="宋体"/>
                <w:color w:val="auto"/>
                <w:sz w:val="24"/>
                <w:highlight w:val="none"/>
                <w:u w:val="single"/>
                <w:lang w:eastAsia="zh-CN"/>
              </w:rPr>
              <w:t>2025年</w:t>
            </w:r>
            <w:r>
              <w:rPr>
                <w:rFonts w:hint="eastAsia" w:ascii="宋体" w:hAnsi="宋体" w:eastAsia="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15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9</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3</w:t>
            </w:r>
            <w:r>
              <w:rPr>
                <w:rFonts w:hint="eastAsia" w:ascii="宋体" w:hAnsi="宋体" w:eastAsia="宋体" w:cs="宋体"/>
                <w:color w:val="auto"/>
                <w:sz w:val="24"/>
                <w:highlight w:val="none"/>
                <w:u w:val="single"/>
              </w:rPr>
              <w:t>0:00</w:t>
            </w:r>
            <w:r>
              <w:rPr>
                <w:rFonts w:hint="eastAsia" w:ascii="宋体" w:hAnsi="宋体" w:eastAsia="宋体" w:cs="宋体"/>
                <w:color w:val="auto"/>
                <w:sz w:val="24"/>
                <w:highlight w:val="none"/>
              </w:rPr>
              <w:t>（北京时间）</w:t>
            </w:r>
          </w:p>
          <w:p w14:paraId="317BAD49">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地点（网址）：</w:t>
            </w:r>
            <w:r>
              <w:rPr>
                <w:rFonts w:hint="eastAsia" w:ascii="宋体" w:hAnsi="宋体" w:eastAsia="宋体" w:cs="宋体"/>
                <w:color w:val="auto"/>
                <w:sz w:val="24"/>
                <w:highlight w:val="none"/>
                <w:u w:val="single"/>
              </w:rPr>
              <w:t>政采云平台（https://www.zcygov.cn/）</w:t>
            </w:r>
          </w:p>
          <w:p w14:paraId="4B3E6A38">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响应文件开启后，供应商在线参加磋商。</w:t>
            </w:r>
          </w:p>
        </w:tc>
      </w:tr>
      <w:tr w14:paraId="6E89B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6E4D1F1A">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0EDE3F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开启（解密）响应文件</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591B82F6">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1、采购组织机构按照采购文件规定的时间通过电子交易平台组织磋商，所有供应商均应当准时在线参加磋商。</w:t>
            </w:r>
          </w:p>
          <w:p w14:paraId="7E3A2C8A">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2、响应文件递交截止时间后，采购组织机构将向各供应商发出“电子加密响应文件”的解密通知，各供应商代表应当在接到解密通知后30分钟内自行完成“电子加密响应文件”的在线解密。</w:t>
            </w:r>
          </w:p>
          <w:p w14:paraId="530948E4">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3、通过“政府采购云平台”上传递交的“电子加密响应文件”已按时解密的，“电子备份响应文件”自动失效。</w:t>
            </w:r>
          </w:p>
          <w:p w14:paraId="40C7B2F7">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4、通过“政府采购云平台”上传递交的“电子加密响应文件”无法按时解密的，如供应商按规定递交 “电子备份响应文件”的，则由采购组织机构按“政府采购云平台”操作规范将“电子备份响应文件”上传至“政府采购云平台”。上传成功后，以“电子备份响应文件”参与评审，“电子加密响应文件”自动失效；在“政府采购云平台”正常运行情况下，“电子备份响应文件”无法上传至“政府采购云平台”的，视为响应文件撤回。如供应商未按规定递交“电子备份响应文件”的，视为响应文件撤回。</w:t>
            </w:r>
          </w:p>
          <w:p w14:paraId="760B433D">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5、响应文件递交截止时间前，供应商仅递交了“电子备份响应文件”而未将“电子加密响应文件”上传至“政府采购云平台”的，响应无效。</w:t>
            </w:r>
          </w:p>
        </w:tc>
      </w:tr>
      <w:tr w14:paraId="3AFE0E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450E1C9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19</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AB2896B">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评审办法</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4ADB942D">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综合评分法</w:t>
            </w:r>
          </w:p>
        </w:tc>
      </w:tr>
      <w:tr w14:paraId="60C55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05647E57">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BF960E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w:t>
            </w:r>
          </w:p>
          <w:p w14:paraId="2A466D7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件有效期</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0C30E214">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不少于90天</w:t>
            </w:r>
          </w:p>
        </w:tc>
      </w:tr>
      <w:tr w14:paraId="6DFA41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7848DA47">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524C930">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采购进</w:t>
            </w:r>
          </w:p>
          <w:p w14:paraId="3B5F8549">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口产品</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FA86512">
            <w:pPr>
              <w:adjustRightInd w:val="0"/>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不允许</w:t>
            </w:r>
          </w:p>
        </w:tc>
      </w:tr>
      <w:tr w14:paraId="30824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486CA794">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22</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129DC68">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节能产品</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280BB10D">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强制采购节能产品</w:t>
            </w:r>
          </w:p>
          <w:p w14:paraId="6939FFE3">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优先采购节能产品</w:t>
            </w:r>
          </w:p>
          <w:p w14:paraId="5E749A8A">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不适用（</w:t>
            </w:r>
            <w:r>
              <w:rPr>
                <w:rFonts w:hint="eastAsia" w:ascii="宋体" w:hAnsi="宋体" w:eastAsia="宋体" w:cs="宋体"/>
                <w:color w:val="auto"/>
                <w:sz w:val="24"/>
                <w:highlight w:val="none"/>
                <w:lang w:val="en-US" w:eastAsia="zh-CN"/>
              </w:rPr>
              <w:t>工程</w:t>
            </w:r>
            <w:r>
              <w:rPr>
                <w:rFonts w:hint="eastAsia" w:ascii="宋体" w:hAnsi="宋体" w:eastAsia="宋体" w:cs="宋体"/>
                <w:color w:val="auto"/>
                <w:sz w:val="24"/>
                <w:highlight w:val="none"/>
              </w:rPr>
              <w:t>类）</w:t>
            </w:r>
          </w:p>
        </w:tc>
      </w:tr>
      <w:tr w14:paraId="4C6A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6576079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23</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6650A40">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环境标</w:t>
            </w:r>
          </w:p>
          <w:p w14:paraId="3281F17F">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志产品</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25AAFCB">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优先采购环境标志产品</w:t>
            </w:r>
          </w:p>
          <w:p w14:paraId="13C84EFF">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不适用（</w:t>
            </w:r>
            <w:r>
              <w:rPr>
                <w:rFonts w:hint="eastAsia" w:ascii="宋体" w:hAnsi="宋体" w:eastAsia="宋体" w:cs="宋体"/>
                <w:color w:val="auto"/>
                <w:sz w:val="24"/>
                <w:highlight w:val="none"/>
                <w:lang w:val="en-US" w:eastAsia="zh-CN"/>
              </w:rPr>
              <w:t>工程</w:t>
            </w:r>
            <w:r>
              <w:rPr>
                <w:rFonts w:hint="eastAsia" w:ascii="宋体" w:hAnsi="宋体" w:eastAsia="宋体" w:cs="宋体"/>
                <w:color w:val="auto"/>
                <w:sz w:val="24"/>
                <w:highlight w:val="none"/>
              </w:rPr>
              <w:t>类）</w:t>
            </w:r>
          </w:p>
        </w:tc>
      </w:tr>
      <w:tr w14:paraId="06E56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3A12C6E9">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24</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DE22D0E">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54D76BD9">
            <w:pPr>
              <w:adjustRightInd w:val="0"/>
              <w:snapToGrid w:val="0"/>
              <w:ind w:firstLine="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见合同文本内容</w:t>
            </w:r>
          </w:p>
        </w:tc>
      </w:tr>
      <w:tr w14:paraId="68AADA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2FC7CA17">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25</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D02D9C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代理服务费</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3BE0F43">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本项目的采购代理服务费由成交供应商支付。</w:t>
            </w:r>
          </w:p>
          <w:p w14:paraId="7DA6D08B">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计费标准：</w:t>
            </w:r>
          </w:p>
          <w:p w14:paraId="1B4624A9">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1.采购代理服务费以成交金额为计费基准，计费标准按原《计价格［2002］1980号》及《发改办价格［2003］857号》规定的工程类收费标准的</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0%计取。不足3000元，按3000元计取。</w:t>
            </w:r>
          </w:p>
          <w:p w14:paraId="515A0605">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2.结算方式及时间为：成交结果公示之日起5个工作日之内，成交供应商缴纳至如下账号：</w:t>
            </w:r>
          </w:p>
          <w:p w14:paraId="3CDCCC82">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付款账号：</w:t>
            </w:r>
          </w:p>
          <w:p w14:paraId="44226297">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账户名称：耀华建设管理有限公司 </w:t>
            </w:r>
          </w:p>
          <w:p w14:paraId="7A470837">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开户银行：浙江泰隆商业银行股份有限公司杭州临平支行</w:t>
            </w:r>
          </w:p>
          <w:p w14:paraId="6F8A0126">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账号：3302020120100011260</w:t>
            </w:r>
          </w:p>
        </w:tc>
      </w:tr>
      <w:tr w14:paraId="0615D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vMerge w:val="restart"/>
            <w:tcBorders>
              <w:top w:val="single" w:color="auto" w:sz="4" w:space="0"/>
              <w:left w:val="single" w:color="auto" w:sz="4" w:space="0"/>
              <w:right w:val="single" w:color="auto" w:sz="4" w:space="0"/>
            </w:tcBorders>
            <w:noWrap w:val="0"/>
            <w:vAlign w:val="center"/>
          </w:tcPr>
          <w:p w14:paraId="08434E8C">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26</w:t>
            </w:r>
          </w:p>
        </w:tc>
        <w:tc>
          <w:tcPr>
            <w:tcW w:w="1440" w:type="dxa"/>
            <w:vMerge w:val="restart"/>
            <w:tcBorders>
              <w:top w:val="single" w:color="auto" w:sz="4" w:space="0"/>
              <w:left w:val="single" w:color="auto" w:sz="4" w:space="0"/>
              <w:right w:val="single" w:color="auto" w:sz="4" w:space="0"/>
            </w:tcBorders>
            <w:noWrap w:val="0"/>
            <w:vAlign w:val="center"/>
          </w:tcPr>
          <w:p w14:paraId="2392B13D">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联合体投标说明</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655965F1">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28"/>
                <w:sz w:val="24"/>
                <w:highlight w:val="none"/>
              </w:rPr>
              <w:t>业绩证明材料</w:t>
            </w:r>
          </w:p>
          <w:p w14:paraId="3172F4B6">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28"/>
                <w:sz w:val="24"/>
                <w:highlight w:val="none"/>
              </w:rPr>
              <w:t>☐联合体投标的，按联合体协议约定的分工内容出具相应的业绩证明材料。承担相同工作的各方或工作内容存在部 分相同的，业绩数量以提供材料较少的一方为准。</w:t>
            </w:r>
          </w:p>
          <w:p w14:paraId="3DD33461">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0"/>
                <w:sz w:val="24"/>
                <w:highlight w:val="none"/>
              </w:rPr>
              <w:sym w:font="Wingdings" w:char="00FE"/>
            </w:r>
            <w:r>
              <w:rPr>
                <w:rFonts w:hint="eastAsia" w:ascii="宋体" w:hAnsi="宋体" w:eastAsia="宋体" w:cs="宋体"/>
                <w:color w:val="auto"/>
                <w:kern w:val="28"/>
                <w:sz w:val="24"/>
                <w:highlight w:val="none"/>
              </w:rPr>
              <w:t>联合体投标的，由联合体牵头方出具相应的业绩证明材料。</w:t>
            </w:r>
          </w:p>
          <w:p w14:paraId="477FDFBA">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kern w:val="28"/>
                <w:sz w:val="24"/>
                <w:highlight w:val="none"/>
              </w:rPr>
              <w:t>☐其他规定：</w:t>
            </w:r>
            <w:r>
              <w:rPr>
                <w:rFonts w:hint="eastAsia" w:ascii="宋体" w:hAnsi="宋体" w:eastAsia="宋体" w:cs="宋体"/>
                <w:color w:val="auto"/>
                <w:kern w:val="28"/>
                <w:sz w:val="24"/>
                <w:highlight w:val="none"/>
                <w:u w:val="single"/>
              </w:rPr>
              <w:t xml:space="preserve">                 </w:t>
            </w:r>
          </w:p>
        </w:tc>
      </w:tr>
      <w:tr w14:paraId="504DDD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vMerge w:val="continue"/>
            <w:tcBorders>
              <w:left w:val="single" w:color="auto" w:sz="4" w:space="0"/>
              <w:bottom w:val="single" w:color="auto" w:sz="4" w:space="0"/>
              <w:right w:val="single" w:color="auto" w:sz="4" w:space="0"/>
            </w:tcBorders>
            <w:noWrap w:val="0"/>
            <w:vAlign w:val="center"/>
          </w:tcPr>
          <w:p w14:paraId="4E1127B7">
            <w:pPr>
              <w:adjustRightInd w:val="0"/>
              <w:snapToGrid w:val="0"/>
              <w:jc w:val="center"/>
              <w:rPr>
                <w:rFonts w:hint="eastAsia" w:ascii="宋体" w:hAnsi="宋体" w:eastAsia="宋体" w:cs="宋体"/>
                <w:color w:val="auto"/>
                <w:sz w:val="24"/>
                <w:highlight w:val="none"/>
              </w:rPr>
            </w:pPr>
          </w:p>
        </w:tc>
        <w:tc>
          <w:tcPr>
            <w:tcW w:w="1440" w:type="dxa"/>
            <w:vMerge w:val="continue"/>
            <w:tcBorders>
              <w:left w:val="single" w:color="auto" w:sz="4" w:space="0"/>
              <w:bottom w:val="single" w:color="auto" w:sz="4" w:space="0"/>
              <w:right w:val="single" w:color="auto" w:sz="4" w:space="0"/>
            </w:tcBorders>
            <w:noWrap w:val="0"/>
            <w:vAlign w:val="center"/>
          </w:tcPr>
          <w:p w14:paraId="1E6BDC76">
            <w:pPr>
              <w:adjustRightInd w:val="0"/>
              <w:snapToGrid w:val="0"/>
              <w:jc w:val="center"/>
              <w:rPr>
                <w:rFonts w:hint="eastAsia" w:ascii="宋体" w:hAnsi="宋体" w:eastAsia="宋体" w:cs="宋体"/>
                <w:color w:val="auto"/>
                <w:sz w:val="24"/>
                <w:highlight w:val="none"/>
              </w:rPr>
            </w:pPr>
          </w:p>
        </w:tc>
        <w:tc>
          <w:tcPr>
            <w:tcW w:w="7052" w:type="dxa"/>
            <w:tcBorders>
              <w:top w:val="single" w:color="auto" w:sz="4" w:space="0"/>
              <w:left w:val="single" w:color="auto" w:sz="4" w:space="0"/>
              <w:bottom w:val="single" w:color="auto" w:sz="4" w:space="0"/>
              <w:right w:val="single" w:color="auto" w:sz="4" w:space="0"/>
            </w:tcBorders>
            <w:noWrap w:val="0"/>
            <w:vAlign w:val="center"/>
          </w:tcPr>
          <w:p w14:paraId="74736133">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28"/>
                <w:sz w:val="24"/>
                <w:highlight w:val="none"/>
              </w:rPr>
              <w:t>其他资信证明材料</w:t>
            </w:r>
          </w:p>
          <w:p w14:paraId="2BD565EB">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28"/>
                <w:sz w:val="24"/>
                <w:highlight w:val="none"/>
              </w:rPr>
              <w:t>☐联合体投标的，联合体各方均需按磋商文件第五部分评标标准要求提供资信证明文件，否则视为不符合相关要求。</w:t>
            </w:r>
          </w:p>
          <w:p w14:paraId="3669F49C">
            <w:pPr>
              <w:adjustRightInd w:val="0"/>
              <w:snapToGrid w:val="0"/>
              <w:spacing w:line="400" w:lineRule="exact"/>
              <w:rPr>
                <w:rFonts w:hint="eastAsia" w:ascii="宋体" w:hAnsi="宋体" w:eastAsia="宋体" w:cs="宋体"/>
                <w:color w:val="auto"/>
                <w:kern w:val="28"/>
                <w:sz w:val="24"/>
                <w:highlight w:val="none"/>
              </w:rPr>
            </w:pPr>
            <w:r>
              <w:rPr>
                <w:rFonts w:hint="eastAsia" w:ascii="宋体" w:hAnsi="宋体" w:eastAsia="宋体" w:cs="宋体"/>
                <w:color w:val="auto"/>
                <w:kern w:val="0"/>
                <w:sz w:val="24"/>
                <w:highlight w:val="none"/>
              </w:rPr>
              <w:sym w:font="Wingdings" w:char="00FE"/>
            </w:r>
            <w:r>
              <w:rPr>
                <w:rFonts w:hint="eastAsia" w:ascii="宋体" w:hAnsi="宋体" w:eastAsia="宋体" w:cs="宋体"/>
                <w:color w:val="auto"/>
                <w:kern w:val="28"/>
                <w:sz w:val="24"/>
                <w:highlight w:val="none"/>
              </w:rPr>
              <w:t>联合体投标的，联合体牵头方或者联合体成员根据分工按磋商文件评标标准要求提供资信证明文件的，视为符合了相关要求。</w:t>
            </w:r>
          </w:p>
          <w:p w14:paraId="7FF29A29">
            <w:pPr>
              <w:autoSpaceDE w:val="0"/>
              <w:autoSpaceDN w:val="0"/>
              <w:adjustRightInd w:val="0"/>
              <w:snapToGrid w:val="0"/>
              <w:ind w:left="360" w:hanging="360" w:hangingChars="150"/>
              <w:textAlignment w:val="bottom"/>
              <w:rPr>
                <w:rFonts w:hint="eastAsia" w:ascii="宋体" w:hAnsi="宋体" w:eastAsia="宋体" w:cs="宋体"/>
                <w:color w:val="auto"/>
                <w:sz w:val="24"/>
                <w:highlight w:val="none"/>
              </w:rPr>
            </w:pPr>
            <w:r>
              <w:rPr>
                <w:rFonts w:hint="eastAsia" w:ascii="宋体" w:hAnsi="宋体" w:eastAsia="宋体" w:cs="宋体"/>
                <w:color w:val="auto"/>
                <w:kern w:val="28"/>
                <w:sz w:val="24"/>
                <w:highlight w:val="none"/>
              </w:rPr>
              <w:t>☐其他规定：</w:t>
            </w:r>
            <w:r>
              <w:rPr>
                <w:rFonts w:hint="eastAsia" w:ascii="宋体" w:hAnsi="宋体" w:eastAsia="宋体" w:cs="宋体"/>
                <w:color w:val="auto"/>
                <w:kern w:val="28"/>
                <w:sz w:val="24"/>
                <w:highlight w:val="none"/>
                <w:u w:val="single"/>
              </w:rPr>
              <w:t xml:space="preserve">                 </w:t>
            </w:r>
          </w:p>
        </w:tc>
      </w:tr>
      <w:tr w14:paraId="448924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56C0856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27</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2DF13C5">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采购标的对应的中小企业划分标准所属行业</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5C4C3AEB">
            <w:pPr>
              <w:adjustRightInd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采购标的：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浙江省公安特警训练基地2025年度保障性基建维修项目</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231AA005">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所属行业：</w:t>
            </w:r>
            <w:r>
              <w:rPr>
                <w:rFonts w:hint="eastAsia" w:ascii="宋体" w:hAnsi="宋体" w:eastAsia="宋体" w:cs="宋体"/>
                <w:color w:val="auto"/>
                <w:sz w:val="24"/>
                <w:highlight w:val="none"/>
                <w:u w:val="single"/>
              </w:rPr>
              <w:t xml:space="preserve">建筑业 </w:t>
            </w:r>
            <w:r>
              <w:rPr>
                <w:rFonts w:hint="eastAsia" w:ascii="宋体" w:hAnsi="宋体" w:eastAsia="宋体" w:cs="宋体"/>
                <w:color w:val="auto"/>
                <w:sz w:val="24"/>
                <w:highlight w:val="non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0D4E6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60" w:type="dxa"/>
            <w:tcBorders>
              <w:top w:val="single" w:color="auto" w:sz="4" w:space="0"/>
              <w:left w:val="single" w:color="auto" w:sz="4" w:space="0"/>
              <w:bottom w:val="single" w:color="auto" w:sz="4" w:space="0"/>
              <w:right w:val="single" w:color="auto" w:sz="4" w:space="0"/>
            </w:tcBorders>
            <w:noWrap w:val="0"/>
            <w:vAlign w:val="center"/>
          </w:tcPr>
          <w:p w14:paraId="4BD9AB04">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28</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85F05A7">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解释权</w:t>
            </w:r>
          </w:p>
        </w:tc>
        <w:tc>
          <w:tcPr>
            <w:tcW w:w="7052" w:type="dxa"/>
            <w:tcBorders>
              <w:top w:val="single" w:color="auto" w:sz="4" w:space="0"/>
              <w:left w:val="single" w:color="auto" w:sz="4" w:space="0"/>
              <w:bottom w:val="single" w:color="auto" w:sz="4" w:space="0"/>
              <w:right w:val="single" w:color="auto" w:sz="4" w:space="0"/>
            </w:tcBorders>
            <w:noWrap w:val="0"/>
            <w:vAlign w:val="center"/>
          </w:tcPr>
          <w:p w14:paraId="4150D778">
            <w:pPr>
              <w:autoSpaceDE w:val="0"/>
              <w:autoSpaceDN w:val="0"/>
              <w:adjustRightInd w:val="0"/>
              <w:snapToGrid w:val="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本采购文件的解释权属于采购人和采购代理机构。</w:t>
            </w:r>
          </w:p>
          <w:p w14:paraId="0ABF117F">
            <w:pPr>
              <w:snapToGrid w:val="0"/>
              <w:spacing w:line="320" w:lineRule="exact"/>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参与同一个采购包（标段）的供应商存在下列情形之一且无法合理解释的，其投标（响应）文件无效：①不同供应商的电子投标（响应）文件上传计算机的网卡MAC地址或硬盘序列号等硬件信息相同的；②上传的电子投标（响应）文件若出现使用本项目其他投标（响应）供应商的数字证书加密的，或者加盖本项目其他投标（响应）供应商的电子印章的；③不同供应商的投标（响应）文件的内容存在3处（含）以上错误一致的；④不同供应商联系人为同一人或不同联系人的联系电话一致的。</w:t>
            </w:r>
          </w:p>
          <w:p w14:paraId="5E99ADBE">
            <w:pPr>
              <w:autoSpaceDE w:val="0"/>
              <w:autoSpaceDN w:val="0"/>
              <w:adjustRightInd w:val="0"/>
              <w:snapToGrid w:val="0"/>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000000"/>
                <w:sz w:val="24"/>
                <w:szCs w:val="24"/>
              </w:rPr>
              <w:t>根据《浙江省财政厅关于进一步规范政府采购秩序促进公平竞争的通知》（浙财采监〔2025〕2号）的规定，供应商应遵循诚实信用原则在投标（响应）文件中提供真实材料。中标（成交）供应商在评审结束后5个工作日内，须提供在投标（响应）文件中涉及客观分评审内容的检测报告、认证证书、合同业绩、产品彩页（或说明书）等材料的查询网站或原件，以供采购人及采购代理机构核查资料真实性。如发现供应商提供虚假材料的，将报告本级财政部门。由于供应商提供虚假材料中标，采购人保留追溯其法律责任的权利，所产生的法律费用和时间损失由供应商承担。</w:t>
            </w:r>
          </w:p>
        </w:tc>
      </w:tr>
    </w:tbl>
    <w:p w14:paraId="6A7254E9">
      <w:pPr>
        <w:spacing w:line="360" w:lineRule="auto"/>
        <w:rPr>
          <w:rFonts w:hint="eastAsia" w:ascii="宋体" w:hAnsi="宋体" w:eastAsia="宋体" w:cs="宋体"/>
          <w:color w:val="auto"/>
          <w:highlight w:val="none"/>
        </w:rPr>
      </w:pPr>
    </w:p>
    <w:p w14:paraId="1E498608">
      <w:pPr>
        <w:pStyle w:val="8"/>
        <w:adjustRightInd w:val="0"/>
        <w:snapToGrid w:val="0"/>
        <w:spacing w:before="0" w:beforeLines="0" w:after="0" w:afterLines="0"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8"/>
          <w:szCs w:val="28"/>
          <w:highlight w:val="none"/>
        </w:rPr>
        <w:t>一、总则</w:t>
      </w:r>
    </w:p>
    <w:p w14:paraId="3ECD1071">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（一） 适用范围</w:t>
      </w:r>
    </w:p>
    <w:p w14:paraId="07F2DC40">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本采购文件适用于本次采购项目的磋商、评审、合同履约、验收、付款等行为（法律、法规另有规定的，从其规定）。</w:t>
      </w:r>
    </w:p>
    <w:p w14:paraId="1A62861F">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（二）定义</w:t>
      </w:r>
    </w:p>
    <w:p w14:paraId="1C75C5E9">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1.采购单位：系指组织本次采购的代理机构和采购人。</w:t>
      </w:r>
    </w:p>
    <w:p w14:paraId="4F939097">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2.供应商：系指按采购文件规定合法获取采购文件并向采购单位提交响应文件的单位或个人。</w:t>
      </w:r>
    </w:p>
    <w:p w14:paraId="4DBC40F9">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3.供应商代表：是指参加本项目采购活动的供应商法定代表人或法定代表人授权代表。</w:t>
      </w:r>
    </w:p>
    <w:p w14:paraId="2D629A60">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4.联合体：是指两个以上供应商组成联合体，以一个供应商的身份参加磋商。</w:t>
      </w:r>
    </w:p>
    <w:p w14:paraId="2B800834">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5.甲方：是指合同签订的一方，一般与采购人、用户相同。</w:t>
      </w:r>
    </w:p>
    <w:p w14:paraId="4F14F62B">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6.乙方：是指合同签订的另一方，与成交供应商相同。</w:t>
      </w:r>
    </w:p>
    <w:p w14:paraId="74A4B492">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7.“产品”系指供方按采购文件规定，须向采购人提供的一切设备、保险、税金、备品备件、工具、手册及其他有关技术资料和材料。</w:t>
      </w:r>
    </w:p>
    <w:p w14:paraId="01A44F13">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8.“服务”系指采购件规定供应商须承担的安装、调试、技术协助、校准、培训、技术指导以及其他类似的义务。</w:t>
      </w:r>
    </w:p>
    <w:p w14:paraId="1AF8B714">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9.“项目”系指供应商按采购文件规定向采购人提供的产品和服务。</w:t>
      </w:r>
    </w:p>
    <w:p w14:paraId="3FEB0B2C">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10.“书面形式”包括信函、传真、电报等。</w:t>
      </w:r>
    </w:p>
    <w:p w14:paraId="4BD86BB1">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11.“▲”系指实质性要求条款。</w:t>
      </w:r>
    </w:p>
    <w:p w14:paraId="27D5A12C">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（三）磋商委托</w:t>
      </w:r>
    </w:p>
    <w:p w14:paraId="2ACAA98F">
      <w:pPr>
        <w:pStyle w:val="6"/>
        <w:adjustRightInd w:val="0"/>
        <w:snapToGrid w:val="0"/>
        <w:spacing w:line="360" w:lineRule="auto"/>
        <w:ind w:firstLine="464"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供应商代表</w:t>
      </w:r>
      <w:r>
        <w:rPr>
          <w:rFonts w:hint="eastAsia" w:ascii="宋体" w:hAnsi="宋体" w:eastAsia="宋体" w:cs="宋体"/>
          <w:color w:val="auto"/>
          <w:kern w:val="0"/>
          <w:sz w:val="24"/>
          <w:highlight w:val="none"/>
        </w:rPr>
        <w:t>参加磋商时</w:t>
      </w:r>
      <w:r>
        <w:rPr>
          <w:rFonts w:hint="eastAsia" w:ascii="宋体" w:hAnsi="宋体" w:eastAsia="宋体" w:cs="宋体"/>
          <w:color w:val="auto"/>
          <w:sz w:val="24"/>
          <w:szCs w:val="24"/>
          <w:highlight w:val="none"/>
        </w:rPr>
        <w:t>应当提供有效身份证明，供应商代表为法定代表人的，响应文件应当提供法定代表人证明。如供应商代表不是法定代表人，响应文件应当提供法定代表人出具的授权委托书（格式见第六章）。</w:t>
      </w:r>
    </w:p>
    <w:p w14:paraId="02093930">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（四）磋商费用</w:t>
      </w:r>
    </w:p>
    <w:p w14:paraId="11D15537">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不论采购结果如何，供应商均应自行承担所有与磋商有关的全部费用。</w:t>
      </w:r>
    </w:p>
    <w:p w14:paraId="1F98E64D">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（五）联合体参加磋商</w:t>
      </w:r>
    </w:p>
    <w:p w14:paraId="1C992A0F">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本项目接受联合体参加磋商。</w:t>
      </w:r>
    </w:p>
    <w:p w14:paraId="5A2E91BA">
      <w:pPr>
        <w:adjustRightInd w:val="0"/>
        <w:snapToGrid w:val="0"/>
        <w:spacing w:line="360" w:lineRule="auto"/>
        <w:rPr>
          <w:rFonts w:hint="eastAsia" w:ascii="宋体" w:hAnsi="宋体" w:eastAsia="宋体" w:cs="宋体"/>
          <w:b/>
          <w:color w:val="auto"/>
          <w:kern w:val="0"/>
          <w:sz w:val="24"/>
          <w:szCs w:val="20"/>
          <w:highlight w:val="none"/>
        </w:rPr>
      </w:pPr>
      <w:r>
        <w:rPr>
          <w:rFonts w:hint="eastAsia" w:ascii="宋体" w:hAnsi="宋体" w:eastAsia="宋体" w:cs="宋体"/>
          <w:b/>
          <w:color w:val="auto"/>
          <w:sz w:val="24"/>
          <w:highlight w:val="none"/>
        </w:rPr>
        <w:t>（六）</w:t>
      </w:r>
      <w:r>
        <w:rPr>
          <w:rFonts w:hint="eastAsia" w:ascii="宋体" w:hAnsi="宋体" w:eastAsia="宋体" w:cs="宋体"/>
          <w:b/>
          <w:color w:val="auto"/>
          <w:kern w:val="0"/>
          <w:sz w:val="24"/>
          <w:highlight w:val="none"/>
        </w:rPr>
        <w:t>转包与分包</w:t>
      </w:r>
    </w:p>
    <w:p w14:paraId="1E62C71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1.本项目不允许转包。</w:t>
      </w:r>
    </w:p>
    <w:p w14:paraId="7FBE218D">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2.本项目不可以分包。（大中型企业向小微企业合理分包的除外）</w:t>
      </w:r>
    </w:p>
    <w:p w14:paraId="08348413">
      <w:pPr>
        <w:adjustRightInd w:val="0"/>
        <w:snapToGrid w:val="0"/>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（七）特别说明</w:t>
      </w:r>
    </w:p>
    <w:p w14:paraId="6193D3DF">
      <w:pPr>
        <w:widowControl/>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1.本次采购采用电子交易方式。</w:t>
      </w:r>
    </w:p>
    <w:p w14:paraId="7B28A0E0">
      <w:pPr>
        <w:widowControl/>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电子交易的说明: 1）电子交易：本项目以数据电文形式，依托“政府采购云平台（www.zcygov.cn）”进行采购活动，不接受纸质响应文件。2）响应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3）磋商文件的获取：使用账号登录或者使用CA登录政采云平台；进入“项目采购”应用，在获取磋商文件菜单中选择项目，获取磋商文件。4）响应文件的制作：在“政采云电子交易客户端”中完成“填写基本信息”、“导入响应文件”、“标书关联”、“标书检查”、“电子签名”、“生成电子标书”等操作。5）采购人、采购代理机构将依托政采云平台完成本项目的电子交易活动，平台不接受未按本公告约定方式获取磋商文件的供应商进行响应活动；6）对未按上述方式获取磋商文件的供应商对该文件提出的质疑，采购人或采购代理机构将不予处理；7）不提供磋商文件纸质版；8）响应文件的传输提交：供应商在提交响应文件的截止时间前将加密的响应文件上传至政府采购云平台，还可以在提交响应文件的截止时间前直接提交或者以邮政快递方式提交备份响应文件1份。9）响应文件的解密：供应商按照平台提示和磋商文件的规定在半小时内完成在线解密。通过“政府采购云平台”上传提交的响应文件无法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具体操作指南：详见政采云平台“服务中心-帮助文档-项目采购-操作流程-电子招投标-政府采购项目电子交易管理操作指南-供应商”。</w:t>
      </w:r>
    </w:p>
    <w:p w14:paraId="4C2446D1">
      <w:pPr>
        <w:widowControl/>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文件中指出的工艺、材料、设备、服务等标准以及推荐、参照的品牌或型号仅起说明作用，并没有任何限制性。供应商在响应文件中可以选用替代标准、品牌或型号，但这些替代要实质上满足或超过采购文件的要求。</w:t>
      </w:r>
    </w:p>
    <w:p w14:paraId="3C96AD6C">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3.供应商应仔细阅读采购文件的所有内容，按照采购文件的要求提交响应文件，并对所提供的全部资料的真实性承担法律责任。</w:t>
      </w:r>
    </w:p>
    <w:p w14:paraId="65CA5948">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4.采购过程中出现以下情形，导致电子交易平台无法正常运行，或者无法保证电子交易的公平、公正和安全时，采购人（或代理机构）可中止电子交易活动：</w:t>
      </w:r>
    </w:p>
    <w:p w14:paraId="42DF02DA">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（1）电子交易平台发生故障而无法登录访问的； </w:t>
      </w:r>
    </w:p>
    <w:p w14:paraId="6716C75E">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（2）电子交易平台应用或数据库出现错误，不能进行正常操作的；</w:t>
      </w:r>
    </w:p>
    <w:p w14:paraId="26E74ED9">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（3）电子交易平台发现严重安全漏洞，有潜在泄密危险的；</w:t>
      </w:r>
    </w:p>
    <w:p w14:paraId="5DDC6A30">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（4）病毒发作导致不能进行正常操作的；</w:t>
      </w:r>
    </w:p>
    <w:p w14:paraId="521A2617">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（5）其他无法保证电子交易的公平、公正和安全的情况。</w:t>
      </w:r>
    </w:p>
    <w:p w14:paraId="6FA83C19">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出现上述规定情形，不影响采购公平、公正性的，采购人（或代理机构）可以待上述情形消除后继续组织电子交易活动，也可以决定某些环节以纸质形式进行。</w:t>
      </w:r>
    </w:p>
    <w:p w14:paraId="3E41FB78">
      <w:pPr>
        <w:pStyle w:val="8"/>
        <w:adjustRightInd w:val="0"/>
        <w:snapToGrid w:val="0"/>
        <w:spacing w:before="0" w:beforeLines="0" w:after="0" w:afterLines="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（八）质疑和投诉</w:t>
      </w:r>
    </w:p>
    <w:p w14:paraId="684D8722">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认为采购文件、采购过程和成交结果使自己的合法权益受到损害的，应当在知道或者应知其权益受到损害之日起七个工作日内，以书面形式（纸质）向采购人、采购代理机构提出质疑。供应商对采购人、采购代理机构的质疑答复不满意或者采购人、采购代理机构未在规定时间内作出答复的，可以在答复期满后十五个工作日内向同级采购监管部门投诉。</w:t>
      </w:r>
    </w:p>
    <w:p w14:paraId="1CB05141">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供应商应知其权益受到损害之日，是指：</w:t>
      </w:r>
    </w:p>
    <w:p w14:paraId="040314EB">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（1）对可以质疑的采购文件提出质疑的，为获取采购文件之日（公告期限届满之日后获取采购文件的为采购公告期限届满之日）。</w:t>
      </w:r>
    </w:p>
    <w:p w14:paraId="361353B4">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（2）对采购过程提出质疑的，为各采购程序环节结束之日。</w:t>
      </w:r>
    </w:p>
    <w:p w14:paraId="1BDC7854">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（3）对成交结果提出质疑的，为成交结果公告期限届满之日。</w:t>
      </w:r>
    </w:p>
    <w:p w14:paraId="33DA23BA">
      <w:pPr>
        <w:pStyle w:val="6"/>
        <w:adjustRightInd w:val="0"/>
        <w:snapToGrid w:val="0"/>
        <w:spacing w:line="360" w:lineRule="auto"/>
        <w:ind w:firstLine="464"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质疑、投诉应当采用书面形式（纸质），质疑书、投诉书均应明确阐述采购文件、采购过程或成交结果中使自己合法权益受到损害的实质性内容，提供相关事实、依据和证据及其来源或线索，便于有关单位调查、答复和处理。</w:t>
      </w:r>
    </w:p>
    <w:p w14:paraId="20C793F0">
      <w:pPr>
        <w:pStyle w:val="8"/>
        <w:adjustRightInd w:val="0"/>
        <w:snapToGrid w:val="0"/>
        <w:spacing w:before="0" w:beforeLines="0" w:after="0" w:afterLines="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二、采购文件</w:t>
      </w:r>
    </w:p>
    <w:p w14:paraId="3C556264">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（一）采购文件的构成。本采购文件由以下部分组成：</w:t>
      </w:r>
    </w:p>
    <w:p w14:paraId="3BBFEB61">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1.采购公告</w:t>
      </w:r>
    </w:p>
    <w:p w14:paraId="7F2CFB0C">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14:paraId="0F381E28">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3.评审办法</w:t>
      </w:r>
    </w:p>
    <w:p w14:paraId="0B5C9FEF">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4.采购内容及需求</w:t>
      </w:r>
    </w:p>
    <w:p w14:paraId="1F751D12">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5.合同主要条款</w:t>
      </w:r>
    </w:p>
    <w:p w14:paraId="6AD7C287">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6.响应文件格式</w:t>
      </w:r>
    </w:p>
    <w:p w14:paraId="3B85739A">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7.本项目采购文件的澄清、修改内容（如有）</w:t>
      </w:r>
    </w:p>
    <w:p w14:paraId="26ECA36A">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（二）供应商的风险</w:t>
      </w:r>
    </w:p>
    <w:p w14:paraId="2493DAE2">
      <w:pPr>
        <w:pStyle w:val="3"/>
        <w:widowControl w:val="0"/>
        <w:numPr>
          <w:ilvl w:val="0"/>
          <w:numId w:val="0"/>
        </w:numPr>
        <w:tabs>
          <w:tab w:val="left" w:pos="454"/>
          <w:tab w:val="left" w:pos="720"/>
        </w:tabs>
        <w:adjustRightInd w:val="0"/>
        <w:snapToGrid w:val="0"/>
        <w:spacing w:after="0" w:afterLines="0" w:line="360" w:lineRule="auto"/>
        <w:ind w:firstLine="454" w:firstLineChars="196"/>
        <w:rPr>
          <w:rFonts w:hint="eastAsia" w:ascii="宋体" w:hAnsi="宋体" w:eastAsia="宋体" w:cs="宋体"/>
          <w:color w:val="auto"/>
          <w:spacing w:val="-4"/>
          <w:kern w:val="2"/>
          <w:sz w:val="24"/>
          <w:szCs w:val="20"/>
          <w:highlight w:val="none"/>
          <w:lang w:val="en-US" w:eastAsia="zh-CN" w:bidi="ar-SA"/>
        </w:rPr>
      </w:pPr>
      <w:r>
        <w:rPr>
          <w:rFonts w:hint="eastAsia" w:ascii="宋体" w:hAnsi="宋体" w:eastAsia="宋体" w:cs="宋体"/>
          <w:color w:val="auto"/>
          <w:spacing w:val="-4"/>
          <w:kern w:val="2"/>
          <w:sz w:val="24"/>
          <w:szCs w:val="20"/>
          <w:highlight w:val="none"/>
          <w:lang w:val="en-US" w:eastAsia="zh-CN" w:bidi="ar-SA"/>
        </w:rPr>
        <w:t>1.递交响应文件截止时间前，供应商仅递交了“电子备份响应文件”而未将“电子加密响应文件”成功上传至“政府采购云平台”的，响应无效；通过“政府采购云平台”上传递交的“电子加密响应文件”无法按时解密的，如供应商未按规定递交“电子备份响应文件”的，视为响应文件撤回；在“政府采购云平台”正常运行情况下，“电子备份响应文件”无法上传至“政府采购云平台”的，视为响应文件撤回。</w:t>
      </w:r>
    </w:p>
    <w:p w14:paraId="473A9E34">
      <w:pPr>
        <w:pStyle w:val="3"/>
        <w:widowControl w:val="0"/>
        <w:numPr>
          <w:ilvl w:val="0"/>
          <w:numId w:val="0"/>
        </w:numPr>
        <w:tabs>
          <w:tab w:val="left" w:pos="454"/>
          <w:tab w:val="left" w:pos="720"/>
        </w:tabs>
        <w:adjustRightInd w:val="0"/>
        <w:snapToGrid w:val="0"/>
        <w:spacing w:after="0" w:afterLines="0" w:line="360" w:lineRule="auto"/>
        <w:ind w:firstLine="454" w:firstLineChars="196"/>
        <w:rPr>
          <w:rFonts w:hint="eastAsia" w:ascii="宋体" w:hAnsi="宋体" w:eastAsia="宋体" w:cs="宋体"/>
          <w:color w:val="auto"/>
          <w:spacing w:val="-4"/>
          <w:kern w:val="2"/>
          <w:sz w:val="24"/>
          <w:szCs w:val="20"/>
          <w:highlight w:val="none"/>
          <w:lang w:val="en-US" w:eastAsia="zh-CN" w:bidi="ar-SA"/>
        </w:rPr>
      </w:pPr>
      <w:r>
        <w:rPr>
          <w:rFonts w:hint="eastAsia" w:ascii="宋体" w:hAnsi="宋体" w:eastAsia="宋体" w:cs="宋体"/>
          <w:color w:val="auto"/>
          <w:spacing w:val="-4"/>
          <w:kern w:val="2"/>
          <w:sz w:val="24"/>
          <w:szCs w:val="20"/>
          <w:highlight w:val="none"/>
          <w:lang w:val="en-US" w:eastAsia="zh-CN" w:bidi="ar-SA"/>
        </w:rPr>
        <w:t>2.供应商没有按照采购文件要求提供全部资料，或者供应商没有对采购文件在各方面做出实质性响应是供应商的风险，并可能导致其响应无效。</w:t>
      </w:r>
    </w:p>
    <w:p w14:paraId="630EA6F6">
      <w:pPr>
        <w:pStyle w:val="3"/>
        <w:widowControl w:val="0"/>
        <w:numPr>
          <w:ilvl w:val="0"/>
          <w:numId w:val="0"/>
        </w:numPr>
        <w:tabs>
          <w:tab w:val="left" w:pos="454"/>
          <w:tab w:val="left" w:pos="720"/>
        </w:tabs>
        <w:adjustRightInd w:val="0"/>
        <w:snapToGrid w:val="0"/>
        <w:spacing w:after="0" w:afterLines="0"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 xml:space="preserve">（三）采购文件的澄清与修改 </w:t>
      </w:r>
    </w:p>
    <w:p w14:paraId="35520240">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1.已获取磋商文件的潜在供应商，若有问题需要澄清，应于提交首次响应文件截止时间前，以书面形式向采购代理机构提出。</w:t>
      </w:r>
    </w:p>
    <w:p w14:paraId="730662A6">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38A9B339">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14:paraId="6E984DE3">
      <w:pPr>
        <w:pStyle w:val="8"/>
        <w:adjustRightInd w:val="0"/>
        <w:snapToGrid w:val="0"/>
        <w:spacing w:before="0" w:beforeLines="0" w:after="0" w:afterLines="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三、响应文件的编制</w:t>
      </w:r>
    </w:p>
    <w:p w14:paraId="6294795B">
      <w:pPr>
        <w:adjustRightInd w:val="0"/>
        <w:snapToGrid w:val="0"/>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（一）响应文件的组成</w:t>
      </w:r>
    </w:p>
    <w:p w14:paraId="16DFEC2C">
      <w:pPr>
        <w:tabs>
          <w:tab w:val="left" w:pos="3870"/>
          <w:tab w:val="left" w:pos="4085"/>
        </w:tabs>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响应文件由资格文件、商务技术文件、报价文件三部分组成。</w:t>
      </w:r>
    </w:p>
    <w:p w14:paraId="76F5725E">
      <w:pPr>
        <w:tabs>
          <w:tab w:val="left" w:pos="3870"/>
          <w:tab w:val="left" w:pos="4085"/>
        </w:tabs>
        <w:adjustRightInd w:val="0"/>
        <w:snapToGrid w:val="0"/>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1.资格文件</w:t>
      </w:r>
    </w:p>
    <w:p w14:paraId="6146555E">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（1）供应商资格承诺函；</w:t>
      </w:r>
    </w:p>
    <w:p w14:paraId="5D34CC12">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（2）法人或者其他组织的营业执照等证明文件，自然人的身份证明；</w:t>
      </w:r>
    </w:p>
    <w:p w14:paraId="1A99BE14">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（3）联合协议（如果有）；</w:t>
      </w:r>
    </w:p>
    <w:p w14:paraId="3D5CF576">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（4）落实政府采购政策需满足的资格要求；</w:t>
      </w:r>
    </w:p>
    <w:p w14:paraId="33F24228">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（5）本项目的特定资格要求；</w:t>
      </w:r>
    </w:p>
    <w:p w14:paraId="66A16111">
      <w:pPr>
        <w:tabs>
          <w:tab w:val="left" w:pos="3870"/>
          <w:tab w:val="left" w:pos="4085"/>
        </w:tabs>
        <w:adjustRightInd w:val="0"/>
        <w:snapToGrid w:val="0"/>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2.商务技术文件</w:t>
      </w:r>
    </w:p>
    <w:p w14:paraId="75D411D5">
      <w:pPr>
        <w:tabs>
          <w:tab w:val="left" w:pos="3870"/>
          <w:tab w:val="left" w:pos="4085"/>
        </w:tabs>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（1）磋商响应</w:t>
      </w:r>
      <w:r>
        <w:rPr>
          <w:rFonts w:hint="eastAsia" w:ascii="宋体" w:hAnsi="宋体" w:eastAsia="宋体" w:cs="宋体"/>
          <w:color w:val="auto"/>
          <w:kern w:val="0"/>
          <w:sz w:val="24"/>
          <w:highlight w:val="none"/>
        </w:rPr>
        <w:t>函</w:t>
      </w:r>
      <w:r>
        <w:rPr>
          <w:rFonts w:hint="eastAsia" w:ascii="宋体" w:hAnsi="宋体" w:eastAsia="宋体" w:cs="宋体"/>
          <w:color w:val="auto"/>
          <w:sz w:val="24"/>
          <w:highlight w:val="none"/>
        </w:rPr>
        <w:t>；</w:t>
      </w:r>
    </w:p>
    <w:p w14:paraId="5971342E">
      <w:pPr>
        <w:pStyle w:val="9"/>
        <w:adjustRightInd w:val="0"/>
        <w:snapToGrid w:val="0"/>
        <w:spacing w:line="360" w:lineRule="auto"/>
        <w:ind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（2）授权委托书或法定代表人（单位负责人、自然人本人）身份证明；</w:t>
      </w:r>
    </w:p>
    <w:p w14:paraId="1EB4934A">
      <w:pPr>
        <w:autoSpaceDE w:val="0"/>
        <w:autoSpaceDN w:val="0"/>
        <w:adjustRightInd w:val="0"/>
        <w:snapToGrid w:val="0"/>
        <w:spacing w:line="360" w:lineRule="auto"/>
        <w:ind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（3）评标标准相应的商务技术资料；</w:t>
      </w:r>
    </w:p>
    <w:p w14:paraId="5FBF27E8">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（4）商务技术偏离表；</w:t>
      </w:r>
    </w:p>
    <w:p w14:paraId="7B8E53A5">
      <w:pPr>
        <w:widowControl/>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（5）政府采购供应商廉洁自律承诺书；</w:t>
      </w:r>
    </w:p>
    <w:p w14:paraId="4F113BCD">
      <w:pPr>
        <w:adjustRightInd w:val="0"/>
        <w:snapToGrid w:val="0"/>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3.报价文件</w:t>
      </w:r>
    </w:p>
    <w:p w14:paraId="1F2F3E23">
      <w:pPr>
        <w:tabs>
          <w:tab w:val="left" w:pos="3870"/>
          <w:tab w:val="left" w:pos="4085"/>
        </w:tabs>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（1）初始报价一览表； </w:t>
      </w:r>
    </w:p>
    <w:p w14:paraId="6E3A8A11">
      <w:pPr>
        <w:pStyle w:val="9"/>
        <w:adjustRightInd w:val="0"/>
        <w:snapToGrid w:val="0"/>
        <w:spacing w:line="360" w:lineRule="auto"/>
        <w:ind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（2）报价清单；</w:t>
      </w:r>
    </w:p>
    <w:p w14:paraId="07E3F287">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报价情况说明（如供应商报价低于项目预算50%的，应当提交本文档，详细阐述不影响产品质量或者诚信履约的具体原因）。</w:t>
      </w:r>
    </w:p>
    <w:p w14:paraId="280C121E">
      <w:pPr>
        <w:spacing w:line="360" w:lineRule="auto"/>
        <w:ind w:firstLine="723" w:firstLineChars="3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响应文件含有采购人不能接受的附加条件的，响应无效；</w:t>
      </w:r>
    </w:p>
    <w:p w14:paraId="30F4E1CF">
      <w:pPr>
        <w:spacing w:line="360" w:lineRule="auto"/>
        <w:ind w:firstLine="723" w:firstLineChars="3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供应商提供虚假材料投标的，投标无效。</w:t>
      </w:r>
    </w:p>
    <w:p w14:paraId="7D9DA8BD">
      <w:pPr>
        <w:spacing w:line="360" w:lineRule="auto"/>
        <w:ind w:firstLine="723" w:firstLineChars="3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供应商应对响应文件中材料的真实性、合法性负责。</w:t>
      </w:r>
    </w:p>
    <w:p w14:paraId="630E0914">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（二）响应文件的语言及计量</w:t>
      </w:r>
    </w:p>
    <w:p w14:paraId="3C5ED09F">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1.响应文件以及供应商与采购方就有关事宜的所有来往函电，均应以中文汉语书写。除签名、盖章、专用名称等特殊情形外，以中文汉语以外的文字表述的响应文件视同未提供。</w:t>
      </w:r>
    </w:p>
    <w:p w14:paraId="3F422BA4">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2.计量单位，采购文件已有明确规定的，使用采购文件规定的计量单位；采购文件没有规定的，应采用中华人民共和国法定计量单位（货币单位：人民币元），否则视同未响应。</w:t>
      </w:r>
    </w:p>
    <w:p w14:paraId="0F6E79C2">
      <w:pPr>
        <w:adjustRightInd w:val="0"/>
        <w:snapToGrid w:val="0"/>
        <w:spacing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highlight w:val="none"/>
        </w:rPr>
        <w:t>（三）磋商报价</w:t>
      </w:r>
    </w:p>
    <w:p w14:paraId="7C6E724C">
      <w:pPr>
        <w:adjustRightInd w:val="0"/>
        <w:snapToGrid w:val="0"/>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供应商根据竞争性磋商采购文件的要求，须将完成本项目所</w:t>
      </w:r>
      <w:r>
        <w:rPr>
          <w:rFonts w:hint="eastAsia" w:ascii="宋体" w:hAnsi="宋体" w:eastAsia="宋体" w:cs="宋体"/>
          <w:color w:val="auto"/>
          <w:sz w:val="24"/>
          <w:highlight w:val="none"/>
        </w:rPr>
        <w:t>包含的所有风险责任等各项费用及不可预见费各项费用</w:t>
      </w:r>
      <w:r>
        <w:rPr>
          <w:rFonts w:hint="eastAsia" w:ascii="宋体" w:hAnsi="宋体" w:eastAsia="宋体" w:cs="宋体"/>
          <w:bCs/>
          <w:color w:val="auto"/>
          <w:sz w:val="24"/>
          <w:highlight w:val="none"/>
        </w:rPr>
        <w:t>以及成交后向采购代理机构支付的代理服务费等所需的全部费用都包含在磋商总报价中。</w:t>
      </w:r>
    </w:p>
    <w:p w14:paraId="7B5D328B">
      <w:pPr>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kern w:val="0"/>
          <w:sz w:val="24"/>
          <w:highlight w:val="none"/>
        </w:rPr>
        <w:t>磋商结束后，所有继续参加磋商的供应商应当按照磋商小组的要求在规定时间内提交最后报价。</w:t>
      </w:r>
    </w:p>
    <w:p w14:paraId="5BD62C6F">
      <w:pPr>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3.供应商的最后报价文件应包括以下内容（均需使用电子签章）：</w:t>
      </w:r>
    </w:p>
    <w:p w14:paraId="16964008">
      <w:pPr>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3.1最后报价一览表；</w:t>
      </w:r>
    </w:p>
    <w:p w14:paraId="01198706">
      <w:pPr>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3.2最后报价明细表。</w:t>
      </w:r>
    </w:p>
    <w:p w14:paraId="598B9DF6">
      <w:pPr>
        <w:pStyle w:val="3"/>
        <w:widowControl w:val="0"/>
        <w:numPr>
          <w:ilvl w:val="0"/>
          <w:numId w:val="0"/>
        </w:numPr>
        <w:tabs>
          <w:tab w:val="left" w:pos="454"/>
          <w:tab w:val="left" w:pos="720"/>
        </w:tabs>
        <w:adjustRightInd w:val="0"/>
        <w:snapToGrid w:val="0"/>
        <w:spacing w:after="0" w:afterLines="0"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（四）响应文件的有效期</w:t>
      </w:r>
    </w:p>
    <w:p w14:paraId="6A0ABB27">
      <w:pPr>
        <w:pStyle w:val="3"/>
        <w:widowControl w:val="0"/>
        <w:numPr>
          <w:ilvl w:val="0"/>
          <w:numId w:val="0"/>
        </w:numPr>
        <w:tabs>
          <w:tab w:val="left" w:pos="454"/>
          <w:tab w:val="left" w:pos="720"/>
        </w:tabs>
        <w:adjustRightInd w:val="0"/>
        <w:snapToGrid w:val="0"/>
        <w:spacing w:after="0" w:afterLines="0"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1.自响应截止日起</w:t>
      </w:r>
      <w:r>
        <w:rPr>
          <w:rFonts w:hint="eastAsia" w:ascii="宋体" w:hAnsi="宋体" w:eastAsia="宋体" w:cs="宋体"/>
          <w:color w:val="auto"/>
          <w:szCs w:val="24"/>
          <w:highlight w:val="none"/>
          <w:u w:val="single"/>
        </w:rPr>
        <w:t>90</w:t>
      </w:r>
      <w:r>
        <w:rPr>
          <w:rFonts w:hint="eastAsia" w:ascii="宋体" w:hAnsi="宋体" w:eastAsia="宋体" w:cs="宋体"/>
          <w:color w:val="auto"/>
          <w:szCs w:val="24"/>
          <w:highlight w:val="none"/>
        </w:rPr>
        <w:t>天响应文件应保持有效。有效期不足的响应文件将被视为无效。</w:t>
      </w:r>
    </w:p>
    <w:p w14:paraId="0BA248D0">
      <w:pPr>
        <w:pStyle w:val="3"/>
        <w:widowControl w:val="0"/>
        <w:numPr>
          <w:ilvl w:val="0"/>
          <w:numId w:val="0"/>
        </w:numPr>
        <w:tabs>
          <w:tab w:val="left" w:pos="454"/>
          <w:tab w:val="left" w:pos="720"/>
        </w:tabs>
        <w:adjustRightInd w:val="0"/>
        <w:snapToGrid w:val="0"/>
        <w:spacing w:after="0" w:afterLines="0"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2.在特殊情况下，采购人可与供应商协商延长响应文件的有效期，这种要求和答复均以书面（纸质）形式进行。</w:t>
      </w:r>
    </w:p>
    <w:p w14:paraId="5469D538">
      <w:pPr>
        <w:adjustRightInd w:val="0"/>
        <w:snapToGrid w:val="0"/>
        <w:spacing w:line="360" w:lineRule="auto"/>
        <w:ind w:firstLine="480" w:firstLineChars="200"/>
        <w:jc w:val="left"/>
        <w:rPr>
          <w:rFonts w:hint="eastAsia" w:ascii="宋体" w:hAnsi="宋体" w:eastAsia="宋体" w:cs="宋体"/>
          <w:b/>
          <w:color w:val="auto"/>
          <w:sz w:val="24"/>
          <w:szCs w:val="20"/>
          <w:highlight w:val="none"/>
        </w:rPr>
      </w:pPr>
      <w:r>
        <w:rPr>
          <w:rFonts w:hint="eastAsia" w:ascii="宋体" w:hAnsi="宋体" w:eastAsia="宋体" w:cs="宋体"/>
          <w:color w:val="auto"/>
          <w:sz w:val="24"/>
          <w:highlight w:val="none"/>
        </w:rPr>
        <w:t>3.供应商可拒绝接受延期要求。同意延长有效期的，供应商不能修改其响应文件。</w:t>
      </w:r>
      <w:r>
        <w:rPr>
          <w:rFonts w:hint="eastAsia" w:ascii="宋体" w:hAnsi="宋体" w:eastAsia="宋体" w:cs="宋体"/>
          <w:b/>
          <w:color w:val="auto"/>
          <w:sz w:val="24"/>
          <w:highlight w:val="none"/>
        </w:rPr>
        <w:t xml:space="preserve"> </w:t>
      </w:r>
    </w:p>
    <w:p w14:paraId="02878D5B">
      <w:pPr>
        <w:adjustRightInd w:val="0"/>
        <w:snapToGrid w:val="0"/>
        <w:spacing w:line="360" w:lineRule="auto"/>
        <w:ind w:firstLine="480" w:firstLineChars="200"/>
        <w:jc w:val="left"/>
        <w:rPr>
          <w:rFonts w:hint="eastAsia" w:ascii="宋体" w:hAnsi="宋体" w:eastAsia="宋体" w:cs="宋体"/>
          <w:b/>
          <w:color w:val="auto"/>
          <w:sz w:val="24"/>
          <w:highlight w:val="none"/>
        </w:rPr>
      </w:pPr>
      <w:r>
        <w:rPr>
          <w:rFonts w:hint="eastAsia" w:ascii="宋体" w:hAnsi="宋体" w:eastAsia="宋体" w:cs="宋体"/>
          <w:color w:val="auto"/>
          <w:sz w:val="24"/>
          <w:highlight w:val="none"/>
        </w:rPr>
        <w:t>4.成交供应商的响应文件自磋商之日起至合同履行完毕止均应保持有效。</w:t>
      </w:r>
    </w:p>
    <w:p w14:paraId="08607A64">
      <w:pPr>
        <w:pStyle w:val="3"/>
        <w:widowControl w:val="0"/>
        <w:numPr>
          <w:ilvl w:val="0"/>
          <w:numId w:val="0"/>
        </w:numPr>
        <w:tabs>
          <w:tab w:val="left" w:pos="454"/>
          <w:tab w:val="left" w:pos="720"/>
        </w:tabs>
        <w:adjustRightInd w:val="0"/>
        <w:snapToGrid w:val="0"/>
        <w:spacing w:after="0" w:afterLines="0"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（五）响应文件的编制</w:t>
      </w:r>
    </w:p>
    <w:p w14:paraId="34C8E8C6">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1.“电子加密响应文件”：</w:t>
      </w:r>
    </w:p>
    <w:p w14:paraId="577ACD28">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（1）“电子加密响应文件”是指通过“政采云电子交易客户端”完成响应文件编制后生成并加密的数据电文形式的响应文件。</w:t>
      </w:r>
    </w:p>
    <w:p w14:paraId="283DB568">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（2）供应商应先安装“政采云电子交易客户端”，并按照本采购文件和“政府采购云平台”的要求，通过“政采云电子交易客户端”编制并加密响应文件。</w:t>
      </w:r>
    </w:p>
    <w:p w14:paraId="4565950B">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2.“电子备份响应文件”：</w:t>
      </w:r>
    </w:p>
    <w:p w14:paraId="3153BDF1">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（1）“电子备份响应文件”是指与“电子加密响应文件”同时生成的数据电文形式的电子文件。</w:t>
      </w:r>
    </w:p>
    <w:p w14:paraId="1790424F">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（2）供应商可自主选择是否编制“电子备份响应文件”。</w:t>
      </w:r>
    </w:p>
    <w:p w14:paraId="3A401E60">
      <w:pPr>
        <w:adjustRightInd w:val="0"/>
        <w:snapToGrid w:val="0"/>
        <w:spacing w:line="360"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（3）其他方式编制的备份响应文件视为无效备份响应文件。</w:t>
      </w:r>
    </w:p>
    <w:p w14:paraId="2D0F7324">
      <w:pPr>
        <w:adjustRightInd w:val="0"/>
        <w:snapToGrid w:val="0"/>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（六）响应文件的签章</w:t>
      </w:r>
    </w:p>
    <w:p w14:paraId="6523FC31">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响应文件按照磋商文件第六章格式要求进行签署、盖章。▲供应商的响应文件未按照磋商文件要求签署、盖章的，其响应无效。</w:t>
      </w:r>
    </w:p>
    <w:p w14:paraId="30D9DF0A">
      <w:pPr>
        <w:adjustRightInd w:val="0"/>
        <w:snapToGrid w:val="0"/>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（七）响应文件的包装、密封和递交</w:t>
      </w:r>
    </w:p>
    <w:p w14:paraId="24314228">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1.“电子加密响应文件”的递交：在线上传递交。</w:t>
      </w:r>
    </w:p>
    <w:p w14:paraId="524C0FAA">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（1）供应商应在递交响应文件截止时间前将“电子加密响应文件”成功上传递交至“政府采购云平台”，否则响应无效。</w:t>
      </w:r>
    </w:p>
    <w:p w14:paraId="23D3D2FA">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（2）“电子加密响应文件”成功上传递交后，供应商可自行打印响应文件接收回执。</w:t>
      </w:r>
    </w:p>
    <w:p w14:paraId="2246A9A2">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2.“电子备份响应文件”的密封、包装和递交：</w:t>
      </w:r>
    </w:p>
    <w:p w14:paraId="2F6B6328">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（1）供应商可自主选择是否递交“电子备份响应文件”。</w:t>
      </w:r>
    </w:p>
    <w:p w14:paraId="68163308">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（2）“电子备份响应文件”存入U盘（一份）。</w:t>
      </w:r>
    </w:p>
    <w:p w14:paraId="520EBE61">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（3）“电子备份响应文件” 应当在响应文件递交截止时间前以邮寄或送达方式递交。</w:t>
      </w:r>
    </w:p>
    <w:p w14:paraId="166844EE">
      <w:pPr>
        <w:adjustRightInd w:val="0"/>
        <w:snapToGrid w:val="0"/>
        <w:spacing w:line="360" w:lineRule="auto"/>
        <w:ind w:firstLine="42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电子备份响应文件”应当密封包装，并在包装上标注项目编号、采购项目名称、响应单位名称并加盖公章（详见第六章响应文件格式）。没有密封包装或者逾期送达至前附表指定地点的“电子备份响应文件”将不予接收。</w:t>
      </w:r>
    </w:p>
    <w:p w14:paraId="379FEF78">
      <w:pPr>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（八）响应文件的修改和撤回</w:t>
      </w:r>
    </w:p>
    <w:p w14:paraId="5E47ECB6">
      <w:pPr>
        <w:adjustRightInd w:val="0"/>
        <w:snapToGrid w:val="0"/>
        <w:spacing w:line="360" w:lineRule="auto"/>
        <w:ind w:firstLine="540" w:firstLineChars="22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1.供应商在递交响应文件截止时间前可以补充、修改或者撤回响应文件。</w:t>
      </w:r>
    </w:p>
    <w:p w14:paraId="70C77155">
      <w:pPr>
        <w:adjustRightInd w:val="0"/>
        <w:snapToGrid w:val="0"/>
        <w:spacing w:line="360" w:lineRule="auto"/>
        <w:ind w:firstLine="540" w:firstLineChars="22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2.补充或者修改响应文件的，应当先行撤回原响应文件，补充、修改后重新上传递交。</w:t>
      </w:r>
    </w:p>
    <w:p w14:paraId="0CE65AAA">
      <w:pPr>
        <w:adjustRightInd w:val="0"/>
        <w:snapToGrid w:val="0"/>
        <w:spacing w:line="360" w:lineRule="auto"/>
        <w:ind w:firstLine="540" w:firstLineChars="22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3.递交响应文件截止时间前未完成上传的，视为撤回响应文件。</w:t>
      </w:r>
    </w:p>
    <w:p w14:paraId="02CAD5BA">
      <w:pPr>
        <w:pStyle w:val="6"/>
        <w:adjustRightInd w:val="0"/>
        <w:snapToGrid w:val="0"/>
        <w:spacing w:line="360" w:lineRule="auto"/>
        <w:ind w:firstLine="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四、开启响应文件与信用信息查询</w:t>
      </w:r>
    </w:p>
    <w:p w14:paraId="742F58D9">
      <w:pPr>
        <w:adjustRightIn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 开启响应文件</w:t>
      </w:r>
    </w:p>
    <w:p w14:paraId="2BE4B767">
      <w:pPr>
        <w:adjustRightIn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1.采购代理机构按照磋商文件规定的时间通过电子交易平台组织响应文件开启，所有供应商均应当准时在线参加。</w:t>
      </w:r>
      <w:r>
        <w:rPr>
          <w:rFonts w:hint="eastAsia" w:ascii="宋体" w:hAnsi="宋体" w:eastAsia="宋体" w:cs="宋体"/>
          <w:b/>
          <w:color w:val="auto"/>
          <w:sz w:val="24"/>
          <w:highlight w:val="none"/>
        </w:rPr>
        <w:t>供应商数量不符合规定的，不得开启响应文件。</w:t>
      </w:r>
    </w:p>
    <w:p w14:paraId="16A17F8F">
      <w:pPr>
        <w:adjustRightIn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2.开启响应文件时，电子交易平台按开启响应文件时间自动提取所有响应文件。采购代理机构依托电子交易平台发起开始解密指令，供应商按照平台提示和磋商文件的规定在半小时内完成在线解密。</w:t>
      </w:r>
    </w:p>
    <w:p w14:paraId="66333733">
      <w:pPr>
        <w:adjustRightInd w:val="0"/>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3.响应文件未在规定时间内成功解密的供应商，如提交了备份响应文件的，以备份响应文件作为依据，否则视为响应文件撤回。响应文件解密成功的供应商，其备份响应文件自动失效。</w:t>
      </w:r>
    </w:p>
    <w:p w14:paraId="14D3461A">
      <w:pPr>
        <w:pStyle w:val="24"/>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（二）信用信息查询</w:t>
      </w:r>
    </w:p>
    <w:p w14:paraId="05E57951">
      <w:pPr>
        <w:pStyle w:val="24"/>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1.信用信息查询渠道及截止时间：采购代理机构将通过“信用中国”网站(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Cs w:val="24"/>
          <w:highlight w:val="none"/>
        </w:rPr>
        <w:t>www.creditchina.gov.cn</w:t>
      </w:r>
      <w:r>
        <w:rPr>
          <w:rFonts w:hint="eastAsia" w:ascii="宋体" w:hAnsi="宋体" w:eastAsia="宋体" w:cs="宋体"/>
          <w:color w:val="auto"/>
          <w:kern w:val="0"/>
          <w:szCs w:val="24"/>
          <w:highlight w:val="none"/>
        </w:rPr>
        <w:fldChar w:fldCharType="end"/>
      </w:r>
      <w:r>
        <w:rPr>
          <w:rFonts w:hint="eastAsia" w:ascii="宋体" w:hAnsi="宋体" w:eastAsia="宋体" w:cs="宋体"/>
          <w:color w:val="auto"/>
          <w:kern w:val="0"/>
          <w:szCs w:val="24"/>
          <w:highlight w:val="none"/>
        </w:rPr>
        <w:t>)、中国政府采购网(www.ccgp.gov.cn)渠道查询供应商响应截止时间前的信用记录。</w:t>
      </w:r>
    </w:p>
    <w:p w14:paraId="6F43D177">
      <w:pPr>
        <w:pStyle w:val="24"/>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2.信用信息查询记录和证据留存的具体方式：现场查询的供应商的信用记录、查询结果经确认后存档。</w:t>
      </w:r>
    </w:p>
    <w:p w14:paraId="0B6C9ACA">
      <w:pPr>
        <w:pStyle w:val="24"/>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3.信用信息的使用规则：经查询列入失信被执行人名单、重大税收违法案件当事人名单、政府采购严重违法失信行为记录名单的供应商将被拒绝参与政府采购活动。</w:t>
      </w:r>
    </w:p>
    <w:p w14:paraId="387476FC">
      <w:pPr>
        <w:pStyle w:val="24"/>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4CCAEED">
      <w:pPr>
        <w:pStyle w:val="11"/>
        <w:rPr>
          <w:rFonts w:hint="eastAsia" w:ascii="宋体" w:hAnsi="宋体" w:eastAsia="宋体" w:cs="宋体"/>
          <w:color w:val="auto"/>
          <w:highlight w:val="none"/>
        </w:rPr>
      </w:pPr>
    </w:p>
    <w:p w14:paraId="3AB403A9">
      <w:pPr>
        <w:pStyle w:val="6"/>
        <w:adjustRightInd w:val="0"/>
        <w:snapToGrid w:val="0"/>
        <w:spacing w:line="360" w:lineRule="auto"/>
        <w:ind w:firstLine="0"/>
        <w:jc w:val="center"/>
        <w:rPr>
          <w:rFonts w:hint="eastAsia" w:ascii="宋体" w:hAnsi="宋体" w:eastAsia="宋体" w:cs="宋体"/>
          <w:b/>
          <w:snapToGrid w:val="0"/>
          <w:color w:val="auto"/>
          <w:sz w:val="28"/>
          <w:szCs w:val="28"/>
          <w:highlight w:val="none"/>
        </w:rPr>
      </w:pPr>
      <w:r>
        <w:rPr>
          <w:rFonts w:hint="eastAsia" w:ascii="宋体" w:hAnsi="宋体" w:eastAsia="宋体" w:cs="宋体"/>
          <w:b/>
          <w:color w:val="auto"/>
          <w:sz w:val="28"/>
          <w:szCs w:val="28"/>
          <w:highlight w:val="none"/>
        </w:rPr>
        <w:t>五、磋商与评审</w:t>
      </w:r>
    </w:p>
    <w:p w14:paraId="7D5302DF">
      <w:pPr>
        <w:pStyle w:val="8"/>
        <w:adjustRightInd w:val="0"/>
        <w:snapToGrid w:val="0"/>
        <w:spacing w:before="0" w:beforeLines="0" w:after="0" w:afterLines="0"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（一）磋商形式</w:t>
      </w:r>
    </w:p>
    <w:p w14:paraId="23DE0EC0">
      <w:pPr>
        <w:pStyle w:val="8"/>
        <w:adjustRightInd w:val="0"/>
        <w:snapToGrid w:val="0"/>
        <w:spacing w:before="0" w:beforeLines="0" w:after="0" w:afterLines="0" w:line="360" w:lineRule="auto"/>
        <w:ind w:firstLine="48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采购组织机构将按照采购文件规定的时间通过“政府采购云平台”组织在线磋商，所有供应商均应当准时在线参加。供应商自行承担因不参加在线磋商而产生的不利后果。</w:t>
      </w:r>
    </w:p>
    <w:p w14:paraId="73046024">
      <w:pPr>
        <w:pStyle w:val="8"/>
        <w:adjustRightInd w:val="0"/>
        <w:snapToGrid w:val="0"/>
        <w:spacing w:before="0" w:beforeLines="0" w:after="0" w:afterLines="0" w:line="360" w:lineRule="auto"/>
        <w:ind w:left="241" w:hanging="241" w:hangingChars="100"/>
        <w:rPr>
          <w:rFonts w:hint="eastAsia" w:ascii="宋体" w:hAnsi="宋体" w:eastAsia="宋体" w:cs="宋体"/>
          <w:b/>
          <w:color w:val="auto"/>
          <w:highlight w:val="none"/>
        </w:rPr>
      </w:pPr>
      <w:r>
        <w:rPr>
          <w:rFonts w:hint="eastAsia" w:ascii="宋体" w:hAnsi="宋体" w:eastAsia="宋体" w:cs="宋体"/>
          <w:b/>
          <w:color w:val="auto"/>
          <w:highlight w:val="none"/>
        </w:rPr>
        <w:t>（二）磋商与评审</w:t>
      </w:r>
    </w:p>
    <w:p w14:paraId="3A9099E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磋商小组签到。磋商小组由采购人代表和评审专家共3人及以上单数组成，其中评审专家人数不得少于磋商小组成员总数的2/3。采购人代表不得以评审专家身份参加本部门或本单位采购项目的评审。采购代理机构人员不得参加本机构代理的采购项目的评审。</w:t>
      </w:r>
    </w:p>
    <w:p w14:paraId="1F21DF9B">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2.采购代理机构宣布有关纪律以及磋商、评审工作程序。</w:t>
      </w:r>
    </w:p>
    <w:p w14:paraId="63A89342">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3.磋商小组审查确认磋商文件。磋商文件内容违反国家有关强制性规定的，磋商小组应当停止评审并向采购代理机构说明情况。</w:t>
      </w:r>
    </w:p>
    <w:p w14:paraId="05227CF2">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4.采购人或采购代理机构对供应商的资格进行审查。</w:t>
      </w:r>
    </w:p>
    <w:p w14:paraId="43FD7D85">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5.磋商小组审查响应文件。</w:t>
      </w:r>
    </w:p>
    <w:p w14:paraId="0A2BCB27">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6.对于未实质性响应磋商文件的响应文件由磋商小组认定响应无效，并告知该供应商。</w:t>
      </w:r>
    </w:p>
    <w:p w14:paraId="52C6BB9C">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不超过半小时，供应商已经明确表示澄清说明或补正完毕的除外。供应商的澄清、说明或者更正不得超出响应文件的范围或者改变响应文件的实质性内容。</w:t>
      </w:r>
    </w:p>
    <w:p w14:paraId="50700C13">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14:paraId="3F23F096">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9.经磋商确定磋商文件的变动情况。对磋商文件作出的实质性变动是磋商文件的有效组成部分，磋商小组应当及时通过政采云平台通知所有参加磋商的供应商。</w:t>
      </w:r>
    </w:p>
    <w:p w14:paraId="36CC253F">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10.供应商应当按照磋商文件的变动情况及磋商小组的要求通过电子交易平台提交响应说明和最后报价，并使用电子签章。已提交响应文件的供应商，在提交最后报价之前，可以根据磋商情况退出磋商。如供应商未按磋商小组的要求在规定的时间内提交最后报价的，视为退出磋商。</w:t>
      </w:r>
    </w:p>
    <w:p w14:paraId="1493D461">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11.磋商小组按照下列方式确定提交最后报价的供应商，有特殊规定的从其规定：</w:t>
      </w:r>
    </w:p>
    <w:p w14:paraId="7E98EDE5">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磋商结束后，磋商小组应当要求所有实质性响应的供应商在规定时间内在电子交易平台提交最后报价，提交最后报价的供应商不得少于3家。提交最后报价的供应商不足3家的，除财政部门另有规定外（采用竞争性磋商采购方式采购的政府购买服务项目（含政府和社会资本合作项目），在采购过程中符合要求的供应商（社会资本）只有 2 家的，竞争性磋商采购活动可以继续进行。采购过程中符合要求的供应商（社会资本）只有 1 家的，采购人（项目实施机构）或者采购代理机构应当终止竞争性磋商采购活动，发布项目终止公告并说明原因，重新开展采购活动。），应当作废标处理。</w:t>
      </w:r>
    </w:p>
    <w:p w14:paraId="23CA1AF5">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12.确定进入最后报价的供应商在规定时间内提交最后报价。</w:t>
      </w:r>
    </w:p>
    <w:p w14:paraId="007AB716">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13.采购代理机构唱价。</w:t>
      </w:r>
    </w:p>
    <w:p w14:paraId="2E08741F">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14:paraId="441F794C">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供应商商务技术部分的得分为磋商小组各成员的有效评分的算术平均值。</w:t>
      </w:r>
    </w:p>
    <w:p w14:paraId="29B9A82D">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15.评分时保留小数点后1位小数，计算评分值时保留小数点后2位小数。</w:t>
      </w:r>
    </w:p>
    <w:p w14:paraId="7C2E0B3F">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16.磋商小组应当根据综合评分情况，按照评审得分由高到低顺序推荐3名成交候选供应商，并编写评审报告。</w:t>
      </w:r>
    </w:p>
    <w:p w14:paraId="6266581A">
      <w:pPr>
        <w:pStyle w:val="8"/>
        <w:adjustRightInd w:val="0"/>
        <w:snapToGrid w:val="0"/>
        <w:spacing w:before="0" w:beforeLines="0" w:after="0" w:afterLines="0" w:line="360" w:lineRule="auto"/>
        <w:ind w:left="241" w:hanging="241" w:hangingChars="100"/>
        <w:rPr>
          <w:rFonts w:hint="eastAsia" w:ascii="宋体" w:hAnsi="宋体" w:eastAsia="宋体" w:cs="宋体"/>
          <w:b/>
          <w:color w:val="auto"/>
          <w:highlight w:val="none"/>
        </w:rPr>
      </w:pPr>
      <w:r>
        <w:rPr>
          <w:rFonts w:hint="eastAsia" w:ascii="宋体" w:hAnsi="宋体" w:eastAsia="宋体" w:cs="宋体"/>
          <w:b/>
          <w:color w:val="auto"/>
          <w:highlight w:val="none"/>
        </w:rPr>
        <w:t>（三）错误修正</w:t>
      </w:r>
    </w:p>
    <w:p w14:paraId="6E182711">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磋商小组对响应文件的最后报价进行审核，对发现计算、书写等错误的，按以下原则进行修正：</w:t>
      </w:r>
    </w:p>
    <w:p w14:paraId="11F17F2B">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2.1《最后报价一览表》内容与响应文件中响应内容不一致的，以《最后报价一览表》为准;</w:t>
      </w:r>
    </w:p>
    <w:p w14:paraId="043B5B1D">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2.2大写金额和小写金额不一致的，以大写金额为准;</w:t>
      </w:r>
    </w:p>
    <w:p w14:paraId="100A0C60">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2.3单价金额小数点或者百分比有明显错位的，以《最后报价一览表》的总价为准，并修改单价;</w:t>
      </w:r>
    </w:p>
    <w:p w14:paraId="582E2E61">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2.4总价金额与按单价汇总金额不一致的，以单价金额计算结果为准。</w:t>
      </w:r>
    </w:p>
    <w:p w14:paraId="407CEDEC">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2.5同时出现两种以上不一致的，按照前款规定的顺序修正。</w:t>
      </w:r>
    </w:p>
    <w:p w14:paraId="1A373BAD">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2.6以修正后的总价作为最后报价。</w:t>
      </w:r>
    </w:p>
    <w:p w14:paraId="2CA91F7C">
      <w:pPr>
        <w:pStyle w:val="8"/>
        <w:adjustRightInd w:val="0"/>
        <w:snapToGrid w:val="0"/>
        <w:spacing w:before="0" w:beforeLines="0" w:after="0" w:afterLines="0" w:line="360" w:lineRule="auto"/>
        <w:ind w:firstLine="480" w:firstLineChars="200"/>
        <w:rPr>
          <w:rFonts w:hint="eastAsia" w:ascii="宋体" w:hAnsi="宋体" w:eastAsia="宋体" w:cs="宋体"/>
          <w:b/>
          <w:bCs/>
          <w:color w:val="auto"/>
          <w:highlight w:val="none"/>
        </w:rPr>
      </w:pPr>
      <w:r>
        <w:rPr>
          <w:rFonts w:hint="eastAsia" w:ascii="宋体" w:hAnsi="宋体" w:eastAsia="宋体" w:cs="宋体"/>
          <w:color w:val="auto"/>
          <w:highlight w:val="none"/>
        </w:rPr>
        <w:t>▲供应商对根据修正原则修正后的最后报价不确认的，响应无效。</w:t>
      </w:r>
    </w:p>
    <w:p w14:paraId="1AD01C18">
      <w:pPr>
        <w:pStyle w:val="8"/>
        <w:adjustRightInd w:val="0"/>
        <w:snapToGrid w:val="0"/>
        <w:spacing w:before="0" w:beforeLines="0" w:after="0" w:afterLines="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六、确定成交供应商</w:t>
      </w:r>
    </w:p>
    <w:p w14:paraId="07183B4E">
      <w:pPr>
        <w:pStyle w:val="8"/>
        <w:adjustRightInd w:val="0"/>
        <w:snapToGrid w:val="0"/>
        <w:spacing w:before="0" w:beforeLines="0" w:after="0" w:afterLines="0" w:line="360" w:lineRule="auto"/>
        <w:rPr>
          <w:rFonts w:hint="eastAsia" w:ascii="宋体" w:hAnsi="宋体" w:eastAsia="宋体" w:cs="宋体"/>
          <w:b/>
          <w:color w:val="auto"/>
          <w:sz w:val="28"/>
          <w:szCs w:val="28"/>
          <w:highlight w:val="none"/>
        </w:rPr>
      </w:pPr>
      <w:r>
        <w:rPr>
          <w:rFonts w:hint="eastAsia" w:ascii="宋体" w:hAnsi="宋体" w:eastAsia="宋体" w:cs="宋体"/>
          <w:b/>
          <w:bCs/>
          <w:color w:val="auto"/>
          <w:highlight w:val="none"/>
        </w:rPr>
        <w:t>（一）确定成交供应商</w:t>
      </w:r>
    </w:p>
    <w:p w14:paraId="4AE33D17">
      <w:pPr>
        <w:pStyle w:val="8"/>
        <w:adjustRightInd w:val="0"/>
        <w:snapToGrid w:val="0"/>
        <w:spacing w:before="0" w:beforeLines="0" w:after="0" w:afterLines="0" w:line="360" w:lineRule="auto"/>
        <w:ind w:firstLine="470" w:firstLineChars="196"/>
        <w:rPr>
          <w:rFonts w:hint="eastAsia" w:ascii="宋体" w:hAnsi="宋体" w:eastAsia="宋体" w:cs="宋体"/>
          <w:color w:val="auto"/>
          <w:highlight w:val="none"/>
        </w:rPr>
      </w:pPr>
      <w:r>
        <w:rPr>
          <w:rFonts w:hint="eastAsia" w:ascii="宋体" w:hAnsi="宋体" w:eastAsia="宋体" w:cs="宋体"/>
          <w:color w:val="auto"/>
          <w:highlight w:val="none"/>
        </w:rPr>
        <w:t>采购人依法确定1名成交供应商。采购人依法确定成交供应商后2个工作日内，采购代理机构以书面（纸质）形式发出《成交通知书》，并同时在相关网站上发布成交结果公告。</w:t>
      </w:r>
    </w:p>
    <w:p w14:paraId="3FEA6692">
      <w:pPr>
        <w:pStyle w:val="8"/>
        <w:adjustRightInd w:val="0"/>
        <w:snapToGrid w:val="0"/>
        <w:spacing w:before="0" w:beforeLines="0" w:after="0" w:afterLines="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七、合同授予</w:t>
      </w:r>
    </w:p>
    <w:p w14:paraId="23F7AFCB">
      <w:pPr>
        <w:adjustRightInd w:val="0"/>
        <w:snapToGrid w:val="0"/>
        <w:spacing w:line="360" w:lineRule="auto"/>
        <w:rPr>
          <w:rFonts w:hint="eastAsia" w:ascii="宋体" w:hAnsi="宋体" w:eastAsia="宋体" w:cs="宋体"/>
          <w:b/>
          <w:bCs/>
          <w:color w:val="auto"/>
          <w:sz w:val="24"/>
          <w:szCs w:val="20"/>
          <w:highlight w:val="none"/>
        </w:rPr>
      </w:pPr>
      <w:r>
        <w:rPr>
          <w:rFonts w:hint="eastAsia" w:ascii="宋体" w:hAnsi="宋体" w:eastAsia="宋体" w:cs="宋体"/>
          <w:b/>
          <w:bCs/>
          <w:color w:val="auto"/>
          <w:sz w:val="24"/>
          <w:highlight w:val="none"/>
        </w:rPr>
        <w:t>（一）签订合同</w:t>
      </w:r>
    </w:p>
    <w:p w14:paraId="231151BD">
      <w:pPr>
        <w:adjustRightInd w:val="0"/>
        <w:snapToGrid w:val="0"/>
        <w:spacing w:line="360"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1.采购人与成交供应商应当在《成交通知书》发出之日起30日内签订政府采购合同。</w:t>
      </w:r>
    </w:p>
    <w:p w14:paraId="71C48EB3">
      <w:pPr>
        <w:adjustRightInd w:val="0"/>
        <w:snapToGrid w:val="0"/>
        <w:spacing w:line="360"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2.成交供应商拖延、拒签合同的，将被取消成交资格。</w:t>
      </w:r>
    </w:p>
    <w:p w14:paraId="5FAD1124">
      <w:pPr>
        <w:pStyle w:val="8"/>
        <w:adjustRightInd w:val="0"/>
        <w:snapToGrid w:val="0"/>
        <w:spacing w:before="0" w:beforeLines="0" w:after="0" w:afterLines="0"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（二）履约保证金</w:t>
      </w:r>
    </w:p>
    <w:p w14:paraId="43E19C7A">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1.成交供应商应按采购文件确定的履约保证金金额，向采购人交纳履约保证金。</w:t>
      </w:r>
    </w:p>
    <w:p w14:paraId="7707C350">
      <w:pPr>
        <w:pStyle w:val="8"/>
        <w:adjustRightInd w:val="0"/>
        <w:snapToGrid w:val="0"/>
        <w:spacing w:before="0" w:beforeLines="0" w:after="0" w:afterLines="0"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2.签订合同后，如成交供应商不按双方合同约定履约，则没收其全部履约保证金。</w:t>
      </w:r>
    </w:p>
    <w:p w14:paraId="40D3C7CA">
      <w:pPr>
        <w:tabs>
          <w:tab w:val="left" w:pos="630"/>
        </w:tabs>
        <w:snapToGrid w:val="0"/>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bookmarkStart w:id="31" w:name="_Toc13347"/>
      <w:r>
        <w:rPr>
          <w:rFonts w:hint="eastAsia" w:ascii="宋体" w:hAnsi="宋体" w:eastAsia="宋体" w:cs="宋体"/>
          <w:b/>
          <w:color w:val="auto"/>
          <w:sz w:val="36"/>
          <w:szCs w:val="36"/>
          <w:highlight w:val="none"/>
        </w:rPr>
        <w:t>第三章  评审办法</w:t>
      </w:r>
      <w:bookmarkEnd w:id="31"/>
    </w:p>
    <w:p w14:paraId="4B3C0ABD">
      <w:pPr>
        <w:adjustRightInd w:val="0"/>
        <w:snapToGrid w:val="0"/>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根据《中华人民共和国政府采购法》等有关法律法规的规定，并结合本项目的实际，制定本办法。</w:t>
      </w:r>
    </w:p>
    <w:p w14:paraId="36F81C91">
      <w:pPr>
        <w:adjustRightInd w:val="0"/>
        <w:snapToGrid w:val="0"/>
        <w:spacing w:line="360" w:lineRule="auto"/>
        <w:ind w:firstLine="420"/>
        <w:rPr>
          <w:rFonts w:hint="eastAsia" w:ascii="宋体" w:hAnsi="宋体" w:eastAsia="宋体" w:cs="宋体"/>
          <w:bCs/>
          <w:color w:val="auto"/>
          <w:sz w:val="24"/>
          <w:highlight w:val="none"/>
        </w:rPr>
      </w:pPr>
      <w:r>
        <w:rPr>
          <w:rFonts w:hint="eastAsia" w:ascii="宋体" w:hAnsi="宋体" w:eastAsia="宋体" w:cs="宋体"/>
          <w:color w:val="auto"/>
          <w:sz w:val="24"/>
          <w:highlight w:val="none"/>
        </w:rPr>
        <w:t>本办法适用于</w:t>
      </w:r>
      <w:r>
        <w:rPr>
          <w:rFonts w:hint="eastAsia" w:ascii="宋体" w:hAnsi="宋体" w:eastAsia="宋体" w:cs="宋体"/>
          <w:color w:val="auto"/>
          <w:sz w:val="24"/>
          <w:highlight w:val="none"/>
          <w:u w:val="single"/>
          <w:lang w:eastAsia="zh-CN"/>
        </w:rPr>
        <w:t>浙江省公安特警训练基地2025年度保障性基建维修项目</w:t>
      </w:r>
      <w:r>
        <w:rPr>
          <w:rFonts w:hint="eastAsia" w:ascii="宋体" w:hAnsi="宋体" w:eastAsia="宋体" w:cs="宋体"/>
          <w:bCs/>
          <w:color w:val="auto"/>
          <w:sz w:val="24"/>
          <w:highlight w:val="none"/>
        </w:rPr>
        <w:t>的评审。</w:t>
      </w:r>
    </w:p>
    <w:p w14:paraId="49298AC1">
      <w:pPr>
        <w:adjustRightInd w:val="0"/>
        <w:snapToGrid w:val="0"/>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一、总则</w:t>
      </w:r>
    </w:p>
    <w:p w14:paraId="0F45A523">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本次评审采用综合评分法，总分为100分。递交了有效响应文件的供应商的评审得分为各项目汇总得分，成交候选资格按评审得分由高到低顺序排列，得分相同的，按最终报价由低到高顺序排列；得分且最终报价相同的，按商务技术得分由高到低顺序排列。</w:t>
      </w:r>
      <w:r>
        <w:rPr>
          <w:rFonts w:hint="eastAsia" w:ascii="宋体" w:hAnsi="宋体" w:eastAsia="宋体" w:cs="宋体"/>
          <w:bCs/>
          <w:color w:val="auto"/>
          <w:sz w:val="24"/>
          <w:highlight w:val="none"/>
        </w:rPr>
        <w:t>评分过程中采用四舍五入法，评分时保留小数点后1位小数，计算评分值时保留小数点后2位小数。除财政部门另有规定外，评审小组推荐</w:t>
      </w:r>
      <w:r>
        <w:rPr>
          <w:rFonts w:hint="eastAsia" w:ascii="宋体" w:hAnsi="宋体" w:eastAsia="宋体" w:cs="宋体"/>
          <w:color w:val="auto"/>
          <w:sz w:val="24"/>
          <w:highlight w:val="none"/>
        </w:rPr>
        <w:t>得分</w:t>
      </w:r>
      <w:r>
        <w:rPr>
          <w:rFonts w:hint="eastAsia" w:ascii="宋体" w:hAnsi="宋体" w:eastAsia="宋体" w:cs="宋体"/>
          <w:bCs/>
          <w:color w:val="auto"/>
          <w:sz w:val="24"/>
          <w:highlight w:val="none"/>
        </w:rPr>
        <w:t>排列前</w:t>
      </w:r>
      <w:r>
        <w:rPr>
          <w:rFonts w:hint="eastAsia" w:ascii="宋体" w:hAnsi="宋体" w:eastAsia="宋体" w:cs="宋体"/>
          <w:bCs/>
          <w:color w:val="auto"/>
          <w:sz w:val="24"/>
          <w:highlight w:val="none"/>
          <w:u w:val="single"/>
        </w:rPr>
        <w:t>3</w:t>
      </w:r>
      <w:r>
        <w:rPr>
          <w:rFonts w:hint="eastAsia" w:ascii="宋体" w:hAnsi="宋体" w:eastAsia="宋体" w:cs="宋体"/>
          <w:bCs/>
          <w:color w:val="auto"/>
          <w:sz w:val="24"/>
          <w:highlight w:val="none"/>
        </w:rPr>
        <w:t>名的供应商为成交候选人。</w:t>
      </w:r>
    </w:p>
    <w:p w14:paraId="791C5B2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商务技术分=评审小组所有成员评分合计数/评审小组人数</w:t>
      </w:r>
    </w:p>
    <w:p w14:paraId="1890AB80">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供应商评审</w:t>
      </w:r>
      <w:r>
        <w:rPr>
          <w:rFonts w:hint="eastAsia" w:ascii="宋体" w:hAnsi="宋体" w:eastAsia="宋体" w:cs="宋体"/>
          <w:bCs/>
          <w:color w:val="auto"/>
          <w:sz w:val="24"/>
          <w:highlight w:val="none"/>
        </w:rPr>
        <w:t>综合得分=商务技术分+报价分。报价是成交的一个重要因素，但最低报价不是成交的唯一依据。</w:t>
      </w:r>
    </w:p>
    <w:p w14:paraId="685A9101">
      <w:pPr>
        <w:adjustRightInd w:val="0"/>
        <w:snapToGrid w:val="0"/>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二、响应无效的情形</w:t>
      </w:r>
    </w:p>
    <w:p w14:paraId="22A22E7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bCs/>
          <w:color w:val="auto"/>
          <w:sz w:val="24"/>
          <w:highlight w:val="none"/>
        </w:rPr>
        <w:t>评审人员对各供应商的响应文件的符合性进行审查，确定是否对采购文件做出了实质性响应。实质上没有响应采购文件要求的响应无效。</w:t>
      </w:r>
      <w:r>
        <w:rPr>
          <w:rFonts w:hint="eastAsia" w:ascii="宋体" w:hAnsi="宋体" w:eastAsia="宋体" w:cs="宋体"/>
          <w:color w:val="auto"/>
          <w:sz w:val="24"/>
          <w:highlight w:val="none"/>
        </w:rPr>
        <w:t>如发现下列情形之一的，响应无效：</w:t>
      </w:r>
    </w:p>
    <w:p w14:paraId="71A7DFA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（1）资格证明文件不全，或者不符合采购文件中规定的资格条件的。</w:t>
      </w:r>
    </w:p>
    <w:p w14:paraId="0DF2BA3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（2）单位负责人为同一人或者存在直接控股、管理关系的不同供应商，同时参加同一合同项下的其他采购活动的；</w:t>
      </w:r>
    </w:p>
    <w:p w14:paraId="2A33DFDD">
      <w:pPr>
        <w:adjustRightInd w:val="0"/>
        <w:snapToGrid w:val="0"/>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color w:val="auto"/>
          <w:sz w:val="24"/>
          <w:highlight w:val="none"/>
        </w:rPr>
        <w:t>（3）为项目提供整体设计、规范编制或者项目管理、监理、检测等服务的供应商，再参加本采购项目的其他采购活动的；</w:t>
      </w:r>
    </w:p>
    <w:p w14:paraId="58588A1C">
      <w:pPr>
        <w:adjustRightInd w:val="0"/>
        <w:snapToGrid w:val="0"/>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（4）响应文件未按采购文件要求盖章的；</w:t>
      </w:r>
    </w:p>
    <w:p w14:paraId="78234C50">
      <w:pPr>
        <w:adjustRightInd w:val="0"/>
        <w:snapToGrid w:val="0"/>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color w:val="auto"/>
          <w:sz w:val="24"/>
          <w:highlight w:val="none"/>
        </w:rPr>
        <w:t>（5）磋商响应函或填写项目不齐全的；</w:t>
      </w:r>
    </w:p>
    <w:p w14:paraId="125B2CA2">
      <w:pPr>
        <w:pStyle w:val="6"/>
        <w:adjustRightInd w:val="0"/>
        <w:snapToGrid w:val="0"/>
        <w:spacing w:line="360" w:lineRule="auto"/>
        <w:ind w:firstLine="454" w:firstLineChars="196"/>
        <w:rPr>
          <w:rFonts w:hint="eastAsia" w:ascii="宋体" w:hAnsi="宋体" w:eastAsia="宋体" w:cs="宋体"/>
          <w:snapToGrid w:val="0"/>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snapToGrid w:val="0"/>
          <w:color w:val="auto"/>
          <w:sz w:val="24"/>
          <w:szCs w:val="24"/>
          <w:highlight w:val="none"/>
        </w:rPr>
        <w:t>6）响应文件有效期不满足采购文件要求的；</w:t>
      </w:r>
    </w:p>
    <w:p w14:paraId="04CEC952">
      <w:pPr>
        <w:pStyle w:val="6"/>
        <w:adjustRightInd w:val="0"/>
        <w:snapToGrid w:val="0"/>
        <w:spacing w:line="360" w:lineRule="auto"/>
        <w:ind w:firstLine="454" w:firstLineChars="196"/>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w:t>
      </w:r>
      <w:r>
        <w:rPr>
          <w:rFonts w:hint="eastAsia" w:ascii="宋体" w:hAnsi="宋体" w:eastAsia="宋体" w:cs="宋体"/>
          <w:color w:val="auto"/>
          <w:sz w:val="24"/>
          <w:szCs w:val="24"/>
          <w:highlight w:val="none"/>
        </w:rPr>
        <w:t>采购文件不接受联合体磋商而采用联合体磋商的</w:t>
      </w:r>
      <w:r>
        <w:rPr>
          <w:rFonts w:hint="eastAsia" w:ascii="宋体" w:hAnsi="宋体" w:eastAsia="宋体" w:cs="宋体"/>
          <w:bCs/>
          <w:color w:val="auto"/>
          <w:kern w:val="0"/>
          <w:sz w:val="24"/>
          <w:szCs w:val="24"/>
          <w:highlight w:val="none"/>
        </w:rPr>
        <w:t>；</w:t>
      </w:r>
      <w:r>
        <w:rPr>
          <w:rFonts w:hint="eastAsia" w:ascii="宋体" w:hAnsi="宋体" w:eastAsia="宋体" w:cs="宋体"/>
          <w:color w:val="auto"/>
          <w:kern w:val="0"/>
          <w:sz w:val="24"/>
          <w:szCs w:val="24"/>
          <w:highlight w:val="none"/>
        </w:rPr>
        <w:t>以联合体形式参加磋商的，在响应文件中未提交联合协议的；</w:t>
      </w:r>
    </w:p>
    <w:p w14:paraId="5D211A35">
      <w:pPr>
        <w:pStyle w:val="6"/>
        <w:adjustRightInd w:val="0"/>
        <w:snapToGrid w:val="0"/>
        <w:spacing w:line="360" w:lineRule="auto"/>
        <w:ind w:firstLine="454" w:firstLineChars="196"/>
        <w:rPr>
          <w:rFonts w:hint="eastAsia" w:ascii="宋体" w:hAnsi="宋体" w:eastAsia="宋体" w:cs="宋体"/>
          <w:snapToGrid w:val="0"/>
          <w:color w:val="auto"/>
          <w:sz w:val="24"/>
          <w:szCs w:val="24"/>
          <w:highlight w:val="none"/>
        </w:rPr>
      </w:pPr>
      <w:r>
        <w:rPr>
          <w:rFonts w:hint="eastAsia" w:ascii="宋体" w:hAnsi="宋体" w:eastAsia="宋体" w:cs="宋体"/>
          <w:color w:val="auto"/>
          <w:sz w:val="24"/>
          <w:szCs w:val="24"/>
          <w:highlight w:val="none"/>
        </w:rPr>
        <w:t>（8）未提供或未如实提供报价货物的技术参数，或者响应文件标明的商务、技术响应与事实不符或虚假响应的；</w:t>
      </w:r>
    </w:p>
    <w:p w14:paraId="422828F4">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（9）未响应采购文件标注“▲”的实质性要求的；</w:t>
      </w:r>
    </w:p>
    <w:p w14:paraId="0AFD8308">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（10）响应文件含有采购人不能接受的附加条件的；</w:t>
      </w:r>
    </w:p>
    <w:p w14:paraId="7C786F33">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（11）不同供应商的响应文件由同一单位或者个人编制的；</w:t>
      </w:r>
    </w:p>
    <w:p w14:paraId="6B32D078">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（12）不同供应商委托同一单位或者个人办理磋商事宜的；</w:t>
      </w:r>
    </w:p>
    <w:p w14:paraId="25CCF99C">
      <w:pPr>
        <w:tabs>
          <w:tab w:val="left" w:pos="540"/>
        </w:tabs>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（13）不同供应商的响应文件载明的项目管理成员或者联系人员为同一人的；</w:t>
      </w:r>
    </w:p>
    <w:p w14:paraId="4D030502">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（14）不同供应商的响应文件异常一致或者报价呈规律性差异的；</w:t>
      </w:r>
    </w:p>
    <w:p w14:paraId="6A34B451">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（15）不同供应商的响应文件相互混装的；</w:t>
      </w:r>
    </w:p>
    <w:p w14:paraId="239E42CE">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（16）法律、法规和采购文件规定的其他无效情形。</w:t>
      </w:r>
    </w:p>
    <w:p w14:paraId="0C0885D3">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17）</w:t>
      </w:r>
      <w:r>
        <w:rPr>
          <w:rFonts w:hint="eastAsia" w:ascii="宋体" w:hAnsi="宋体" w:eastAsia="宋体" w:cs="宋体"/>
          <w:bCs/>
          <w:color w:val="auto"/>
          <w:sz w:val="24"/>
          <w:szCs w:val="24"/>
          <w:highlight w:val="none"/>
        </w:rPr>
        <w:t>参与同一个采购包（标段）的供应商存在下列情形之一且无法合理解释的，其投标（响应）文件无效：</w:t>
      </w:r>
    </w:p>
    <w:p w14:paraId="2E401DA2">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不同供应商的电子投标（响应）文件上传计算机的网卡MAC地址或硬盘序列号等硬件信息相同的；</w:t>
      </w:r>
    </w:p>
    <w:p w14:paraId="418760EB">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上传的电子投标（响应）文件若出现使用本项目其他供应商的数字证书加密的，或者加盖本项目其他供应商的电子印章的；</w:t>
      </w:r>
    </w:p>
    <w:p w14:paraId="1AD7F54A">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不同供应商的投标（响应）文件的内容存在3处（含）以上错误一致的；</w:t>
      </w:r>
    </w:p>
    <w:p w14:paraId="32188A88">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不同供应商联系人为同一人或不同联系人的联系电话一致的。</w:t>
      </w:r>
    </w:p>
    <w:p w14:paraId="2E9C3ED8">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2.在最后报价评审时，如发现下列情形之一的，响应将被视为无效：</w:t>
      </w:r>
    </w:p>
    <w:p w14:paraId="1B217B58">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（1）报价超过采购文件中规定的预算金额/最高限价的；</w:t>
      </w:r>
    </w:p>
    <w:p w14:paraId="0A90BD78">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（2）报价具有选择性的；</w:t>
      </w:r>
    </w:p>
    <w:p w14:paraId="70194611">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（3）不接受按采购文件规定的修正错误原则修正后的报价的；</w:t>
      </w:r>
    </w:p>
    <w:p w14:paraId="4A368F2D">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（4）最后报价明显低于其他供应商的最后报价，有可能影响产品质量或者不能诚信履约的，未能按要求提供书面说明或者提交相关证明材料，不能证明其报价合理性的;</w:t>
      </w:r>
    </w:p>
    <w:p w14:paraId="3434286B">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（5）报价内容不满足采购需求，存在缺项、漏项的；</w:t>
      </w:r>
    </w:p>
    <w:p w14:paraId="4D06D253">
      <w:pPr>
        <w:pStyle w:val="6"/>
        <w:adjustRightInd w:val="0"/>
        <w:snapToGrid w:val="0"/>
        <w:spacing w:line="360" w:lineRule="auto"/>
        <w:ind w:firstLine="454" w:firstLineChars="196"/>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（6）法律、法规和采购文件规定的其他无效情形。</w:t>
      </w:r>
    </w:p>
    <w:p w14:paraId="31B730B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三、评审内容及标准</w:t>
      </w:r>
    </w:p>
    <w:tbl>
      <w:tblPr>
        <w:tblStyle w:val="16"/>
        <w:tblW w:w="9707" w:type="dxa"/>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537"/>
        <w:gridCol w:w="570"/>
        <w:gridCol w:w="6836"/>
      </w:tblGrid>
      <w:tr w14:paraId="17A6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64" w:type="dxa"/>
            <w:noWrap w:val="0"/>
            <w:vAlign w:val="center"/>
          </w:tcPr>
          <w:p w14:paraId="13130770">
            <w:pPr>
              <w:adjustRightInd w:val="0"/>
              <w:snapToGrid w:val="0"/>
              <w:jc w:val="center"/>
              <w:rPr>
                <w:rFonts w:hint="eastAsia" w:ascii="宋体" w:hAnsi="宋体" w:eastAsia="宋体" w:cs="宋体"/>
                <w:b/>
                <w:color w:val="auto"/>
                <w:spacing w:val="-6"/>
                <w:sz w:val="24"/>
                <w:highlight w:val="none"/>
              </w:rPr>
            </w:pPr>
            <w:r>
              <w:rPr>
                <w:rFonts w:hint="eastAsia" w:ascii="宋体" w:hAnsi="宋体" w:eastAsia="宋体" w:cs="宋体"/>
                <w:b/>
                <w:color w:val="auto"/>
                <w:spacing w:val="-6"/>
                <w:sz w:val="24"/>
                <w:highlight w:val="none"/>
              </w:rPr>
              <w:t>评审因素</w:t>
            </w:r>
          </w:p>
        </w:tc>
        <w:tc>
          <w:tcPr>
            <w:tcW w:w="1537" w:type="dxa"/>
            <w:noWrap w:val="0"/>
            <w:vAlign w:val="center"/>
          </w:tcPr>
          <w:p w14:paraId="47E3B70B">
            <w:pPr>
              <w:adjustRightInd w:val="0"/>
              <w:snapToGrid w:val="0"/>
              <w:jc w:val="center"/>
              <w:rPr>
                <w:rFonts w:hint="eastAsia" w:ascii="宋体" w:hAnsi="宋体" w:eastAsia="宋体" w:cs="宋体"/>
                <w:b/>
                <w:color w:val="auto"/>
                <w:spacing w:val="-6"/>
                <w:sz w:val="24"/>
                <w:highlight w:val="none"/>
              </w:rPr>
            </w:pPr>
            <w:r>
              <w:rPr>
                <w:rFonts w:hint="eastAsia" w:ascii="宋体" w:hAnsi="宋体" w:eastAsia="宋体" w:cs="宋体"/>
                <w:b/>
                <w:color w:val="auto"/>
                <w:spacing w:val="-6"/>
                <w:sz w:val="24"/>
                <w:highlight w:val="none"/>
              </w:rPr>
              <w:t>评审内容</w:t>
            </w:r>
          </w:p>
        </w:tc>
        <w:tc>
          <w:tcPr>
            <w:tcW w:w="570" w:type="dxa"/>
            <w:noWrap w:val="0"/>
            <w:vAlign w:val="center"/>
          </w:tcPr>
          <w:p w14:paraId="542BF7FE">
            <w:pPr>
              <w:pStyle w:val="25"/>
              <w:adjustRightInd w:val="0"/>
              <w:snapToGrid w:val="0"/>
              <w:spacing w:line="240" w:lineRule="auto"/>
              <w:rPr>
                <w:rFonts w:hint="eastAsia" w:ascii="宋体" w:hAnsi="宋体" w:eastAsia="宋体" w:cs="宋体"/>
                <w:b/>
                <w:color w:val="auto"/>
                <w:spacing w:val="-6"/>
                <w:highlight w:val="none"/>
              </w:rPr>
            </w:pPr>
            <w:r>
              <w:rPr>
                <w:rFonts w:hint="eastAsia" w:ascii="宋体" w:hAnsi="宋体" w:eastAsia="宋体" w:cs="宋体"/>
                <w:b/>
                <w:color w:val="auto"/>
                <w:spacing w:val="-6"/>
                <w:highlight w:val="none"/>
              </w:rPr>
              <w:t>分值</w:t>
            </w:r>
          </w:p>
        </w:tc>
        <w:tc>
          <w:tcPr>
            <w:tcW w:w="6836" w:type="dxa"/>
            <w:noWrap w:val="0"/>
            <w:vAlign w:val="center"/>
          </w:tcPr>
          <w:p w14:paraId="4D790B5F">
            <w:pPr>
              <w:pStyle w:val="25"/>
              <w:adjustRightInd w:val="0"/>
              <w:snapToGrid w:val="0"/>
              <w:spacing w:line="240" w:lineRule="auto"/>
              <w:rPr>
                <w:rFonts w:hint="eastAsia" w:ascii="宋体" w:hAnsi="宋体" w:eastAsia="宋体" w:cs="宋体"/>
                <w:b/>
                <w:color w:val="auto"/>
                <w:spacing w:val="-6"/>
                <w:highlight w:val="none"/>
              </w:rPr>
            </w:pPr>
            <w:r>
              <w:rPr>
                <w:rFonts w:hint="eastAsia" w:ascii="宋体" w:hAnsi="宋体" w:eastAsia="宋体" w:cs="宋体"/>
                <w:b/>
                <w:color w:val="auto"/>
                <w:spacing w:val="-6"/>
                <w:highlight w:val="none"/>
              </w:rPr>
              <w:t>评分细则</w:t>
            </w:r>
          </w:p>
        </w:tc>
      </w:tr>
      <w:tr w14:paraId="2879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707" w:type="dxa"/>
            <w:gridSpan w:val="4"/>
            <w:noWrap w:val="0"/>
            <w:vAlign w:val="center"/>
          </w:tcPr>
          <w:p w14:paraId="04875196">
            <w:pPr>
              <w:pStyle w:val="25"/>
              <w:adjustRightInd w:val="0"/>
              <w:snapToGrid w:val="0"/>
              <w:spacing w:line="240" w:lineRule="auto"/>
              <w:rPr>
                <w:rFonts w:hint="eastAsia" w:ascii="宋体" w:hAnsi="宋体" w:eastAsia="宋体" w:cs="宋体"/>
                <w:b/>
                <w:bCs/>
                <w:color w:val="auto"/>
                <w:spacing w:val="-6"/>
                <w:kern w:val="2"/>
                <w:highlight w:val="none"/>
              </w:rPr>
            </w:pPr>
            <w:r>
              <w:rPr>
                <w:rFonts w:hint="eastAsia" w:ascii="宋体" w:hAnsi="宋体" w:eastAsia="宋体" w:cs="宋体"/>
                <w:b/>
                <w:bCs/>
                <w:color w:val="auto"/>
                <w:spacing w:val="-6"/>
                <w:kern w:val="2"/>
                <w:highlight w:val="none"/>
              </w:rPr>
              <w:t>报价分（</w:t>
            </w:r>
            <w:r>
              <w:rPr>
                <w:rFonts w:hint="eastAsia" w:ascii="宋体" w:hAnsi="宋体" w:eastAsia="宋体" w:cs="宋体"/>
                <w:b/>
                <w:bCs/>
                <w:color w:val="auto"/>
                <w:spacing w:val="-6"/>
                <w:kern w:val="2"/>
                <w:highlight w:val="none"/>
                <w:lang w:val="en-US" w:eastAsia="zh-CN"/>
              </w:rPr>
              <w:t>3</w:t>
            </w:r>
            <w:r>
              <w:rPr>
                <w:rFonts w:hint="eastAsia" w:ascii="宋体" w:hAnsi="宋体" w:eastAsia="宋体" w:cs="宋体"/>
                <w:b/>
                <w:bCs/>
                <w:color w:val="auto"/>
                <w:spacing w:val="-6"/>
                <w:kern w:val="2"/>
                <w:highlight w:val="none"/>
              </w:rPr>
              <w:t>0分）</w:t>
            </w:r>
          </w:p>
        </w:tc>
      </w:tr>
      <w:tr w14:paraId="6C2E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64" w:type="dxa"/>
            <w:tcBorders>
              <w:top w:val="single" w:color="auto" w:sz="4" w:space="0"/>
              <w:left w:val="single" w:color="auto" w:sz="4" w:space="0"/>
              <w:bottom w:val="single" w:color="auto" w:sz="4" w:space="0"/>
              <w:right w:val="single" w:color="auto" w:sz="4" w:space="0"/>
            </w:tcBorders>
            <w:noWrap w:val="0"/>
            <w:vAlign w:val="center"/>
          </w:tcPr>
          <w:p w14:paraId="4ADAE697">
            <w:pPr>
              <w:pStyle w:val="6"/>
              <w:adjustRightInd w:val="0"/>
              <w:snapToGrid w:val="0"/>
              <w:spacing w:line="240" w:lineRule="auto"/>
              <w:ind w:firstLine="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报价</w:t>
            </w:r>
          </w:p>
        </w:tc>
        <w:tc>
          <w:tcPr>
            <w:tcW w:w="1537" w:type="dxa"/>
            <w:tcBorders>
              <w:top w:val="single" w:color="auto" w:sz="4" w:space="0"/>
              <w:left w:val="single" w:color="auto" w:sz="4" w:space="0"/>
              <w:bottom w:val="single" w:color="auto" w:sz="4" w:space="0"/>
              <w:right w:val="single" w:color="auto" w:sz="4" w:space="0"/>
            </w:tcBorders>
            <w:noWrap w:val="0"/>
            <w:vAlign w:val="center"/>
          </w:tcPr>
          <w:p w14:paraId="03D42B56">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报价</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63EDDE25">
            <w:pPr>
              <w:pStyle w:val="26"/>
              <w:snapToGrid w:val="0"/>
              <w:jc w:val="center"/>
              <w:rPr>
                <w:rFonts w:hint="eastAsia" w:ascii="宋体" w:hAnsi="宋体" w:eastAsia="宋体" w:cs="宋体"/>
                <w:color w:val="auto"/>
                <w:highlight w:val="none"/>
              </w:rPr>
            </w:pPr>
            <w:r>
              <w:rPr>
                <w:rFonts w:hint="eastAsia" w:ascii="宋体" w:hAnsi="宋体" w:eastAsia="宋体" w:cs="宋体"/>
                <w:color w:val="auto"/>
                <w:spacing w:val="-6"/>
                <w:highlight w:val="none"/>
                <w:lang w:val="en-US" w:eastAsia="zh-CN"/>
              </w:rPr>
              <w:t>3</w:t>
            </w:r>
            <w:r>
              <w:rPr>
                <w:rFonts w:hint="eastAsia" w:ascii="宋体" w:hAnsi="宋体" w:eastAsia="宋体" w:cs="宋体"/>
                <w:color w:val="auto"/>
                <w:spacing w:val="-6"/>
                <w:highlight w:val="none"/>
              </w:rPr>
              <w:t>0</w:t>
            </w:r>
          </w:p>
        </w:tc>
        <w:tc>
          <w:tcPr>
            <w:tcW w:w="6836" w:type="dxa"/>
            <w:tcBorders>
              <w:top w:val="single" w:color="auto" w:sz="4" w:space="0"/>
              <w:left w:val="single" w:color="auto" w:sz="4" w:space="0"/>
              <w:bottom w:val="single" w:color="auto" w:sz="4" w:space="0"/>
              <w:right w:val="single" w:color="auto" w:sz="4" w:space="0"/>
            </w:tcBorders>
            <w:noWrap w:val="0"/>
            <w:vAlign w:val="center"/>
          </w:tcPr>
          <w:p w14:paraId="284B0283">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报价分采用低价优先法计算，即满足采购文件要求且最终响应报价</w:t>
            </w:r>
            <w:r>
              <w:rPr>
                <w:rFonts w:hint="eastAsia" w:ascii="宋体" w:hAnsi="宋体" w:eastAsia="宋体" w:cs="宋体"/>
                <w:b/>
                <w:bCs/>
                <w:color w:val="auto"/>
                <w:spacing w:val="-6"/>
                <w:sz w:val="24"/>
                <w:szCs w:val="24"/>
                <w:highlight w:val="none"/>
              </w:rPr>
              <w:t>最低价</w:t>
            </w:r>
            <w:r>
              <w:rPr>
                <w:rFonts w:hint="eastAsia" w:ascii="宋体" w:hAnsi="宋体" w:eastAsia="宋体" w:cs="宋体"/>
                <w:color w:val="auto"/>
                <w:spacing w:val="-6"/>
                <w:sz w:val="24"/>
                <w:szCs w:val="24"/>
                <w:highlight w:val="none"/>
              </w:rPr>
              <w:t>为评标基准价，其他供应商的价格分按照下列公式计算：</w:t>
            </w:r>
          </w:p>
          <w:p w14:paraId="111FC1CA">
            <w:pPr>
              <w:adjustRightInd w:val="0"/>
              <w:snapToGrid w:val="0"/>
              <w:rPr>
                <w:rFonts w:hint="eastAsia" w:ascii="宋体" w:hAnsi="宋体" w:eastAsia="宋体" w:cs="宋体"/>
                <w:color w:val="auto"/>
                <w:highlight w:val="none"/>
              </w:rPr>
            </w:pPr>
            <w:r>
              <w:rPr>
                <w:rFonts w:hint="eastAsia" w:ascii="宋体" w:hAnsi="宋体" w:eastAsia="宋体" w:cs="宋体"/>
                <w:color w:val="auto"/>
                <w:spacing w:val="-6"/>
                <w:sz w:val="24"/>
                <w:highlight w:val="none"/>
              </w:rPr>
              <w:t>报价分=（评标基准价/最终响应报价）×</w:t>
            </w:r>
            <w:r>
              <w:rPr>
                <w:rFonts w:hint="eastAsia" w:ascii="宋体" w:hAnsi="宋体" w:eastAsia="宋体" w:cs="宋体"/>
                <w:color w:val="auto"/>
                <w:spacing w:val="-6"/>
                <w:sz w:val="24"/>
                <w:highlight w:val="none"/>
                <w:lang w:val="en-US" w:eastAsia="zh-CN"/>
              </w:rPr>
              <w:t>3</w:t>
            </w:r>
            <w:r>
              <w:rPr>
                <w:rFonts w:hint="eastAsia" w:ascii="宋体" w:hAnsi="宋体" w:eastAsia="宋体" w:cs="宋体"/>
                <w:color w:val="auto"/>
                <w:spacing w:val="-6"/>
                <w:sz w:val="24"/>
                <w:highlight w:val="none"/>
              </w:rPr>
              <w:t>0%×100。</w:t>
            </w:r>
          </w:p>
        </w:tc>
      </w:tr>
      <w:tr w14:paraId="5C28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707" w:type="dxa"/>
            <w:gridSpan w:val="4"/>
            <w:noWrap w:val="0"/>
            <w:vAlign w:val="center"/>
          </w:tcPr>
          <w:p w14:paraId="4C2985A8">
            <w:pPr>
              <w:pStyle w:val="25"/>
              <w:adjustRightInd w:val="0"/>
              <w:snapToGrid w:val="0"/>
              <w:spacing w:line="240" w:lineRule="auto"/>
              <w:rPr>
                <w:rFonts w:hint="eastAsia" w:ascii="宋体" w:hAnsi="宋体" w:eastAsia="宋体" w:cs="宋体"/>
                <w:b/>
                <w:color w:val="auto"/>
                <w:spacing w:val="-6"/>
                <w:highlight w:val="none"/>
              </w:rPr>
            </w:pPr>
            <w:r>
              <w:rPr>
                <w:rFonts w:hint="eastAsia" w:ascii="宋体" w:hAnsi="宋体" w:eastAsia="宋体" w:cs="宋体"/>
                <w:b/>
                <w:color w:val="auto"/>
                <w:spacing w:val="-6"/>
                <w:highlight w:val="none"/>
              </w:rPr>
              <w:t>商务分（</w:t>
            </w:r>
            <w:r>
              <w:rPr>
                <w:rFonts w:hint="eastAsia" w:ascii="宋体" w:hAnsi="宋体" w:eastAsia="宋体" w:cs="宋体"/>
                <w:b/>
                <w:color w:val="auto"/>
                <w:spacing w:val="-6"/>
                <w:highlight w:val="none"/>
                <w:lang w:val="en-US" w:eastAsia="zh-CN"/>
              </w:rPr>
              <w:t>14</w:t>
            </w:r>
            <w:r>
              <w:rPr>
                <w:rFonts w:hint="eastAsia" w:ascii="宋体" w:hAnsi="宋体" w:eastAsia="宋体" w:cs="宋体"/>
                <w:b/>
                <w:color w:val="auto"/>
                <w:spacing w:val="-6"/>
                <w:highlight w:val="none"/>
              </w:rPr>
              <w:t>分）</w:t>
            </w:r>
          </w:p>
        </w:tc>
      </w:tr>
      <w:tr w14:paraId="0135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64" w:type="dxa"/>
            <w:vMerge w:val="restart"/>
            <w:noWrap w:val="0"/>
            <w:vAlign w:val="center"/>
          </w:tcPr>
          <w:p w14:paraId="7E7D99BC">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商务</w:t>
            </w:r>
          </w:p>
        </w:tc>
        <w:tc>
          <w:tcPr>
            <w:tcW w:w="1537" w:type="dxa"/>
            <w:noWrap w:val="0"/>
            <w:vAlign w:val="center"/>
          </w:tcPr>
          <w:p w14:paraId="3D33D03A">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业绩</w:t>
            </w:r>
          </w:p>
        </w:tc>
        <w:tc>
          <w:tcPr>
            <w:tcW w:w="570" w:type="dxa"/>
            <w:noWrap w:val="0"/>
            <w:vAlign w:val="center"/>
          </w:tcPr>
          <w:p w14:paraId="30B8FD7B">
            <w:pPr>
              <w:pStyle w:val="6"/>
              <w:adjustRightInd w:val="0"/>
              <w:snapToGrid w:val="0"/>
              <w:spacing w:line="240" w:lineRule="auto"/>
              <w:ind w:firstLine="0"/>
              <w:jc w:val="center"/>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lang w:val="en-US" w:eastAsia="zh-CN"/>
              </w:rPr>
              <w:t>1</w:t>
            </w:r>
          </w:p>
        </w:tc>
        <w:tc>
          <w:tcPr>
            <w:tcW w:w="6836" w:type="dxa"/>
            <w:noWrap w:val="0"/>
            <w:vAlign w:val="center"/>
          </w:tcPr>
          <w:p w14:paraId="1F001D26">
            <w:pPr>
              <w:adjustRightInd w:val="0"/>
              <w:snapToGrid w:val="0"/>
              <w:spacing w:line="240" w:lineRule="auto"/>
              <w:jc w:val="left"/>
              <w:rPr>
                <w:rFonts w:hint="eastAsia" w:ascii="宋体" w:hAnsi="宋体" w:eastAsia="宋体" w:cs="宋体"/>
                <w:color w:val="auto"/>
                <w:spacing w:val="-6"/>
                <w:sz w:val="24"/>
                <w:szCs w:val="24"/>
                <w:highlight w:val="none"/>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客观分】</w:t>
            </w:r>
          </w:p>
          <w:p w14:paraId="0B3C9B85">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供应商自202</w:t>
            </w:r>
            <w:r>
              <w:rPr>
                <w:rFonts w:hint="eastAsia" w:ascii="宋体" w:hAnsi="宋体" w:eastAsia="宋体" w:cs="宋体"/>
                <w:color w:val="auto"/>
                <w:spacing w:val="-6"/>
                <w:sz w:val="24"/>
                <w:szCs w:val="24"/>
                <w:highlight w:val="none"/>
                <w:lang w:val="en-US" w:eastAsia="zh-CN"/>
              </w:rPr>
              <w:t>2</w:t>
            </w:r>
            <w:r>
              <w:rPr>
                <w:rFonts w:hint="eastAsia" w:ascii="宋体" w:hAnsi="宋体" w:eastAsia="宋体" w:cs="宋体"/>
                <w:color w:val="auto"/>
                <w:spacing w:val="-6"/>
                <w:sz w:val="24"/>
                <w:szCs w:val="24"/>
                <w:highlight w:val="none"/>
              </w:rPr>
              <w:t>年1月1日以来（以合同签订时间为准）类似项目业绩：</w:t>
            </w:r>
          </w:p>
          <w:p w14:paraId="608CAB33">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每提供1个类似项目业绩得</w:t>
            </w:r>
            <w:r>
              <w:rPr>
                <w:rFonts w:hint="eastAsia" w:ascii="宋体" w:hAnsi="宋体" w:eastAsia="宋体" w:cs="宋体"/>
                <w:color w:val="auto"/>
                <w:spacing w:val="-6"/>
                <w:sz w:val="24"/>
                <w:szCs w:val="24"/>
                <w:highlight w:val="none"/>
                <w:lang w:val="en-US" w:eastAsia="zh-CN"/>
              </w:rPr>
              <w:t>0.5</w:t>
            </w:r>
            <w:r>
              <w:rPr>
                <w:rFonts w:hint="eastAsia" w:ascii="宋体" w:hAnsi="宋体" w:eastAsia="宋体" w:cs="宋体"/>
                <w:color w:val="auto"/>
                <w:spacing w:val="-6"/>
                <w:sz w:val="24"/>
                <w:szCs w:val="24"/>
                <w:highlight w:val="none"/>
              </w:rPr>
              <w:t>分，最高得</w:t>
            </w:r>
            <w:r>
              <w:rPr>
                <w:rFonts w:hint="eastAsia" w:ascii="宋体" w:hAnsi="宋体" w:eastAsia="宋体" w:cs="宋体"/>
                <w:color w:val="auto"/>
                <w:spacing w:val="-6"/>
                <w:sz w:val="24"/>
                <w:szCs w:val="24"/>
                <w:highlight w:val="none"/>
                <w:lang w:val="en-US" w:eastAsia="zh-CN"/>
              </w:rPr>
              <w:t>1</w:t>
            </w:r>
            <w:r>
              <w:rPr>
                <w:rFonts w:hint="eastAsia" w:ascii="宋体" w:hAnsi="宋体" w:eastAsia="宋体" w:cs="宋体"/>
                <w:color w:val="auto"/>
                <w:spacing w:val="-6"/>
                <w:sz w:val="24"/>
                <w:szCs w:val="24"/>
                <w:highlight w:val="none"/>
              </w:rPr>
              <w:t>分。</w:t>
            </w:r>
          </w:p>
          <w:p w14:paraId="6F673A7F">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注：</w:t>
            </w:r>
            <w:r>
              <w:rPr>
                <w:rFonts w:hint="eastAsia" w:ascii="宋体" w:hAnsi="宋体" w:eastAsia="宋体" w:cs="宋体"/>
                <w:spacing w:val="-6"/>
                <w:sz w:val="24"/>
                <w:szCs w:val="24"/>
                <w:highlight w:val="none"/>
              </w:rPr>
              <w:t>以提供</w:t>
            </w:r>
            <w:r>
              <w:rPr>
                <w:rFonts w:hint="eastAsia" w:ascii="宋体" w:hAnsi="宋体" w:eastAsia="宋体" w:cs="宋体"/>
                <w:spacing w:val="-6"/>
                <w:sz w:val="24"/>
                <w:szCs w:val="24"/>
                <w:highlight w:val="none"/>
                <w:lang w:val="en-US" w:eastAsia="zh-CN"/>
              </w:rPr>
              <w:t>的</w:t>
            </w:r>
            <w:r>
              <w:rPr>
                <w:rFonts w:hint="eastAsia" w:ascii="宋体" w:hAnsi="宋体" w:eastAsia="宋体" w:cs="宋体"/>
                <w:spacing w:val="-6"/>
                <w:sz w:val="24"/>
                <w:szCs w:val="24"/>
                <w:highlight w:val="none"/>
              </w:rPr>
              <w:t>合同复印件为准。</w:t>
            </w:r>
            <w:r>
              <w:rPr>
                <w:rFonts w:hint="eastAsia" w:ascii="宋体" w:hAnsi="宋体" w:eastAsia="宋体" w:cs="宋体"/>
                <w:sz w:val="24"/>
                <w:highlight w:val="none"/>
              </w:rPr>
              <w:t>如</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为联合体，联合体任一成员具备即可得分</w:t>
            </w:r>
            <w:r>
              <w:rPr>
                <w:rFonts w:hint="eastAsia" w:ascii="宋体" w:hAnsi="宋体" w:eastAsia="宋体" w:cs="宋体"/>
                <w:color w:val="auto"/>
                <w:spacing w:val="-6"/>
                <w:sz w:val="24"/>
                <w:szCs w:val="24"/>
                <w:highlight w:val="none"/>
              </w:rPr>
              <w:t>。</w:t>
            </w:r>
          </w:p>
        </w:tc>
      </w:tr>
      <w:tr w14:paraId="146A0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dxa"/>
            <w:vMerge w:val="continue"/>
            <w:noWrap w:val="0"/>
            <w:vAlign w:val="center"/>
          </w:tcPr>
          <w:p w14:paraId="140A029F">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75553EBE">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项目班子专业能力配备</w:t>
            </w:r>
          </w:p>
        </w:tc>
        <w:tc>
          <w:tcPr>
            <w:tcW w:w="570" w:type="dxa"/>
            <w:noWrap w:val="0"/>
            <w:vAlign w:val="center"/>
          </w:tcPr>
          <w:p w14:paraId="449B1ADD">
            <w:pPr>
              <w:pStyle w:val="6"/>
              <w:adjustRightInd w:val="0"/>
              <w:snapToGrid w:val="0"/>
              <w:spacing w:line="240" w:lineRule="auto"/>
              <w:ind w:firstLine="0"/>
              <w:jc w:val="center"/>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val="en-US" w:eastAsia="zh-CN"/>
              </w:rPr>
              <w:t>5</w:t>
            </w:r>
          </w:p>
        </w:tc>
        <w:tc>
          <w:tcPr>
            <w:tcW w:w="6836" w:type="dxa"/>
            <w:noWrap w:val="0"/>
            <w:vAlign w:val="center"/>
          </w:tcPr>
          <w:p w14:paraId="120E8D81">
            <w:pPr>
              <w:adjustRightInd w:val="0"/>
              <w:snapToGrid w:val="0"/>
              <w:spacing w:line="240" w:lineRule="auto"/>
              <w:jc w:val="left"/>
              <w:rPr>
                <w:rFonts w:hint="eastAsia" w:ascii="宋体" w:hAnsi="宋体" w:eastAsia="宋体" w:cs="宋体"/>
                <w:color w:val="auto"/>
                <w:spacing w:val="-6"/>
                <w:sz w:val="24"/>
                <w:szCs w:val="24"/>
                <w:highlight w:val="none"/>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客观分】</w:t>
            </w:r>
          </w:p>
          <w:p w14:paraId="6CE789EE">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lang w:val="en-US" w:eastAsia="zh-CN"/>
              </w:rPr>
              <w:t>1</w:t>
            </w:r>
            <w:r>
              <w:rPr>
                <w:rFonts w:hint="eastAsia" w:ascii="宋体" w:hAnsi="宋体" w:eastAsia="宋体" w:cs="宋体"/>
                <w:color w:val="auto"/>
                <w:spacing w:val="-6"/>
                <w:sz w:val="24"/>
                <w:szCs w:val="24"/>
                <w:highlight w:val="none"/>
              </w:rPr>
              <w:t>）项目</w:t>
            </w:r>
            <w:r>
              <w:rPr>
                <w:rFonts w:hint="eastAsia" w:ascii="宋体" w:hAnsi="宋体" w:eastAsia="宋体" w:cs="宋体"/>
                <w:color w:val="auto"/>
                <w:spacing w:val="-6"/>
                <w:sz w:val="24"/>
                <w:szCs w:val="24"/>
                <w:highlight w:val="none"/>
                <w:lang w:val="en-US" w:eastAsia="zh-CN"/>
              </w:rPr>
              <w:t>负责人</w:t>
            </w:r>
            <w:r>
              <w:rPr>
                <w:rFonts w:hint="eastAsia" w:ascii="宋体" w:hAnsi="宋体" w:eastAsia="宋体" w:cs="宋体"/>
                <w:color w:val="auto"/>
                <w:spacing w:val="-6"/>
                <w:sz w:val="24"/>
                <w:szCs w:val="24"/>
                <w:highlight w:val="none"/>
              </w:rPr>
              <w:t>：具有工程师及以上技术职称的，得2分；</w:t>
            </w:r>
          </w:p>
          <w:p w14:paraId="08257CFF">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lang w:val="en-US" w:eastAsia="zh-CN"/>
              </w:rPr>
              <w:t>2</w:t>
            </w:r>
            <w:r>
              <w:rPr>
                <w:rFonts w:hint="eastAsia" w:ascii="宋体" w:hAnsi="宋体" w:eastAsia="宋体" w:cs="宋体"/>
                <w:color w:val="auto"/>
                <w:spacing w:val="-6"/>
                <w:sz w:val="24"/>
                <w:szCs w:val="24"/>
                <w:highlight w:val="none"/>
              </w:rPr>
              <w:t>）项目组成员中，具有工程师及以上技术职称的，每人得1分，最多得</w:t>
            </w:r>
            <w:r>
              <w:rPr>
                <w:rFonts w:hint="eastAsia" w:ascii="宋体" w:hAnsi="宋体" w:eastAsia="宋体" w:cs="宋体"/>
                <w:color w:val="auto"/>
                <w:spacing w:val="-6"/>
                <w:sz w:val="24"/>
                <w:szCs w:val="24"/>
                <w:highlight w:val="none"/>
                <w:lang w:val="en-US" w:eastAsia="zh-CN"/>
              </w:rPr>
              <w:t>3</w:t>
            </w:r>
            <w:r>
              <w:rPr>
                <w:rFonts w:hint="eastAsia" w:ascii="宋体" w:hAnsi="宋体" w:eastAsia="宋体" w:cs="宋体"/>
                <w:color w:val="auto"/>
                <w:spacing w:val="-6"/>
                <w:sz w:val="24"/>
                <w:szCs w:val="24"/>
                <w:highlight w:val="none"/>
              </w:rPr>
              <w:t>分。</w:t>
            </w:r>
          </w:p>
          <w:p w14:paraId="130B123C">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证明材料：相应人员职称证书及所在供应商单位</w:t>
            </w:r>
            <w:r>
              <w:rPr>
                <w:rFonts w:hint="eastAsia" w:ascii="宋体" w:hAnsi="宋体" w:eastAsia="宋体" w:cs="宋体"/>
                <w:color w:val="auto"/>
                <w:spacing w:val="-6"/>
                <w:sz w:val="24"/>
                <w:szCs w:val="24"/>
                <w:highlight w:val="none"/>
                <w:lang w:val="en-US" w:eastAsia="zh-CN"/>
              </w:rPr>
              <w:t>近3个月内任1个月的</w:t>
            </w:r>
            <w:r>
              <w:rPr>
                <w:rFonts w:hint="eastAsia" w:ascii="宋体" w:hAnsi="宋体" w:eastAsia="宋体" w:cs="宋体"/>
                <w:color w:val="auto"/>
                <w:spacing w:val="-6"/>
                <w:sz w:val="24"/>
                <w:szCs w:val="24"/>
                <w:highlight w:val="none"/>
              </w:rPr>
              <w:t>社保缴纳证明。</w:t>
            </w:r>
          </w:p>
        </w:tc>
      </w:tr>
      <w:tr w14:paraId="621C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dxa"/>
            <w:vMerge w:val="continue"/>
            <w:noWrap w:val="0"/>
            <w:vAlign w:val="center"/>
          </w:tcPr>
          <w:p w14:paraId="67BB334F">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1F2E8E1C">
            <w:pPr>
              <w:adjustRightInd w:val="0"/>
              <w:snapToGrid w:val="0"/>
              <w:jc w:val="center"/>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拟派人员业绩</w:t>
            </w:r>
          </w:p>
        </w:tc>
        <w:tc>
          <w:tcPr>
            <w:tcW w:w="570" w:type="dxa"/>
            <w:noWrap w:val="0"/>
            <w:vAlign w:val="center"/>
          </w:tcPr>
          <w:p w14:paraId="18D338F3">
            <w:pPr>
              <w:pStyle w:val="6"/>
              <w:adjustRightInd w:val="0"/>
              <w:snapToGrid w:val="0"/>
              <w:spacing w:line="240" w:lineRule="auto"/>
              <w:ind w:firstLine="0"/>
              <w:jc w:val="center"/>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lang w:val="en-US" w:eastAsia="zh-CN"/>
              </w:rPr>
              <w:t>1</w:t>
            </w:r>
          </w:p>
        </w:tc>
        <w:tc>
          <w:tcPr>
            <w:tcW w:w="6836" w:type="dxa"/>
            <w:noWrap w:val="0"/>
            <w:vAlign w:val="center"/>
          </w:tcPr>
          <w:p w14:paraId="3778A3EF">
            <w:pPr>
              <w:adjustRightInd w:val="0"/>
              <w:snapToGrid w:val="0"/>
              <w:spacing w:line="240" w:lineRule="auto"/>
              <w:jc w:val="left"/>
              <w:rPr>
                <w:rFonts w:hint="eastAsia" w:ascii="宋体" w:hAnsi="宋体" w:eastAsia="宋体" w:cs="宋体"/>
                <w:color w:val="auto"/>
                <w:spacing w:val="-6"/>
                <w:sz w:val="24"/>
                <w:szCs w:val="24"/>
                <w:highlight w:val="none"/>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客观分】</w:t>
            </w:r>
          </w:p>
          <w:p w14:paraId="5663C6D7">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eastAsia="zh-CN"/>
              </w:rPr>
              <w:t>拟派项目负责人</w:t>
            </w:r>
            <w:r>
              <w:rPr>
                <w:rFonts w:hint="eastAsia" w:ascii="宋体" w:hAnsi="宋体" w:eastAsia="宋体" w:cs="宋体"/>
                <w:color w:val="auto"/>
                <w:spacing w:val="-6"/>
                <w:sz w:val="24"/>
                <w:szCs w:val="24"/>
                <w:highlight w:val="none"/>
              </w:rPr>
              <w:t>自202</w:t>
            </w:r>
            <w:r>
              <w:rPr>
                <w:rFonts w:hint="eastAsia" w:ascii="宋体" w:hAnsi="宋体" w:eastAsia="宋体" w:cs="宋体"/>
                <w:color w:val="auto"/>
                <w:spacing w:val="-6"/>
                <w:sz w:val="24"/>
                <w:szCs w:val="24"/>
                <w:highlight w:val="none"/>
                <w:lang w:val="en-US" w:eastAsia="zh-CN"/>
              </w:rPr>
              <w:t>2</w:t>
            </w:r>
            <w:r>
              <w:rPr>
                <w:rFonts w:hint="eastAsia" w:ascii="宋体" w:hAnsi="宋体" w:eastAsia="宋体" w:cs="宋体"/>
                <w:color w:val="auto"/>
                <w:spacing w:val="-6"/>
                <w:sz w:val="24"/>
                <w:szCs w:val="24"/>
                <w:highlight w:val="none"/>
              </w:rPr>
              <w:t>年1月1日以来（以合同签订时间为准）类似项目业绩：</w:t>
            </w:r>
          </w:p>
          <w:p w14:paraId="4A69FC52">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每提供1个类似项目业绩得</w:t>
            </w:r>
            <w:r>
              <w:rPr>
                <w:rFonts w:hint="eastAsia" w:ascii="宋体" w:hAnsi="宋体" w:eastAsia="宋体" w:cs="宋体"/>
                <w:color w:val="auto"/>
                <w:spacing w:val="-6"/>
                <w:sz w:val="24"/>
                <w:szCs w:val="24"/>
                <w:highlight w:val="none"/>
                <w:lang w:val="en-US" w:eastAsia="zh-CN"/>
              </w:rPr>
              <w:t>0.5</w:t>
            </w:r>
            <w:r>
              <w:rPr>
                <w:rFonts w:hint="eastAsia" w:ascii="宋体" w:hAnsi="宋体" w:eastAsia="宋体" w:cs="宋体"/>
                <w:color w:val="auto"/>
                <w:spacing w:val="-6"/>
                <w:sz w:val="24"/>
                <w:szCs w:val="24"/>
                <w:highlight w:val="none"/>
              </w:rPr>
              <w:t>分，最高得</w:t>
            </w:r>
            <w:r>
              <w:rPr>
                <w:rFonts w:hint="eastAsia" w:ascii="宋体" w:hAnsi="宋体" w:eastAsia="宋体" w:cs="宋体"/>
                <w:color w:val="auto"/>
                <w:spacing w:val="-6"/>
                <w:sz w:val="24"/>
                <w:szCs w:val="24"/>
                <w:highlight w:val="none"/>
                <w:lang w:val="en-US" w:eastAsia="zh-CN"/>
              </w:rPr>
              <w:t>1</w:t>
            </w:r>
            <w:r>
              <w:rPr>
                <w:rFonts w:hint="eastAsia" w:ascii="宋体" w:hAnsi="宋体" w:eastAsia="宋体" w:cs="宋体"/>
                <w:color w:val="auto"/>
                <w:spacing w:val="-6"/>
                <w:sz w:val="24"/>
                <w:szCs w:val="24"/>
                <w:highlight w:val="none"/>
              </w:rPr>
              <w:t>分。</w:t>
            </w:r>
          </w:p>
          <w:p w14:paraId="1FA48788">
            <w:pPr>
              <w:pStyle w:val="6"/>
              <w:adjustRightInd w:val="0"/>
              <w:snapToGrid w:val="0"/>
              <w:spacing w:line="240" w:lineRule="auto"/>
              <w:ind w:firstLine="0"/>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rPr>
              <w:t>注：</w:t>
            </w:r>
            <w:r>
              <w:rPr>
                <w:rFonts w:hint="eastAsia" w:ascii="宋体" w:hAnsi="宋体" w:eastAsia="宋体" w:cs="宋体"/>
                <w:spacing w:val="-6"/>
                <w:sz w:val="24"/>
                <w:szCs w:val="24"/>
                <w:highlight w:val="none"/>
              </w:rPr>
              <w:t>以提供</w:t>
            </w:r>
            <w:r>
              <w:rPr>
                <w:rFonts w:hint="eastAsia" w:ascii="宋体" w:hAnsi="宋体" w:eastAsia="宋体" w:cs="宋体"/>
                <w:spacing w:val="-6"/>
                <w:sz w:val="24"/>
                <w:szCs w:val="24"/>
                <w:highlight w:val="none"/>
                <w:lang w:val="en-US" w:eastAsia="zh-CN"/>
              </w:rPr>
              <w:t>的</w:t>
            </w:r>
            <w:r>
              <w:rPr>
                <w:rFonts w:hint="eastAsia" w:ascii="宋体" w:hAnsi="宋体" w:eastAsia="宋体" w:cs="宋体"/>
                <w:spacing w:val="-6"/>
                <w:sz w:val="24"/>
                <w:szCs w:val="24"/>
                <w:highlight w:val="none"/>
              </w:rPr>
              <w:t>合同复印件为准。</w:t>
            </w:r>
          </w:p>
        </w:tc>
      </w:tr>
      <w:tr w14:paraId="0E6BB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64" w:type="dxa"/>
            <w:vMerge w:val="continue"/>
            <w:noWrap w:val="0"/>
            <w:vAlign w:val="center"/>
          </w:tcPr>
          <w:p w14:paraId="371155BC">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7AFA81DF">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企业认证</w:t>
            </w:r>
          </w:p>
        </w:tc>
        <w:tc>
          <w:tcPr>
            <w:tcW w:w="570" w:type="dxa"/>
            <w:noWrap w:val="0"/>
            <w:vAlign w:val="center"/>
          </w:tcPr>
          <w:p w14:paraId="553D16A0">
            <w:pPr>
              <w:pStyle w:val="6"/>
              <w:adjustRightInd w:val="0"/>
              <w:snapToGrid w:val="0"/>
              <w:spacing w:line="240" w:lineRule="auto"/>
              <w:ind w:firstLine="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3</w:t>
            </w:r>
          </w:p>
        </w:tc>
        <w:tc>
          <w:tcPr>
            <w:tcW w:w="6836" w:type="dxa"/>
            <w:noWrap w:val="0"/>
            <w:vAlign w:val="center"/>
          </w:tcPr>
          <w:p w14:paraId="3209A663">
            <w:pPr>
              <w:adjustRightInd w:val="0"/>
              <w:snapToGrid w:val="0"/>
              <w:spacing w:line="240" w:lineRule="auto"/>
              <w:jc w:val="left"/>
              <w:rPr>
                <w:rFonts w:hint="eastAsia" w:ascii="宋体" w:hAnsi="宋体" w:eastAsia="宋体" w:cs="宋体"/>
                <w:color w:val="auto"/>
                <w:spacing w:val="-6"/>
                <w:sz w:val="24"/>
                <w:szCs w:val="24"/>
                <w:highlight w:val="none"/>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客观分】</w:t>
            </w:r>
          </w:p>
          <w:p w14:paraId="4B58CBCD">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供应商具有有效的质量管理体系认证证书、职业健康安全管理体系认证证书，环境管理体系认证证书每有1项证书得1分，最高得3分。</w:t>
            </w:r>
          </w:p>
          <w:p w14:paraId="107D31D1">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kern w:val="2"/>
                <w:sz w:val="24"/>
                <w:szCs w:val="24"/>
                <w:highlight w:val="none"/>
                <w:lang w:val="en-US" w:eastAsia="zh-CN" w:bidi="ar-SA"/>
              </w:rPr>
              <w:t>注：供应商提供全国认证认可信息公共服务平台（http://cx.cnca.cn/）中认证证书截图和证书扫描件。</w:t>
            </w:r>
          </w:p>
        </w:tc>
      </w:tr>
      <w:tr w14:paraId="7E33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64" w:type="dxa"/>
            <w:vMerge w:val="continue"/>
            <w:noWrap w:val="0"/>
            <w:vAlign w:val="center"/>
          </w:tcPr>
          <w:p w14:paraId="2A430D03">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278B8CAD">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lang w:val="en-US" w:eastAsia="zh-CN"/>
              </w:rPr>
              <w:t>质保期</w:t>
            </w:r>
          </w:p>
        </w:tc>
        <w:tc>
          <w:tcPr>
            <w:tcW w:w="570" w:type="dxa"/>
            <w:noWrap w:val="0"/>
            <w:vAlign w:val="center"/>
          </w:tcPr>
          <w:p w14:paraId="7CF1DC89">
            <w:pPr>
              <w:pStyle w:val="6"/>
              <w:adjustRightInd w:val="0"/>
              <w:snapToGrid w:val="0"/>
              <w:spacing w:line="240" w:lineRule="auto"/>
              <w:ind w:firstLine="0"/>
              <w:jc w:val="center"/>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lang w:val="en-US" w:eastAsia="zh-CN"/>
              </w:rPr>
              <w:t>2</w:t>
            </w:r>
          </w:p>
        </w:tc>
        <w:tc>
          <w:tcPr>
            <w:tcW w:w="6836" w:type="dxa"/>
            <w:noWrap w:val="0"/>
            <w:vAlign w:val="center"/>
          </w:tcPr>
          <w:p w14:paraId="05FA452F">
            <w:pPr>
              <w:adjustRightInd w:val="0"/>
              <w:snapToGrid w:val="0"/>
              <w:spacing w:line="240" w:lineRule="auto"/>
              <w:jc w:val="left"/>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客观分】</w:t>
            </w:r>
          </w:p>
          <w:p w14:paraId="744C0EF0">
            <w:pPr>
              <w:pStyle w:val="6"/>
              <w:adjustRightInd w:val="0"/>
              <w:snapToGrid w:val="0"/>
              <w:spacing w:line="240" w:lineRule="auto"/>
              <w:ind w:firstLine="0"/>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lang w:val="en-US" w:eastAsia="zh-CN"/>
              </w:rPr>
              <w:t>在原有质保期的基础上承诺质保期每延长半年得1分，最多得2分。</w:t>
            </w:r>
          </w:p>
          <w:p w14:paraId="2C248EB6">
            <w:pPr>
              <w:pStyle w:val="6"/>
              <w:adjustRightInd w:val="0"/>
              <w:snapToGrid w:val="0"/>
              <w:spacing w:line="240" w:lineRule="auto"/>
              <w:ind w:firstLine="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lang w:val="en-US" w:eastAsia="zh-CN"/>
              </w:rPr>
              <w:t>证明材料：提供质保期延长的承诺书（格式自拟）</w:t>
            </w:r>
          </w:p>
        </w:tc>
      </w:tr>
      <w:tr w14:paraId="4F7D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64" w:type="dxa"/>
            <w:noWrap w:val="0"/>
            <w:vAlign w:val="center"/>
          </w:tcPr>
          <w:p w14:paraId="2CE84AE0">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19296ACF">
            <w:pPr>
              <w:adjustRightInd w:val="0"/>
              <w:snapToGrid w:val="0"/>
              <w:jc w:val="center"/>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政策功能</w:t>
            </w:r>
          </w:p>
        </w:tc>
        <w:tc>
          <w:tcPr>
            <w:tcW w:w="570" w:type="dxa"/>
            <w:noWrap w:val="0"/>
            <w:vAlign w:val="center"/>
          </w:tcPr>
          <w:p w14:paraId="08F5A3C2">
            <w:pPr>
              <w:pStyle w:val="6"/>
              <w:adjustRightInd w:val="0"/>
              <w:snapToGrid w:val="0"/>
              <w:spacing w:line="240" w:lineRule="auto"/>
              <w:ind w:firstLine="0"/>
              <w:jc w:val="center"/>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sz w:val="24"/>
                <w:szCs w:val="24"/>
                <w:highlight w:val="none"/>
                <w:lang w:val="en-US" w:eastAsia="zh-CN"/>
              </w:rPr>
              <w:t>2</w:t>
            </w:r>
          </w:p>
        </w:tc>
        <w:tc>
          <w:tcPr>
            <w:tcW w:w="6836" w:type="dxa"/>
            <w:noWrap w:val="0"/>
            <w:vAlign w:val="center"/>
          </w:tcPr>
          <w:p w14:paraId="468BBA00">
            <w:pPr>
              <w:spacing w:line="288" w:lineRule="auto"/>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【客观分】</w:t>
            </w:r>
          </w:p>
          <w:p w14:paraId="3AB73D11">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1）维修改造产品有一项列入财政部、发展改革委发布的节能产品品目清单的，提供国家市场监督管理总局公布的《参与实施政府采购节能产品认证机构名录》内的认证机构出具的、处于有效期之内的节能标志产品认证证书的，得1分；</w:t>
            </w:r>
          </w:p>
          <w:p w14:paraId="26A9AEE0">
            <w:pPr>
              <w:pStyle w:val="6"/>
              <w:keepNext w:val="0"/>
              <w:keepLines w:val="0"/>
              <w:pageBreakBefore w:val="0"/>
              <w:widowControl w:val="0"/>
              <w:kinsoku/>
              <w:wordWrap/>
              <w:overflowPunct/>
              <w:topLinePunct w:val="0"/>
              <w:autoSpaceDE/>
              <w:autoSpaceDN/>
              <w:bidi w:val="0"/>
              <w:adjustRightInd w:val="0"/>
              <w:snapToGrid w:val="0"/>
              <w:spacing w:line="25" w:lineRule="atLeast"/>
              <w:ind w:firstLine="0"/>
              <w:textAlignment w:val="auto"/>
              <w:rPr>
                <w:rFonts w:hint="eastAsia" w:ascii="宋体" w:hAnsi="宋体" w:eastAsia="宋体" w:cs="宋体"/>
                <w:color w:val="auto"/>
                <w:spacing w:val="-6"/>
                <w:sz w:val="24"/>
                <w:szCs w:val="24"/>
                <w:highlight w:val="none"/>
                <w:lang w:val="en-US" w:eastAsia="zh-CN"/>
              </w:rPr>
            </w:pPr>
            <w:r>
              <w:rPr>
                <w:rFonts w:hint="eastAsia" w:ascii="宋体" w:hAnsi="宋体" w:eastAsia="宋体" w:cs="宋体"/>
                <w:color w:val="auto"/>
                <w:spacing w:val="-6"/>
                <w:kern w:val="2"/>
                <w:sz w:val="24"/>
                <w:szCs w:val="24"/>
                <w:highlight w:val="none"/>
                <w:lang w:val="en-US" w:eastAsia="zh-CN" w:bidi="ar-SA"/>
              </w:rPr>
              <w:t>（2）维修改造产品有一项列入财政部、生态环境部发布的环境标志产品品目清单的，提供国家市场监督管理总局公布的《参与实施政府采购环境标志产品认证机构名录》内的认证机构出具的、处于有效期之内的环境标志产品认证证书，得1分。</w:t>
            </w:r>
          </w:p>
        </w:tc>
      </w:tr>
      <w:tr w14:paraId="3041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707" w:type="dxa"/>
            <w:gridSpan w:val="4"/>
            <w:tcBorders>
              <w:bottom w:val="single" w:color="auto" w:sz="4" w:space="0"/>
            </w:tcBorders>
            <w:noWrap w:val="0"/>
            <w:vAlign w:val="center"/>
          </w:tcPr>
          <w:p w14:paraId="0145531B">
            <w:pPr>
              <w:pStyle w:val="6"/>
              <w:adjustRightInd w:val="0"/>
              <w:snapToGrid w:val="0"/>
              <w:spacing w:line="240" w:lineRule="auto"/>
              <w:ind w:firstLine="0"/>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技术分（</w:t>
            </w:r>
            <w:r>
              <w:rPr>
                <w:rFonts w:hint="eastAsia" w:ascii="宋体" w:hAnsi="宋体" w:eastAsia="宋体" w:cs="宋体"/>
                <w:b/>
                <w:color w:val="auto"/>
                <w:spacing w:val="-6"/>
                <w:sz w:val="24"/>
                <w:szCs w:val="24"/>
                <w:highlight w:val="none"/>
                <w:lang w:val="en-US" w:eastAsia="zh-CN"/>
              </w:rPr>
              <w:t>56</w:t>
            </w:r>
            <w:r>
              <w:rPr>
                <w:rFonts w:hint="eastAsia" w:ascii="宋体" w:hAnsi="宋体" w:eastAsia="宋体" w:cs="宋体"/>
                <w:b/>
                <w:color w:val="auto"/>
                <w:spacing w:val="-6"/>
                <w:sz w:val="24"/>
                <w:szCs w:val="24"/>
                <w:highlight w:val="none"/>
              </w:rPr>
              <w:t>分）</w:t>
            </w:r>
          </w:p>
        </w:tc>
      </w:tr>
      <w:tr w14:paraId="1F51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64" w:type="dxa"/>
            <w:vMerge w:val="restart"/>
            <w:tcBorders>
              <w:left w:val="single" w:color="auto" w:sz="4" w:space="0"/>
              <w:right w:val="single" w:color="auto" w:sz="4" w:space="0"/>
            </w:tcBorders>
            <w:noWrap w:val="0"/>
            <w:vAlign w:val="center"/>
          </w:tcPr>
          <w:p w14:paraId="0AC63900">
            <w:pPr>
              <w:adjustRightInd w:val="0"/>
              <w:snapToGrid w:val="0"/>
              <w:jc w:val="center"/>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技术</w:t>
            </w:r>
          </w:p>
        </w:tc>
        <w:tc>
          <w:tcPr>
            <w:tcW w:w="1537" w:type="dxa"/>
            <w:tcBorders>
              <w:left w:val="single" w:color="auto" w:sz="4" w:space="0"/>
              <w:right w:val="single" w:color="auto" w:sz="4" w:space="0"/>
            </w:tcBorders>
            <w:noWrap w:val="0"/>
            <w:vAlign w:val="center"/>
          </w:tcPr>
          <w:p w14:paraId="724DC6B0">
            <w:pPr>
              <w:adjustRightInd w:val="0"/>
              <w:snapToGrid w:val="0"/>
              <w:jc w:val="center"/>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rPr>
              <w:t>施工方案</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2FD3A998">
            <w:pPr>
              <w:adjustRightInd w:val="0"/>
              <w:snapToGrid w:val="0"/>
              <w:jc w:val="center"/>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rPr>
              <w:t>5</w:t>
            </w:r>
          </w:p>
        </w:tc>
        <w:tc>
          <w:tcPr>
            <w:tcW w:w="6836" w:type="dxa"/>
            <w:tcBorders>
              <w:top w:val="single" w:color="auto" w:sz="4" w:space="0"/>
              <w:left w:val="single" w:color="auto" w:sz="4" w:space="0"/>
              <w:bottom w:val="single" w:color="auto" w:sz="4" w:space="0"/>
              <w:right w:val="single" w:color="auto" w:sz="4" w:space="0"/>
            </w:tcBorders>
            <w:noWrap w:val="0"/>
            <w:vAlign w:val="center"/>
          </w:tcPr>
          <w:p w14:paraId="0ED8AA4C">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主观分】</w:t>
            </w:r>
          </w:p>
          <w:p w14:paraId="6DE9EC8D">
            <w:pPr>
              <w:adjustRightInd w:val="0"/>
              <w:snapToGrid w:val="0"/>
              <w:jc w:val="left"/>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lang w:val="en-US" w:eastAsia="zh-CN"/>
              </w:rPr>
              <w:t>根据供应商的</w:t>
            </w:r>
            <w:r>
              <w:rPr>
                <w:rFonts w:hint="eastAsia" w:ascii="宋体" w:hAnsi="宋体" w:eastAsia="宋体" w:cs="宋体"/>
                <w:snapToGrid w:val="0"/>
                <w:color w:val="auto"/>
                <w:kern w:val="0"/>
                <w:sz w:val="24"/>
                <w:highlight w:val="none"/>
              </w:rPr>
              <w:t>施工</w:t>
            </w:r>
            <w:r>
              <w:rPr>
                <w:rFonts w:hint="eastAsia" w:ascii="宋体" w:hAnsi="宋体" w:eastAsia="宋体" w:cs="宋体"/>
                <w:snapToGrid w:val="0"/>
                <w:color w:val="auto"/>
                <w:kern w:val="0"/>
                <w:sz w:val="24"/>
                <w:highlight w:val="none"/>
                <w:lang w:val="en-US" w:eastAsia="zh-CN"/>
              </w:rPr>
              <w:t>组织</w:t>
            </w:r>
            <w:r>
              <w:rPr>
                <w:rFonts w:hint="eastAsia" w:ascii="宋体" w:hAnsi="宋体" w:eastAsia="宋体" w:cs="宋体"/>
                <w:snapToGrid w:val="0"/>
                <w:color w:val="auto"/>
                <w:kern w:val="0"/>
                <w:sz w:val="24"/>
                <w:highlight w:val="none"/>
              </w:rPr>
              <w:t>方案</w:t>
            </w:r>
            <w:r>
              <w:rPr>
                <w:rFonts w:hint="eastAsia" w:ascii="宋体" w:hAnsi="宋体" w:eastAsia="宋体" w:cs="宋体"/>
                <w:snapToGrid w:val="0"/>
                <w:color w:val="auto"/>
                <w:kern w:val="0"/>
                <w:sz w:val="24"/>
                <w:highlight w:val="none"/>
                <w:lang w:val="en-US" w:eastAsia="zh-CN"/>
              </w:rPr>
              <w:t>的特点、完善程度</w:t>
            </w:r>
            <w:r>
              <w:rPr>
                <w:rFonts w:hint="eastAsia" w:ascii="宋体" w:hAnsi="宋体" w:eastAsia="宋体" w:cs="宋体"/>
                <w:snapToGrid w:val="0"/>
                <w:color w:val="auto"/>
                <w:kern w:val="0"/>
                <w:sz w:val="24"/>
                <w:highlight w:val="none"/>
              </w:rPr>
              <w:t>评分</w:t>
            </w:r>
            <w:r>
              <w:rPr>
                <w:rFonts w:hint="eastAsia" w:ascii="宋体" w:hAnsi="宋体" w:eastAsia="宋体" w:cs="宋体"/>
                <w:snapToGrid w:val="0"/>
                <w:color w:val="auto"/>
                <w:kern w:val="0"/>
                <w:sz w:val="24"/>
                <w:highlight w:val="none"/>
                <w:lang w:eastAsia="zh-CN"/>
              </w:rPr>
              <w:t>。</w:t>
            </w:r>
          </w:p>
          <w:p w14:paraId="0180BABF">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（1）施工组织方案符合本工程特点的，方案完善到位的得5分； </w:t>
            </w:r>
          </w:p>
          <w:p w14:paraId="058A7D50">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（2）施工组织方案一般的得3分； </w:t>
            </w:r>
          </w:p>
          <w:p w14:paraId="3DD84330">
            <w:pPr>
              <w:adjustRightInd w:val="0"/>
              <w:snapToGrid w:val="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r>
              <w:rPr>
                <w:rFonts w:hint="eastAsia" w:ascii="宋体" w:hAnsi="宋体" w:eastAsia="宋体" w:cs="宋体"/>
                <w:snapToGrid w:val="0"/>
                <w:color w:val="auto"/>
                <w:kern w:val="0"/>
                <w:sz w:val="24"/>
                <w:highlight w:val="none"/>
              </w:rPr>
              <w:t>施工组织方案</w:t>
            </w:r>
            <w:r>
              <w:rPr>
                <w:rFonts w:hint="eastAsia" w:ascii="宋体" w:hAnsi="宋体" w:eastAsia="宋体" w:cs="宋体"/>
                <w:bCs/>
                <w:color w:val="auto"/>
                <w:sz w:val="24"/>
                <w:highlight w:val="none"/>
              </w:rPr>
              <w:t>不完善或合理性有欠缺的，得1分；</w:t>
            </w:r>
          </w:p>
          <w:p w14:paraId="1B665A3B">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napToGrid w:val="0"/>
                <w:color w:val="auto"/>
                <w:kern w:val="0"/>
                <w:sz w:val="24"/>
                <w:highlight w:val="none"/>
              </w:rPr>
              <w:t>（4）未提出实质性方案阐述的不得分。</w:t>
            </w:r>
          </w:p>
        </w:tc>
      </w:tr>
      <w:tr w14:paraId="261B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764" w:type="dxa"/>
            <w:vMerge w:val="continue"/>
            <w:tcBorders>
              <w:left w:val="single" w:color="auto" w:sz="4" w:space="0"/>
              <w:right w:val="single" w:color="auto" w:sz="4" w:space="0"/>
            </w:tcBorders>
            <w:noWrap w:val="0"/>
            <w:vAlign w:val="center"/>
          </w:tcPr>
          <w:p w14:paraId="360EBC32">
            <w:pPr>
              <w:adjustRightInd w:val="0"/>
              <w:snapToGrid w:val="0"/>
              <w:jc w:val="center"/>
              <w:rPr>
                <w:rFonts w:hint="eastAsia" w:ascii="宋体" w:hAnsi="宋体" w:eastAsia="宋体" w:cs="宋体"/>
                <w:color w:val="auto"/>
                <w:spacing w:val="-6"/>
                <w:sz w:val="24"/>
                <w:highlight w:val="none"/>
              </w:rPr>
            </w:pPr>
          </w:p>
        </w:tc>
        <w:tc>
          <w:tcPr>
            <w:tcW w:w="1537" w:type="dxa"/>
            <w:tcBorders>
              <w:left w:val="single" w:color="auto" w:sz="4" w:space="0"/>
              <w:right w:val="single" w:color="auto" w:sz="4" w:space="0"/>
            </w:tcBorders>
            <w:noWrap w:val="0"/>
            <w:vAlign w:val="center"/>
          </w:tcPr>
          <w:p w14:paraId="62C5429E">
            <w:pPr>
              <w:adjustRightInd w:val="0"/>
              <w:snapToGrid w:val="0"/>
              <w:jc w:val="center"/>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snapToGrid w:val="0"/>
                <w:color w:val="auto"/>
                <w:kern w:val="0"/>
                <w:sz w:val="24"/>
                <w:highlight w:val="none"/>
              </w:rPr>
              <w:t>施工机械设备投入情况</w:t>
            </w:r>
          </w:p>
        </w:tc>
        <w:tc>
          <w:tcPr>
            <w:tcW w:w="570" w:type="dxa"/>
            <w:tcBorders>
              <w:top w:val="single" w:color="auto" w:sz="4" w:space="0"/>
              <w:left w:val="single" w:color="auto" w:sz="4" w:space="0"/>
              <w:bottom w:val="single" w:color="auto" w:sz="4" w:space="0"/>
              <w:right w:val="single" w:color="auto" w:sz="4" w:space="0"/>
            </w:tcBorders>
            <w:noWrap w:val="0"/>
            <w:vAlign w:val="center"/>
          </w:tcPr>
          <w:p w14:paraId="389237D1">
            <w:pPr>
              <w:adjustRightInd w:val="0"/>
              <w:snapToGrid w:val="0"/>
              <w:jc w:val="center"/>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lang w:val="en-US" w:eastAsia="zh-CN"/>
              </w:rPr>
              <w:t>5</w:t>
            </w:r>
          </w:p>
        </w:tc>
        <w:tc>
          <w:tcPr>
            <w:tcW w:w="6836" w:type="dxa"/>
            <w:tcBorders>
              <w:top w:val="single" w:color="auto" w:sz="4" w:space="0"/>
              <w:left w:val="single" w:color="auto" w:sz="4" w:space="0"/>
              <w:bottom w:val="single" w:color="auto" w:sz="4" w:space="0"/>
              <w:right w:val="single" w:color="auto" w:sz="4" w:space="0"/>
            </w:tcBorders>
            <w:noWrap w:val="0"/>
            <w:vAlign w:val="center"/>
          </w:tcPr>
          <w:p w14:paraId="407C72A4">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主观分】</w:t>
            </w:r>
          </w:p>
          <w:p w14:paraId="6128AAC1">
            <w:pPr>
              <w:adjustRightInd w:val="0"/>
              <w:snapToGrid w:val="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根据投入的施工机械设备和检测设备合理、针对性强，施工机具进场计划安排和管理的保证措施全面、能够满足工程质量和进度的要求。</w:t>
            </w:r>
          </w:p>
          <w:p w14:paraId="15C76F5C">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w:t>
            </w:r>
            <w:r>
              <w:rPr>
                <w:rFonts w:hint="eastAsia" w:ascii="宋体" w:hAnsi="宋体" w:eastAsia="宋体" w:cs="宋体"/>
                <w:snapToGrid w:val="0"/>
                <w:color w:val="auto"/>
                <w:kern w:val="0"/>
                <w:sz w:val="24"/>
                <w:highlight w:val="none"/>
                <w:lang w:val="en-US" w:eastAsia="zh-CN"/>
              </w:rPr>
              <w:t>投入的施工设备合理，针对性强，工具进场计划安排合理，能够满足工程质量和进度</w:t>
            </w:r>
            <w:r>
              <w:rPr>
                <w:rFonts w:hint="eastAsia" w:ascii="宋体" w:hAnsi="宋体" w:eastAsia="宋体" w:cs="宋体"/>
                <w:snapToGrid w:val="0"/>
                <w:color w:val="auto"/>
                <w:kern w:val="0"/>
                <w:sz w:val="24"/>
                <w:highlight w:val="none"/>
              </w:rPr>
              <w:t xml:space="preserve">的得5分； </w:t>
            </w:r>
          </w:p>
          <w:p w14:paraId="06C967CE">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w:t>
            </w:r>
            <w:r>
              <w:rPr>
                <w:rFonts w:hint="eastAsia" w:ascii="宋体" w:hAnsi="宋体" w:eastAsia="宋体" w:cs="宋体"/>
                <w:snapToGrid w:val="0"/>
                <w:color w:val="auto"/>
                <w:kern w:val="0"/>
                <w:sz w:val="24"/>
                <w:highlight w:val="none"/>
                <w:lang w:val="en-US" w:eastAsia="zh-CN"/>
              </w:rPr>
              <w:t>投入的施工设备、针对性一般，进场计划较能满足工程质量和进度要求</w:t>
            </w:r>
            <w:r>
              <w:rPr>
                <w:rFonts w:hint="eastAsia" w:ascii="宋体" w:hAnsi="宋体" w:eastAsia="宋体" w:cs="宋体"/>
                <w:snapToGrid w:val="0"/>
                <w:color w:val="auto"/>
                <w:kern w:val="0"/>
                <w:sz w:val="24"/>
                <w:highlight w:val="none"/>
              </w:rPr>
              <w:t xml:space="preserve">的得3分； </w:t>
            </w:r>
          </w:p>
          <w:p w14:paraId="7D36D4DF">
            <w:pPr>
              <w:adjustRightInd w:val="0"/>
              <w:snapToGrid w:val="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r>
              <w:rPr>
                <w:rFonts w:hint="eastAsia" w:ascii="宋体" w:hAnsi="宋体" w:eastAsia="宋体" w:cs="宋体"/>
                <w:snapToGrid w:val="0"/>
                <w:color w:val="auto"/>
                <w:kern w:val="0"/>
                <w:sz w:val="24"/>
                <w:highlight w:val="none"/>
                <w:lang w:val="en-US" w:eastAsia="zh-CN"/>
              </w:rPr>
              <w:t>投入的施工设备</w:t>
            </w:r>
            <w:r>
              <w:rPr>
                <w:rFonts w:hint="eastAsia" w:ascii="宋体" w:hAnsi="宋体" w:eastAsia="宋体" w:cs="宋体"/>
                <w:bCs/>
                <w:color w:val="auto"/>
                <w:sz w:val="24"/>
                <w:highlight w:val="none"/>
              </w:rPr>
              <w:t>不完善或合理性有欠缺的，得1分；</w:t>
            </w:r>
          </w:p>
          <w:p w14:paraId="55A20A5A">
            <w:pPr>
              <w:adjustRightInd w:val="0"/>
              <w:snapToGrid w:val="0"/>
              <w:rPr>
                <w:rFonts w:hint="eastAsia" w:ascii="宋体" w:hAnsi="宋体" w:eastAsia="宋体" w:cs="宋体"/>
                <w:highlight w:val="none"/>
                <w:lang w:val="en-US" w:eastAsia="zh-CN"/>
              </w:rPr>
            </w:pPr>
            <w:r>
              <w:rPr>
                <w:rFonts w:hint="eastAsia" w:ascii="宋体" w:hAnsi="宋体" w:eastAsia="宋体" w:cs="宋体"/>
                <w:snapToGrid w:val="0"/>
                <w:color w:val="auto"/>
                <w:kern w:val="0"/>
                <w:sz w:val="24"/>
                <w:highlight w:val="none"/>
              </w:rPr>
              <w:t>（4）未提出实质性方案阐述的不得分。</w:t>
            </w:r>
          </w:p>
        </w:tc>
      </w:tr>
      <w:tr w14:paraId="691C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764" w:type="dxa"/>
            <w:vMerge w:val="continue"/>
            <w:tcBorders>
              <w:left w:val="single" w:color="auto" w:sz="4" w:space="0"/>
              <w:right w:val="single" w:color="auto" w:sz="4" w:space="0"/>
            </w:tcBorders>
            <w:noWrap w:val="0"/>
            <w:vAlign w:val="center"/>
          </w:tcPr>
          <w:p w14:paraId="47062156">
            <w:pPr>
              <w:adjustRightInd w:val="0"/>
              <w:snapToGrid w:val="0"/>
              <w:jc w:val="center"/>
              <w:rPr>
                <w:rFonts w:hint="eastAsia" w:ascii="宋体" w:hAnsi="宋体" w:eastAsia="宋体" w:cs="宋体"/>
                <w:color w:val="auto"/>
                <w:spacing w:val="-6"/>
                <w:sz w:val="24"/>
                <w:highlight w:val="none"/>
              </w:rPr>
            </w:pPr>
          </w:p>
        </w:tc>
        <w:tc>
          <w:tcPr>
            <w:tcW w:w="1537" w:type="dxa"/>
            <w:tcBorders>
              <w:top w:val="single" w:color="auto" w:sz="4" w:space="0"/>
            </w:tcBorders>
            <w:noWrap w:val="0"/>
            <w:vAlign w:val="center"/>
          </w:tcPr>
          <w:p w14:paraId="1D7E11D4">
            <w:pPr>
              <w:adjustRightInd w:val="0"/>
              <w:snapToGrid w:val="0"/>
              <w:jc w:val="center"/>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各专业工种配置情况</w:t>
            </w:r>
          </w:p>
        </w:tc>
        <w:tc>
          <w:tcPr>
            <w:tcW w:w="570" w:type="dxa"/>
            <w:tcBorders>
              <w:top w:val="single" w:color="auto" w:sz="4" w:space="0"/>
            </w:tcBorders>
            <w:noWrap w:val="0"/>
            <w:vAlign w:val="center"/>
          </w:tcPr>
          <w:p w14:paraId="764AC7CB">
            <w:pPr>
              <w:adjustRightInd w:val="0"/>
              <w:snapToGrid w:val="0"/>
              <w:jc w:val="center"/>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5</w:t>
            </w:r>
          </w:p>
        </w:tc>
        <w:tc>
          <w:tcPr>
            <w:tcW w:w="6836" w:type="dxa"/>
            <w:tcBorders>
              <w:top w:val="single" w:color="auto" w:sz="4" w:space="0"/>
            </w:tcBorders>
            <w:noWrap w:val="0"/>
            <w:vAlign w:val="center"/>
          </w:tcPr>
          <w:p w14:paraId="3B831853">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主观分】</w:t>
            </w:r>
          </w:p>
          <w:p w14:paraId="09B73CF7">
            <w:pPr>
              <w:adjustRightInd w:val="0"/>
              <w:snapToGrid w:val="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各专业工种的配置和劳动力的投入合理，满足施工需求，劳动力安排组织与管理措施切实可行，职责明确。</w:t>
            </w:r>
          </w:p>
          <w:p w14:paraId="47A0F152">
            <w:pPr>
              <w:adjustRightInd w:val="0"/>
              <w:snapToGrid w:val="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（1）各专业工种的配置和劳动力的投入合理，满足施工需求的得5分；</w:t>
            </w:r>
          </w:p>
          <w:p w14:paraId="0238EC81">
            <w:pPr>
              <w:numPr>
                <w:ilvl w:val="0"/>
                <w:numId w:val="0"/>
              </w:numP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（2）各专业工种的配置和劳动力的投入一般，基本满足施工需求的得3分；</w:t>
            </w:r>
          </w:p>
          <w:p w14:paraId="57D0A982">
            <w:pPr>
              <w:pStyle w:val="2"/>
              <w:spacing w:before="0" w:after="0" w:line="24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（3）各专业工种的配置和劳动力的投入有欠缺的，得1分；</w:t>
            </w:r>
          </w:p>
          <w:p w14:paraId="2A9B3CC8">
            <w:pPr>
              <w:rPr>
                <w:rFonts w:hint="eastAsia" w:ascii="宋体" w:hAnsi="宋体" w:eastAsia="宋体" w:cs="宋体"/>
                <w:highlight w:val="none"/>
                <w:lang w:val="en-US" w:eastAsia="zh-CN"/>
              </w:rPr>
            </w:pPr>
            <w:r>
              <w:rPr>
                <w:rFonts w:hint="eastAsia" w:ascii="宋体" w:hAnsi="宋体" w:eastAsia="宋体" w:cs="宋体"/>
                <w:snapToGrid w:val="0"/>
                <w:color w:val="auto"/>
                <w:kern w:val="0"/>
                <w:sz w:val="24"/>
                <w:highlight w:val="none"/>
              </w:rPr>
              <w:t>（4）未提出实质性方案阐述的不得分。</w:t>
            </w:r>
          </w:p>
        </w:tc>
      </w:tr>
      <w:tr w14:paraId="37EB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64" w:type="dxa"/>
            <w:vMerge w:val="continue"/>
            <w:tcBorders>
              <w:left w:val="single" w:color="auto" w:sz="4" w:space="0"/>
              <w:right w:val="single" w:color="auto" w:sz="4" w:space="0"/>
            </w:tcBorders>
            <w:noWrap w:val="0"/>
            <w:vAlign w:val="center"/>
          </w:tcPr>
          <w:p w14:paraId="0CDD4F43">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25834D33">
            <w:pPr>
              <w:adjustRightInd w:val="0"/>
              <w:snapToGrid w:val="0"/>
              <w:jc w:val="center"/>
              <w:rPr>
                <w:rFonts w:hint="eastAsia" w:ascii="宋体" w:hAnsi="宋体" w:eastAsia="宋体" w:cs="宋体"/>
                <w:color w:val="auto"/>
                <w:sz w:val="24"/>
                <w:highlight w:val="none"/>
              </w:rPr>
            </w:pPr>
            <w:r>
              <w:rPr>
                <w:rFonts w:hint="eastAsia" w:ascii="宋体" w:hAnsi="宋体" w:eastAsia="宋体" w:cs="宋体"/>
                <w:snapToGrid w:val="0"/>
                <w:color w:val="auto"/>
                <w:kern w:val="0"/>
                <w:sz w:val="24"/>
                <w:highlight w:val="none"/>
              </w:rPr>
              <w:t>施工质量的控制措施和检验手段</w:t>
            </w:r>
          </w:p>
        </w:tc>
        <w:tc>
          <w:tcPr>
            <w:tcW w:w="570" w:type="dxa"/>
            <w:tcBorders>
              <w:top w:val="single" w:color="auto" w:sz="4" w:space="0"/>
            </w:tcBorders>
            <w:noWrap w:val="0"/>
            <w:vAlign w:val="center"/>
          </w:tcPr>
          <w:p w14:paraId="59A738A9">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5</w:t>
            </w:r>
          </w:p>
        </w:tc>
        <w:tc>
          <w:tcPr>
            <w:tcW w:w="6836" w:type="dxa"/>
            <w:tcBorders>
              <w:top w:val="single" w:color="auto" w:sz="4" w:space="0"/>
            </w:tcBorders>
            <w:noWrap w:val="0"/>
            <w:vAlign w:val="center"/>
          </w:tcPr>
          <w:p w14:paraId="2051D69C">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主观分】</w:t>
            </w:r>
          </w:p>
          <w:p w14:paraId="7119A897">
            <w:pPr>
              <w:adjustRightInd w:val="0"/>
              <w:snapToGrid w:val="0"/>
              <w:jc w:val="left"/>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rPr>
              <w:t>针对本工程的施工质量的控制措施和检验手段是否科学、可靠，确保工程顺利验收通过的技术、管理措施的有效性等情况</w:t>
            </w:r>
            <w:r>
              <w:rPr>
                <w:rFonts w:hint="eastAsia" w:ascii="宋体" w:hAnsi="宋体" w:eastAsia="宋体" w:cs="宋体"/>
                <w:snapToGrid w:val="0"/>
                <w:color w:val="auto"/>
                <w:kern w:val="0"/>
                <w:sz w:val="24"/>
                <w:highlight w:val="none"/>
                <w:lang w:val="en-US" w:eastAsia="zh-CN"/>
              </w:rPr>
              <w:t>进行评分</w:t>
            </w:r>
            <w:r>
              <w:rPr>
                <w:rFonts w:hint="eastAsia" w:ascii="宋体" w:hAnsi="宋体" w:eastAsia="宋体" w:cs="宋体"/>
                <w:snapToGrid w:val="0"/>
                <w:color w:val="auto"/>
                <w:kern w:val="0"/>
                <w:sz w:val="24"/>
                <w:highlight w:val="none"/>
                <w:lang w:eastAsia="zh-CN"/>
              </w:rPr>
              <w:t>。</w:t>
            </w:r>
          </w:p>
          <w:p w14:paraId="2FD53A6D">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（1）方案科学合理、措施完善的得5分；</w:t>
            </w:r>
          </w:p>
          <w:p w14:paraId="06F8B8D8">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（2）方案较合理、措施一般的得3分；</w:t>
            </w:r>
          </w:p>
          <w:p w14:paraId="1CEF2857">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（3）方案</w:t>
            </w:r>
            <w:r>
              <w:rPr>
                <w:rFonts w:hint="eastAsia" w:ascii="宋体" w:hAnsi="宋体" w:eastAsia="宋体" w:cs="宋体"/>
                <w:bCs/>
                <w:color w:val="auto"/>
                <w:sz w:val="24"/>
                <w:highlight w:val="none"/>
              </w:rPr>
              <w:t>不完善、</w:t>
            </w:r>
            <w:r>
              <w:rPr>
                <w:rFonts w:hint="eastAsia" w:ascii="宋体" w:hAnsi="宋体" w:eastAsia="宋体" w:cs="宋体"/>
                <w:snapToGrid w:val="0"/>
                <w:color w:val="auto"/>
                <w:kern w:val="0"/>
                <w:sz w:val="24"/>
                <w:highlight w:val="none"/>
              </w:rPr>
              <w:t>措施合理性有欠缺的得1分；</w:t>
            </w:r>
          </w:p>
          <w:p w14:paraId="2345B856">
            <w:pPr>
              <w:numPr>
                <w:ilvl w:val="0"/>
                <w:numId w:val="0"/>
              </w:numPr>
              <w:rPr>
                <w:rFonts w:hint="eastAsia" w:ascii="宋体" w:hAnsi="宋体" w:eastAsia="宋体" w:cs="宋体"/>
              </w:rPr>
            </w:pPr>
            <w:r>
              <w:rPr>
                <w:rFonts w:hint="eastAsia" w:ascii="宋体" w:hAnsi="宋体" w:eastAsia="宋体" w:cs="宋体"/>
                <w:snapToGrid w:val="0"/>
                <w:color w:val="auto"/>
                <w:kern w:val="0"/>
                <w:sz w:val="24"/>
                <w:highlight w:val="none"/>
              </w:rPr>
              <w:t>（4）方案与本项目无关的或未提出实质性方案阐述的不得分。</w:t>
            </w:r>
          </w:p>
        </w:tc>
      </w:tr>
      <w:tr w14:paraId="26716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4" w:type="dxa"/>
            <w:vMerge w:val="continue"/>
            <w:tcBorders>
              <w:left w:val="single" w:color="auto" w:sz="4" w:space="0"/>
              <w:right w:val="single" w:color="auto" w:sz="4" w:space="0"/>
            </w:tcBorders>
            <w:noWrap w:val="0"/>
            <w:vAlign w:val="center"/>
          </w:tcPr>
          <w:p w14:paraId="644B553F">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3860DDE7">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安全文明生产施工</w:t>
            </w:r>
          </w:p>
        </w:tc>
        <w:tc>
          <w:tcPr>
            <w:tcW w:w="570" w:type="dxa"/>
            <w:tcBorders>
              <w:top w:val="single" w:color="auto" w:sz="4" w:space="0"/>
            </w:tcBorders>
            <w:noWrap w:val="0"/>
            <w:vAlign w:val="center"/>
          </w:tcPr>
          <w:p w14:paraId="217815B5">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5</w:t>
            </w:r>
          </w:p>
        </w:tc>
        <w:tc>
          <w:tcPr>
            <w:tcW w:w="6836" w:type="dxa"/>
            <w:tcBorders>
              <w:top w:val="single" w:color="auto" w:sz="4" w:space="0"/>
            </w:tcBorders>
            <w:noWrap w:val="0"/>
            <w:vAlign w:val="center"/>
          </w:tcPr>
          <w:p w14:paraId="012BDCF6">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主观分】</w:t>
            </w:r>
          </w:p>
          <w:p w14:paraId="13078D2A">
            <w:pPr>
              <w:adjustRightInd w:val="0"/>
              <w:snapToGrid w:val="0"/>
              <w:jc w:val="left"/>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rPr>
              <w:t>针对本工程的安全文明生产施工</w:t>
            </w:r>
            <w:r>
              <w:rPr>
                <w:rFonts w:hint="eastAsia" w:ascii="宋体" w:hAnsi="宋体" w:eastAsia="宋体" w:cs="宋体"/>
                <w:snapToGrid w:val="0"/>
                <w:color w:val="auto"/>
                <w:kern w:val="0"/>
                <w:sz w:val="24"/>
                <w:highlight w:val="none"/>
                <w:lang w:val="en-US" w:eastAsia="zh-CN"/>
              </w:rPr>
              <w:t>方案的</w:t>
            </w:r>
            <w:r>
              <w:rPr>
                <w:rFonts w:hint="eastAsia" w:ascii="宋体" w:hAnsi="宋体" w:eastAsia="宋体" w:cs="宋体"/>
                <w:snapToGrid w:val="0"/>
                <w:color w:val="auto"/>
                <w:kern w:val="0"/>
                <w:sz w:val="24"/>
                <w:highlight w:val="none"/>
              </w:rPr>
              <w:t>保证体系措施</w:t>
            </w:r>
            <w:r>
              <w:rPr>
                <w:rFonts w:hint="eastAsia" w:ascii="宋体" w:hAnsi="宋体" w:eastAsia="宋体" w:cs="宋体"/>
                <w:snapToGrid w:val="0"/>
                <w:color w:val="auto"/>
                <w:kern w:val="0"/>
                <w:sz w:val="24"/>
                <w:highlight w:val="none"/>
                <w:lang w:val="en-US" w:eastAsia="zh-CN"/>
              </w:rPr>
              <w:t>进行评分</w:t>
            </w:r>
            <w:r>
              <w:rPr>
                <w:rFonts w:hint="eastAsia" w:ascii="宋体" w:hAnsi="宋体" w:eastAsia="宋体" w:cs="宋体"/>
                <w:snapToGrid w:val="0"/>
                <w:color w:val="auto"/>
                <w:kern w:val="0"/>
                <w:sz w:val="24"/>
                <w:highlight w:val="none"/>
                <w:lang w:eastAsia="zh-CN"/>
              </w:rPr>
              <w:t>。</w:t>
            </w:r>
          </w:p>
          <w:p w14:paraId="4C190CAE">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（1）方案科学合理、措施完善的得5分；</w:t>
            </w:r>
          </w:p>
          <w:p w14:paraId="21372F53">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（2）方案较合理、措施一般的得3分；</w:t>
            </w:r>
          </w:p>
          <w:p w14:paraId="2BE8E79F">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（3）方案</w:t>
            </w:r>
            <w:r>
              <w:rPr>
                <w:rFonts w:hint="eastAsia" w:ascii="宋体" w:hAnsi="宋体" w:eastAsia="宋体" w:cs="宋体"/>
                <w:bCs/>
                <w:color w:val="auto"/>
                <w:sz w:val="24"/>
                <w:highlight w:val="none"/>
              </w:rPr>
              <w:t>不完善、</w:t>
            </w:r>
            <w:r>
              <w:rPr>
                <w:rFonts w:hint="eastAsia" w:ascii="宋体" w:hAnsi="宋体" w:eastAsia="宋体" w:cs="宋体"/>
                <w:snapToGrid w:val="0"/>
                <w:color w:val="auto"/>
                <w:kern w:val="0"/>
                <w:sz w:val="24"/>
                <w:highlight w:val="none"/>
              </w:rPr>
              <w:t>措施合理性有欠缺的得1分；</w:t>
            </w:r>
          </w:p>
          <w:p w14:paraId="1BE60837">
            <w:pPr>
              <w:pStyle w:val="22"/>
              <w:ind w:left="0" w:leftChars="0" w:firstLine="0" w:firstLineChars="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（4）方案与本项目无关的或未提出实质性方案阐述的不得分。</w:t>
            </w:r>
          </w:p>
          <w:p w14:paraId="7270D22F">
            <w:pPr>
              <w:pStyle w:val="22"/>
              <w:ind w:left="0" w:leftChars="0"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请考虑警体馆高空作业、操作面小、大型机械无法进入；北区水库操作面小，大型机械无法进入，有塌方等危险因素）。</w:t>
            </w:r>
          </w:p>
        </w:tc>
      </w:tr>
      <w:tr w14:paraId="327F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764" w:type="dxa"/>
            <w:vMerge w:val="continue"/>
            <w:tcBorders>
              <w:left w:val="single" w:color="auto" w:sz="4" w:space="0"/>
              <w:right w:val="single" w:color="auto" w:sz="4" w:space="0"/>
            </w:tcBorders>
            <w:noWrap w:val="0"/>
            <w:vAlign w:val="center"/>
          </w:tcPr>
          <w:p w14:paraId="1BF37FA5">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2C894403">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施工现场的降尘、防噪措施、材料运输计划</w:t>
            </w:r>
          </w:p>
        </w:tc>
        <w:tc>
          <w:tcPr>
            <w:tcW w:w="570" w:type="dxa"/>
            <w:tcBorders>
              <w:top w:val="single" w:color="auto" w:sz="4" w:space="0"/>
            </w:tcBorders>
            <w:noWrap w:val="0"/>
            <w:vAlign w:val="center"/>
          </w:tcPr>
          <w:p w14:paraId="18DFF722">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5</w:t>
            </w:r>
          </w:p>
        </w:tc>
        <w:tc>
          <w:tcPr>
            <w:tcW w:w="6836" w:type="dxa"/>
            <w:tcBorders>
              <w:top w:val="single" w:color="auto" w:sz="4" w:space="0"/>
            </w:tcBorders>
            <w:noWrap w:val="0"/>
            <w:vAlign w:val="center"/>
          </w:tcPr>
          <w:p w14:paraId="53263C4D">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主观分】</w:t>
            </w:r>
          </w:p>
          <w:p w14:paraId="53524FC8">
            <w:pPr>
              <w:numPr>
                <w:ilvl w:val="0"/>
                <w:numId w:val="0"/>
              </w:numPr>
              <w:adjustRightInd w:val="0"/>
              <w:snapToGrid w:val="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针对本项目施工现场的防扬尘、防噪措施的施工方案的技术手段和措施</w:t>
            </w:r>
            <w:r>
              <w:rPr>
                <w:rFonts w:hint="eastAsia" w:ascii="宋体" w:hAnsi="宋体" w:eastAsia="宋体" w:cs="宋体"/>
                <w:snapToGrid w:val="0"/>
                <w:color w:val="auto"/>
                <w:kern w:val="0"/>
                <w:sz w:val="24"/>
                <w:highlight w:val="none"/>
                <w:lang w:val="en-US" w:eastAsia="zh-CN"/>
              </w:rPr>
              <w:t>进行评分</w:t>
            </w:r>
            <w:r>
              <w:rPr>
                <w:rFonts w:hint="eastAsia" w:ascii="宋体" w:hAnsi="宋体" w:eastAsia="宋体" w:cs="宋体"/>
                <w:snapToGrid w:val="0"/>
                <w:color w:val="auto"/>
                <w:kern w:val="0"/>
                <w:sz w:val="24"/>
                <w:highlight w:val="none"/>
                <w:lang w:eastAsia="zh-CN"/>
              </w:rPr>
              <w:t>。</w:t>
            </w:r>
          </w:p>
          <w:p w14:paraId="54A96C97">
            <w:pPr>
              <w:numPr>
                <w:ilvl w:val="0"/>
                <w:numId w:val="2"/>
              </w:numPr>
              <w:adjustRightInd w:val="0"/>
              <w:snapToGrid w:val="0"/>
              <w:ind w:left="0" w:leftChars="0" w:hanging="8" w:firstLineChars="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技术手段和措施科学切实可行的得5分；</w:t>
            </w:r>
          </w:p>
          <w:p w14:paraId="29C5C965">
            <w:pPr>
              <w:numPr>
                <w:ilvl w:val="0"/>
                <w:numId w:val="2"/>
              </w:numPr>
              <w:adjustRightInd w:val="0"/>
              <w:snapToGrid w:val="0"/>
              <w:ind w:left="0" w:leftChars="0" w:hanging="8" w:firstLineChars="0"/>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技术手段和措施一般的得3分；</w:t>
            </w:r>
          </w:p>
          <w:p w14:paraId="6DCF2E50">
            <w:pPr>
              <w:numPr>
                <w:ilvl w:val="0"/>
                <w:numId w:val="2"/>
              </w:numPr>
              <w:adjustRightInd w:val="0"/>
              <w:snapToGrid w:val="0"/>
              <w:ind w:left="0" w:leftChars="0" w:hanging="8" w:firstLineChars="0"/>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技术手段和措施不完善、有欠缺的得1分；</w:t>
            </w:r>
          </w:p>
          <w:p w14:paraId="571BABBB">
            <w:pPr>
              <w:numPr>
                <w:ilvl w:val="0"/>
                <w:numId w:val="2"/>
              </w:numPr>
              <w:adjustRightInd w:val="0"/>
              <w:snapToGrid w:val="0"/>
              <w:ind w:left="0" w:leftChars="0" w:hanging="8" w:firstLineChars="0"/>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无技术手段和措施的不得分。</w:t>
            </w:r>
          </w:p>
        </w:tc>
      </w:tr>
      <w:tr w14:paraId="1331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764" w:type="dxa"/>
            <w:vMerge w:val="continue"/>
            <w:tcBorders>
              <w:left w:val="single" w:color="auto" w:sz="4" w:space="0"/>
              <w:right w:val="single" w:color="auto" w:sz="4" w:space="0"/>
            </w:tcBorders>
            <w:noWrap w:val="0"/>
            <w:vAlign w:val="center"/>
          </w:tcPr>
          <w:p w14:paraId="07B63AE9">
            <w:pPr>
              <w:adjustRightInd w:val="0"/>
              <w:snapToGrid w:val="0"/>
              <w:jc w:val="center"/>
              <w:rPr>
                <w:rFonts w:hint="eastAsia" w:ascii="宋体" w:hAnsi="宋体" w:eastAsia="宋体" w:cs="宋体"/>
                <w:color w:val="auto"/>
                <w:spacing w:val="-6"/>
                <w:sz w:val="24"/>
                <w:highlight w:val="none"/>
              </w:rPr>
            </w:pPr>
          </w:p>
        </w:tc>
        <w:tc>
          <w:tcPr>
            <w:tcW w:w="1537" w:type="dxa"/>
            <w:tcBorders>
              <w:top w:val="single" w:color="auto" w:sz="4" w:space="0"/>
            </w:tcBorders>
            <w:noWrap w:val="0"/>
            <w:vAlign w:val="center"/>
          </w:tcPr>
          <w:p w14:paraId="1B7DE1B0">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snapToGrid w:val="0"/>
                <w:color w:val="auto"/>
                <w:kern w:val="0"/>
                <w:sz w:val="24"/>
                <w:highlight w:val="none"/>
              </w:rPr>
              <w:t>施工投入材料的品质管控措施</w:t>
            </w:r>
          </w:p>
        </w:tc>
        <w:tc>
          <w:tcPr>
            <w:tcW w:w="570" w:type="dxa"/>
            <w:tcBorders>
              <w:top w:val="single" w:color="auto" w:sz="4" w:space="0"/>
            </w:tcBorders>
            <w:noWrap w:val="0"/>
            <w:vAlign w:val="center"/>
          </w:tcPr>
          <w:p w14:paraId="6D37B7EF">
            <w:pPr>
              <w:adjustRightInd w:val="0"/>
              <w:snapToGrid w:val="0"/>
              <w:jc w:val="center"/>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5</w:t>
            </w:r>
          </w:p>
        </w:tc>
        <w:tc>
          <w:tcPr>
            <w:tcW w:w="6836" w:type="dxa"/>
            <w:tcBorders>
              <w:top w:val="single" w:color="auto" w:sz="4" w:space="0"/>
            </w:tcBorders>
            <w:noWrap w:val="0"/>
            <w:vAlign w:val="center"/>
          </w:tcPr>
          <w:p w14:paraId="55337860">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主观分】</w:t>
            </w:r>
          </w:p>
          <w:p w14:paraId="4F9830D4">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针对本项目施工投入材料的品质管控措施</w:t>
            </w:r>
            <w:r>
              <w:rPr>
                <w:rFonts w:hint="eastAsia" w:ascii="宋体" w:hAnsi="宋体" w:eastAsia="宋体" w:cs="宋体"/>
                <w:snapToGrid w:val="0"/>
                <w:color w:val="auto"/>
                <w:kern w:val="0"/>
                <w:sz w:val="24"/>
                <w:highlight w:val="none"/>
                <w:lang w:val="en-US" w:eastAsia="zh-CN"/>
              </w:rPr>
              <w:t>方案进行评分。</w:t>
            </w:r>
            <w:r>
              <w:rPr>
                <w:rFonts w:hint="eastAsia" w:ascii="宋体" w:hAnsi="宋体" w:eastAsia="宋体" w:cs="宋体"/>
                <w:snapToGrid w:val="0"/>
                <w:color w:val="auto"/>
                <w:kern w:val="0"/>
                <w:sz w:val="24"/>
                <w:highlight w:val="none"/>
              </w:rPr>
              <w:t>（1）方案科学合理、措施完善的得5分；</w:t>
            </w:r>
          </w:p>
          <w:p w14:paraId="6BEC3F84">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（2）方案一般、措施一般的得3分；</w:t>
            </w:r>
          </w:p>
          <w:p w14:paraId="0AD85D23">
            <w:pPr>
              <w:adjustRightInd w:val="0"/>
              <w:snapToGrid w:val="0"/>
              <w:jc w:val="lef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（3）方案有欠缺、措施不够完善的得1分；</w:t>
            </w:r>
          </w:p>
          <w:p w14:paraId="1FFCF58E">
            <w:pPr>
              <w:adjustRightInd w:val="0"/>
              <w:snapToGrid w:val="0"/>
              <w:jc w:val="left"/>
              <w:rPr>
                <w:rFonts w:hint="eastAsia" w:ascii="宋体" w:hAnsi="宋体" w:eastAsia="宋体" w:cs="宋体"/>
                <w:color w:val="auto"/>
                <w:sz w:val="24"/>
                <w:highlight w:val="none"/>
              </w:rPr>
            </w:pPr>
            <w:r>
              <w:rPr>
                <w:rFonts w:hint="eastAsia" w:ascii="宋体" w:hAnsi="宋体" w:eastAsia="宋体" w:cs="宋体"/>
                <w:snapToGrid w:val="0"/>
                <w:color w:val="auto"/>
                <w:kern w:val="0"/>
                <w:sz w:val="24"/>
                <w:highlight w:val="none"/>
              </w:rPr>
              <w:t>（</w:t>
            </w:r>
            <w:r>
              <w:rPr>
                <w:rFonts w:hint="eastAsia" w:ascii="宋体" w:hAnsi="宋体" w:eastAsia="宋体" w:cs="宋体"/>
                <w:snapToGrid w:val="0"/>
                <w:color w:val="auto"/>
                <w:kern w:val="0"/>
                <w:sz w:val="24"/>
                <w:highlight w:val="none"/>
                <w:lang w:val="en-US" w:eastAsia="zh-CN"/>
              </w:rPr>
              <w:t>4</w:t>
            </w:r>
            <w:r>
              <w:rPr>
                <w:rFonts w:hint="eastAsia" w:ascii="宋体" w:hAnsi="宋体" w:eastAsia="宋体" w:cs="宋体"/>
                <w:snapToGrid w:val="0"/>
                <w:color w:val="auto"/>
                <w:kern w:val="0"/>
                <w:sz w:val="24"/>
                <w:highlight w:val="none"/>
              </w:rPr>
              <w:t>）未提出实质性方案阐述的不得分。</w:t>
            </w:r>
          </w:p>
        </w:tc>
      </w:tr>
      <w:tr w14:paraId="63FB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764" w:type="dxa"/>
            <w:vMerge w:val="continue"/>
            <w:tcBorders>
              <w:left w:val="single" w:color="auto" w:sz="4" w:space="0"/>
              <w:right w:val="single" w:color="auto" w:sz="4" w:space="0"/>
            </w:tcBorders>
            <w:noWrap w:val="0"/>
            <w:vAlign w:val="center"/>
          </w:tcPr>
          <w:p w14:paraId="326264BC">
            <w:pPr>
              <w:adjustRightInd w:val="0"/>
              <w:snapToGrid w:val="0"/>
              <w:jc w:val="center"/>
              <w:rPr>
                <w:rFonts w:hint="eastAsia" w:ascii="宋体" w:hAnsi="宋体" w:eastAsia="宋体" w:cs="宋体"/>
                <w:color w:val="auto"/>
                <w:spacing w:val="-6"/>
                <w:sz w:val="24"/>
                <w:highlight w:val="none"/>
              </w:rPr>
            </w:pPr>
          </w:p>
        </w:tc>
        <w:tc>
          <w:tcPr>
            <w:tcW w:w="1537" w:type="dxa"/>
            <w:vMerge w:val="restart"/>
            <w:noWrap w:val="0"/>
            <w:vAlign w:val="center"/>
          </w:tcPr>
          <w:p w14:paraId="6B183332">
            <w:pPr>
              <w:adjustRightInd w:val="0"/>
              <w:snapToGrid w:val="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工期、进度方案</w:t>
            </w:r>
          </w:p>
        </w:tc>
        <w:tc>
          <w:tcPr>
            <w:tcW w:w="570" w:type="dxa"/>
            <w:tcBorders>
              <w:top w:val="single" w:color="auto" w:sz="4" w:space="0"/>
            </w:tcBorders>
            <w:noWrap w:val="0"/>
            <w:vAlign w:val="center"/>
          </w:tcPr>
          <w:p w14:paraId="49D51D78">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lang w:val="en-US" w:eastAsia="zh-CN"/>
              </w:rPr>
              <w:t>5</w:t>
            </w:r>
          </w:p>
        </w:tc>
        <w:tc>
          <w:tcPr>
            <w:tcW w:w="6836" w:type="dxa"/>
            <w:tcBorders>
              <w:top w:val="single" w:color="auto" w:sz="4" w:space="0"/>
            </w:tcBorders>
            <w:noWrap w:val="0"/>
            <w:vAlign w:val="center"/>
          </w:tcPr>
          <w:p w14:paraId="512771B8">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主观分】</w:t>
            </w:r>
          </w:p>
          <w:p w14:paraId="08758D8C">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rPr>
              <w:t>施工总工期</w:t>
            </w:r>
            <w:r>
              <w:rPr>
                <w:rFonts w:hint="eastAsia" w:ascii="宋体" w:hAnsi="宋体" w:eastAsia="宋体" w:cs="宋体"/>
                <w:snapToGrid w:val="0"/>
                <w:color w:val="auto"/>
                <w:kern w:val="0"/>
                <w:sz w:val="24"/>
                <w:highlight w:val="none"/>
                <w:lang w:val="en-US" w:eastAsia="zh-CN"/>
              </w:rPr>
              <w:t>是否</w:t>
            </w:r>
            <w:r>
              <w:rPr>
                <w:rFonts w:hint="eastAsia" w:ascii="宋体" w:hAnsi="宋体" w:eastAsia="宋体" w:cs="宋体"/>
                <w:snapToGrid w:val="0"/>
                <w:color w:val="auto"/>
                <w:kern w:val="0"/>
                <w:sz w:val="24"/>
                <w:highlight w:val="none"/>
              </w:rPr>
              <w:t>符合采购需求</w:t>
            </w: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对</w:t>
            </w:r>
            <w:r>
              <w:rPr>
                <w:rFonts w:hint="eastAsia" w:ascii="宋体" w:hAnsi="宋体" w:eastAsia="宋体" w:cs="宋体"/>
                <w:snapToGrid w:val="0"/>
                <w:color w:val="auto"/>
                <w:kern w:val="0"/>
                <w:sz w:val="24"/>
                <w:highlight w:val="none"/>
              </w:rPr>
              <w:t>方案中有合理的进度安排计划、进度计划应清晰、明了、明确各节点的完成时间</w:t>
            </w:r>
            <w:r>
              <w:rPr>
                <w:rFonts w:hint="eastAsia" w:ascii="宋体" w:hAnsi="宋体" w:eastAsia="宋体" w:cs="宋体"/>
                <w:snapToGrid w:val="0"/>
                <w:color w:val="auto"/>
                <w:kern w:val="0"/>
                <w:sz w:val="24"/>
                <w:highlight w:val="none"/>
                <w:lang w:val="en-US" w:eastAsia="zh-CN"/>
              </w:rPr>
              <w:t>进行评分。</w:t>
            </w:r>
          </w:p>
          <w:p w14:paraId="6B37AEA6">
            <w:pPr>
              <w:pageBreakBefore w:val="0"/>
              <w:numPr>
                <w:ilvl w:val="0"/>
                <w:numId w:val="3"/>
              </w:numPr>
              <w:kinsoku/>
              <w:overflowPunct/>
              <w:bidi w:val="0"/>
              <w:adjustRightInd w:val="0"/>
              <w:snapToGrid w:val="0"/>
              <w:jc w:val="left"/>
              <w:outlineLvl w:val="9"/>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rPr>
              <w:t>符合采购需求，方案中有合理的进度安排计划、进度计划应清晰、明了、明确各节点的完成时间得</w:t>
            </w:r>
            <w:r>
              <w:rPr>
                <w:rFonts w:hint="eastAsia" w:ascii="宋体" w:hAnsi="宋体" w:eastAsia="宋体" w:cs="宋体"/>
                <w:snapToGrid w:val="0"/>
                <w:color w:val="auto"/>
                <w:kern w:val="0"/>
                <w:sz w:val="24"/>
                <w:highlight w:val="none"/>
                <w:lang w:val="en-US" w:eastAsia="zh-CN"/>
              </w:rPr>
              <w:t>5</w:t>
            </w:r>
            <w:r>
              <w:rPr>
                <w:rFonts w:hint="eastAsia" w:ascii="宋体" w:hAnsi="宋体" w:eastAsia="宋体" w:cs="宋体"/>
                <w:snapToGrid w:val="0"/>
                <w:color w:val="auto"/>
                <w:kern w:val="0"/>
                <w:sz w:val="24"/>
                <w:highlight w:val="none"/>
              </w:rPr>
              <w:t>分</w:t>
            </w:r>
            <w:r>
              <w:rPr>
                <w:rFonts w:hint="eastAsia" w:ascii="宋体" w:hAnsi="宋体" w:eastAsia="宋体" w:cs="宋体"/>
                <w:snapToGrid w:val="0"/>
                <w:color w:val="auto"/>
                <w:kern w:val="0"/>
                <w:sz w:val="24"/>
                <w:highlight w:val="none"/>
                <w:lang w:eastAsia="zh-CN"/>
              </w:rPr>
              <w:t>；</w:t>
            </w:r>
          </w:p>
          <w:p w14:paraId="5FBB4E0A">
            <w:pPr>
              <w:pageBreakBefore w:val="0"/>
              <w:numPr>
                <w:ilvl w:val="0"/>
                <w:numId w:val="3"/>
              </w:numPr>
              <w:kinsoku/>
              <w:overflowPunct/>
              <w:bidi w:val="0"/>
              <w:adjustRightInd w:val="0"/>
              <w:snapToGrid w:val="0"/>
              <w:jc w:val="left"/>
              <w:outlineLvl w:val="9"/>
              <w:rPr>
                <w:rFonts w:hint="eastAsia" w:ascii="宋体" w:hAnsi="宋体" w:eastAsia="宋体" w:cs="宋体"/>
                <w:color w:val="auto"/>
                <w:sz w:val="24"/>
                <w:highlight w:val="none"/>
              </w:rPr>
            </w:pPr>
            <w:r>
              <w:rPr>
                <w:rFonts w:hint="eastAsia" w:ascii="宋体" w:hAnsi="宋体" w:eastAsia="宋体" w:cs="宋体"/>
                <w:snapToGrid w:val="0"/>
                <w:color w:val="auto"/>
                <w:kern w:val="0"/>
                <w:sz w:val="24"/>
                <w:highlight w:val="none"/>
              </w:rPr>
              <w:t>进度计划较完善的得</w:t>
            </w:r>
            <w:r>
              <w:rPr>
                <w:rFonts w:hint="eastAsia" w:ascii="宋体" w:hAnsi="宋体" w:eastAsia="宋体" w:cs="宋体"/>
                <w:snapToGrid w:val="0"/>
                <w:color w:val="auto"/>
                <w:kern w:val="0"/>
                <w:sz w:val="24"/>
                <w:highlight w:val="none"/>
                <w:lang w:val="en-US" w:eastAsia="zh-CN"/>
              </w:rPr>
              <w:t>3分；</w:t>
            </w:r>
          </w:p>
          <w:p w14:paraId="6190C7EC">
            <w:pPr>
              <w:pageBreakBefore w:val="0"/>
              <w:numPr>
                <w:ilvl w:val="0"/>
                <w:numId w:val="3"/>
              </w:numPr>
              <w:kinsoku/>
              <w:overflowPunct/>
              <w:bidi w:val="0"/>
              <w:adjustRightInd w:val="0"/>
              <w:snapToGrid w:val="0"/>
              <w:jc w:val="left"/>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napToGrid w:val="0"/>
                <w:color w:val="auto"/>
                <w:kern w:val="0"/>
                <w:sz w:val="24"/>
                <w:highlight w:val="none"/>
              </w:rPr>
              <w:t>进度计划不</w:t>
            </w:r>
            <w:r>
              <w:rPr>
                <w:rFonts w:hint="eastAsia" w:ascii="宋体" w:hAnsi="宋体" w:eastAsia="宋体" w:cs="宋体"/>
                <w:snapToGrid w:val="0"/>
                <w:color w:val="auto"/>
                <w:kern w:val="0"/>
                <w:sz w:val="24"/>
                <w:highlight w:val="none"/>
                <w:lang w:val="en-US" w:eastAsia="zh-CN"/>
              </w:rPr>
              <w:t>够</w:t>
            </w:r>
            <w:r>
              <w:rPr>
                <w:rFonts w:hint="eastAsia" w:ascii="宋体" w:hAnsi="宋体" w:eastAsia="宋体" w:cs="宋体"/>
                <w:snapToGrid w:val="0"/>
                <w:color w:val="auto"/>
                <w:kern w:val="0"/>
                <w:sz w:val="24"/>
                <w:highlight w:val="none"/>
              </w:rPr>
              <w:t>完善</w:t>
            </w:r>
            <w:r>
              <w:rPr>
                <w:rFonts w:hint="eastAsia" w:ascii="宋体" w:hAnsi="宋体" w:eastAsia="宋体" w:cs="宋体"/>
                <w:snapToGrid w:val="0"/>
                <w:color w:val="auto"/>
                <w:kern w:val="0"/>
                <w:sz w:val="24"/>
                <w:highlight w:val="none"/>
                <w:lang w:val="en-US" w:eastAsia="zh-CN"/>
              </w:rPr>
              <w:t>的得1分</w:t>
            </w:r>
            <w:r>
              <w:rPr>
                <w:rFonts w:hint="eastAsia" w:ascii="宋体" w:hAnsi="宋体" w:eastAsia="宋体" w:cs="宋体"/>
                <w:snapToGrid w:val="0"/>
                <w:color w:val="auto"/>
                <w:kern w:val="0"/>
                <w:sz w:val="24"/>
                <w:highlight w:val="none"/>
                <w:lang w:eastAsia="zh-CN"/>
              </w:rPr>
              <w:t>；</w:t>
            </w:r>
          </w:p>
          <w:p w14:paraId="27AAAEAB">
            <w:pPr>
              <w:pageBreakBefore w:val="0"/>
              <w:numPr>
                <w:ilvl w:val="0"/>
                <w:numId w:val="3"/>
              </w:numPr>
              <w:kinsoku/>
              <w:overflowPunct/>
              <w:bidi w:val="0"/>
              <w:adjustRightInd w:val="0"/>
              <w:snapToGrid w:val="0"/>
              <w:jc w:val="left"/>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napToGrid w:val="0"/>
                <w:color w:val="auto"/>
                <w:kern w:val="0"/>
                <w:sz w:val="24"/>
                <w:highlight w:val="none"/>
                <w:lang w:eastAsia="zh-CN"/>
              </w:rPr>
              <w:t>未提出</w:t>
            </w:r>
            <w:r>
              <w:rPr>
                <w:rFonts w:hint="eastAsia" w:ascii="宋体" w:hAnsi="宋体" w:eastAsia="宋体" w:cs="宋体"/>
                <w:snapToGrid w:val="0"/>
                <w:color w:val="auto"/>
                <w:kern w:val="0"/>
                <w:sz w:val="24"/>
                <w:highlight w:val="none"/>
                <w:lang w:val="en-US" w:eastAsia="zh-CN"/>
              </w:rPr>
              <w:t>进度计划的不</w:t>
            </w:r>
            <w:r>
              <w:rPr>
                <w:rFonts w:hint="eastAsia" w:ascii="宋体" w:hAnsi="宋体" w:eastAsia="宋体" w:cs="宋体"/>
                <w:snapToGrid w:val="0"/>
                <w:color w:val="auto"/>
                <w:kern w:val="0"/>
                <w:sz w:val="24"/>
                <w:highlight w:val="none"/>
                <w:lang w:eastAsia="zh-CN"/>
              </w:rPr>
              <w:t>得分</w:t>
            </w:r>
            <w:r>
              <w:rPr>
                <w:rFonts w:hint="eastAsia" w:ascii="宋体" w:hAnsi="宋体" w:eastAsia="宋体" w:cs="宋体"/>
                <w:snapToGrid w:val="0"/>
                <w:color w:val="auto"/>
                <w:kern w:val="0"/>
                <w:sz w:val="24"/>
                <w:highlight w:val="none"/>
              </w:rPr>
              <w:t>。</w:t>
            </w:r>
          </w:p>
        </w:tc>
      </w:tr>
      <w:tr w14:paraId="4218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764" w:type="dxa"/>
            <w:vMerge w:val="continue"/>
            <w:tcBorders>
              <w:left w:val="single" w:color="auto" w:sz="4" w:space="0"/>
              <w:right w:val="single" w:color="auto" w:sz="4" w:space="0"/>
            </w:tcBorders>
            <w:noWrap w:val="0"/>
            <w:vAlign w:val="center"/>
          </w:tcPr>
          <w:p w14:paraId="6C8A8CA8">
            <w:pPr>
              <w:adjustRightInd w:val="0"/>
              <w:snapToGrid w:val="0"/>
              <w:jc w:val="center"/>
              <w:rPr>
                <w:rFonts w:hint="eastAsia" w:ascii="宋体" w:hAnsi="宋体" w:eastAsia="宋体" w:cs="宋体"/>
                <w:color w:val="auto"/>
                <w:spacing w:val="-6"/>
                <w:sz w:val="24"/>
                <w:highlight w:val="none"/>
              </w:rPr>
            </w:pPr>
          </w:p>
        </w:tc>
        <w:tc>
          <w:tcPr>
            <w:tcW w:w="1537" w:type="dxa"/>
            <w:vMerge w:val="continue"/>
            <w:noWrap w:val="0"/>
            <w:vAlign w:val="center"/>
          </w:tcPr>
          <w:p w14:paraId="22DE7A4D">
            <w:pPr>
              <w:adjustRightInd w:val="0"/>
              <w:snapToGrid w:val="0"/>
              <w:jc w:val="center"/>
              <w:rPr>
                <w:rFonts w:hint="eastAsia" w:ascii="宋体" w:hAnsi="宋体" w:eastAsia="宋体" w:cs="宋体"/>
                <w:snapToGrid w:val="0"/>
                <w:color w:val="auto"/>
                <w:kern w:val="0"/>
                <w:sz w:val="24"/>
                <w:highlight w:val="none"/>
              </w:rPr>
            </w:pPr>
          </w:p>
        </w:tc>
        <w:tc>
          <w:tcPr>
            <w:tcW w:w="570" w:type="dxa"/>
            <w:tcBorders>
              <w:top w:val="single" w:color="auto" w:sz="4" w:space="0"/>
            </w:tcBorders>
            <w:noWrap w:val="0"/>
            <w:vAlign w:val="center"/>
          </w:tcPr>
          <w:p w14:paraId="396C948E">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lang w:val="en-US" w:eastAsia="zh-CN"/>
              </w:rPr>
              <w:t>5</w:t>
            </w:r>
          </w:p>
        </w:tc>
        <w:tc>
          <w:tcPr>
            <w:tcW w:w="6836" w:type="dxa"/>
            <w:tcBorders>
              <w:top w:val="single" w:color="auto" w:sz="4" w:space="0"/>
            </w:tcBorders>
            <w:noWrap w:val="0"/>
            <w:vAlign w:val="center"/>
          </w:tcPr>
          <w:p w14:paraId="33DBCEF1">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主观分】</w:t>
            </w:r>
          </w:p>
          <w:p w14:paraId="612A630F">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施工进度方案中</w:t>
            </w:r>
            <w:r>
              <w:rPr>
                <w:rFonts w:hint="eastAsia" w:ascii="宋体" w:hAnsi="宋体" w:eastAsia="宋体" w:cs="宋体"/>
                <w:snapToGrid w:val="0"/>
                <w:color w:val="auto"/>
                <w:kern w:val="0"/>
                <w:sz w:val="24"/>
                <w:highlight w:val="none"/>
                <w:lang w:val="en-US" w:eastAsia="zh-CN"/>
              </w:rPr>
              <w:t>是否</w:t>
            </w:r>
            <w:r>
              <w:rPr>
                <w:rFonts w:hint="eastAsia" w:ascii="宋体" w:hAnsi="宋体" w:eastAsia="宋体" w:cs="宋体"/>
                <w:snapToGrid w:val="0"/>
                <w:color w:val="auto"/>
                <w:kern w:val="0"/>
                <w:sz w:val="24"/>
                <w:highlight w:val="none"/>
              </w:rPr>
              <w:t>有保证完成各节点施工的有效保证措施方案</w:t>
            </w:r>
            <w:r>
              <w:rPr>
                <w:rFonts w:hint="eastAsia" w:ascii="宋体" w:hAnsi="宋体" w:eastAsia="宋体" w:cs="宋体"/>
                <w:snapToGrid w:val="0"/>
                <w:color w:val="auto"/>
                <w:kern w:val="0"/>
                <w:sz w:val="24"/>
                <w:highlight w:val="none"/>
                <w:lang w:eastAsia="zh-CN"/>
              </w:rPr>
              <w:t>。</w:t>
            </w:r>
          </w:p>
          <w:p w14:paraId="4B11CCBB">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1）</w:t>
            </w:r>
            <w:r>
              <w:rPr>
                <w:rFonts w:hint="eastAsia" w:ascii="宋体" w:hAnsi="宋体" w:eastAsia="宋体" w:cs="宋体"/>
                <w:snapToGrid w:val="0"/>
                <w:color w:val="auto"/>
                <w:kern w:val="0"/>
                <w:sz w:val="24"/>
                <w:highlight w:val="none"/>
              </w:rPr>
              <w:t>方案措施合理可行的得</w:t>
            </w:r>
            <w:r>
              <w:rPr>
                <w:rFonts w:hint="eastAsia" w:ascii="宋体" w:hAnsi="宋体" w:eastAsia="宋体" w:cs="宋体"/>
                <w:snapToGrid w:val="0"/>
                <w:color w:val="auto"/>
                <w:kern w:val="0"/>
                <w:sz w:val="24"/>
                <w:highlight w:val="none"/>
                <w:lang w:val="en-US" w:eastAsia="zh-CN"/>
              </w:rPr>
              <w:t>5</w:t>
            </w:r>
            <w:r>
              <w:rPr>
                <w:rFonts w:hint="eastAsia" w:ascii="宋体" w:hAnsi="宋体" w:eastAsia="宋体" w:cs="宋体"/>
                <w:snapToGrid w:val="0"/>
                <w:color w:val="auto"/>
                <w:kern w:val="0"/>
                <w:sz w:val="24"/>
                <w:highlight w:val="none"/>
              </w:rPr>
              <w:t>分</w:t>
            </w:r>
            <w:r>
              <w:rPr>
                <w:rFonts w:hint="eastAsia" w:ascii="宋体" w:hAnsi="宋体" w:eastAsia="宋体" w:cs="宋体"/>
                <w:snapToGrid w:val="0"/>
                <w:color w:val="auto"/>
                <w:kern w:val="0"/>
                <w:sz w:val="24"/>
                <w:highlight w:val="none"/>
                <w:lang w:eastAsia="zh-CN"/>
              </w:rPr>
              <w:t>；</w:t>
            </w:r>
          </w:p>
          <w:p w14:paraId="69EDC67D">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2）</w:t>
            </w:r>
            <w:r>
              <w:rPr>
                <w:rFonts w:hint="eastAsia" w:ascii="宋体" w:hAnsi="宋体" w:eastAsia="宋体" w:cs="宋体"/>
                <w:snapToGrid w:val="0"/>
                <w:color w:val="auto"/>
                <w:kern w:val="0"/>
                <w:sz w:val="24"/>
                <w:highlight w:val="none"/>
              </w:rPr>
              <w:t>方案措施较一般的得</w:t>
            </w:r>
            <w:r>
              <w:rPr>
                <w:rFonts w:hint="eastAsia" w:ascii="宋体" w:hAnsi="宋体" w:eastAsia="宋体" w:cs="宋体"/>
                <w:snapToGrid w:val="0"/>
                <w:color w:val="auto"/>
                <w:kern w:val="0"/>
                <w:sz w:val="24"/>
                <w:highlight w:val="none"/>
                <w:lang w:val="en-US" w:eastAsia="zh-CN"/>
              </w:rPr>
              <w:t>3分；</w:t>
            </w:r>
          </w:p>
          <w:p w14:paraId="7B258198">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3）</w:t>
            </w:r>
            <w:r>
              <w:rPr>
                <w:rFonts w:hint="eastAsia" w:ascii="宋体" w:hAnsi="宋体" w:eastAsia="宋体" w:cs="宋体"/>
                <w:snapToGrid w:val="0"/>
                <w:color w:val="auto"/>
                <w:kern w:val="0"/>
                <w:sz w:val="24"/>
                <w:highlight w:val="none"/>
              </w:rPr>
              <w:t>方案措施</w:t>
            </w:r>
            <w:r>
              <w:rPr>
                <w:rFonts w:hint="eastAsia" w:ascii="宋体" w:hAnsi="宋体" w:eastAsia="宋体" w:cs="宋体"/>
                <w:snapToGrid w:val="0"/>
                <w:color w:val="auto"/>
                <w:kern w:val="0"/>
                <w:sz w:val="24"/>
                <w:highlight w:val="none"/>
                <w:lang w:val="en-US" w:eastAsia="zh-CN"/>
              </w:rPr>
              <w:t>有欠缺、不够完善</w:t>
            </w:r>
            <w:r>
              <w:rPr>
                <w:rFonts w:hint="eastAsia" w:ascii="宋体" w:hAnsi="宋体" w:eastAsia="宋体" w:cs="宋体"/>
                <w:snapToGrid w:val="0"/>
                <w:color w:val="auto"/>
                <w:kern w:val="0"/>
                <w:sz w:val="24"/>
                <w:highlight w:val="none"/>
              </w:rPr>
              <w:t>的得</w:t>
            </w:r>
            <w:r>
              <w:rPr>
                <w:rFonts w:hint="eastAsia" w:ascii="宋体" w:hAnsi="宋体" w:eastAsia="宋体" w:cs="宋体"/>
                <w:snapToGrid w:val="0"/>
                <w:color w:val="auto"/>
                <w:kern w:val="0"/>
                <w:sz w:val="24"/>
                <w:highlight w:val="none"/>
                <w:lang w:val="en-US" w:eastAsia="zh-CN"/>
              </w:rPr>
              <w:t>1</w:t>
            </w:r>
            <w:r>
              <w:rPr>
                <w:rFonts w:hint="eastAsia" w:ascii="宋体" w:hAnsi="宋体" w:eastAsia="宋体" w:cs="宋体"/>
                <w:snapToGrid w:val="0"/>
                <w:color w:val="auto"/>
                <w:kern w:val="0"/>
                <w:sz w:val="24"/>
                <w:highlight w:val="none"/>
              </w:rPr>
              <w:t>分</w:t>
            </w:r>
            <w:r>
              <w:rPr>
                <w:rFonts w:hint="eastAsia" w:ascii="宋体" w:hAnsi="宋体" w:eastAsia="宋体" w:cs="宋体"/>
                <w:snapToGrid w:val="0"/>
                <w:color w:val="auto"/>
                <w:kern w:val="0"/>
                <w:sz w:val="24"/>
                <w:highlight w:val="none"/>
                <w:lang w:eastAsia="zh-CN"/>
              </w:rPr>
              <w:t>。</w:t>
            </w:r>
          </w:p>
          <w:p w14:paraId="79E0128D">
            <w:pPr>
              <w:pageBreakBefore w:val="0"/>
              <w:numPr>
                <w:ilvl w:val="0"/>
                <w:numId w:val="0"/>
              </w:numPr>
              <w:kinsoku/>
              <w:overflowPunct/>
              <w:bidi w:val="0"/>
              <w:adjustRightInd w:val="0"/>
              <w:snapToGrid w:val="0"/>
              <w:jc w:val="left"/>
              <w:outlineLvl w:val="9"/>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4）</w:t>
            </w:r>
            <w:r>
              <w:rPr>
                <w:rFonts w:hint="eastAsia" w:ascii="宋体" w:hAnsi="宋体" w:eastAsia="宋体" w:cs="宋体"/>
                <w:snapToGrid w:val="0"/>
                <w:color w:val="auto"/>
                <w:kern w:val="0"/>
                <w:sz w:val="24"/>
                <w:highlight w:val="none"/>
              </w:rPr>
              <w:t>未提供的不得分。</w:t>
            </w:r>
          </w:p>
        </w:tc>
      </w:tr>
      <w:tr w14:paraId="4CCE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64" w:type="dxa"/>
            <w:vMerge w:val="continue"/>
            <w:tcBorders>
              <w:left w:val="single" w:color="auto" w:sz="4" w:space="0"/>
              <w:right w:val="single" w:color="auto" w:sz="4" w:space="0"/>
            </w:tcBorders>
            <w:noWrap w:val="0"/>
            <w:vAlign w:val="center"/>
          </w:tcPr>
          <w:p w14:paraId="2E7C3C0B">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127B2E80">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突发情况的应急预案</w:t>
            </w:r>
          </w:p>
        </w:tc>
        <w:tc>
          <w:tcPr>
            <w:tcW w:w="570" w:type="dxa"/>
            <w:tcBorders>
              <w:top w:val="single" w:color="auto" w:sz="4" w:space="0"/>
              <w:bottom w:val="single" w:color="auto" w:sz="4" w:space="0"/>
            </w:tcBorders>
            <w:noWrap w:val="0"/>
            <w:vAlign w:val="center"/>
          </w:tcPr>
          <w:p w14:paraId="099AC2C6">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5</w:t>
            </w:r>
          </w:p>
        </w:tc>
        <w:tc>
          <w:tcPr>
            <w:tcW w:w="6836" w:type="dxa"/>
            <w:tcBorders>
              <w:top w:val="single" w:color="auto" w:sz="4" w:space="0"/>
              <w:bottom w:val="single" w:color="auto" w:sz="4" w:space="0"/>
            </w:tcBorders>
            <w:noWrap w:val="0"/>
            <w:vAlign w:val="center"/>
          </w:tcPr>
          <w:p w14:paraId="1609053D">
            <w:pPr>
              <w:widowControl/>
              <w:spacing w:line="288"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客</w:t>
            </w:r>
            <w:r>
              <w:rPr>
                <w:rFonts w:hint="eastAsia" w:ascii="宋体" w:hAnsi="宋体" w:eastAsia="宋体" w:cs="宋体"/>
                <w:bCs/>
                <w:color w:val="auto"/>
                <w:sz w:val="24"/>
                <w:szCs w:val="24"/>
                <w:highlight w:val="none"/>
              </w:rPr>
              <w:t>观分】</w:t>
            </w:r>
          </w:p>
          <w:p w14:paraId="0AB06EBF">
            <w:pPr>
              <w:pageBreakBefore w:val="0"/>
              <w:kinsoku/>
              <w:overflowPunct/>
              <w:bidi w:val="0"/>
              <w:adjustRightInd w:val="0"/>
              <w:snapToGrid w:val="0"/>
              <w:jc w:val="left"/>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施工突发情况的应急</w:t>
            </w:r>
            <w:r>
              <w:rPr>
                <w:rFonts w:hint="eastAsia" w:ascii="宋体" w:hAnsi="宋体" w:eastAsia="宋体" w:cs="宋体"/>
                <w:bCs/>
                <w:snapToGrid w:val="0"/>
                <w:color w:val="auto"/>
                <w:kern w:val="0"/>
                <w:sz w:val="24"/>
                <w:szCs w:val="24"/>
                <w:highlight w:val="none"/>
              </w:rPr>
              <w:t>预案合理可行，</w:t>
            </w:r>
            <w:r>
              <w:rPr>
                <w:rFonts w:hint="eastAsia" w:ascii="宋体" w:hAnsi="宋体" w:eastAsia="宋体" w:cs="宋体"/>
                <w:bCs/>
                <w:color w:val="auto"/>
                <w:kern w:val="0"/>
                <w:sz w:val="24"/>
                <w:szCs w:val="24"/>
                <w:highlight w:val="none"/>
              </w:rPr>
              <w:t>方案完整，考虑全面</w:t>
            </w:r>
            <w:r>
              <w:rPr>
                <w:rFonts w:hint="eastAsia" w:ascii="宋体" w:hAnsi="宋体" w:eastAsia="宋体" w:cs="宋体"/>
                <w:bCs/>
                <w:color w:val="auto"/>
                <w:kern w:val="0"/>
                <w:sz w:val="24"/>
                <w:szCs w:val="24"/>
                <w:highlight w:val="none"/>
                <w:lang w:eastAsia="zh-CN"/>
              </w:rPr>
              <w:t>，</w:t>
            </w:r>
            <w:r>
              <w:rPr>
                <w:rFonts w:hint="eastAsia" w:ascii="宋体" w:hAnsi="宋体" w:eastAsia="宋体" w:cs="宋体"/>
                <w:bCs/>
                <w:color w:val="auto"/>
                <w:kern w:val="0"/>
                <w:sz w:val="24"/>
                <w:szCs w:val="24"/>
                <w:highlight w:val="none"/>
                <w:lang w:val="en-US" w:eastAsia="zh-CN"/>
              </w:rPr>
              <w:t>每提供一条</w:t>
            </w:r>
            <w:r>
              <w:rPr>
                <w:rFonts w:hint="eastAsia" w:ascii="宋体" w:hAnsi="宋体" w:eastAsia="宋体" w:cs="宋体"/>
                <w:bCs/>
                <w:color w:val="auto"/>
                <w:sz w:val="24"/>
                <w:szCs w:val="24"/>
                <w:highlight w:val="none"/>
              </w:rPr>
              <w:t>应急</w:t>
            </w:r>
            <w:r>
              <w:rPr>
                <w:rFonts w:hint="eastAsia" w:ascii="宋体" w:hAnsi="宋体" w:eastAsia="宋体" w:cs="宋体"/>
                <w:bCs/>
                <w:snapToGrid w:val="0"/>
                <w:color w:val="auto"/>
                <w:kern w:val="0"/>
                <w:sz w:val="24"/>
                <w:szCs w:val="24"/>
                <w:highlight w:val="none"/>
              </w:rPr>
              <w:t>预案</w:t>
            </w:r>
            <w:r>
              <w:rPr>
                <w:rFonts w:hint="eastAsia" w:ascii="宋体" w:hAnsi="宋体" w:eastAsia="宋体" w:cs="宋体"/>
                <w:bCs/>
                <w:snapToGrid w:val="0"/>
                <w:color w:val="auto"/>
                <w:kern w:val="0"/>
                <w:sz w:val="24"/>
                <w:szCs w:val="24"/>
                <w:highlight w:val="none"/>
                <w:lang w:val="en-US" w:eastAsia="zh-CN"/>
              </w:rPr>
              <w:t>得1分，最高得5分。</w:t>
            </w:r>
          </w:p>
        </w:tc>
      </w:tr>
      <w:tr w14:paraId="07EC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64" w:type="dxa"/>
            <w:vMerge w:val="continue"/>
            <w:tcBorders>
              <w:left w:val="single" w:color="auto" w:sz="4" w:space="0"/>
              <w:right w:val="single" w:color="auto" w:sz="4" w:space="0"/>
            </w:tcBorders>
            <w:noWrap w:val="0"/>
            <w:vAlign w:val="center"/>
          </w:tcPr>
          <w:p w14:paraId="0248CF6B">
            <w:pPr>
              <w:adjustRightInd w:val="0"/>
              <w:snapToGrid w:val="0"/>
              <w:jc w:val="center"/>
              <w:rPr>
                <w:rFonts w:hint="eastAsia" w:ascii="宋体" w:hAnsi="宋体" w:eastAsia="宋体" w:cs="宋体"/>
                <w:color w:val="auto"/>
                <w:spacing w:val="-6"/>
                <w:sz w:val="24"/>
                <w:highlight w:val="none"/>
              </w:rPr>
            </w:pPr>
          </w:p>
        </w:tc>
        <w:tc>
          <w:tcPr>
            <w:tcW w:w="1537" w:type="dxa"/>
            <w:noWrap w:val="0"/>
            <w:vAlign w:val="center"/>
          </w:tcPr>
          <w:p w14:paraId="298204CE">
            <w:pPr>
              <w:pageBreakBefore w:val="0"/>
              <w:kinsoku/>
              <w:overflowPunct/>
              <w:bidi w:val="0"/>
              <w:adjustRightInd w:val="0"/>
              <w:snapToGrid w:val="0"/>
              <w:jc w:val="center"/>
              <w:outlineLvl w:val="9"/>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成品保护</w:t>
            </w:r>
          </w:p>
        </w:tc>
        <w:tc>
          <w:tcPr>
            <w:tcW w:w="570" w:type="dxa"/>
            <w:tcBorders>
              <w:top w:val="single" w:color="auto" w:sz="4" w:space="0"/>
              <w:bottom w:val="single" w:color="auto" w:sz="4" w:space="0"/>
            </w:tcBorders>
            <w:noWrap w:val="0"/>
            <w:vAlign w:val="center"/>
          </w:tcPr>
          <w:p w14:paraId="65280A3D">
            <w:pPr>
              <w:pageBreakBefore w:val="0"/>
              <w:kinsoku/>
              <w:overflowPunct/>
              <w:bidi w:val="0"/>
              <w:adjustRightInd w:val="0"/>
              <w:snapToGrid w:val="0"/>
              <w:jc w:val="center"/>
              <w:outlineLvl w:val="9"/>
              <w:rPr>
                <w:rFonts w:hint="eastAsia" w:ascii="宋体" w:hAnsi="宋体" w:eastAsia="宋体" w:cs="宋体"/>
                <w:color w:val="auto"/>
                <w:spacing w:val="-6"/>
                <w:sz w:val="24"/>
                <w:highlight w:val="none"/>
                <w:lang w:val="en-US" w:eastAsia="zh-CN"/>
              </w:rPr>
            </w:pPr>
            <w:r>
              <w:rPr>
                <w:rFonts w:hint="eastAsia" w:ascii="宋体" w:hAnsi="宋体" w:eastAsia="宋体" w:cs="宋体"/>
                <w:color w:val="auto"/>
                <w:spacing w:val="-6"/>
                <w:sz w:val="24"/>
                <w:highlight w:val="none"/>
                <w:lang w:val="en-US" w:eastAsia="zh-CN"/>
              </w:rPr>
              <w:t>5</w:t>
            </w:r>
          </w:p>
        </w:tc>
        <w:tc>
          <w:tcPr>
            <w:tcW w:w="6836" w:type="dxa"/>
            <w:tcBorders>
              <w:top w:val="single" w:color="auto" w:sz="4" w:space="0"/>
              <w:bottom w:val="single" w:color="auto" w:sz="4" w:space="0"/>
            </w:tcBorders>
            <w:noWrap w:val="0"/>
            <w:vAlign w:val="center"/>
          </w:tcPr>
          <w:p w14:paraId="3F460683">
            <w:pPr>
              <w:pageBreakBefore w:val="0"/>
              <w:kinsoku/>
              <w:overflowPunct/>
              <w:bidi w:val="0"/>
              <w:adjustRightInd w:val="0"/>
              <w:snapToGrid w:val="0"/>
              <w:jc w:val="left"/>
              <w:outlineLvl w:val="9"/>
              <w:rPr>
                <w:rFonts w:hint="eastAsia" w:ascii="宋体" w:hAnsi="宋体" w:eastAsia="宋体" w:cs="宋体"/>
                <w:snapToGrid w:val="0"/>
                <w:color w:val="auto"/>
                <w:kern w:val="0"/>
                <w:sz w:val="24"/>
                <w:highlight w:val="none"/>
                <w:lang w:eastAsia="zh-CN"/>
              </w:rPr>
            </w:pPr>
            <w:r>
              <w:rPr>
                <w:rFonts w:hint="eastAsia" w:ascii="宋体" w:hAnsi="宋体" w:eastAsia="宋体" w:cs="宋体"/>
                <w:snapToGrid w:val="0"/>
                <w:color w:val="auto"/>
                <w:kern w:val="0"/>
                <w:sz w:val="24"/>
                <w:highlight w:val="none"/>
                <w:lang w:eastAsia="zh-CN"/>
              </w:rPr>
              <w:t>【</w:t>
            </w:r>
            <w:r>
              <w:rPr>
                <w:rFonts w:hint="eastAsia" w:ascii="宋体" w:hAnsi="宋体" w:eastAsia="宋体" w:cs="宋体"/>
                <w:snapToGrid w:val="0"/>
                <w:color w:val="auto"/>
                <w:kern w:val="0"/>
                <w:sz w:val="24"/>
                <w:highlight w:val="none"/>
                <w:lang w:val="en-US" w:eastAsia="zh-CN"/>
              </w:rPr>
              <w:t>客</w:t>
            </w:r>
            <w:r>
              <w:rPr>
                <w:rFonts w:hint="eastAsia" w:ascii="宋体" w:hAnsi="宋体" w:eastAsia="宋体" w:cs="宋体"/>
                <w:snapToGrid w:val="0"/>
                <w:color w:val="auto"/>
                <w:kern w:val="0"/>
                <w:sz w:val="24"/>
                <w:highlight w:val="none"/>
                <w:lang w:eastAsia="zh-CN"/>
              </w:rPr>
              <w:t>观分】</w:t>
            </w:r>
          </w:p>
          <w:p w14:paraId="4047BF94">
            <w:pPr>
              <w:pageBreakBefore w:val="0"/>
              <w:kinsoku/>
              <w:overflowPunct/>
              <w:bidi w:val="0"/>
              <w:adjustRightInd w:val="0"/>
              <w:snapToGrid w:val="0"/>
              <w:jc w:val="left"/>
              <w:outlineLvl w:val="9"/>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eastAsia="zh-CN"/>
              </w:rPr>
              <w:t>项目实施过程中针对成品保护和现有环境的各项措施完善、合理可行，</w:t>
            </w:r>
            <w:r>
              <w:rPr>
                <w:rFonts w:hint="eastAsia" w:ascii="宋体" w:hAnsi="宋体" w:eastAsia="宋体" w:cs="宋体"/>
                <w:snapToGrid w:val="0"/>
                <w:color w:val="auto"/>
                <w:kern w:val="0"/>
                <w:sz w:val="24"/>
                <w:highlight w:val="none"/>
                <w:lang w:val="en-US" w:eastAsia="zh-CN"/>
              </w:rPr>
              <w:t>每提供一条</w:t>
            </w:r>
            <w:r>
              <w:rPr>
                <w:rFonts w:hint="eastAsia" w:ascii="宋体" w:hAnsi="宋体" w:eastAsia="宋体" w:cs="宋体"/>
                <w:snapToGrid w:val="0"/>
                <w:color w:val="auto"/>
                <w:kern w:val="0"/>
                <w:sz w:val="24"/>
                <w:highlight w:val="none"/>
                <w:lang w:eastAsia="zh-CN"/>
              </w:rPr>
              <w:t>措施</w:t>
            </w:r>
            <w:r>
              <w:rPr>
                <w:rFonts w:hint="eastAsia" w:ascii="宋体" w:hAnsi="宋体" w:eastAsia="宋体" w:cs="宋体"/>
                <w:snapToGrid w:val="0"/>
                <w:color w:val="auto"/>
                <w:kern w:val="0"/>
                <w:sz w:val="24"/>
                <w:highlight w:val="none"/>
                <w:lang w:val="en-US" w:eastAsia="zh-CN"/>
              </w:rPr>
              <w:t>得1分，最高得5分。（请考虑警体馆原有木地板的保护措施）</w:t>
            </w:r>
          </w:p>
        </w:tc>
      </w:tr>
      <w:tr w14:paraId="2AC6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64" w:type="dxa"/>
            <w:vMerge w:val="continue"/>
            <w:tcBorders>
              <w:left w:val="single" w:color="auto" w:sz="4" w:space="0"/>
              <w:right w:val="single" w:color="auto" w:sz="4" w:space="0"/>
            </w:tcBorders>
            <w:noWrap w:val="0"/>
            <w:vAlign w:val="center"/>
          </w:tcPr>
          <w:p w14:paraId="3748A488">
            <w:pPr>
              <w:adjustRightInd w:val="0"/>
              <w:snapToGrid w:val="0"/>
              <w:jc w:val="center"/>
              <w:rPr>
                <w:rFonts w:hint="eastAsia" w:ascii="宋体" w:hAnsi="宋体" w:eastAsia="宋体" w:cs="宋体"/>
                <w:color w:val="auto"/>
                <w:spacing w:val="-6"/>
                <w:sz w:val="24"/>
                <w:highlight w:val="none"/>
              </w:rPr>
            </w:pPr>
          </w:p>
        </w:tc>
        <w:tc>
          <w:tcPr>
            <w:tcW w:w="1537" w:type="dxa"/>
            <w:shd w:val="clear" w:color="auto" w:fill="auto"/>
            <w:noWrap w:val="0"/>
            <w:vAlign w:val="center"/>
          </w:tcPr>
          <w:p w14:paraId="3F5DE865">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lang w:val="en-US" w:eastAsia="zh-CN"/>
              </w:rPr>
              <w:t>质量保修服务</w:t>
            </w:r>
          </w:p>
        </w:tc>
        <w:tc>
          <w:tcPr>
            <w:tcW w:w="570" w:type="dxa"/>
            <w:tcBorders>
              <w:top w:val="single" w:color="auto" w:sz="4" w:space="0"/>
            </w:tcBorders>
            <w:shd w:val="clear" w:color="auto" w:fill="auto"/>
            <w:noWrap w:val="0"/>
            <w:vAlign w:val="center"/>
          </w:tcPr>
          <w:p w14:paraId="37991390">
            <w:pPr>
              <w:pageBreakBefore w:val="0"/>
              <w:kinsoku/>
              <w:overflowPunct/>
              <w:bidi w:val="0"/>
              <w:adjustRightInd w:val="0"/>
              <w:snapToGrid w:val="0"/>
              <w:jc w:val="center"/>
              <w:outlineLvl w:val="9"/>
              <w:rPr>
                <w:rFonts w:hint="eastAsia" w:ascii="宋体" w:hAnsi="宋体" w:eastAsia="宋体" w:cs="宋体"/>
                <w:color w:val="auto"/>
                <w:spacing w:val="-6"/>
                <w:kern w:val="2"/>
                <w:sz w:val="24"/>
                <w:szCs w:val="24"/>
                <w:highlight w:val="none"/>
                <w:lang w:val="en-US" w:eastAsia="zh-CN" w:bidi="ar-SA"/>
              </w:rPr>
            </w:pPr>
            <w:r>
              <w:rPr>
                <w:rFonts w:hint="eastAsia" w:ascii="宋体" w:hAnsi="宋体" w:eastAsia="宋体" w:cs="宋体"/>
                <w:color w:val="auto"/>
                <w:spacing w:val="-6"/>
                <w:sz w:val="24"/>
                <w:highlight w:val="none"/>
                <w:lang w:val="en-US" w:eastAsia="zh-CN"/>
              </w:rPr>
              <w:t>1</w:t>
            </w:r>
          </w:p>
        </w:tc>
        <w:tc>
          <w:tcPr>
            <w:tcW w:w="6836" w:type="dxa"/>
            <w:tcBorders>
              <w:top w:val="single" w:color="auto" w:sz="4" w:space="0"/>
            </w:tcBorders>
            <w:shd w:val="clear" w:color="auto" w:fill="auto"/>
            <w:noWrap w:val="0"/>
            <w:vAlign w:val="center"/>
          </w:tcPr>
          <w:p w14:paraId="495CCC46">
            <w:pPr>
              <w:adjustRightInd w:val="0"/>
              <w:snapToGrid w:val="0"/>
              <w:spacing w:line="240" w:lineRule="auto"/>
              <w:jc w:val="left"/>
              <w:rPr>
                <w:rFonts w:hint="eastAsia" w:ascii="宋体" w:hAnsi="宋体" w:eastAsia="宋体" w:cs="宋体"/>
                <w:snapToGrid w:val="0"/>
                <w:color w:val="auto"/>
                <w:kern w:val="0"/>
                <w:sz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客观分】</w:t>
            </w:r>
          </w:p>
          <w:p w14:paraId="4B389752">
            <w:pPr>
              <w:pageBreakBefore w:val="0"/>
              <w:kinsoku/>
              <w:overflowPunct/>
              <w:bidi w:val="0"/>
              <w:adjustRightInd w:val="0"/>
              <w:snapToGrid w:val="0"/>
              <w:jc w:val="left"/>
              <w:outlineLvl w:val="9"/>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snapToGrid w:val="0"/>
                <w:color w:val="auto"/>
                <w:kern w:val="0"/>
                <w:sz w:val="24"/>
                <w:highlight w:val="none"/>
                <w:lang w:eastAsia="zh-CN"/>
              </w:rPr>
              <w:t>项目交付使用后保修服务的措施情况，承诺按合同质量保修响应时间及内容要求保修的得</w:t>
            </w:r>
            <w:r>
              <w:rPr>
                <w:rFonts w:hint="eastAsia" w:ascii="宋体" w:hAnsi="宋体" w:eastAsia="宋体" w:cs="宋体"/>
                <w:snapToGrid w:val="0"/>
                <w:color w:val="auto"/>
                <w:kern w:val="0"/>
                <w:sz w:val="24"/>
                <w:highlight w:val="none"/>
                <w:lang w:val="en-US" w:eastAsia="zh-CN"/>
              </w:rPr>
              <w:t>1</w:t>
            </w:r>
            <w:r>
              <w:rPr>
                <w:rFonts w:hint="eastAsia" w:ascii="宋体" w:hAnsi="宋体" w:eastAsia="宋体" w:cs="宋体"/>
                <w:snapToGrid w:val="0"/>
                <w:color w:val="auto"/>
                <w:kern w:val="0"/>
                <w:sz w:val="24"/>
                <w:highlight w:val="none"/>
                <w:lang w:eastAsia="zh-CN"/>
              </w:rPr>
              <w:t>分，无承诺的不得分。</w:t>
            </w:r>
            <w:r>
              <w:rPr>
                <w:rFonts w:hint="eastAsia" w:ascii="宋体" w:hAnsi="宋体" w:eastAsia="宋体" w:cs="宋体"/>
                <w:b/>
                <w:bCs/>
                <w:sz w:val="24"/>
                <w:highlight w:val="none"/>
              </w:rPr>
              <w:t>（</w:t>
            </w:r>
            <w:r>
              <w:rPr>
                <w:rFonts w:hint="eastAsia" w:ascii="宋体" w:hAnsi="宋体" w:eastAsia="宋体" w:cs="宋体"/>
                <w:b/>
                <w:bCs/>
                <w:snapToGrid w:val="0"/>
                <w:color w:val="auto"/>
                <w:kern w:val="0"/>
                <w:sz w:val="24"/>
                <w:highlight w:val="none"/>
                <w:lang w:val="en-US" w:eastAsia="zh-CN"/>
              </w:rPr>
              <w:t>承诺函格式自拟</w:t>
            </w:r>
            <w:r>
              <w:rPr>
                <w:rFonts w:hint="eastAsia" w:ascii="宋体" w:hAnsi="宋体" w:eastAsia="宋体" w:cs="宋体"/>
                <w:b/>
                <w:bCs/>
                <w:sz w:val="24"/>
                <w:highlight w:val="none"/>
              </w:rPr>
              <w:t>）</w:t>
            </w:r>
          </w:p>
        </w:tc>
      </w:tr>
    </w:tbl>
    <w:p w14:paraId="1BF6D602">
      <w:pPr>
        <w:adjustRightInd w:val="0"/>
        <w:snapToGrid w:val="0"/>
        <w:spacing w:line="360" w:lineRule="auto"/>
        <w:ind w:firstLine="482" w:firstLineChars="200"/>
        <w:jc w:val="left"/>
        <w:rPr>
          <w:rFonts w:hint="eastAsia" w:ascii="宋体" w:hAnsi="宋体" w:eastAsia="宋体" w:cs="宋体"/>
        </w:rPr>
      </w:pPr>
      <w:r>
        <w:rPr>
          <w:rFonts w:hint="eastAsia" w:ascii="宋体" w:hAnsi="宋体" w:eastAsia="宋体" w:cs="宋体"/>
          <w:b/>
          <w:color w:val="auto"/>
          <w:kern w:val="0"/>
          <w:sz w:val="24"/>
          <w:szCs w:val="32"/>
          <w:highlight w:val="none"/>
        </w:rPr>
        <w:t>响应供应商的最终总得分为价格、商务、技术各部分得分的总和。报价是成交的一个重要因素，但最低报价不是成交的唯一依据。</w:t>
      </w:r>
      <w:r>
        <w:rPr>
          <w:rFonts w:hint="eastAsia" w:ascii="宋体" w:hAnsi="宋体" w:eastAsia="宋体" w:cs="宋体"/>
          <w:b/>
          <w:bCs/>
          <w:color w:val="auto"/>
          <w:sz w:val="24"/>
          <w:highlight w:val="none"/>
        </w:rPr>
        <w:t>特别说明：依据浙江省财政厅关于进一步规范政府采购秩序促进公平竞争的通知（浙财采监〔2025</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2号）要求，在本项目评审结束后、合同签订前，中标(成交)</w:t>
      </w:r>
      <w:r>
        <w:rPr>
          <w:rFonts w:hint="eastAsia" w:ascii="宋体" w:hAnsi="宋体" w:eastAsia="宋体" w:cs="宋体"/>
          <w:b/>
          <w:bCs/>
          <w:color w:val="auto"/>
          <w:sz w:val="24"/>
          <w:highlight w:val="none"/>
          <w:lang w:val="en-US" w:eastAsia="zh-CN"/>
        </w:rPr>
        <w:t>人</w:t>
      </w:r>
      <w:r>
        <w:rPr>
          <w:rFonts w:hint="eastAsia" w:ascii="宋体" w:hAnsi="宋体" w:eastAsia="宋体" w:cs="宋体"/>
          <w:b/>
          <w:bCs/>
          <w:color w:val="auto"/>
          <w:sz w:val="24"/>
          <w:highlight w:val="none"/>
        </w:rPr>
        <w:t>需提供投标(响应)文件中涉及客观分评审内容的检测报告、认证证书等所有资料的原件给采购人</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采购代理机构</w:t>
      </w:r>
      <w:r>
        <w:rPr>
          <w:rFonts w:hint="eastAsia" w:ascii="宋体" w:hAnsi="宋体" w:eastAsia="宋体" w:cs="宋体"/>
          <w:b/>
          <w:bCs/>
          <w:color w:val="auto"/>
          <w:sz w:val="24"/>
          <w:highlight w:val="none"/>
        </w:rPr>
        <w:t>进行核查；提供的资料若有虚假，一经查实，报告本级财政部门处理。</w:t>
      </w:r>
      <w:r>
        <w:rPr>
          <w:rFonts w:hint="eastAsia" w:ascii="宋体" w:hAnsi="宋体" w:eastAsia="宋体" w:cs="宋体"/>
          <w:b/>
          <w:color w:val="auto"/>
          <w:sz w:val="36"/>
          <w:szCs w:val="36"/>
          <w:highlight w:val="none"/>
        </w:rPr>
        <w:br w:type="page"/>
      </w:r>
    </w:p>
    <w:p w14:paraId="185F64EA">
      <w:pPr>
        <w:adjustRightInd w:val="0"/>
        <w:snapToGrid w:val="0"/>
        <w:spacing w:line="360" w:lineRule="auto"/>
        <w:jc w:val="center"/>
        <w:outlineLvl w:val="0"/>
        <w:rPr>
          <w:rFonts w:hint="eastAsia" w:ascii="宋体" w:hAnsi="宋体" w:eastAsia="宋体" w:cs="宋体"/>
          <w:b/>
          <w:color w:val="auto"/>
          <w:sz w:val="36"/>
          <w:szCs w:val="36"/>
          <w:highlight w:val="none"/>
        </w:rPr>
      </w:pPr>
      <w:bookmarkStart w:id="32" w:name="_Toc11067"/>
      <w:r>
        <w:rPr>
          <w:rFonts w:hint="eastAsia" w:ascii="宋体" w:hAnsi="宋体" w:eastAsia="宋体" w:cs="宋体"/>
          <w:b/>
          <w:color w:val="auto"/>
          <w:sz w:val="36"/>
          <w:szCs w:val="36"/>
          <w:highlight w:val="none"/>
        </w:rPr>
        <w:t>第四章  采购内容及需求</w:t>
      </w:r>
      <w:bookmarkEnd w:id="32"/>
    </w:p>
    <w:p w14:paraId="71A4C29B">
      <w:pPr>
        <w:adjustRightInd w:val="0"/>
        <w:snapToGrid w:val="0"/>
        <w:spacing w:line="360" w:lineRule="auto"/>
        <w:ind w:firstLine="480" w:firstLineChars="200"/>
        <w:rPr>
          <w:rFonts w:hint="eastAsia" w:ascii="宋体" w:hAnsi="宋体" w:eastAsia="宋体" w:cs="宋体"/>
          <w:color w:val="auto"/>
          <w:kern w:val="0"/>
          <w:sz w:val="24"/>
          <w:highlight w:val="none"/>
        </w:rPr>
      </w:pPr>
      <w:bookmarkStart w:id="33" w:name="_Toc28028"/>
      <w:r>
        <w:rPr>
          <w:rFonts w:hint="eastAsia" w:ascii="宋体" w:hAnsi="宋体" w:eastAsia="宋体" w:cs="宋体"/>
          <w:color w:val="auto"/>
          <w:kern w:val="0"/>
          <w:sz w:val="24"/>
          <w:highlight w:val="none"/>
        </w:rPr>
        <w:t>1、工程概况：本工程为浙江省公安特警训练基地2025年度保障性基建维修项目，主要包括警体馆墙面更换、维修，南北两区训练场和实训室基础设施保障性维修。建设地点为临安校区。</w:t>
      </w:r>
    </w:p>
    <w:p w14:paraId="1A6FE74C">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2、工程质量要求：施工方必须根据学校提供的建设地点保质保量地进行施工，本工程的工程质量应符合国家工程质量验收标准合格以上要求，符合现行国家有关工程施工验收规范要求并达合格标准。</w:t>
      </w:r>
    </w:p>
    <w:p w14:paraId="2E9FFB3D">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3、计划工期：30日历天内完成。供应商须确保按期完工，并在磋商响应文件中列出详细的工期进度计划。供应商可在响应文件中承诺更短的工期。</w:t>
      </w:r>
    </w:p>
    <w:p w14:paraId="4BC84D7D">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现场条件</w:t>
      </w:r>
    </w:p>
    <w:p w14:paraId="5E51A46D">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（1）已具备施工条件，但施工不能影响正常的工作。</w:t>
      </w:r>
    </w:p>
    <w:p w14:paraId="223B099D">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采购人不组织现场踏勘，供应商应自行对工程现场和周围环境进行踏勘和了解，以获取有关编制响应文件和签署合同所需的各种资料，并应充分考虑影响本次报价的因素、预计实施过程中各种不利因素，由此可能发生的费用均由供应商考虑并包含在磋商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7D0CECC2">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工程承包范围</w:t>
      </w:r>
    </w:p>
    <w:p w14:paraId="73E3BEF1">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（1）工程量清单等已明确的工程内容（工程量清单</w:t>
      </w:r>
      <w:r>
        <w:rPr>
          <w:rFonts w:hint="eastAsia" w:ascii="宋体" w:hAnsi="宋体" w:eastAsia="宋体" w:cs="宋体"/>
          <w:color w:val="auto"/>
          <w:kern w:val="0"/>
          <w:sz w:val="24"/>
          <w:highlight w:val="none"/>
          <w:lang w:val="en-US" w:eastAsia="zh-CN"/>
        </w:rPr>
        <w:t>及图纸</w:t>
      </w:r>
      <w:r>
        <w:rPr>
          <w:rFonts w:hint="eastAsia" w:ascii="宋体" w:hAnsi="宋体" w:eastAsia="宋体" w:cs="宋体"/>
          <w:color w:val="auto"/>
          <w:kern w:val="0"/>
          <w:sz w:val="24"/>
          <w:highlight w:val="none"/>
        </w:rPr>
        <w:t>另附）。</w:t>
      </w:r>
    </w:p>
    <w:p w14:paraId="0321161F">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（2）可能出现的工程量增减以及根据招标人明确指令需在招标范围外增加的工程量及招标范围内减少的工程量。</w:t>
      </w:r>
    </w:p>
    <w:p w14:paraId="33D80D83">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二、工程管理原则</w:t>
      </w:r>
    </w:p>
    <w:p w14:paraId="028B2B24">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承包范围内的工程项目，成交供应商一律不得转包，成交供应商如擅自转包，一经发现立即取消成交供应商的承包资格，由此引起的一切经济责任和法律责任由成交供应商承担，除扣罚履约担保外，并应另向采购人支付该</w:t>
      </w:r>
      <w:r>
        <w:rPr>
          <w:rFonts w:hint="eastAsia" w:ascii="宋体" w:hAnsi="宋体" w:eastAsia="宋体" w:cs="宋体"/>
          <w:sz w:val="24"/>
          <w:szCs w:val="24"/>
          <w:lang w:val="en-US" w:eastAsia="zh-CN"/>
        </w:rPr>
        <w:t>20000元</w:t>
      </w:r>
      <w:r>
        <w:rPr>
          <w:rFonts w:hint="eastAsia" w:ascii="宋体" w:hAnsi="宋体" w:eastAsia="宋体" w:cs="宋体"/>
          <w:sz w:val="24"/>
          <w:szCs w:val="24"/>
        </w:rPr>
        <w:t>的违约金；</w:t>
      </w:r>
    </w:p>
    <w:p w14:paraId="3002C1AC">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2、严格按照已确认的设计图纸和施工技术方案组织实施，并无条件接受采购人和采购人委托的监理人员的管理；</w:t>
      </w:r>
    </w:p>
    <w:p w14:paraId="74CCA2CC">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3、在响应文件中确定的工程项目经理及项目管理班子人员，未经采购人同意，成交供应商不得调换和撤离，并按工程进度及时到位，</w:t>
      </w:r>
      <w:r>
        <w:rPr>
          <w:rFonts w:hint="eastAsia" w:ascii="宋体" w:hAnsi="宋体" w:eastAsia="宋体" w:cs="宋体"/>
          <w:b w:val="0"/>
          <w:bCs w:val="0"/>
          <w:sz w:val="24"/>
          <w:szCs w:val="24"/>
        </w:rPr>
        <w:t>拟派项目经理到位率不少于80%。</w:t>
      </w:r>
      <w:r>
        <w:rPr>
          <w:rFonts w:hint="eastAsia" w:ascii="宋体" w:hAnsi="宋体" w:eastAsia="宋体" w:cs="宋体"/>
          <w:sz w:val="24"/>
          <w:szCs w:val="24"/>
        </w:rPr>
        <w:t>采购人有权要求成交供应商撤换工作不负责任、管理不力、贻误工期和造成严重的安全事故和工程质量事故、违法乱纪的专业技术、管理人员直至技术负责人，直至采购人满意为止。如相应资质的专业技术人员未按要求到位，视作违约，采购人有权单方面终止合同；</w:t>
      </w:r>
    </w:p>
    <w:p w14:paraId="698E6F9B">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4、依据设计施工图纸和技术文件要求，项目的材料、设备、施工必须达到以下现行中华人民共和国及省、市、行业的一切有关法规、规范的要求，如标准及规范要求有出入则以较严格者为准。</w:t>
      </w:r>
    </w:p>
    <w:p w14:paraId="185C851F">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在合同履行期间，若上述标准或规范有修改或重新颁布，成交供应商应遵照执行。规范的获得由承包人自行解决。</w:t>
      </w:r>
    </w:p>
    <w:p w14:paraId="306BBABF">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5、施工要求</w:t>
      </w:r>
    </w:p>
    <w:p w14:paraId="2FE80BFA">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5.1严格按照规范要求进行施工，达到各项拟定的设计指标；</w:t>
      </w:r>
    </w:p>
    <w:p w14:paraId="74204072">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5.2免费保修期内，成交供应商对有缺陷的部位必须无偿地给予修理与更换，并承担一切由此引起的对采购人或第三者的直接损失，除非该缺陷是由于人为破坏或合同规定的不可抗因素造成的损坏；</w:t>
      </w:r>
    </w:p>
    <w:p w14:paraId="14555253">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5.3对所承包工程的质量负全部责任，其责任不因其他材料生产商提供的保证书而减轻或更改；</w:t>
      </w:r>
    </w:p>
    <w:p w14:paraId="2843E5D6">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5.4施工时注意做好必要的劳动保护工作，成交供应商必须对所承包工程承担生产安全责任，施工人员应严格按照专业操作技术规程进行安全施工，在施工中造成的一切人身安全责任事故、财产损失等均由成交供应商自负。施工前成交供应商须为所有施工人员办理医疗及工伤社会保险，并根据需要为从事高度危险工作的人员购买适当的人身意外伤害保险，在施工过程中如发生人身伤亡事故，由成交供应商承担全部责任；</w:t>
      </w:r>
    </w:p>
    <w:p w14:paraId="4FD5189C">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5.5施工过程中尽量选用低噪声设备，加强高噪声施工设备的维修管理，减少设备非正常的噪声，施工车辆的运行路线和时间尽量避开噪声敏感区和噪声敏感时段，按采购人管理要求尽量减少对学校教学、科研工作的干扰；</w:t>
      </w:r>
    </w:p>
    <w:p w14:paraId="3D1DF8A8">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5.6工程施工中产生的废建筑材料、建筑施工垃圾，不能随意堆放，应及时清运、妥善处理，做到工完料尽场地清；</w:t>
      </w:r>
    </w:p>
    <w:p w14:paraId="41D912A8">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5.7工程使用的原材料必须符合设计要求和施工规范的规定；实际施工过程中采购人将严格检查验收进场原材料的合格证及质保书，如发现实样与质保书不符，应立即取样进行复查，对不合格的材料严禁用于工程；工程涉及的主要材料及零星材料，成交供应商须根据采购人要求及规范进行选材，所有材料要求采用在行业内有一定知名度的品牌，材料生产厂家必须通过ISO质量认证并符合环保要求，严禁选择不符合设计要求的低档材料及组织施工实施；</w:t>
      </w:r>
    </w:p>
    <w:p w14:paraId="3FAD97C4">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5.8工程施工全过程中要认真做好成品保护</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警体馆原有木地板）</w:t>
      </w:r>
      <w:r>
        <w:rPr>
          <w:rFonts w:hint="eastAsia" w:ascii="宋体" w:hAnsi="宋体" w:eastAsia="宋体" w:cs="宋体"/>
          <w:sz w:val="24"/>
          <w:szCs w:val="24"/>
        </w:rPr>
        <w:t>，因失窃或失火造成的损失均由成交供应商负责，凡由此而损及采购人利益时，采购人将向成交供应商索赔。</w:t>
      </w:r>
    </w:p>
    <w:p w14:paraId="01A400CA">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三、安全与文明施工管理</w:t>
      </w:r>
    </w:p>
    <w:p w14:paraId="0BBEFCE8">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1、成交供应商服从当地政府有关部门在社会治安、综合治理、计划生育、交通管理、环境保护等的管理规定，磋商供应商应设专职人员负责本条款的执行，发包方有权对此监督检查。</w:t>
      </w:r>
    </w:p>
    <w:p w14:paraId="38F91A9D">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2、成交供应商的响应文件中应有详细的施工安全措施和安全管理组织及配备专职负责人的说明和承诺，以确保安全生产。</w:t>
      </w:r>
    </w:p>
    <w:p w14:paraId="477EBF35">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3、成交供应商在工程施工期间，必须配备专职用电管理员，全面负责施工用电的管理。</w:t>
      </w:r>
    </w:p>
    <w:p w14:paraId="647A1F08">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4、成交供应商在施工全过程中，要认真做好材料和成品的保护，因失窃失火或其他原因而造成的损失均由磋商供应商负责。凡由此而损及发包方利益的，成交供应商应负责赔偿发包方的损失。</w:t>
      </w:r>
    </w:p>
    <w:p w14:paraId="3C055A63">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5、在工程施工过程中，因成交供应商原因造成的一切安全事故，由成交供应商承担全部经济责任和法律责任。</w:t>
      </w:r>
    </w:p>
    <w:p w14:paraId="346951B2">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施工现场做好标准化布置，醒目位置悬挂工程告示牌；施工人员统一着装、统一编号，工作装或马甲上醒目标识单位名称、人员编号；施工现场边界设置统一样式的施工安全隔栏、安全警示牌，清洁美观、无破损、整齐划一，醒目位置悬挂工程告示牌注明工程名称、开工日期、竣工日期、建设单位名称、项目负责人联系电话。</w:t>
      </w:r>
    </w:p>
    <w:p w14:paraId="476FE950">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四、材料要求</w:t>
      </w:r>
    </w:p>
    <w:p w14:paraId="2B567F20">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1、材料选择：</w:t>
      </w:r>
    </w:p>
    <w:p w14:paraId="3B753F10">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本项目各项由供应商提供的设备和材料，须根据设计施工图的要求选材并报价</w:t>
      </w:r>
      <w:r>
        <w:rPr>
          <w:rFonts w:hint="eastAsia" w:ascii="宋体" w:hAnsi="宋体" w:eastAsia="宋体" w:cs="宋体"/>
          <w:sz w:val="24"/>
          <w:szCs w:val="24"/>
          <w:lang w:eastAsia="zh-CN"/>
        </w:rPr>
        <w:t>，</w:t>
      </w:r>
      <w:r>
        <w:rPr>
          <w:rFonts w:hint="eastAsia" w:ascii="宋体" w:hAnsi="宋体" w:eastAsia="宋体" w:cs="宋体"/>
          <w:sz w:val="24"/>
          <w:szCs w:val="24"/>
        </w:rPr>
        <w:t>必须是符合国家现行质量标准和环保要求的材料，相关材料采用中档以上材质、品牌</w:t>
      </w:r>
      <w:r>
        <w:rPr>
          <w:rFonts w:hint="eastAsia" w:ascii="宋体" w:hAnsi="宋体" w:eastAsia="宋体" w:cs="宋体"/>
          <w:sz w:val="24"/>
          <w:szCs w:val="24"/>
          <w:lang w:eastAsia="zh-CN"/>
        </w:rPr>
        <w:t>。</w:t>
      </w:r>
      <w:r>
        <w:rPr>
          <w:rFonts w:hint="eastAsia" w:ascii="宋体" w:hAnsi="宋体" w:eastAsia="宋体" w:cs="宋体"/>
          <w:sz w:val="24"/>
          <w:szCs w:val="24"/>
        </w:rPr>
        <w:t>供应商根据工期需要制定科学可行的材料供应计划，确保施工过程不受材料供应的影响。为了保证材料的及时到场，要做好计划的提前报送。</w:t>
      </w:r>
    </w:p>
    <w:p w14:paraId="3062298B">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2、材料的质量要求：</w:t>
      </w:r>
    </w:p>
    <w:p w14:paraId="40E097D5">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（1）在免费保修期内，成交供应商对有缺陷的部位必须无偿地给予修理与更换，并承担一切由此引起的对业主或第三者的直接损失，除非该缺陷是由于人为破坏或合同规定的不可抗因素造成的损坏。</w:t>
      </w:r>
    </w:p>
    <w:p w14:paraId="032D9429">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（2）成交供应商必须对所承包的工程的质量负全部责任，其责任不因其他材料生产商提供的保证书而减轻或更改。</w:t>
      </w:r>
    </w:p>
    <w:p w14:paraId="4B701873">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3、材料供应要求：</w:t>
      </w:r>
    </w:p>
    <w:p w14:paraId="2666C30B">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（1）本项目涉及的主要材料设备，必须经监理单位、设计单位、业主单位确认后方能采购、进场、加工、安装。否则一律不予承认，不予支付相应款项。</w:t>
      </w:r>
    </w:p>
    <w:p w14:paraId="4F554E4B">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本项目承包范围内的建筑施工材料均由承包人根据本招标文件、设计图纸和国家有关规定的具体要求进行采购、运输、检验、保管，但发包人保留变更和指定材料的权利；所有建筑材料须有产品合格证和质量保证书，应先送样品，样品经设计人、监理人、发包人确认与招标要求、投标承诺一致后封存，批量供应时应与样品一致，并经相关部门检验合格后方可使用。</w:t>
      </w:r>
    </w:p>
    <w:p w14:paraId="16A97029">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（3）由成交供应商采购的设备材料，当成交供应商选定的产品质量达不到设计要求和预期质量目标时，采购人保留更换的权利，高于投标价的不调整，低于投标价的按实调整。</w:t>
      </w:r>
    </w:p>
    <w:p w14:paraId="7D40915C">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五、报价说明</w:t>
      </w:r>
    </w:p>
    <w:p w14:paraId="311566AA">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工程的投标报价采用综合单价法，即工程量清单计价的方式。投标报价为磋商供应商在响应文件中提出的各项支付金额的总和。磋商供应商应根据采购人提供的施工图纸、技术资料、工程量清单，按照招标文件的有关要求，结合本工程施工现场实际情况，编制的施工方案或施工组织设计，磋商供应商自身的综合实力，依据企业定额和市场价格信息，或参照本省颁布的浙江省建设工程计价规则、计价依据和计价办法及本工程所在地地区管理部门等有关规定进行报价。</w:t>
      </w:r>
    </w:p>
    <w:p w14:paraId="1D10657F">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2、磋商供应商的投标报价，应是完成本项目工程范围的全部内容，不得以任何理由予以重复作为磋商供应商计算单价或总价的依据。</w:t>
      </w:r>
    </w:p>
    <w:p w14:paraId="19127588">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3、磋商供应商应按采购人提供的工程量清单中列出的工程内容、数量，填报单价和合价。每一项目只允许有一个报价。任何有选择的报价将不予接受。</w:t>
      </w:r>
    </w:p>
    <w:p w14:paraId="7433A550">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4、施工水电费按工程竣工结算审定价的0.5％计算，在结算审定款中直接扣除。</w:t>
      </w:r>
    </w:p>
    <w:p w14:paraId="7C59F621">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5、如有材料检验检测，则检验检测单位由建设单位指定，磋商供应商承担相应材料检验检测费用，相关费用在投标报价中综合考虑，今后不得调整。</w:t>
      </w:r>
    </w:p>
    <w:p w14:paraId="22444ACC">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6、工程施工造成的其它设施、设备等的破损须修复原状，费用自行考虑报价。</w:t>
      </w:r>
    </w:p>
    <w:p w14:paraId="30F642DC">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7、本项目周边无搭设临时设施场地，项目施工人员住宿、办公用房及材料仓库等临时设施由磋商供应商自行负责，相关费用在措施费中考虑，费用包干，不报或漏报视作优惠。</w:t>
      </w:r>
    </w:p>
    <w:p w14:paraId="726FC816">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8、竞争性磋商包含两次报价，初始报价为磋商供应商在响应文件中的报价，磋商后，磋商供应商填写最终报价。最终报价可以与初始报价一致，也可在初始报价基础上给予优惠，如选择优惠，则项目竣工结算时，最终结算价根据承诺优惠率同比例调整，调整范围包括合同部分及新增联系单部分。</w:t>
      </w:r>
    </w:p>
    <w:p w14:paraId="455BEFD9">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六、缺陷责任期要求</w:t>
      </w:r>
    </w:p>
    <w:p w14:paraId="595C34F5">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本工程缺陷责任期为</w:t>
      </w:r>
      <w:r>
        <w:rPr>
          <w:rFonts w:hint="eastAsia" w:ascii="宋体" w:hAnsi="宋体" w:eastAsia="宋体" w:cs="宋体"/>
          <w:sz w:val="24"/>
          <w:szCs w:val="24"/>
          <w:lang w:val="en-US" w:eastAsia="zh-CN"/>
        </w:rPr>
        <w:t>24个月</w:t>
      </w:r>
      <w:r>
        <w:rPr>
          <w:rFonts w:hint="eastAsia" w:ascii="宋体" w:hAnsi="宋体" w:eastAsia="宋体" w:cs="宋体"/>
          <w:sz w:val="24"/>
          <w:szCs w:val="24"/>
        </w:rPr>
        <w:t>，缺陷责任期自工程竣工验收合格之日起计算。保修范围为本工程所有内容。</w:t>
      </w:r>
    </w:p>
    <w:p w14:paraId="321C4D36">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属于保修范围、内容的项目，供应商应在收到通知后24小时内到达工程现场并修复缺陷或损坏。遇紧急情况需抢修的，应在收到通知后4小时内到达现场抢修，10小时内修复。供应商未在上述指定期限内派人维修或发生其他视为供应商未履行维修义务情形的，采购人有权委托第三方进行维修，所产生相关费用包括维修费、补偿金等均由供应商承担。</w:t>
      </w:r>
    </w:p>
    <w:p w14:paraId="4C4D33A9">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质量保修完成后，由采购人组织验收。</w:t>
      </w:r>
    </w:p>
    <w:p w14:paraId="53F24EB5">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七、针对本项目的其他要求</w:t>
      </w:r>
    </w:p>
    <w:p w14:paraId="11C24E53">
      <w:pPr>
        <w:tabs>
          <w:tab w:val="right" w:leader="middleDot" w:pos="8085"/>
        </w:tabs>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1、供应商在施工时需针对高校特点合理安排施工时间及噪音控制，保障学校正常教学生活秩序；</w:t>
      </w:r>
    </w:p>
    <w:p w14:paraId="66436E16">
      <w:pPr>
        <w:tabs>
          <w:tab w:val="right" w:leader="middleDot" w:pos="8085"/>
        </w:tabs>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2、供应商在施工时需严格做好施工现场管理的安全管理，如防火、防盗等；</w:t>
      </w:r>
    </w:p>
    <w:p w14:paraId="43E33B14">
      <w:pPr>
        <w:tabs>
          <w:tab w:val="right" w:leader="middleDot" w:pos="8085"/>
        </w:tabs>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3、供应商需在竣工后及时供给水、电，做好卫生保洁工作。</w:t>
      </w:r>
    </w:p>
    <w:p w14:paraId="7F5E361E">
      <w:pPr>
        <w:tabs>
          <w:tab w:val="right" w:leader="middleDot" w:pos="8085"/>
        </w:tabs>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4、供应商在校内须严格遵守国家相关法律法规、严格遵守学校有关疫情防控、意识形态、宗教管理教育工作等相关规定。</w:t>
      </w:r>
    </w:p>
    <w:p w14:paraId="5C4F2484">
      <w:pPr>
        <w:tabs>
          <w:tab w:val="right" w:leader="middleDot" w:pos="8085"/>
        </w:tabs>
        <w:adjustRightInd w:val="0"/>
        <w:snapToGrid w:val="0"/>
        <w:spacing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5、本项目成交后采购人根据实际情况，可能变更设计；如变更设计，则按调整后图纸施工、结算。</w:t>
      </w:r>
    </w:p>
    <w:p w14:paraId="6338D376">
      <w:pPr>
        <w:tabs>
          <w:tab w:val="right" w:leader="middleDot" w:pos="8085"/>
        </w:tabs>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供应商在响应文件中需针对本项目要求提供项目实施方案（包括施工组织总体设想和方案、施工阶段的划分、施工方案的重难点分析、对应的控制措施、对施工区域特殊环境下的施工措施、对应的组织措施方案、施工各阶段的进度计划、施工进度计划网络图、劳动力、施工机械设备及材料各阶段的投入安排、突发事件的应急措施及处理方案）、保障措施方案（包括施工各阶段进度及质量保证措施、施工用材料、半成品、外购件等质量保证措施、安全文明施工及市政、市容、环保、消防等措施、服从采购人协调和统一管理及配合措施、特殊服务承诺、对成品保护、精细保洁等的方案及保证措施）、项目班组情况（包括项目经理资质、经验、项目经理承诺到位率、项目管理班子其他人员配置、资质、经验等内容）、售后服务方案（包括保修期、维护响应时间、服务方式、特别承诺）等内容。</w:t>
      </w:r>
    </w:p>
    <w:p w14:paraId="16154B35">
      <w:pPr>
        <w:spacing w:line="4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八、本章未尽内容按“第五章 合同主要条款”。</w:t>
      </w:r>
    </w:p>
    <w:p w14:paraId="0738CC35">
      <w:pPr>
        <w:pStyle w:val="13"/>
        <w:rPr>
          <w:rFonts w:hint="eastAsia" w:ascii="宋体" w:hAnsi="宋体" w:eastAsia="宋体" w:cs="宋体"/>
        </w:rPr>
      </w:pPr>
    </w:p>
    <w:p w14:paraId="25342C28">
      <w:pPr>
        <w:pStyle w:val="13"/>
        <w:rPr>
          <w:rFonts w:hint="eastAsia" w:ascii="宋体" w:hAnsi="宋体" w:eastAsia="宋体" w:cs="宋体"/>
        </w:rPr>
      </w:pPr>
    </w:p>
    <w:p w14:paraId="1A2625F4">
      <w:pPr>
        <w:snapToGrid w:val="0"/>
        <w:spacing w:line="360" w:lineRule="auto"/>
        <w:jc w:val="both"/>
        <w:outlineLvl w:val="0"/>
        <w:rPr>
          <w:rFonts w:hint="eastAsia" w:ascii="宋体" w:hAnsi="宋体" w:eastAsia="宋体" w:cs="宋体"/>
          <w:b/>
          <w:color w:val="auto"/>
          <w:sz w:val="36"/>
          <w:szCs w:val="36"/>
          <w:highlight w:val="none"/>
        </w:rPr>
      </w:pPr>
    </w:p>
    <w:p w14:paraId="42F5FEAC">
      <w:pPr>
        <w:snapToGrid w:val="0"/>
        <w:spacing w:line="360" w:lineRule="auto"/>
        <w:jc w:val="center"/>
        <w:outlineLvl w:val="0"/>
        <w:rPr>
          <w:rFonts w:hint="eastAsia" w:ascii="宋体" w:hAnsi="宋体" w:eastAsia="宋体" w:cs="宋体"/>
          <w:b/>
          <w:color w:val="auto"/>
          <w:sz w:val="36"/>
          <w:szCs w:val="36"/>
          <w:highlight w:val="none"/>
        </w:rPr>
      </w:pPr>
    </w:p>
    <w:p w14:paraId="0F051482">
      <w:pPr>
        <w:snapToGrid w:val="0"/>
        <w:spacing w:line="360" w:lineRule="auto"/>
        <w:jc w:val="center"/>
        <w:outlineLvl w:val="0"/>
        <w:rPr>
          <w:rFonts w:hint="eastAsia" w:ascii="宋体" w:hAnsi="宋体" w:eastAsia="宋体" w:cs="宋体"/>
          <w:b/>
          <w:color w:val="auto"/>
          <w:sz w:val="36"/>
          <w:szCs w:val="36"/>
          <w:highlight w:val="none"/>
        </w:rPr>
      </w:pPr>
    </w:p>
    <w:p w14:paraId="219CE5C5">
      <w:pPr>
        <w:snapToGrid w:val="0"/>
        <w:spacing w:line="360" w:lineRule="auto"/>
        <w:jc w:val="center"/>
        <w:outlineLvl w:val="0"/>
        <w:rPr>
          <w:rFonts w:hint="eastAsia" w:ascii="宋体" w:hAnsi="宋体" w:eastAsia="宋体" w:cs="宋体"/>
          <w:b/>
          <w:color w:val="auto"/>
          <w:sz w:val="36"/>
          <w:szCs w:val="36"/>
          <w:highlight w:val="none"/>
        </w:rPr>
      </w:pPr>
    </w:p>
    <w:p w14:paraId="2CC76DF6">
      <w:pPr>
        <w:snapToGrid w:val="0"/>
        <w:spacing w:line="360" w:lineRule="auto"/>
        <w:jc w:val="center"/>
        <w:outlineLvl w:val="0"/>
        <w:rPr>
          <w:rFonts w:hint="eastAsia" w:ascii="宋体" w:hAnsi="宋体" w:eastAsia="宋体" w:cs="宋体"/>
          <w:b/>
          <w:color w:val="auto"/>
          <w:sz w:val="36"/>
          <w:szCs w:val="36"/>
          <w:highlight w:val="none"/>
        </w:rPr>
      </w:pPr>
    </w:p>
    <w:p w14:paraId="54AAEC23">
      <w:pPr>
        <w:snapToGrid w:val="0"/>
        <w:spacing w:line="360" w:lineRule="auto"/>
        <w:jc w:val="center"/>
        <w:outlineLvl w:val="0"/>
        <w:rPr>
          <w:rFonts w:hint="eastAsia" w:ascii="宋体" w:hAnsi="宋体" w:eastAsia="宋体" w:cs="宋体"/>
          <w:b/>
          <w:color w:val="auto"/>
          <w:sz w:val="36"/>
          <w:szCs w:val="36"/>
          <w:highlight w:val="none"/>
        </w:rPr>
      </w:pPr>
    </w:p>
    <w:p w14:paraId="60E9EA71">
      <w:pPr>
        <w:snapToGrid w:val="0"/>
        <w:spacing w:line="360" w:lineRule="auto"/>
        <w:jc w:val="center"/>
        <w:outlineLvl w:val="0"/>
        <w:rPr>
          <w:rFonts w:hint="eastAsia" w:ascii="宋体" w:hAnsi="宋体" w:eastAsia="宋体" w:cs="宋体"/>
          <w:b/>
          <w:color w:val="auto"/>
          <w:sz w:val="36"/>
          <w:szCs w:val="36"/>
          <w:highlight w:val="none"/>
        </w:rPr>
      </w:pPr>
    </w:p>
    <w:p w14:paraId="6E149CE8">
      <w:pPr>
        <w:snapToGrid w:val="0"/>
        <w:spacing w:line="360" w:lineRule="auto"/>
        <w:jc w:val="center"/>
        <w:outlineLvl w:val="0"/>
        <w:rPr>
          <w:rFonts w:hint="eastAsia" w:ascii="宋体" w:hAnsi="宋体" w:eastAsia="宋体" w:cs="宋体"/>
          <w:b/>
          <w:color w:val="auto"/>
          <w:sz w:val="36"/>
          <w:szCs w:val="36"/>
          <w:highlight w:val="none"/>
        </w:rPr>
      </w:pPr>
    </w:p>
    <w:p w14:paraId="70DB9351">
      <w:pPr>
        <w:pStyle w:val="13"/>
        <w:rPr>
          <w:rFonts w:hint="eastAsia" w:ascii="宋体" w:hAnsi="宋体" w:eastAsia="宋体" w:cs="宋体"/>
        </w:rPr>
      </w:pPr>
    </w:p>
    <w:p w14:paraId="26E5390D">
      <w:pPr>
        <w:snapToGrid w:val="0"/>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第五章  合同主要条款</w:t>
      </w:r>
      <w:bookmarkEnd w:id="33"/>
    </w:p>
    <w:p w14:paraId="21279FBC">
      <w:pPr>
        <w:adjustRightInd w:val="0"/>
        <w:snapToGrid w:val="0"/>
        <w:spacing w:before="156" w:beforeLines="50" w:line="360" w:lineRule="auto"/>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w:t>
      </w:r>
      <w:r>
        <w:rPr>
          <w:rFonts w:hint="eastAsia" w:ascii="宋体" w:hAnsi="宋体" w:eastAsia="宋体" w:cs="宋体"/>
          <w:b/>
          <w:color w:val="auto"/>
          <w:sz w:val="44"/>
          <w:szCs w:val="44"/>
          <w:highlight w:val="none"/>
          <w:lang w:eastAsia="zh-CN"/>
        </w:rPr>
        <w:t>浙江省公安特警训练基地2025年度保障性基建维修项目</w:t>
      </w:r>
      <w:r>
        <w:rPr>
          <w:rFonts w:hint="eastAsia" w:ascii="宋体" w:hAnsi="宋体" w:eastAsia="宋体" w:cs="宋体"/>
          <w:b/>
          <w:color w:val="auto"/>
          <w:sz w:val="44"/>
          <w:szCs w:val="44"/>
          <w:highlight w:val="none"/>
        </w:rPr>
        <w:t>】</w:t>
      </w:r>
      <w:r>
        <w:rPr>
          <w:rFonts w:hint="eastAsia" w:ascii="宋体" w:hAnsi="宋体" w:eastAsia="宋体" w:cs="宋体"/>
          <w:b/>
          <w:color w:val="auto"/>
          <w:kern w:val="0"/>
          <w:sz w:val="44"/>
          <w:szCs w:val="44"/>
          <w:highlight w:val="none"/>
        </w:rPr>
        <w:t>项目</w:t>
      </w:r>
    </w:p>
    <w:p w14:paraId="46F32413">
      <w:pPr>
        <w:adjustRightInd w:val="0"/>
        <w:snapToGrid w:val="0"/>
        <w:spacing w:before="156" w:beforeLines="50" w:line="360" w:lineRule="auto"/>
        <w:rPr>
          <w:rFonts w:hint="eastAsia" w:ascii="宋体" w:hAnsi="宋体" w:eastAsia="宋体" w:cs="宋体"/>
          <w:b/>
          <w:color w:val="auto"/>
          <w:sz w:val="28"/>
          <w:szCs w:val="28"/>
          <w:highlight w:val="none"/>
        </w:rPr>
      </w:pPr>
    </w:p>
    <w:p w14:paraId="2B166EF1">
      <w:pPr>
        <w:tabs>
          <w:tab w:val="left" w:pos="0"/>
        </w:tabs>
        <w:adjustRightInd w:val="0"/>
        <w:snapToGrid w:val="0"/>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施</w:t>
      </w:r>
    </w:p>
    <w:p w14:paraId="5A707712">
      <w:pPr>
        <w:tabs>
          <w:tab w:val="left" w:pos="0"/>
        </w:tabs>
        <w:adjustRightInd w:val="0"/>
        <w:snapToGrid w:val="0"/>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工</w:t>
      </w:r>
    </w:p>
    <w:p w14:paraId="4A2A5940">
      <w:pPr>
        <w:tabs>
          <w:tab w:val="left" w:pos="0"/>
        </w:tabs>
        <w:adjustRightInd w:val="0"/>
        <w:snapToGrid w:val="0"/>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w:t>
      </w:r>
    </w:p>
    <w:p w14:paraId="54102878">
      <w:pPr>
        <w:tabs>
          <w:tab w:val="left" w:pos="0"/>
        </w:tabs>
        <w:adjustRightInd w:val="0"/>
        <w:snapToGrid w:val="0"/>
        <w:spacing w:line="360" w:lineRule="auto"/>
        <w:jc w:val="center"/>
        <w:rPr>
          <w:rFonts w:hint="eastAsia" w:ascii="宋体" w:hAnsi="宋体" w:eastAsia="宋体" w:cs="宋体"/>
          <w:b/>
          <w:bCs/>
          <w:color w:val="auto"/>
          <w:sz w:val="96"/>
          <w:szCs w:val="96"/>
          <w:highlight w:val="none"/>
        </w:rPr>
      </w:pPr>
      <w:r>
        <w:rPr>
          <w:rFonts w:hint="eastAsia" w:ascii="宋体" w:hAnsi="宋体" w:eastAsia="宋体" w:cs="宋体"/>
          <w:b/>
          <w:color w:val="auto"/>
          <w:sz w:val="72"/>
          <w:szCs w:val="72"/>
          <w:highlight w:val="none"/>
        </w:rPr>
        <w:t>同</w:t>
      </w:r>
    </w:p>
    <w:p w14:paraId="3082CDA0">
      <w:pPr>
        <w:adjustRightInd w:val="0"/>
        <w:snapToGrid w:val="0"/>
        <w:spacing w:line="360" w:lineRule="auto"/>
        <w:jc w:val="left"/>
        <w:rPr>
          <w:rFonts w:hint="eastAsia" w:ascii="宋体" w:hAnsi="宋体" w:eastAsia="宋体" w:cs="宋体"/>
          <w:b/>
          <w:color w:val="auto"/>
          <w:sz w:val="32"/>
          <w:szCs w:val="32"/>
          <w:highlight w:val="none"/>
        </w:rPr>
      </w:pPr>
    </w:p>
    <w:p w14:paraId="323C55F8">
      <w:pPr>
        <w:adjustRightInd w:val="0"/>
        <w:snapToGrid w:val="0"/>
        <w:spacing w:line="360" w:lineRule="auto"/>
        <w:jc w:val="left"/>
        <w:rPr>
          <w:rFonts w:hint="eastAsia" w:ascii="宋体" w:hAnsi="宋体" w:eastAsia="宋体" w:cs="宋体"/>
          <w:b/>
          <w:color w:val="auto"/>
          <w:sz w:val="32"/>
          <w:szCs w:val="32"/>
          <w:highlight w:val="none"/>
        </w:rPr>
      </w:pPr>
    </w:p>
    <w:p w14:paraId="60316C3C">
      <w:pPr>
        <w:adjustRightInd w:val="0"/>
        <w:snapToGrid w:val="0"/>
        <w:spacing w:line="360" w:lineRule="auto"/>
        <w:ind w:firstLine="1084" w:firstLineChars="300"/>
        <w:jc w:val="left"/>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 xml:space="preserve">  发包人：</w:t>
      </w:r>
      <w:r>
        <w:rPr>
          <w:rFonts w:hint="eastAsia" w:ascii="宋体" w:hAnsi="宋体" w:eastAsia="宋体" w:cs="宋体"/>
          <w:b/>
          <w:color w:val="auto"/>
          <w:sz w:val="36"/>
          <w:szCs w:val="36"/>
          <w:highlight w:val="none"/>
          <w:lang w:eastAsia="zh-CN"/>
        </w:rPr>
        <w:t>浙江警察学院</w:t>
      </w:r>
    </w:p>
    <w:p w14:paraId="11C83ED7">
      <w:pPr>
        <w:adjustRightInd w:val="0"/>
        <w:snapToGrid w:val="0"/>
        <w:spacing w:line="360" w:lineRule="auto"/>
        <w:ind w:firstLine="1084" w:firstLineChars="300"/>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承包人：</w:t>
      </w:r>
    </w:p>
    <w:p w14:paraId="6EB263E6">
      <w:pPr>
        <w:adjustRightInd w:val="0"/>
        <w:snapToGrid w:val="0"/>
        <w:spacing w:line="360" w:lineRule="auto"/>
        <w:ind w:firstLine="1084" w:firstLineChars="300"/>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年  月  日</w:t>
      </w:r>
    </w:p>
    <w:p w14:paraId="142E8175">
      <w:pPr>
        <w:widowControl/>
        <w:tabs>
          <w:tab w:val="left" w:pos="300"/>
        </w:tabs>
        <w:spacing w:line="366" w:lineRule="exact"/>
        <w:jc w:val="center"/>
        <w:rPr>
          <w:rFonts w:hint="eastAsia" w:ascii="宋体" w:hAnsi="宋体" w:eastAsia="宋体" w:cs="宋体"/>
          <w:b/>
          <w:bCs/>
          <w:color w:val="auto"/>
          <w:kern w:val="0"/>
          <w:sz w:val="32"/>
          <w:szCs w:val="32"/>
          <w:highlight w:val="none"/>
        </w:rPr>
      </w:pPr>
    </w:p>
    <w:p w14:paraId="2BC4115A">
      <w:pPr>
        <w:widowControl/>
        <w:tabs>
          <w:tab w:val="left" w:pos="300"/>
        </w:tabs>
        <w:spacing w:line="366" w:lineRule="exact"/>
        <w:jc w:val="center"/>
        <w:rPr>
          <w:rFonts w:hint="eastAsia" w:ascii="宋体" w:hAnsi="宋体" w:eastAsia="宋体" w:cs="宋体"/>
          <w:b/>
          <w:bCs/>
          <w:color w:val="auto"/>
          <w:kern w:val="0"/>
          <w:sz w:val="32"/>
          <w:szCs w:val="32"/>
          <w:highlight w:val="none"/>
        </w:rPr>
      </w:pPr>
    </w:p>
    <w:p w14:paraId="5A72B46E">
      <w:pPr>
        <w:rPr>
          <w:rFonts w:hint="eastAsia" w:ascii="宋体" w:hAnsi="宋体" w:eastAsia="宋体" w:cs="宋体"/>
          <w:bCs/>
          <w:color w:val="auto"/>
          <w:sz w:val="32"/>
          <w:szCs w:val="32"/>
          <w:highlight w:val="none"/>
        </w:rPr>
        <w:sectPr>
          <w:pgSz w:w="11906" w:h="16838"/>
          <w:pgMar w:top="1418" w:right="915" w:bottom="1418" w:left="1531" w:header="567" w:footer="567" w:gutter="0"/>
          <w:cols w:space="720" w:num="1"/>
          <w:docGrid w:type="lines" w:linePitch="312" w:charSpace="0"/>
        </w:sectPr>
      </w:pPr>
    </w:p>
    <w:p w14:paraId="1B71485C">
      <w:pPr>
        <w:widowControl/>
        <w:jc w:val="left"/>
        <w:rPr>
          <w:rFonts w:hint="eastAsia" w:ascii="宋体" w:hAnsi="宋体" w:eastAsia="宋体" w:cs="宋体"/>
          <w:color w:val="auto"/>
          <w:kern w:val="0"/>
          <w:sz w:val="22"/>
          <w:szCs w:val="22"/>
          <w:highlight w:val="none"/>
        </w:rPr>
      </w:pPr>
    </w:p>
    <w:p w14:paraId="20B46F3E">
      <w:pPr>
        <w:widowControl/>
        <w:tabs>
          <w:tab w:val="left" w:pos="300"/>
        </w:tabs>
        <w:spacing w:line="366" w:lineRule="exact"/>
        <w:jc w:val="center"/>
        <w:rPr>
          <w:rFonts w:hint="eastAsia" w:ascii="宋体" w:hAnsi="宋体" w:eastAsia="宋体" w:cs="宋体"/>
          <w:color w:val="auto"/>
          <w:kern w:val="0"/>
          <w:sz w:val="20"/>
          <w:szCs w:val="20"/>
          <w:highlight w:val="none"/>
        </w:rPr>
      </w:pPr>
      <w:r>
        <w:rPr>
          <w:rFonts w:hint="eastAsia" w:ascii="宋体" w:hAnsi="宋体" w:eastAsia="宋体" w:cs="宋体"/>
          <w:b/>
          <w:bCs/>
          <w:color w:val="auto"/>
          <w:kern w:val="0"/>
          <w:sz w:val="32"/>
          <w:szCs w:val="32"/>
          <w:highlight w:val="none"/>
        </w:rPr>
        <w:t>合同条款</w:t>
      </w:r>
    </w:p>
    <w:p w14:paraId="58A75CA2">
      <w:pPr>
        <w:widowControl/>
        <w:spacing w:line="254" w:lineRule="exact"/>
        <w:jc w:val="left"/>
        <w:rPr>
          <w:rFonts w:hint="eastAsia" w:ascii="宋体" w:hAnsi="宋体" w:eastAsia="宋体" w:cs="宋体"/>
          <w:color w:val="auto"/>
          <w:kern w:val="0"/>
          <w:sz w:val="20"/>
          <w:szCs w:val="20"/>
          <w:highlight w:val="none"/>
        </w:rPr>
      </w:pPr>
    </w:p>
    <w:p w14:paraId="68671D8F">
      <w:pPr>
        <w:widowControl/>
        <w:spacing w:line="20" w:lineRule="exact"/>
        <w:jc w:val="left"/>
        <w:rPr>
          <w:rFonts w:hint="eastAsia" w:ascii="宋体" w:hAnsi="宋体" w:eastAsia="宋体" w:cs="宋体"/>
          <w:color w:val="auto"/>
          <w:kern w:val="0"/>
          <w:sz w:val="20"/>
          <w:szCs w:val="20"/>
          <w:highlight w:val="none"/>
        </w:rPr>
      </w:pPr>
    </w:p>
    <w:p w14:paraId="72610064">
      <w:pPr>
        <w:keepNext/>
        <w:keepLines/>
        <w:spacing w:after="330" w:line="360" w:lineRule="auto"/>
        <w:ind w:firstLine="643" w:firstLineChars="200"/>
        <w:jc w:val="center"/>
        <w:rPr>
          <w:rFonts w:hint="eastAsia" w:ascii="宋体" w:hAnsi="宋体" w:eastAsia="宋体" w:cs="宋体"/>
          <w:b/>
          <w:color w:val="auto"/>
          <w:kern w:val="0"/>
          <w:sz w:val="28"/>
          <w:szCs w:val="21"/>
          <w:highlight w:val="none"/>
        </w:rPr>
      </w:pPr>
      <w:bookmarkStart w:id="34" w:name="page48"/>
      <w:bookmarkEnd w:id="34"/>
      <w:bookmarkStart w:id="35" w:name="_Toc296890982"/>
      <w:bookmarkStart w:id="36" w:name="_Toc296503025"/>
      <w:bookmarkStart w:id="37" w:name="_Toc351203480"/>
      <w:bookmarkStart w:id="38" w:name="_Toc237695004"/>
      <w:bookmarkStart w:id="39" w:name="_Toc163484939"/>
      <w:bookmarkStart w:id="40" w:name="_Toc237694779"/>
      <w:bookmarkStart w:id="41" w:name="_Toc163484941"/>
      <w:r>
        <w:rPr>
          <w:rFonts w:hint="eastAsia" w:ascii="宋体" w:hAnsi="宋体" w:eastAsia="宋体" w:cs="宋体"/>
          <w:b/>
          <w:color w:val="auto"/>
          <w:kern w:val="0"/>
          <w:sz w:val="32"/>
          <w:szCs w:val="32"/>
          <w:highlight w:val="none"/>
        </w:rPr>
        <w:t>第一部分 合同协议书</w:t>
      </w:r>
      <w:bookmarkEnd w:id="35"/>
      <w:bookmarkEnd w:id="36"/>
      <w:bookmarkEnd w:id="37"/>
    </w:p>
    <w:p w14:paraId="49D8DF92">
      <w:pPr>
        <w:widowControl/>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lang w:eastAsia="zh-CN"/>
        </w:rPr>
      </w:pPr>
      <w:r>
        <w:rPr>
          <w:rFonts w:hint="eastAsia" w:ascii="宋体" w:hAnsi="宋体" w:eastAsia="宋体" w:cs="宋体"/>
          <w:b/>
          <w:color w:val="auto"/>
          <w:kern w:val="0"/>
          <w:sz w:val="21"/>
          <w:szCs w:val="21"/>
          <w:highlight w:val="none"/>
        </w:rPr>
        <w:t>发包人（全称）：</w:t>
      </w:r>
      <w:r>
        <w:rPr>
          <w:rFonts w:hint="eastAsia" w:ascii="宋体" w:hAnsi="宋体" w:eastAsia="宋体" w:cs="宋体"/>
          <w:b/>
          <w:color w:val="auto"/>
          <w:kern w:val="0"/>
          <w:sz w:val="21"/>
          <w:szCs w:val="21"/>
          <w:highlight w:val="none"/>
          <w:u w:val="single"/>
          <w:lang w:eastAsia="zh-CN"/>
        </w:rPr>
        <w:t>浙江警察学院</w:t>
      </w:r>
    </w:p>
    <w:p w14:paraId="52D63FEA">
      <w:pPr>
        <w:widowControl/>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rPr>
        <w:t>承包人（全称）：</w:t>
      </w:r>
      <w:r>
        <w:rPr>
          <w:rFonts w:hint="eastAsia" w:ascii="宋体" w:hAnsi="宋体" w:eastAsia="宋体" w:cs="宋体"/>
          <w:b/>
          <w:color w:val="auto"/>
          <w:kern w:val="0"/>
          <w:sz w:val="21"/>
          <w:szCs w:val="21"/>
          <w:highlight w:val="none"/>
          <w:u w:val="single"/>
        </w:rPr>
        <w:t xml:space="preserve">            </w:t>
      </w:r>
    </w:p>
    <w:p w14:paraId="0227A312">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根据《中华人民共和国民法典》、《中华人民共和国建筑法》及有关法律规定，遵循平等、自愿、公平和诚实信用的原则，双方就</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b/>
          <w:color w:val="auto"/>
          <w:kern w:val="0"/>
          <w:sz w:val="21"/>
          <w:szCs w:val="21"/>
          <w:highlight w:val="none"/>
          <w:u w:val="single"/>
          <w:lang w:eastAsia="zh-CN"/>
        </w:rPr>
        <w:t>浙江省公安特警训练基地2025年度保障性基建维修项目</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施工及有关事项协商一致，共同达成如下协议：</w:t>
      </w:r>
    </w:p>
    <w:p w14:paraId="6FA41592">
      <w:pPr>
        <w:widowControl/>
        <w:spacing w:line="360" w:lineRule="auto"/>
        <w:jc w:val="left"/>
        <w:rPr>
          <w:rFonts w:hint="eastAsia" w:ascii="宋体" w:hAnsi="宋体" w:eastAsia="宋体" w:cs="宋体"/>
          <w:color w:val="auto"/>
          <w:kern w:val="0"/>
          <w:sz w:val="21"/>
          <w:szCs w:val="21"/>
          <w:highlight w:val="none"/>
        </w:rPr>
      </w:pPr>
      <w:bookmarkStart w:id="42" w:name="_Toc351203481"/>
      <w:r>
        <w:rPr>
          <w:rFonts w:hint="eastAsia" w:ascii="宋体" w:hAnsi="宋体" w:eastAsia="宋体" w:cs="宋体"/>
          <w:color w:val="auto"/>
          <w:kern w:val="0"/>
          <w:sz w:val="21"/>
          <w:szCs w:val="21"/>
          <w:highlight w:val="none"/>
        </w:rPr>
        <w:t>一、工程概况</w:t>
      </w:r>
      <w:bookmarkEnd w:id="42"/>
    </w:p>
    <w:p w14:paraId="5C8B935C">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u w:val="single"/>
        </w:rPr>
      </w:pPr>
      <w:r>
        <w:rPr>
          <w:rFonts w:hint="eastAsia" w:ascii="宋体" w:hAnsi="宋体" w:eastAsia="宋体" w:cs="宋体"/>
          <w:bCs/>
          <w:color w:val="auto"/>
          <w:kern w:val="0"/>
          <w:sz w:val="21"/>
          <w:szCs w:val="21"/>
          <w:highlight w:val="none"/>
        </w:rPr>
        <w:t>1.工程名称</w:t>
      </w:r>
      <w:r>
        <w:rPr>
          <w:rFonts w:hint="eastAsia" w:ascii="宋体" w:hAnsi="宋体" w:eastAsia="宋体" w:cs="宋体"/>
          <w:color w:val="auto"/>
          <w:kern w:val="0"/>
          <w:sz w:val="21"/>
          <w:szCs w:val="21"/>
          <w:highlight w:val="none"/>
        </w:rPr>
        <w:t>：</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b/>
          <w:color w:val="auto"/>
          <w:kern w:val="0"/>
          <w:sz w:val="21"/>
          <w:szCs w:val="21"/>
          <w:highlight w:val="none"/>
          <w:u w:val="single"/>
          <w:lang w:eastAsia="zh-CN"/>
        </w:rPr>
        <w:t>浙江省公安特警训练基地2025年度保障性基建维修项目</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0E05B1A8">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2.工程地点：</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b/>
          <w:color w:val="auto"/>
          <w:kern w:val="0"/>
          <w:sz w:val="21"/>
          <w:szCs w:val="21"/>
          <w:highlight w:val="none"/>
          <w:u w:val="single"/>
          <w:lang w:eastAsia="zh-CN"/>
        </w:rPr>
        <w:t>浙江警察学院</w:t>
      </w:r>
      <w:r>
        <w:rPr>
          <w:rFonts w:hint="eastAsia" w:ascii="宋体" w:hAnsi="宋体" w:eastAsia="宋体" w:cs="宋体"/>
          <w:b/>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18530D81">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 xml:space="preserve">3.工程立项批准文号： </w:t>
      </w:r>
    </w:p>
    <w:p w14:paraId="42353151">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4.资金来源：</w:t>
      </w:r>
      <w:r>
        <w:rPr>
          <w:rFonts w:hint="eastAsia" w:ascii="宋体" w:hAnsi="宋体" w:eastAsia="宋体" w:cs="宋体"/>
          <w:b/>
          <w:color w:val="auto"/>
          <w:kern w:val="0"/>
          <w:sz w:val="21"/>
          <w:szCs w:val="21"/>
          <w:highlight w:val="none"/>
          <w:u w:val="single"/>
          <w:lang w:val="en-US" w:eastAsia="zh-CN"/>
        </w:rPr>
        <w:t xml:space="preserve">         </w:t>
      </w:r>
      <w:r>
        <w:rPr>
          <w:rFonts w:hint="eastAsia" w:ascii="宋体" w:hAnsi="宋体" w:eastAsia="宋体" w:cs="宋体"/>
          <w:bCs/>
          <w:color w:val="auto"/>
          <w:kern w:val="0"/>
          <w:sz w:val="21"/>
          <w:szCs w:val="21"/>
          <w:highlight w:val="none"/>
        </w:rPr>
        <w:t>。</w:t>
      </w:r>
    </w:p>
    <w:p w14:paraId="550E4406">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5.工程内容：</w:t>
      </w:r>
      <w:r>
        <w:rPr>
          <w:rFonts w:hint="eastAsia" w:ascii="宋体" w:hAnsi="宋体" w:eastAsia="宋体" w:cs="宋体"/>
          <w:b/>
          <w:color w:val="auto"/>
          <w:kern w:val="0"/>
          <w:sz w:val="21"/>
          <w:szCs w:val="21"/>
          <w:highlight w:val="none"/>
          <w:u w:val="single"/>
        </w:rPr>
        <w:t>具体内容见采购文件和工程量清单</w:t>
      </w:r>
      <w:r>
        <w:rPr>
          <w:rFonts w:hint="eastAsia" w:ascii="宋体" w:hAnsi="宋体" w:eastAsia="宋体" w:cs="宋体"/>
          <w:bCs/>
          <w:color w:val="auto"/>
          <w:kern w:val="0"/>
          <w:sz w:val="21"/>
          <w:szCs w:val="21"/>
          <w:highlight w:val="none"/>
        </w:rPr>
        <w:t>。</w:t>
      </w:r>
    </w:p>
    <w:p w14:paraId="58E2D0FE">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color w:val="auto"/>
          <w:kern w:val="0"/>
          <w:sz w:val="21"/>
          <w:szCs w:val="21"/>
          <w:highlight w:val="none"/>
        </w:rPr>
        <w:t>群体工程应附《承包人承揽工程项目一览表》（附件1）。</w:t>
      </w:r>
    </w:p>
    <w:p w14:paraId="71BC8B46">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6.工程承包范围：</w:t>
      </w:r>
    </w:p>
    <w:p w14:paraId="2BA00C50">
      <w:pPr>
        <w:widowControl/>
        <w:adjustRightInd w:val="0"/>
        <w:snapToGrid w:val="0"/>
        <w:spacing w:line="360" w:lineRule="auto"/>
        <w:ind w:firstLine="422" w:firstLineChars="200"/>
        <w:rPr>
          <w:rFonts w:hint="eastAsia" w:ascii="宋体" w:hAnsi="宋体" w:eastAsia="宋体" w:cs="宋体"/>
          <w:color w:val="auto"/>
          <w:kern w:val="0"/>
          <w:sz w:val="21"/>
          <w:szCs w:val="21"/>
          <w:highlight w:val="none"/>
          <w:u w:val="single"/>
        </w:rPr>
      </w:pPr>
      <w:r>
        <w:rPr>
          <w:rFonts w:hint="eastAsia" w:ascii="宋体" w:hAnsi="宋体" w:eastAsia="宋体" w:cs="宋体"/>
          <w:b/>
          <w:color w:val="auto"/>
          <w:kern w:val="0"/>
          <w:sz w:val="21"/>
          <w:szCs w:val="21"/>
          <w:highlight w:val="none"/>
          <w:u w:val="single"/>
        </w:rPr>
        <w:t>1.包工、包料（☑是□否）、包工期、包质量、包安全文明施工、包检测验收合格至交付使用等</w:t>
      </w:r>
      <w:r>
        <w:rPr>
          <w:rFonts w:hint="eastAsia" w:ascii="宋体" w:hAnsi="宋体" w:eastAsia="宋体" w:cs="宋体"/>
          <w:color w:val="auto"/>
          <w:kern w:val="0"/>
          <w:sz w:val="21"/>
          <w:szCs w:val="21"/>
          <w:highlight w:val="none"/>
          <w:u w:val="single"/>
        </w:rPr>
        <w:t>。</w:t>
      </w:r>
    </w:p>
    <w:p w14:paraId="3E2D4BA7">
      <w:pPr>
        <w:widowControl/>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2.本项目施工图范围内的所有内容，工程量清单。(当施工图纸与工程量清单不一致时，以施工图纸为准）</w:t>
      </w:r>
    </w:p>
    <w:p w14:paraId="43A214A6">
      <w:pPr>
        <w:widowControl/>
        <w:spacing w:line="360" w:lineRule="auto"/>
        <w:jc w:val="left"/>
        <w:rPr>
          <w:rFonts w:hint="eastAsia" w:ascii="宋体" w:hAnsi="宋体" w:eastAsia="宋体" w:cs="宋体"/>
          <w:color w:val="auto"/>
          <w:kern w:val="0"/>
          <w:sz w:val="21"/>
          <w:szCs w:val="21"/>
          <w:highlight w:val="none"/>
        </w:rPr>
      </w:pPr>
      <w:bookmarkStart w:id="43" w:name="_Toc351203482"/>
      <w:r>
        <w:rPr>
          <w:rFonts w:hint="eastAsia" w:ascii="宋体" w:hAnsi="宋体" w:eastAsia="宋体" w:cs="宋体"/>
          <w:color w:val="auto"/>
          <w:kern w:val="0"/>
          <w:sz w:val="21"/>
          <w:szCs w:val="21"/>
          <w:highlight w:val="none"/>
        </w:rPr>
        <w:t>二、合同工期</w:t>
      </w:r>
      <w:bookmarkEnd w:id="43"/>
    </w:p>
    <w:p w14:paraId="31B28E35">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计划开工日期：</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日。</w:t>
      </w:r>
    </w:p>
    <w:p w14:paraId="42CB5E7F">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计划竣工日期：</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日。</w:t>
      </w:r>
    </w:p>
    <w:p w14:paraId="14A225EE">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工期总日历天数：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天。工期总日历天数与根据前述计划开竣工日期计算的工期天数不一致的，以工期总日历天数为准。</w:t>
      </w:r>
    </w:p>
    <w:p w14:paraId="3B32212D">
      <w:pPr>
        <w:widowControl/>
        <w:spacing w:line="360" w:lineRule="auto"/>
        <w:jc w:val="left"/>
        <w:rPr>
          <w:rFonts w:hint="eastAsia" w:ascii="宋体" w:hAnsi="宋体" w:eastAsia="宋体" w:cs="宋体"/>
          <w:color w:val="auto"/>
          <w:kern w:val="0"/>
          <w:sz w:val="21"/>
          <w:szCs w:val="21"/>
          <w:highlight w:val="none"/>
        </w:rPr>
      </w:pPr>
      <w:bookmarkStart w:id="44" w:name="_Toc351203483"/>
      <w:r>
        <w:rPr>
          <w:rFonts w:hint="eastAsia" w:ascii="宋体" w:hAnsi="宋体" w:eastAsia="宋体" w:cs="宋体"/>
          <w:color w:val="auto"/>
          <w:kern w:val="0"/>
          <w:sz w:val="21"/>
          <w:szCs w:val="21"/>
          <w:highlight w:val="none"/>
        </w:rPr>
        <w:t>三、质量标准</w:t>
      </w:r>
      <w:bookmarkEnd w:id="44"/>
    </w:p>
    <w:p w14:paraId="5C8F91A0">
      <w:pPr>
        <w:widowControl/>
        <w:adjustRightInd w:val="0"/>
        <w:snapToGrid w:val="0"/>
        <w:spacing w:line="360" w:lineRule="auto"/>
        <w:ind w:left="149" w:leftChars="71"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工程质量符合</w:t>
      </w:r>
      <w:r>
        <w:rPr>
          <w:rFonts w:hint="eastAsia" w:ascii="宋体" w:hAnsi="宋体" w:eastAsia="宋体" w:cs="宋体"/>
          <w:b/>
          <w:color w:val="auto"/>
          <w:kern w:val="0"/>
          <w:sz w:val="21"/>
          <w:szCs w:val="21"/>
          <w:highlight w:val="none"/>
          <w:u w:val="single"/>
        </w:rPr>
        <w:t xml:space="preserve">  国家规定的验收合格标准，一次性验收合格</w:t>
      </w:r>
      <w:r>
        <w:rPr>
          <w:rFonts w:hint="eastAsia" w:ascii="宋体" w:hAnsi="宋体" w:eastAsia="宋体" w:cs="宋体"/>
          <w:color w:val="auto"/>
          <w:kern w:val="0"/>
          <w:sz w:val="21"/>
          <w:szCs w:val="21"/>
          <w:highlight w:val="none"/>
        </w:rPr>
        <w:t>标准。</w:t>
      </w:r>
    </w:p>
    <w:p w14:paraId="48A1BC74">
      <w:pPr>
        <w:widowControl/>
        <w:spacing w:line="360" w:lineRule="auto"/>
        <w:jc w:val="left"/>
        <w:rPr>
          <w:rFonts w:hint="eastAsia" w:ascii="宋体" w:hAnsi="宋体" w:eastAsia="宋体" w:cs="宋体"/>
          <w:color w:val="auto"/>
          <w:kern w:val="0"/>
          <w:sz w:val="21"/>
          <w:szCs w:val="21"/>
          <w:highlight w:val="none"/>
        </w:rPr>
      </w:pPr>
      <w:bookmarkStart w:id="45" w:name="_Toc351203484"/>
      <w:r>
        <w:rPr>
          <w:rFonts w:hint="eastAsia" w:ascii="宋体" w:hAnsi="宋体" w:eastAsia="宋体" w:cs="宋体"/>
          <w:color w:val="auto"/>
          <w:kern w:val="0"/>
          <w:sz w:val="21"/>
          <w:szCs w:val="21"/>
          <w:highlight w:val="none"/>
        </w:rPr>
        <w:t>四、签约合同价与合同价格形式</w:t>
      </w:r>
      <w:bookmarkEnd w:id="45"/>
      <w:r>
        <w:rPr>
          <w:rFonts w:hint="eastAsia" w:ascii="宋体" w:hAnsi="宋体" w:eastAsia="宋体" w:cs="宋体"/>
          <w:color w:val="auto"/>
          <w:kern w:val="0"/>
          <w:sz w:val="21"/>
          <w:szCs w:val="21"/>
          <w:highlight w:val="none"/>
        </w:rPr>
        <w:tab/>
      </w:r>
    </w:p>
    <w:p w14:paraId="6AB7A0CB">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1.签约合同价为：</w:t>
      </w:r>
    </w:p>
    <w:p w14:paraId="1B00126E">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p>
    <w:p w14:paraId="30889946">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其中：</w:t>
      </w:r>
    </w:p>
    <w:p w14:paraId="4012DDC1">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（1）安全文明施工费：</w:t>
      </w:r>
    </w:p>
    <w:p w14:paraId="713F0EE1">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p>
    <w:p w14:paraId="79C983B5">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（2）材料和工程设备暂估价金额：</w:t>
      </w:r>
    </w:p>
    <w:p w14:paraId="68A87BA9">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p>
    <w:p w14:paraId="52C917A1">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（3）专业工程暂估价金额：</w:t>
      </w:r>
    </w:p>
    <w:p w14:paraId="516A0066">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p>
    <w:p w14:paraId="034655EC">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（4）暂列金额：</w:t>
      </w:r>
    </w:p>
    <w:p w14:paraId="7F9F1C26">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p>
    <w:p w14:paraId="79BB8A45">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2.合同价格形式：</w:t>
      </w:r>
      <w:r>
        <w:rPr>
          <w:rFonts w:hint="eastAsia" w:ascii="宋体" w:hAnsi="宋体" w:eastAsia="宋体" w:cs="宋体"/>
          <w:b/>
          <w:color w:val="auto"/>
          <w:kern w:val="0"/>
          <w:sz w:val="21"/>
          <w:szCs w:val="21"/>
          <w:highlight w:val="none"/>
          <w:u w:val="single"/>
        </w:rPr>
        <w:t xml:space="preserve">☑综合单价合同 □总价合同 </w:t>
      </w:r>
      <w:r>
        <w:rPr>
          <w:rFonts w:hint="eastAsia" w:ascii="宋体" w:hAnsi="宋体" w:eastAsia="宋体" w:cs="宋体"/>
          <w:color w:val="auto"/>
          <w:kern w:val="0"/>
          <w:sz w:val="21"/>
          <w:szCs w:val="21"/>
          <w:highlight w:val="none"/>
        </w:rPr>
        <w:t>。</w:t>
      </w:r>
    </w:p>
    <w:p w14:paraId="23F8737F">
      <w:pPr>
        <w:widowControl/>
        <w:spacing w:line="360" w:lineRule="auto"/>
        <w:jc w:val="left"/>
        <w:rPr>
          <w:rFonts w:hint="eastAsia" w:ascii="宋体" w:hAnsi="宋体" w:eastAsia="宋体" w:cs="宋体"/>
          <w:color w:val="auto"/>
          <w:kern w:val="0"/>
          <w:sz w:val="21"/>
          <w:szCs w:val="21"/>
          <w:highlight w:val="none"/>
        </w:rPr>
      </w:pPr>
      <w:bookmarkStart w:id="46" w:name="_Toc351203485"/>
      <w:r>
        <w:rPr>
          <w:rFonts w:hint="eastAsia" w:ascii="宋体" w:hAnsi="宋体" w:eastAsia="宋体" w:cs="宋体"/>
          <w:color w:val="auto"/>
          <w:kern w:val="0"/>
          <w:sz w:val="21"/>
          <w:szCs w:val="21"/>
          <w:highlight w:val="none"/>
        </w:rPr>
        <w:t>五、</w:t>
      </w:r>
      <w:bookmarkEnd w:id="46"/>
      <w:r>
        <w:rPr>
          <w:rFonts w:hint="eastAsia" w:ascii="宋体" w:hAnsi="宋体" w:eastAsia="宋体" w:cs="宋体"/>
          <w:color w:val="auto"/>
          <w:kern w:val="0"/>
          <w:sz w:val="21"/>
          <w:szCs w:val="21"/>
          <w:highlight w:val="none"/>
        </w:rPr>
        <w:t>项目经理</w:t>
      </w:r>
    </w:p>
    <w:p w14:paraId="45342200">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承包人项目经理：</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613D3714">
      <w:pPr>
        <w:widowControl/>
        <w:spacing w:line="360" w:lineRule="auto"/>
        <w:jc w:val="left"/>
        <w:rPr>
          <w:rFonts w:hint="eastAsia" w:ascii="宋体" w:hAnsi="宋体" w:eastAsia="宋体" w:cs="宋体"/>
          <w:color w:val="auto"/>
          <w:kern w:val="0"/>
          <w:sz w:val="21"/>
          <w:szCs w:val="21"/>
          <w:highlight w:val="none"/>
        </w:rPr>
      </w:pPr>
      <w:bookmarkStart w:id="47" w:name="_Toc351203486"/>
      <w:r>
        <w:rPr>
          <w:rFonts w:hint="eastAsia" w:ascii="宋体" w:hAnsi="宋体" w:eastAsia="宋体" w:cs="宋体"/>
          <w:color w:val="auto"/>
          <w:kern w:val="0"/>
          <w:sz w:val="21"/>
          <w:szCs w:val="21"/>
          <w:highlight w:val="none"/>
        </w:rPr>
        <w:t>六、合同文件构成</w:t>
      </w:r>
      <w:bookmarkEnd w:id="47"/>
    </w:p>
    <w:p w14:paraId="1D26CBFA">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本协议书与下列文件一起构成合同文件：</w:t>
      </w:r>
    </w:p>
    <w:p w14:paraId="2BAB39CB">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1、成交通知书；</w:t>
      </w:r>
    </w:p>
    <w:p w14:paraId="2E35CF2A">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2、本合同专用条款；</w:t>
      </w:r>
    </w:p>
    <w:p w14:paraId="1B69B806">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3、询标纪要；</w:t>
      </w:r>
    </w:p>
    <w:p w14:paraId="58D5B67F">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4、磋商文件及磋商补充文件；</w:t>
      </w:r>
    </w:p>
    <w:p w14:paraId="77692AE5">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5、响应文件及其附件（含已标价工程量清单）；</w:t>
      </w:r>
    </w:p>
    <w:p w14:paraId="66613ED7">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6、图纸；</w:t>
      </w:r>
    </w:p>
    <w:p w14:paraId="65CC2144">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7、本合同通用条款；</w:t>
      </w:r>
    </w:p>
    <w:p w14:paraId="18BC85A9">
      <w:pPr>
        <w:widowControl/>
        <w:autoSpaceDE w:val="0"/>
        <w:autoSpaceDN w:val="0"/>
        <w:adjustRightInd w:val="0"/>
        <w:snapToGrid w:val="0"/>
        <w:spacing w:line="360" w:lineRule="auto"/>
        <w:ind w:firstLine="422" w:firstLineChars="200"/>
        <w:rPr>
          <w:rFonts w:hint="eastAsia" w:ascii="宋体" w:hAnsi="宋体" w:eastAsia="宋体" w:cs="宋体"/>
          <w:b/>
          <w:color w:val="auto"/>
          <w:kern w:val="0"/>
          <w:sz w:val="21"/>
          <w:szCs w:val="21"/>
          <w:highlight w:val="none"/>
          <w:u w:val="single"/>
        </w:rPr>
      </w:pPr>
      <w:r>
        <w:rPr>
          <w:rFonts w:hint="eastAsia" w:ascii="宋体" w:hAnsi="宋体" w:eastAsia="宋体" w:cs="宋体"/>
          <w:b/>
          <w:color w:val="auto"/>
          <w:kern w:val="0"/>
          <w:sz w:val="21"/>
          <w:szCs w:val="21"/>
          <w:highlight w:val="none"/>
          <w:u w:val="single"/>
        </w:rPr>
        <w:t>8、标准、规范及有关技术文件；</w:t>
      </w:r>
    </w:p>
    <w:p w14:paraId="4A2AEAE7">
      <w:pPr>
        <w:widowControl/>
        <w:autoSpaceDE w:val="0"/>
        <w:autoSpaceDN w:val="0"/>
        <w:adjustRightInd w:val="0"/>
        <w:snapToGrid w:val="0"/>
        <w:spacing w:line="360" w:lineRule="auto"/>
        <w:ind w:firstLine="422" w:firstLineChars="200"/>
        <w:rPr>
          <w:rFonts w:hint="eastAsia" w:ascii="宋体" w:hAnsi="宋体" w:eastAsia="宋体" w:cs="宋体"/>
          <w:color w:val="auto"/>
          <w:kern w:val="0"/>
          <w:sz w:val="21"/>
          <w:szCs w:val="21"/>
          <w:highlight w:val="none"/>
        </w:rPr>
      </w:pPr>
      <w:r>
        <w:rPr>
          <w:rFonts w:hint="eastAsia" w:ascii="宋体" w:hAnsi="宋体" w:eastAsia="宋体" w:cs="宋体"/>
          <w:b/>
          <w:color w:val="auto"/>
          <w:kern w:val="0"/>
          <w:sz w:val="21"/>
          <w:szCs w:val="21"/>
          <w:highlight w:val="none"/>
          <w:u w:val="single"/>
        </w:rPr>
        <w:t>9、其他合同文件</w:t>
      </w:r>
      <w:r>
        <w:rPr>
          <w:rFonts w:hint="eastAsia" w:ascii="宋体" w:hAnsi="宋体" w:eastAsia="宋体" w:cs="宋体"/>
          <w:color w:val="auto"/>
          <w:kern w:val="0"/>
          <w:sz w:val="21"/>
          <w:szCs w:val="21"/>
          <w:highlight w:val="none"/>
        </w:rPr>
        <w:t>。</w:t>
      </w:r>
    </w:p>
    <w:p w14:paraId="26BF1152">
      <w:pPr>
        <w:widowControl/>
        <w:autoSpaceDE w:val="0"/>
        <w:autoSpaceDN w:val="0"/>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在合同订立及履行过程中形成的与合同有关的文件均构成合同文件组成部分。</w:t>
      </w:r>
    </w:p>
    <w:p w14:paraId="609BFD16">
      <w:pPr>
        <w:widowControl/>
        <w:autoSpaceDE w:val="0"/>
        <w:autoSpaceDN w:val="0"/>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29F314CA">
      <w:pPr>
        <w:widowControl/>
        <w:spacing w:line="360" w:lineRule="auto"/>
        <w:jc w:val="left"/>
        <w:rPr>
          <w:rFonts w:hint="eastAsia" w:ascii="宋体" w:hAnsi="宋体" w:eastAsia="宋体" w:cs="宋体"/>
          <w:color w:val="auto"/>
          <w:kern w:val="0"/>
          <w:sz w:val="21"/>
          <w:szCs w:val="21"/>
          <w:highlight w:val="none"/>
        </w:rPr>
      </w:pPr>
      <w:bookmarkStart w:id="48" w:name="_Toc351203487"/>
      <w:r>
        <w:rPr>
          <w:rFonts w:hint="eastAsia" w:ascii="宋体" w:hAnsi="宋体" w:eastAsia="宋体" w:cs="宋体"/>
          <w:color w:val="auto"/>
          <w:kern w:val="0"/>
          <w:sz w:val="21"/>
          <w:szCs w:val="21"/>
          <w:highlight w:val="none"/>
        </w:rPr>
        <w:t>七、承诺</w:t>
      </w:r>
      <w:bookmarkEnd w:id="48"/>
    </w:p>
    <w:p w14:paraId="2D5C5BFE">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1.发包人承诺按照法律规定履行项目审批手续、筹集工程建设资金并按照合同约定的期限和方式支付合同价款。</w:t>
      </w:r>
    </w:p>
    <w:p w14:paraId="2365FEED">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2.承包人承诺按照法律规定及合同约定组织完成工程施工，确保工程质量和安全，不进行转包及违法分包，并在缺陷责任期及保修期内承担相应的工程维修责任。</w:t>
      </w:r>
    </w:p>
    <w:p w14:paraId="6385EC50">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3.发包人和承包人通过招投标形式签订合同的，双方理解并承诺不再就同一工程另行签订与合同实质性内容相背离的协议。</w:t>
      </w:r>
    </w:p>
    <w:p w14:paraId="680D8222">
      <w:pPr>
        <w:widowControl/>
        <w:spacing w:line="360" w:lineRule="auto"/>
        <w:jc w:val="left"/>
        <w:rPr>
          <w:rFonts w:hint="eastAsia" w:ascii="宋体" w:hAnsi="宋体" w:eastAsia="宋体" w:cs="宋体"/>
          <w:color w:val="auto"/>
          <w:kern w:val="0"/>
          <w:sz w:val="21"/>
          <w:szCs w:val="21"/>
          <w:highlight w:val="none"/>
        </w:rPr>
      </w:pPr>
      <w:bookmarkStart w:id="49" w:name="_Toc351203488"/>
      <w:r>
        <w:rPr>
          <w:rFonts w:hint="eastAsia" w:ascii="宋体" w:hAnsi="宋体" w:eastAsia="宋体" w:cs="宋体"/>
          <w:color w:val="auto"/>
          <w:kern w:val="0"/>
          <w:sz w:val="21"/>
          <w:szCs w:val="21"/>
          <w:highlight w:val="none"/>
        </w:rPr>
        <w:t>八、词语含义</w:t>
      </w:r>
      <w:bookmarkEnd w:id="49"/>
    </w:p>
    <w:p w14:paraId="4ECCA5CD">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本协议书中词语含义与第二部分通用合同条款中赋予的含义相同。</w:t>
      </w:r>
    </w:p>
    <w:p w14:paraId="05A3E2F6">
      <w:pPr>
        <w:widowControl/>
        <w:spacing w:line="360" w:lineRule="auto"/>
        <w:jc w:val="left"/>
        <w:rPr>
          <w:rFonts w:hint="eastAsia" w:ascii="宋体" w:hAnsi="宋体" w:eastAsia="宋体" w:cs="宋体"/>
          <w:color w:val="auto"/>
          <w:kern w:val="0"/>
          <w:sz w:val="21"/>
          <w:szCs w:val="21"/>
          <w:highlight w:val="none"/>
        </w:rPr>
      </w:pPr>
      <w:bookmarkStart w:id="50" w:name="_Toc351203489"/>
      <w:r>
        <w:rPr>
          <w:rFonts w:hint="eastAsia" w:ascii="宋体" w:hAnsi="宋体" w:eastAsia="宋体" w:cs="宋体"/>
          <w:color w:val="auto"/>
          <w:kern w:val="0"/>
          <w:sz w:val="21"/>
          <w:szCs w:val="21"/>
          <w:highlight w:val="none"/>
        </w:rPr>
        <w:t>九、签订时间</w:t>
      </w:r>
      <w:bookmarkEnd w:id="50"/>
    </w:p>
    <w:p w14:paraId="4B9D0AD1">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本合同于</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日签订。</w:t>
      </w:r>
    </w:p>
    <w:p w14:paraId="32206621">
      <w:pPr>
        <w:widowControl/>
        <w:spacing w:line="360" w:lineRule="auto"/>
        <w:jc w:val="left"/>
        <w:rPr>
          <w:rFonts w:hint="eastAsia" w:ascii="宋体" w:hAnsi="宋体" w:eastAsia="宋体" w:cs="宋体"/>
          <w:color w:val="auto"/>
          <w:kern w:val="0"/>
          <w:sz w:val="21"/>
          <w:szCs w:val="21"/>
          <w:highlight w:val="none"/>
        </w:rPr>
      </w:pPr>
      <w:bookmarkStart w:id="51" w:name="_Toc351203490"/>
      <w:r>
        <w:rPr>
          <w:rFonts w:hint="eastAsia" w:ascii="宋体" w:hAnsi="宋体" w:eastAsia="宋体" w:cs="宋体"/>
          <w:color w:val="auto"/>
          <w:kern w:val="0"/>
          <w:sz w:val="21"/>
          <w:szCs w:val="21"/>
          <w:highlight w:val="none"/>
        </w:rPr>
        <w:t>十、签订地点</w:t>
      </w:r>
      <w:bookmarkEnd w:id="51"/>
    </w:p>
    <w:p w14:paraId="12CF6AA4">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本合同在</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签订。</w:t>
      </w:r>
    </w:p>
    <w:p w14:paraId="2B6AB757">
      <w:pPr>
        <w:widowControl/>
        <w:spacing w:line="360" w:lineRule="auto"/>
        <w:jc w:val="left"/>
        <w:rPr>
          <w:rFonts w:hint="eastAsia" w:ascii="宋体" w:hAnsi="宋体" w:eastAsia="宋体" w:cs="宋体"/>
          <w:color w:val="auto"/>
          <w:kern w:val="0"/>
          <w:sz w:val="21"/>
          <w:szCs w:val="21"/>
          <w:highlight w:val="none"/>
        </w:rPr>
      </w:pPr>
      <w:bookmarkStart w:id="52" w:name="_Toc351203491"/>
      <w:r>
        <w:rPr>
          <w:rFonts w:hint="eastAsia" w:ascii="宋体" w:hAnsi="宋体" w:eastAsia="宋体" w:cs="宋体"/>
          <w:color w:val="auto"/>
          <w:kern w:val="0"/>
          <w:sz w:val="21"/>
          <w:szCs w:val="21"/>
          <w:highlight w:val="none"/>
        </w:rPr>
        <w:t>十一、补充协议</w:t>
      </w:r>
      <w:bookmarkEnd w:id="52"/>
    </w:p>
    <w:p w14:paraId="0F947DB6">
      <w:pPr>
        <w:widowControl/>
        <w:adjustRightInd w:val="0"/>
        <w:snapToGrid w:val="0"/>
        <w:spacing w:line="360" w:lineRule="auto"/>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bCs/>
          <w:color w:val="auto"/>
          <w:kern w:val="0"/>
          <w:sz w:val="21"/>
          <w:szCs w:val="21"/>
          <w:highlight w:val="none"/>
        </w:rPr>
        <w:t>合同未尽事宜，合同当事人另行签订补充协议，补充协议是合同的组成部分。</w:t>
      </w:r>
    </w:p>
    <w:p w14:paraId="652DD77A">
      <w:pPr>
        <w:widowControl/>
        <w:spacing w:line="360" w:lineRule="auto"/>
        <w:jc w:val="left"/>
        <w:rPr>
          <w:rFonts w:hint="eastAsia" w:ascii="宋体" w:hAnsi="宋体" w:eastAsia="宋体" w:cs="宋体"/>
          <w:color w:val="auto"/>
          <w:kern w:val="0"/>
          <w:sz w:val="21"/>
          <w:szCs w:val="21"/>
          <w:highlight w:val="none"/>
        </w:rPr>
      </w:pPr>
      <w:bookmarkStart w:id="53" w:name="_Toc351203492"/>
      <w:r>
        <w:rPr>
          <w:rFonts w:hint="eastAsia" w:ascii="宋体" w:hAnsi="宋体" w:eastAsia="宋体" w:cs="宋体"/>
          <w:color w:val="auto"/>
          <w:kern w:val="0"/>
          <w:sz w:val="21"/>
          <w:szCs w:val="21"/>
          <w:highlight w:val="none"/>
        </w:rPr>
        <w:t>十二、合同生效</w:t>
      </w:r>
      <w:bookmarkEnd w:id="53"/>
    </w:p>
    <w:p w14:paraId="47F4A457">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本合同自</w:t>
      </w:r>
      <w:r>
        <w:rPr>
          <w:rFonts w:hint="eastAsia" w:ascii="宋体" w:hAnsi="宋体" w:eastAsia="宋体" w:cs="宋体"/>
          <w:b/>
          <w:color w:val="auto"/>
          <w:kern w:val="0"/>
          <w:sz w:val="21"/>
          <w:szCs w:val="21"/>
          <w:highlight w:val="none"/>
          <w:u w:val="single"/>
        </w:rPr>
        <w:t>双方签字盖章后且承包人提交足额的履约担保后</w:t>
      </w:r>
      <w:r>
        <w:rPr>
          <w:rFonts w:hint="eastAsia" w:ascii="宋体" w:hAnsi="宋体" w:eastAsia="宋体" w:cs="宋体"/>
          <w:bCs/>
          <w:color w:val="auto"/>
          <w:kern w:val="0"/>
          <w:sz w:val="21"/>
          <w:szCs w:val="21"/>
          <w:highlight w:val="none"/>
        </w:rPr>
        <w:t>生效。</w:t>
      </w:r>
    </w:p>
    <w:p w14:paraId="684B5895">
      <w:pPr>
        <w:widowControl/>
        <w:spacing w:line="360" w:lineRule="auto"/>
        <w:jc w:val="left"/>
        <w:rPr>
          <w:rFonts w:hint="eastAsia" w:ascii="宋体" w:hAnsi="宋体" w:eastAsia="宋体" w:cs="宋体"/>
          <w:color w:val="auto"/>
          <w:kern w:val="0"/>
          <w:sz w:val="21"/>
          <w:szCs w:val="21"/>
          <w:highlight w:val="none"/>
        </w:rPr>
      </w:pPr>
      <w:bookmarkStart w:id="54" w:name="_Toc351203493"/>
      <w:r>
        <w:rPr>
          <w:rFonts w:hint="eastAsia" w:ascii="宋体" w:hAnsi="宋体" w:eastAsia="宋体" w:cs="宋体"/>
          <w:color w:val="auto"/>
          <w:kern w:val="0"/>
          <w:sz w:val="21"/>
          <w:szCs w:val="21"/>
          <w:highlight w:val="none"/>
        </w:rPr>
        <w:t>十三、合同份数</w:t>
      </w:r>
      <w:bookmarkEnd w:id="54"/>
    </w:p>
    <w:p w14:paraId="409A2395">
      <w:pPr>
        <w:widowControl/>
        <w:adjustRightInd w:val="0"/>
        <w:snapToGrid w:val="0"/>
        <w:spacing w:line="360" w:lineRule="auto"/>
        <w:ind w:firstLine="420" w:firstLineChars="200"/>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本合同一式</w:t>
      </w:r>
      <w:r>
        <w:rPr>
          <w:rFonts w:hint="eastAsia" w:ascii="宋体" w:hAnsi="宋体" w:eastAsia="宋体" w:cs="宋体"/>
          <w:bCs/>
          <w:color w:val="auto"/>
          <w:kern w:val="0"/>
          <w:sz w:val="21"/>
          <w:szCs w:val="21"/>
          <w:highlight w:val="none"/>
          <w:u w:val="single"/>
        </w:rPr>
        <w:t>柒</w:t>
      </w:r>
      <w:r>
        <w:rPr>
          <w:rFonts w:hint="eastAsia" w:ascii="宋体" w:hAnsi="宋体" w:eastAsia="宋体" w:cs="宋体"/>
          <w:bCs/>
          <w:color w:val="auto"/>
          <w:kern w:val="0"/>
          <w:sz w:val="21"/>
          <w:szCs w:val="21"/>
          <w:highlight w:val="none"/>
        </w:rPr>
        <w:t>份，均具有同等法律效力，发包人执</w:t>
      </w:r>
      <w:r>
        <w:rPr>
          <w:rFonts w:hint="eastAsia" w:ascii="宋体" w:hAnsi="宋体" w:eastAsia="宋体" w:cs="宋体"/>
          <w:bCs/>
          <w:color w:val="auto"/>
          <w:kern w:val="0"/>
          <w:sz w:val="21"/>
          <w:szCs w:val="21"/>
          <w:highlight w:val="none"/>
          <w:u w:val="single"/>
        </w:rPr>
        <w:t>叁</w:t>
      </w:r>
      <w:r>
        <w:rPr>
          <w:rFonts w:hint="eastAsia" w:ascii="宋体" w:hAnsi="宋体" w:eastAsia="宋体" w:cs="宋体"/>
          <w:bCs/>
          <w:color w:val="auto"/>
          <w:kern w:val="0"/>
          <w:sz w:val="21"/>
          <w:szCs w:val="21"/>
          <w:highlight w:val="none"/>
        </w:rPr>
        <w:t>份，承包人执</w:t>
      </w:r>
      <w:r>
        <w:rPr>
          <w:rFonts w:hint="eastAsia" w:ascii="宋体" w:hAnsi="宋体" w:eastAsia="宋体" w:cs="宋体"/>
          <w:bCs/>
          <w:color w:val="auto"/>
          <w:kern w:val="0"/>
          <w:sz w:val="21"/>
          <w:szCs w:val="21"/>
          <w:highlight w:val="none"/>
          <w:u w:val="single"/>
        </w:rPr>
        <w:t>叁</w:t>
      </w:r>
      <w:r>
        <w:rPr>
          <w:rFonts w:hint="eastAsia" w:ascii="宋体" w:hAnsi="宋体" w:eastAsia="宋体" w:cs="宋体"/>
          <w:bCs/>
          <w:color w:val="auto"/>
          <w:kern w:val="0"/>
          <w:sz w:val="21"/>
          <w:szCs w:val="21"/>
          <w:highlight w:val="none"/>
        </w:rPr>
        <w:t>份，招标代理机构</w:t>
      </w:r>
      <w:r>
        <w:rPr>
          <w:rFonts w:hint="eastAsia" w:ascii="宋体" w:hAnsi="宋体" w:eastAsia="宋体" w:cs="宋体"/>
          <w:bCs/>
          <w:color w:val="auto"/>
          <w:kern w:val="0"/>
          <w:sz w:val="21"/>
          <w:szCs w:val="21"/>
          <w:highlight w:val="none"/>
          <w:u w:val="single"/>
        </w:rPr>
        <w:t>壹</w:t>
      </w:r>
      <w:r>
        <w:rPr>
          <w:rFonts w:hint="eastAsia" w:ascii="宋体" w:hAnsi="宋体" w:eastAsia="宋体" w:cs="宋体"/>
          <w:bCs/>
          <w:color w:val="auto"/>
          <w:kern w:val="0"/>
          <w:sz w:val="21"/>
          <w:szCs w:val="21"/>
          <w:highlight w:val="none"/>
        </w:rPr>
        <w:t>份。</w:t>
      </w:r>
    </w:p>
    <w:p w14:paraId="5D8277B3">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p>
    <w:p w14:paraId="50E33AB3">
      <w:pPr>
        <w:widowControl/>
        <w:adjustRightInd w:val="0"/>
        <w:snapToGrid w:val="0"/>
        <w:spacing w:line="360" w:lineRule="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 xml:space="preserve">发包人：  </w:t>
      </w:r>
      <w:r>
        <w:rPr>
          <w:rFonts w:hint="eastAsia" w:ascii="宋体" w:hAnsi="宋体" w:eastAsia="宋体" w:cs="宋体"/>
          <w:color w:val="auto"/>
          <w:spacing w:val="-6"/>
          <w:kern w:val="0"/>
          <w:sz w:val="21"/>
          <w:szCs w:val="21"/>
          <w:highlight w:val="none"/>
        </w:rPr>
        <w:t>（公章/合同专用章）</w:t>
      </w:r>
      <w:r>
        <w:rPr>
          <w:rFonts w:hint="eastAsia" w:ascii="宋体" w:hAnsi="宋体" w:eastAsia="宋体" w:cs="宋体"/>
          <w:color w:val="auto"/>
          <w:kern w:val="0"/>
          <w:sz w:val="21"/>
          <w:szCs w:val="21"/>
          <w:highlight w:val="none"/>
        </w:rPr>
        <w:t xml:space="preserve">          承包人：  </w:t>
      </w:r>
      <w:r>
        <w:rPr>
          <w:rFonts w:hint="eastAsia" w:ascii="宋体" w:hAnsi="宋体" w:eastAsia="宋体" w:cs="宋体"/>
          <w:color w:val="auto"/>
          <w:spacing w:val="-6"/>
          <w:kern w:val="0"/>
          <w:sz w:val="21"/>
          <w:szCs w:val="21"/>
          <w:highlight w:val="none"/>
        </w:rPr>
        <w:t>（公章/合同专用章）</w:t>
      </w:r>
      <w:r>
        <w:rPr>
          <w:rFonts w:hint="eastAsia" w:ascii="宋体" w:hAnsi="宋体" w:eastAsia="宋体" w:cs="宋体"/>
          <w:color w:val="auto"/>
          <w:kern w:val="0"/>
          <w:sz w:val="21"/>
          <w:szCs w:val="21"/>
          <w:highlight w:val="none"/>
        </w:rPr>
        <w:t xml:space="preserve">                         </w:t>
      </w:r>
    </w:p>
    <w:p w14:paraId="1C2251B0">
      <w:pPr>
        <w:widowControl/>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             法定代表人或其委托代理人：</w:t>
      </w:r>
    </w:p>
    <w:p w14:paraId="6645F7FF">
      <w:pPr>
        <w:widowControl/>
        <w:adjustRightInd w:val="0"/>
        <w:snapToGrid w:val="0"/>
        <w:spacing w:line="360" w:lineRule="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（签字）                              （签字）</w:t>
      </w:r>
    </w:p>
    <w:p w14:paraId="0F1FFDBE">
      <w:pPr>
        <w:widowControl/>
        <w:tabs>
          <w:tab w:val="left" w:pos="4410"/>
        </w:tabs>
        <w:spacing w:line="400" w:lineRule="exact"/>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组织机构代码：                          组织机构代码：</w:t>
      </w:r>
      <w:r>
        <w:rPr>
          <w:rFonts w:hint="eastAsia" w:ascii="宋体" w:hAnsi="宋体" w:eastAsia="宋体" w:cs="宋体"/>
          <w:color w:val="auto"/>
          <w:kern w:val="0"/>
          <w:sz w:val="21"/>
          <w:szCs w:val="21"/>
          <w:highlight w:val="none"/>
          <w:u w:val="single"/>
        </w:rPr>
        <w:t xml:space="preserve">        </w:t>
      </w:r>
    </w:p>
    <w:p w14:paraId="4E807024">
      <w:pPr>
        <w:widowControl/>
        <w:spacing w:line="400" w:lineRule="exact"/>
        <w:ind w:left="5280" w:hanging="5040" w:hangingChars="24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地  址：                                地  址：</w:t>
      </w:r>
      <w:r>
        <w:rPr>
          <w:rFonts w:hint="eastAsia" w:ascii="宋体" w:hAnsi="宋体" w:eastAsia="宋体" w:cs="宋体"/>
          <w:color w:val="auto"/>
          <w:kern w:val="0"/>
          <w:sz w:val="21"/>
          <w:szCs w:val="21"/>
          <w:highlight w:val="none"/>
          <w:u w:val="single"/>
        </w:rPr>
        <w:t xml:space="preserve">                                 </w:t>
      </w:r>
    </w:p>
    <w:p w14:paraId="7DCF5DCD">
      <w:pPr>
        <w:widowControl/>
        <w:spacing w:line="400" w:lineRule="exact"/>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邮政编码：                              邮政编码：</w:t>
      </w:r>
      <w:r>
        <w:rPr>
          <w:rFonts w:hint="eastAsia" w:ascii="宋体" w:hAnsi="宋体" w:eastAsia="宋体" w:cs="宋体"/>
          <w:color w:val="auto"/>
          <w:kern w:val="0"/>
          <w:sz w:val="21"/>
          <w:szCs w:val="21"/>
          <w:highlight w:val="none"/>
          <w:u w:val="single"/>
        </w:rPr>
        <w:t xml:space="preserve"> </w:t>
      </w:r>
    </w:p>
    <w:p w14:paraId="22FA4690">
      <w:pPr>
        <w:widowControl/>
        <w:spacing w:line="4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  话：                                电  话：</w:t>
      </w:r>
      <w:r>
        <w:rPr>
          <w:rFonts w:hint="eastAsia" w:ascii="宋体" w:hAnsi="宋体" w:eastAsia="宋体" w:cs="宋体"/>
          <w:color w:val="auto"/>
          <w:kern w:val="0"/>
          <w:sz w:val="21"/>
          <w:szCs w:val="21"/>
          <w:highlight w:val="none"/>
          <w:u w:val="single"/>
        </w:rPr>
        <w:t xml:space="preserve">        </w:t>
      </w:r>
    </w:p>
    <w:p w14:paraId="4066D47E">
      <w:pPr>
        <w:widowControl/>
        <w:spacing w:line="4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  真：                                传  真：</w:t>
      </w:r>
      <w:r>
        <w:rPr>
          <w:rFonts w:hint="eastAsia" w:ascii="宋体" w:hAnsi="宋体" w:eastAsia="宋体" w:cs="宋体"/>
          <w:color w:val="auto"/>
          <w:kern w:val="0"/>
          <w:sz w:val="21"/>
          <w:szCs w:val="21"/>
          <w:highlight w:val="none"/>
          <w:u w:val="single"/>
        </w:rPr>
        <w:t xml:space="preserve">           </w:t>
      </w:r>
    </w:p>
    <w:p w14:paraId="3268B12E">
      <w:pPr>
        <w:widowControl/>
        <w:spacing w:line="4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电子信箱：                              电子信箱：</w:t>
      </w:r>
      <w:r>
        <w:rPr>
          <w:rFonts w:hint="eastAsia" w:ascii="宋体" w:hAnsi="宋体" w:eastAsia="宋体" w:cs="宋体"/>
          <w:color w:val="auto"/>
          <w:kern w:val="0"/>
          <w:sz w:val="21"/>
          <w:szCs w:val="21"/>
          <w:highlight w:val="none"/>
          <w:u w:val="single"/>
        </w:rPr>
        <w:t xml:space="preserve">      </w:t>
      </w:r>
    </w:p>
    <w:p w14:paraId="36EE0981">
      <w:pPr>
        <w:widowControl/>
        <w:spacing w:line="4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                              开户银行：</w:t>
      </w:r>
      <w:r>
        <w:rPr>
          <w:rFonts w:hint="eastAsia" w:ascii="宋体" w:hAnsi="宋体" w:eastAsia="宋体" w:cs="宋体"/>
          <w:color w:val="auto"/>
          <w:kern w:val="0"/>
          <w:sz w:val="21"/>
          <w:szCs w:val="21"/>
          <w:highlight w:val="none"/>
          <w:u w:val="single"/>
        </w:rPr>
        <w:t xml:space="preserve">   </w:t>
      </w:r>
    </w:p>
    <w:p w14:paraId="19422F14">
      <w:pPr>
        <w:widowControl/>
        <w:spacing w:line="4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  号：                                账  号：</w:t>
      </w:r>
      <w:r>
        <w:rPr>
          <w:rFonts w:hint="eastAsia" w:ascii="宋体" w:hAnsi="宋体" w:eastAsia="宋体" w:cs="宋体"/>
          <w:color w:val="auto"/>
          <w:kern w:val="0"/>
          <w:sz w:val="21"/>
          <w:szCs w:val="21"/>
          <w:highlight w:val="none"/>
          <w:u w:val="single"/>
        </w:rPr>
        <w:t xml:space="preserve"> </w:t>
      </w:r>
    </w:p>
    <w:p w14:paraId="7A5AB3A8">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p>
    <w:p w14:paraId="2765BF96">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采购代理机构： </w:t>
      </w:r>
      <w:r>
        <w:rPr>
          <w:rFonts w:hint="eastAsia" w:ascii="宋体" w:hAnsi="宋体" w:eastAsia="宋体" w:cs="宋体"/>
          <w:color w:val="auto"/>
          <w:spacing w:val="-6"/>
          <w:kern w:val="0"/>
          <w:sz w:val="21"/>
          <w:szCs w:val="21"/>
          <w:highlight w:val="none"/>
        </w:rPr>
        <w:t>（公章/合同专用章）</w:t>
      </w:r>
    </w:p>
    <w:p w14:paraId="7219917D">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采购代理机构代表：（签字）</w:t>
      </w:r>
    </w:p>
    <w:p w14:paraId="63124103">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p w14:paraId="7455C4BC">
      <w:pPr>
        <w:widowControl/>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p w14:paraId="51546F24">
      <w:pPr>
        <w:widowControl/>
        <w:adjustRightInd w:val="0"/>
        <w:snapToGrid w:val="0"/>
        <w:spacing w:line="360" w:lineRule="auto"/>
        <w:ind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鉴证时间：    年   月   日</w:t>
      </w:r>
      <w:r>
        <w:rPr>
          <w:rFonts w:hint="eastAsia" w:ascii="宋体" w:hAnsi="宋体" w:eastAsia="宋体" w:cs="宋体"/>
          <w:color w:val="auto"/>
          <w:kern w:val="0"/>
          <w:sz w:val="21"/>
          <w:szCs w:val="21"/>
          <w:highlight w:val="none"/>
          <w:u w:val="single"/>
        </w:rPr>
        <w:br w:type="page"/>
      </w:r>
      <w:bookmarkStart w:id="55" w:name="_Toc337558727"/>
      <w:r>
        <w:rPr>
          <w:rFonts w:hint="eastAsia" w:ascii="宋体" w:hAnsi="宋体" w:eastAsia="宋体" w:cs="宋体"/>
          <w:b/>
          <w:bCs/>
          <w:color w:val="auto"/>
          <w:kern w:val="0"/>
          <w:szCs w:val="21"/>
          <w:highlight w:val="none"/>
        </w:rPr>
        <w:t>第二部分 通用合同条款</w:t>
      </w:r>
    </w:p>
    <w:p w14:paraId="2B643019">
      <w:pPr>
        <w:widowControl/>
        <w:adjustRightInd w:val="0"/>
        <w:snapToGrid w:val="0"/>
        <w:spacing w:line="360" w:lineRule="auto"/>
        <w:ind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略，见（GF—2017—0201）《建设工程施工合同》（示范文本）</w:t>
      </w:r>
    </w:p>
    <w:bookmarkEnd w:id="55"/>
    <w:p w14:paraId="15D7C758">
      <w:pPr>
        <w:widowControl/>
        <w:adjustRightInd w:val="0"/>
        <w:snapToGrid w:val="0"/>
        <w:spacing w:line="360" w:lineRule="auto"/>
        <w:ind w:firstLine="422" w:firstLineChars="200"/>
        <w:jc w:val="center"/>
        <w:rPr>
          <w:rFonts w:hint="eastAsia" w:ascii="宋体" w:hAnsi="宋体" w:eastAsia="宋体" w:cs="宋体"/>
          <w:b/>
          <w:bCs/>
          <w:color w:val="auto"/>
          <w:kern w:val="0"/>
          <w:szCs w:val="21"/>
          <w:highlight w:val="none"/>
        </w:rPr>
      </w:pPr>
      <w:bookmarkStart w:id="56" w:name="_Toc351203632"/>
      <w:r>
        <w:rPr>
          <w:rFonts w:hint="eastAsia" w:ascii="宋体" w:hAnsi="宋体" w:eastAsia="宋体" w:cs="宋体"/>
          <w:b/>
          <w:bCs/>
          <w:color w:val="auto"/>
          <w:kern w:val="0"/>
          <w:szCs w:val="21"/>
          <w:highlight w:val="none"/>
        </w:rPr>
        <w:t>第三部分 专用合同条款</w:t>
      </w:r>
      <w:bookmarkEnd w:id="56"/>
    </w:p>
    <w:p w14:paraId="5EE8DF5D">
      <w:pPr>
        <w:keepNext/>
        <w:keepLines/>
        <w:spacing w:before="280" w:after="290" w:line="360" w:lineRule="auto"/>
        <w:ind w:firstLine="420" w:firstLineChars="200"/>
        <w:outlineLvl w:val="3"/>
        <w:rPr>
          <w:rFonts w:hint="eastAsia" w:ascii="宋体" w:hAnsi="宋体" w:eastAsia="宋体" w:cs="宋体"/>
          <w:bCs/>
          <w:color w:val="auto"/>
          <w:szCs w:val="21"/>
          <w:highlight w:val="none"/>
        </w:rPr>
      </w:pPr>
      <w:bookmarkStart w:id="57" w:name="_Toc351203633"/>
      <w:r>
        <w:rPr>
          <w:rFonts w:hint="eastAsia" w:ascii="宋体" w:hAnsi="宋体" w:eastAsia="宋体" w:cs="宋体"/>
          <w:bCs/>
          <w:color w:val="auto"/>
          <w:szCs w:val="21"/>
          <w:highlight w:val="none"/>
        </w:rPr>
        <w:t>1</w:t>
      </w:r>
      <w:bookmarkStart w:id="58" w:name="_Toc292559361"/>
      <w:bookmarkStart w:id="59" w:name="_Toc296890984"/>
      <w:bookmarkStart w:id="60" w:name="_Toc296346657"/>
      <w:bookmarkStart w:id="61" w:name="_Toc292559866"/>
      <w:bookmarkStart w:id="62" w:name="_Toc297120456"/>
      <w:bookmarkStart w:id="63" w:name="_Toc296944495"/>
      <w:bookmarkStart w:id="64" w:name="_Toc297048342"/>
      <w:bookmarkStart w:id="65" w:name="_Toc296347155"/>
      <w:bookmarkStart w:id="66" w:name="_Toc296891196"/>
      <w:bookmarkStart w:id="67" w:name="_Toc296503156"/>
      <w:r>
        <w:rPr>
          <w:rFonts w:hint="eastAsia" w:ascii="宋体" w:hAnsi="宋体" w:eastAsia="宋体" w:cs="宋体"/>
          <w:bCs/>
          <w:color w:val="auto"/>
          <w:szCs w:val="21"/>
          <w:highlight w:val="none"/>
        </w:rPr>
        <w:t>. 一般约定</w:t>
      </w:r>
      <w:bookmarkEnd w:id="57"/>
    </w:p>
    <w:bookmarkEnd w:id="58"/>
    <w:bookmarkEnd w:id="59"/>
    <w:bookmarkEnd w:id="60"/>
    <w:bookmarkEnd w:id="61"/>
    <w:bookmarkEnd w:id="62"/>
    <w:bookmarkEnd w:id="63"/>
    <w:bookmarkEnd w:id="64"/>
    <w:bookmarkEnd w:id="65"/>
    <w:bookmarkEnd w:id="66"/>
    <w:bookmarkEnd w:id="67"/>
    <w:p w14:paraId="3031CA14">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 词语定义</w:t>
      </w:r>
    </w:p>
    <w:p w14:paraId="54D80EF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1.1.1合同</w:t>
      </w:r>
    </w:p>
    <w:p w14:paraId="1D21375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1.1.1.10其他合同文件包括：</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19DEC67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合同当事人及其他相关方</w:t>
      </w:r>
    </w:p>
    <w:p w14:paraId="09E1C7D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1.1.2.4监理人：</w:t>
      </w:r>
    </w:p>
    <w:p w14:paraId="293D2EB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    称：</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7824863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资质类别和等级：</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352EC16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496E347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5C917BE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5F44B94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设计人：</w:t>
      </w:r>
    </w:p>
    <w:p w14:paraId="7BB5BD3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    称：</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327D5AE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资质类别和等级：</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7840273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4F47EA8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4B92A2D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1484512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工程和设备</w:t>
      </w:r>
    </w:p>
    <w:p w14:paraId="180209F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1.1.3.7 作为施工现场组成部分的其他场所包括：</w:t>
      </w:r>
      <w:r>
        <w:rPr>
          <w:rFonts w:hint="eastAsia" w:ascii="宋体" w:hAnsi="宋体" w:eastAsia="宋体" w:cs="宋体"/>
          <w:color w:val="auto"/>
          <w:kern w:val="0"/>
          <w:szCs w:val="21"/>
          <w:highlight w:val="none"/>
          <w:u w:val="single"/>
        </w:rPr>
        <w:t xml:space="preserve"> /   </w:t>
      </w:r>
    </w:p>
    <w:p w14:paraId="7C9B507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1.1.3.9 永久占地包括：</w:t>
      </w:r>
      <w:r>
        <w:rPr>
          <w:rFonts w:hint="eastAsia" w:ascii="宋体" w:hAnsi="宋体" w:eastAsia="宋体" w:cs="宋体"/>
          <w:color w:val="auto"/>
          <w:kern w:val="0"/>
          <w:szCs w:val="21"/>
          <w:highlight w:val="none"/>
          <w:u w:val="single"/>
        </w:rPr>
        <w:t xml:space="preserve">       /    </w:t>
      </w:r>
    </w:p>
    <w:p w14:paraId="6E571D9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1.1.3.10 临时占地包括：</w:t>
      </w:r>
      <w:r>
        <w:rPr>
          <w:rFonts w:hint="eastAsia" w:ascii="宋体" w:hAnsi="宋体" w:eastAsia="宋体" w:cs="宋体"/>
          <w:color w:val="auto"/>
          <w:kern w:val="0"/>
          <w:szCs w:val="21"/>
          <w:highlight w:val="none"/>
          <w:u w:val="single"/>
        </w:rPr>
        <w:t xml:space="preserve">     /    </w:t>
      </w:r>
    </w:p>
    <w:p w14:paraId="0A42308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1.3法律 </w:t>
      </w:r>
    </w:p>
    <w:p w14:paraId="3C76107A">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适用于合同的其他规范性文件：</w:t>
      </w:r>
      <w:r>
        <w:rPr>
          <w:rFonts w:hint="eastAsia" w:ascii="宋体" w:hAnsi="宋体" w:eastAsia="宋体" w:cs="宋体"/>
          <w:b/>
          <w:color w:val="auto"/>
          <w:kern w:val="0"/>
          <w:szCs w:val="21"/>
          <w:highlight w:val="none"/>
          <w:u w:val="single"/>
        </w:rPr>
        <w:t>《中华人民共和国建筑法》、《中华人民共和国民法典》、《中华人民共和国政府采购法》及国家、浙江省、杭州市现行的其它法律、行政法规、地方性法规</w:t>
      </w:r>
      <w:r>
        <w:rPr>
          <w:rFonts w:hint="eastAsia" w:ascii="宋体" w:hAnsi="宋体" w:eastAsia="宋体" w:cs="宋体"/>
          <w:color w:val="auto"/>
          <w:kern w:val="0"/>
          <w:szCs w:val="21"/>
          <w:highlight w:val="none"/>
        </w:rPr>
        <w:t>。</w:t>
      </w:r>
    </w:p>
    <w:p w14:paraId="5748AC3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 标准和规范</w:t>
      </w:r>
    </w:p>
    <w:p w14:paraId="1F7C86B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1.4.1适用于工程的标准规范包括：</w:t>
      </w:r>
      <w:r>
        <w:rPr>
          <w:rFonts w:hint="eastAsia" w:ascii="宋体" w:hAnsi="宋体" w:eastAsia="宋体" w:cs="宋体"/>
          <w:b/>
          <w:color w:val="auto"/>
          <w:kern w:val="0"/>
          <w:szCs w:val="21"/>
          <w:highlight w:val="none"/>
          <w:u w:val="single"/>
        </w:rPr>
        <w:t>按最新、最严格国家标准、地方规范执行。如遇设计或施工规范和标准对同一问题的处理出现矛盾的情况时，承包方应及时通知发包人，并提出解决办法，征得发包人的同意后实施</w:t>
      </w:r>
      <w:r>
        <w:rPr>
          <w:rFonts w:hint="eastAsia" w:ascii="宋体" w:hAnsi="宋体" w:eastAsia="宋体" w:cs="宋体"/>
          <w:color w:val="auto"/>
          <w:kern w:val="0"/>
          <w:szCs w:val="21"/>
          <w:highlight w:val="none"/>
        </w:rPr>
        <w:t>。</w:t>
      </w:r>
    </w:p>
    <w:p w14:paraId="505A19E6">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1.4.2 发包人提供国外标准、规范的名称：</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2B36803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发包人提供国外标准、规范的份数：</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266693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发包人提供国外标准、规范的名称：</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7BD5225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1.4.3发包人对工程的技术标准和功能要求的特殊要求：</w:t>
      </w:r>
      <w:r>
        <w:rPr>
          <w:rFonts w:hint="eastAsia" w:ascii="宋体" w:hAnsi="宋体" w:eastAsia="宋体" w:cs="宋体"/>
          <w:b/>
          <w:color w:val="auto"/>
          <w:kern w:val="0"/>
          <w:szCs w:val="21"/>
          <w:highlight w:val="none"/>
          <w:u w:val="single"/>
        </w:rPr>
        <w:t xml:space="preserve">按磋商文件相关条款的约定   </w:t>
      </w:r>
      <w:r>
        <w:rPr>
          <w:rFonts w:hint="eastAsia" w:ascii="宋体" w:hAnsi="宋体" w:eastAsia="宋体" w:cs="宋体"/>
          <w:color w:val="auto"/>
          <w:kern w:val="0"/>
          <w:szCs w:val="21"/>
          <w:highlight w:val="none"/>
        </w:rPr>
        <w:t>。</w:t>
      </w:r>
    </w:p>
    <w:p w14:paraId="65BB3407">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 合同文件的优先顺序</w:t>
      </w:r>
    </w:p>
    <w:p w14:paraId="7762E09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合同文件组成及优先顺序为：</w:t>
      </w:r>
    </w:p>
    <w:p w14:paraId="46EF205F">
      <w:pPr>
        <w:widowControl/>
        <w:autoSpaceDE w:val="0"/>
        <w:autoSpaceDN w:val="0"/>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u w:val="single"/>
        </w:rPr>
        <w:t>1、本合同协议书；2、成交通知书；3、本合同专用条款；4、询标纪要；5、磋商文件及磋商补充文件；6、响应文件及其附件（含已标价工程量清单）；7、图纸；8、本合同通用条款； 9、标准、规范及有关技术文件；10、其他合同文件</w:t>
      </w:r>
      <w:r>
        <w:rPr>
          <w:rFonts w:hint="eastAsia" w:ascii="宋体" w:hAnsi="宋体" w:eastAsia="宋体" w:cs="宋体"/>
          <w:color w:val="auto"/>
          <w:kern w:val="0"/>
          <w:szCs w:val="21"/>
          <w:highlight w:val="none"/>
        </w:rPr>
        <w:t>。</w:t>
      </w:r>
    </w:p>
    <w:p w14:paraId="6C8E3615">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u w:val="single"/>
        </w:rPr>
        <w:t>双方有关工程的洽商、变更等书面协议或文件视为本合同的组成部分。除上述合同顺序外，合同文件之间有矛盾的，以时间较晚者为准，任何不在上列的其他文件，皆不影响合同文件，除非双方另签补充合同</w:t>
      </w:r>
      <w:r>
        <w:rPr>
          <w:rFonts w:hint="eastAsia" w:ascii="宋体" w:hAnsi="宋体" w:eastAsia="宋体" w:cs="宋体"/>
          <w:color w:val="auto"/>
          <w:kern w:val="0"/>
          <w:szCs w:val="21"/>
          <w:highlight w:val="none"/>
        </w:rPr>
        <w:t>。</w:t>
      </w:r>
    </w:p>
    <w:p w14:paraId="36361CFC">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 图纸和承包人文件</w:t>
      </w:r>
    </w:p>
    <w:p w14:paraId="1F6DC4E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 图纸的提供</w:t>
      </w:r>
    </w:p>
    <w:p w14:paraId="6B25183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发包人向承包人提供图纸的期限：</w:t>
      </w:r>
      <w:r>
        <w:rPr>
          <w:rFonts w:hint="eastAsia" w:ascii="宋体" w:hAnsi="宋体" w:eastAsia="宋体" w:cs="宋体"/>
          <w:b/>
          <w:color w:val="auto"/>
          <w:kern w:val="0"/>
          <w:szCs w:val="21"/>
          <w:highlight w:val="none"/>
          <w:u w:val="single"/>
        </w:rPr>
        <w:t>合同签定后【3】天内</w:t>
      </w:r>
      <w:r>
        <w:rPr>
          <w:rFonts w:hint="eastAsia" w:ascii="宋体" w:hAnsi="宋体" w:eastAsia="宋体" w:cs="宋体"/>
          <w:color w:val="auto"/>
          <w:kern w:val="0"/>
          <w:szCs w:val="21"/>
          <w:highlight w:val="none"/>
        </w:rPr>
        <w:t>；</w:t>
      </w:r>
    </w:p>
    <w:p w14:paraId="241940AA">
      <w:pPr>
        <w:widowControl/>
        <w:adjustRightInd w:val="0"/>
        <w:snapToGrid w:val="0"/>
        <w:spacing w:line="360" w:lineRule="auto"/>
        <w:ind w:firstLine="420" w:firstLineChars="200"/>
        <w:rPr>
          <w:rFonts w:hint="eastAsia" w:ascii="宋体" w:hAnsi="宋体" w:eastAsia="宋体" w:cs="宋体"/>
          <w:b/>
          <w:color w:val="auto"/>
          <w:kern w:val="0"/>
          <w:szCs w:val="21"/>
          <w:highlight w:val="none"/>
          <w:u w:val="single"/>
        </w:rPr>
      </w:pPr>
      <w:r>
        <w:rPr>
          <w:rFonts w:hint="eastAsia" w:ascii="宋体" w:hAnsi="宋体" w:eastAsia="宋体" w:cs="宋体"/>
          <w:color w:val="auto"/>
          <w:kern w:val="0"/>
          <w:szCs w:val="21"/>
          <w:highlight w:val="none"/>
        </w:rPr>
        <w:t>发包人向承包人提供图纸的数量：</w:t>
      </w:r>
      <w:r>
        <w:rPr>
          <w:rFonts w:hint="eastAsia" w:ascii="宋体" w:hAnsi="宋体" w:eastAsia="宋体" w:cs="宋体"/>
          <w:b/>
          <w:color w:val="auto"/>
          <w:kern w:val="0"/>
          <w:szCs w:val="21"/>
          <w:highlight w:val="none"/>
          <w:u w:val="single"/>
        </w:rPr>
        <w:t>提供施工图纸【4】套，如承包人额外需要增加施工图纸套数的，所需费由承包人承担</w:t>
      </w:r>
      <w:r>
        <w:rPr>
          <w:rFonts w:hint="eastAsia" w:ascii="宋体" w:hAnsi="宋体" w:eastAsia="宋体" w:cs="宋体"/>
          <w:color w:val="auto"/>
          <w:kern w:val="0"/>
          <w:szCs w:val="21"/>
          <w:highlight w:val="none"/>
        </w:rPr>
        <w:t>；</w:t>
      </w:r>
      <w:r>
        <w:rPr>
          <w:rFonts w:hint="eastAsia" w:ascii="宋体" w:hAnsi="宋体" w:eastAsia="宋体" w:cs="宋体"/>
          <w:b/>
          <w:color w:val="auto"/>
          <w:kern w:val="0"/>
          <w:szCs w:val="21"/>
          <w:highlight w:val="none"/>
          <w:u w:val="single"/>
        </w:rPr>
        <w:t>所有的技术标准、行业标准、技术规范、标准图均由承包人自备。</w:t>
      </w:r>
    </w:p>
    <w:p w14:paraId="5519A66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发包人向承包人提供图纸的内容：</w:t>
      </w:r>
      <w:r>
        <w:rPr>
          <w:rFonts w:hint="eastAsia" w:ascii="宋体" w:hAnsi="宋体" w:eastAsia="宋体" w:cs="宋体"/>
          <w:b/>
          <w:color w:val="auto"/>
          <w:kern w:val="0"/>
          <w:szCs w:val="21"/>
          <w:highlight w:val="none"/>
          <w:u w:val="single"/>
        </w:rPr>
        <w:t>【本工程施工范围】，承包人在施工前应充分、仔细审阅图纸，如有问题，应在收到之日起【5】日内一次性提出，并与发包人、设计人进行设计交底。逾期未提出导致的窝工、返工等任何不利后果，由承包人自行解决。</w:t>
      </w:r>
      <w:r>
        <w:rPr>
          <w:rFonts w:hint="eastAsia" w:ascii="宋体" w:hAnsi="宋体" w:eastAsia="宋体" w:cs="宋体"/>
          <w:color w:val="auto"/>
          <w:kern w:val="0"/>
          <w:szCs w:val="21"/>
          <w:highlight w:val="none"/>
        </w:rPr>
        <w:t>。</w:t>
      </w:r>
    </w:p>
    <w:p w14:paraId="0B870A5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1.6.4 承包人文件</w:t>
      </w:r>
    </w:p>
    <w:p w14:paraId="7BEC6FB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需要由承包人提供的文件，包括但不限于：</w:t>
      </w:r>
      <w:r>
        <w:rPr>
          <w:rFonts w:hint="eastAsia" w:ascii="宋体" w:hAnsi="宋体" w:eastAsia="宋体" w:cs="宋体"/>
          <w:b/>
          <w:color w:val="auto"/>
          <w:kern w:val="0"/>
          <w:szCs w:val="21"/>
          <w:highlight w:val="none"/>
          <w:u w:val="single"/>
        </w:rPr>
        <w:t>施工组织设计（施工方案）、进度计划、每月实际已完工程进度报告和已完成工程量月报表、下月进度计划表和拟完工工程量表及其他按发包人或监理人要求须由承包人提供文件</w:t>
      </w:r>
      <w:r>
        <w:rPr>
          <w:rFonts w:hint="eastAsia" w:ascii="宋体" w:hAnsi="宋体" w:eastAsia="宋体" w:cs="宋体"/>
          <w:color w:val="auto"/>
          <w:kern w:val="0"/>
          <w:szCs w:val="21"/>
          <w:highlight w:val="none"/>
        </w:rPr>
        <w:t>；</w:t>
      </w:r>
    </w:p>
    <w:p w14:paraId="5126935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承包人提供的文件的期限为：</w:t>
      </w:r>
      <w:r>
        <w:rPr>
          <w:rFonts w:hint="eastAsia" w:ascii="宋体" w:hAnsi="宋体" w:eastAsia="宋体" w:cs="宋体"/>
          <w:b/>
          <w:color w:val="auto"/>
          <w:kern w:val="0"/>
          <w:szCs w:val="21"/>
          <w:highlight w:val="none"/>
          <w:u w:val="single"/>
        </w:rPr>
        <w:t>合同签订后【5】天内提供，承包人逾期提供施工组织设计、进度计划、发包人和政府规定要求必须提供的其他文件的，每逾期一天应向发包人支付【1000】元违约金；逾期累计超过【60】天的，发包人有权解除合同</w:t>
      </w:r>
      <w:r>
        <w:rPr>
          <w:rFonts w:hint="eastAsia" w:ascii="宋体" w:hAnsi="宋体" w:eastAsia="宋体" w:cs="宋体"/>
          <w:color w:val="auto"/>
          <w:kern w:val="0"/>
          <w:szCs w:val="21"/>
          <w:highlight w:val="none"/>
        </w:rPr>
        <w:t>；</w:t>
      </w:r>
    </w:p>
    <w:p w14:paraId="2392D6A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承包人提供的文件的数量为：</w:t>
      </w:r>
      <w:r>
        <w:rPr>
          <w:rFonts w:hint="eastAsia" w:ascii="宋体" w:hAnsi="宋体" w:eastAsia="宋体" w:cs="宋体"/>
          <w:b/>
          <w:bCs/>
          <w:color w:val="auto"/>
          <w:kern w:val="0"/>
          <w:szCs w:val="21"/>
          <w:highlight w:val="none"/>
          <w:u w:val="single"/>
        </w:rPr>
        <w:t>一式【4】份并满足工程需要</w:t>
      </w:r>
      <w:r>
        <w:rPr>
          <w:rFonts w:hint="eastAsia" w:ascii="宋体" w:hAnsi="宋体" w:eastAsia="宋体" w:cs="宋体"/>
          <w:color w:val="auto"/>
          <w:kern w:val="0"/>
          <w:szCs w:val="21"/>
          <w:highlight w:val="none"/>
          <w:u w:val="single"/>
        </w:rPr>
        <w:t>；</w:t>
      </w:r>
    </w:p>
    <w:p w14:paraId="0DAC006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承包人提供的文件的形式为：</w:t>
      </w:r>
      <w:r>
        <w:rPr>
          <w:rFonts w:hint="eastAsia" w:ascii="宋体" w:hAnsi="宋体" w:eastAsia="宋体" w:cs="宋体"/>
          <w:b/>
          <w:bCs/>
          <w:color w:val="auto"/>
          <w:kern w:val="0"/>
          <w:szCs w:val="21"/>
          <w:highlight w:val="none"/>
          <w:u w:val="single"/>
        </w:rPr>
        <w:t>盖有公章纸质文件和文件的电子稿（包括扫描件）</w:t>
      </w:r>
      <w:r>
        <w:rPr>
          <w:rFonts w:hint="eastAsia" w:ascii="宋体" w:hAnsi="宋体" w:eastAsia="宋体" w:cs="宋体"/>
          <w:color w:val="auto"/>
          <w:kern w:val="0"/>
          <w:szCs w:val="21"/>
          <w:highlight w:val="none"/>
          <w:u w:val="single"/>
        </w:rPr>
        <w:t xml:space="preserve"> ；</w:t>
      </w:r>
    </w:p>
    <w:p w14:paraId="6552795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发包人审批承包人文件的期限：</w:t>
      </w:r>
      <w:r>
        <w:rPr>
          <w:rFonts w:hint="eastAsia" w:ascii="宋体" w:hAnsi="宋体" w:eastAsia="宋体" w:cs="宋体"/>
          <w:b/>
          <w:color w:val="auto"/>
          <w:kern w:val="0"/>
          <w:szCs w:val="21"/>
          <w:highlight w:val="none"/>
          <w:u w:val="single"/>
        </w:rPr>
        <w:t>收到报告后【7】天内</w:t>
      </w:r>
      <w:r>
        <w:rPr>
          <w:rFonts w:hint="eastAsia" w:ascii="宋体" w:hAnsi="宋体" w:eastAsia="宋体" w:cs="宋体"/>
          <w:color w:val="auto"/>
          <w:kern w:val="0"/>
          <w:szCs w:val="21"/>
          <w:highlight w:val="none"/>
        </w:rPr>
        <w:t>。</w:t>
      </w:r>
    </w:p>
    <w:p w14:paraId="692E772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1.6.5 现场图纸准备</w:t>
      </w:r>
    </w:p>
    <w:p w14:paraId="1BF83A2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关于现场图纸准备的约定：</w:t>
      </w:r>
      <w:r>
        <w:rPr>
          <w:rFonts w:hint="eastAsia" w:ascii="宋体" w:hAnsi="宋体" w:eastAsia="宋体" w:cs="宋体"/>
          <w:b/>
          <w:color w:val="auto"/>
          <w:kern w:val="0"/>
          <w:szCs w:val="21"/>
          <w:highlight w:val="none"/>
          <w:u w:val="single"/>
        </w:rPr>
        <w:t>按通用合同条款第1.6.5条规定执行</w:t>
      </w:r>
      <w:r>
        <w:rPr>
          <w:rFonts w:hint="eastAsia" w:ascii="宋体" w:hAnsi="宋体" w:eastAsia="宋体" w:cs="宋体"/>
          <w:color w:val="auto"/>
          <w:kern w:val="0"/>
          <w:szCs w:val="21"/>
          <w:highlight w:val="none"/>
        </w:rPr>
        <w:t>。</w:t>
      </w:r>
    </w:p>
    <w:p w14:paraId="7E4D58D1">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 联络</w:t>
      </w:r>
    </w:p>
    <w:p w14:paraId="4209620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1.7.1承包人应当在</w:t>
      </w:r>
      <w:r>
        <w:rPr>
          <w:rFonts w:hint="eastAsia" w:ascii="宋体" w:hAnsi="宋体" w:eastAsia="宋体" w:cs="宋体"/>
          <w:color w:val="auto"/>
          <w:kern w:val="0"/>
          <w:szCs w:val="21"/>
          <w:highlight w:val="none"/>
          <w:u w:val="single"/>
        </w:rPr>
        <w:t>七</w:t>
      </w:r>
      <w:r>
        <w:rPr>
          <w:rFonts w:hint="eastAsia" w:ascii="宋体" w:hAnsi="宋体" w:eastAsia="宋体" w:cs="宋体"/>
          <w:color w:val="auto"/>
          <w:kern w:val="0"/>
          <w:szCs w:val="21"/>
          <w:highlight w:val="none"/>
        </w:rPr>
        <w:t>天内将与合同有关的通知、批准、证明、证书、指示、指令、要求、请求、同意、意见、确定和决定等书面函件送达对方当事人。</w:t>
      </w:r>
    </w:p>
    <w:p w14:paraId="7867B8E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发包人接收文件的地点：</w:t>
      </w:r>
      <w:r>
        <w:rPr>
          <w:rFonts w:hint="eastAsia" w:ascii="宋体" w:hAnsi="宋体" w:eastAsia="宋体" w:cs="宋体"/>
          <w:color w:val="auto"/>
          <w:kern w:val="0"/>
          <w:szCs w:val="21"/>
          <w:highlight w:val="none"/>
          <w:u w:val="single"/>
        </w:rPr>
        <w:t>施工现场</w:t>
      </w:r>
      <w:r>
        <w:rPr>
          <w:rFonts w:hint="eastAsia" w:ascii="宋体" w:hAnsi="宋体" w:eastAsia="宋体" w:cs="宋体"/>
          <w:color w:val="auto"/>
          <w:kern w:val="0"/>
          <w:szCs w:val="21"/>
          <w:highlight w:val="none"/>
        </w:rPr>
        <w:t>；</w:t>
      </w:r>
    </w:p>
    <w:p w14:paraId="5A7EB92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发包人指定的接收人为：</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6E1DC1D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承包人接收文件的地点：</w:t>
      </w:r>
      <w:r>
        <w:rPr>
          <w:rFonts w:hint="eastAsia" w:ascii="宋体" w:hAnsi="宋体" w:eastAsia="宋体" w:cs="宋体"/>
          <w:color w:val="auto"/>
          <w:kern w:val="0"/>
          <w:szCs w:val="21"/>
          <w:highlight w:val="none"/>
          <w:u w:val="single"/>
        </w:rPr>
        <w:t>施工现场</w:t>
      </w:r>
      <w:r>
        <w:rPr>
          <w:rFonts w:hint="eastAsia" w:ascii="宋体" w:hAnsi="宋体" w:eastAsia="宋体" w:cs="宋体"/>
          <w:color w:val="auto"/>
          <w:kern w:val="0"/>
          <w:szCs w:val="21"/>
          <w:highlight w:val="none"/>
        </w:rPr>
        <w:t>；</w:t>
      </w:r>
    </w:p>
    <w:p w14:paraId="24F644B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承包人指定的接收人为：</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1F81584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监理人接收文件的地点：</w:t>
      </w:r>
      <w:r>
        <w:rPr>
          <w:rFonts w:hint="eastAsia" w:ascii="宋体" w:hAnsi="宋体" w:eastAsia="宋体" w:cs="宋体"/>
          <w:color w:val="auto"/>
          <w:kern w:val="0"/>
          <w:szCs w:val="21"/>
          <w:highlight w:val="none"/>
          <w:u w:val="single"/>
        </w:rPr>
        <w:t>施工现场</w:t>
      </w:r>
      <w:r>
        <w:rPr>
          <w:rFonts w:hint="eastAsia" w:ascii="宋体" w:hAnsi="宋体" w:eastAsia="宋体" w:cs="宋体"/>
          <w:color w:val="auto"/>
          <w:kern w:val="0"/>
          <w:szCs w:val="21"/>
          <w:highlight w:val="none"/>
        </w:rPr>
        <w:t>；</w:t>
      </w:r>
    </w:p>
    <w:p w14:paraId="317ED67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监理人指定的接收人为：</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Cs w:val="21"/>
          <w:highlight w:val="none"/>
        </w:rPr>
        <w:t>。</w:t>
      </w:r>
    </w:p>
    <w:p w14:paraId="682CC301">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 交通运输</w:t>
      </w:r>
    </w:p>
    <w:p w14:paraId="27607662">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Start w:id="68" w:name="_Toc303539100"/>
      <w:bookmarkStart w:id="69" w:name="_Toc318581155"/>
      <w:bookmarkStart w:id="70" w:name="_Toc312677986"/>
      <w:bookmarkStart w:id="71" w:name="_Toc304295521"/>
      <w:bookmarkStart w:id="72" w:name="_Toc300934943"/>
      <w:r>
        <w:rPr>
          <w:rFonts w:hint="eastAsia" w:ascii="宋体" w:hAnsi="宋体" w:eastAsia="宋体" w:cs="宋体"/>
          <w:color w:val="auto"/>
          <w:kern w:val="0"/>
          <w:szCs w:val="21"/>
          <w:highlight w:val="none"/>
        </w:rPr>
        <w:t>.10.1 出入现场的权利</w:t>
      </w:r>
    </w:p>
    <w:p w14:paraId="78024B1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关于出入现场的权利的约定：</w:t>
      </w:r>
      <w:r>
        <w:rPr>
          <w:rFonts w:hint="eastAsia" w:ascii="宋体" w:hAnsi="宋体" w:eastAsia="宋体" w:cs="宋体"/>
          <w:color w:val="auto"/>
          <w:kern w:val="0"/>
          <w:szCs w:val="21"/>
          <w:highlight w:val="none"/>
          <w:u w:val="single"/>
        </w:rPr>
        <w:t>按通用合同条款第1.10.1条规定执行</w:t>
      </w:r>
      <w:r>
        <w:rPr>
          <w:rFonts w:hint="eastAsia" w:ascii="宋体" w:hAnsi="宋体" w:eastAsia="宋体" w:cs="宋体"/>
          <w:color w:val="auto"/>
          <w:kern w:val="0"/>
          <w:szCs w:val="21"/>
          <w:highlight w:val="none"/>
        </w:rPr>
        <w:t>。</w:t>
      </w:r>
    </w:p>
    <w:bookmarkEnd w:id="68"/>
    <w:bookmarkEnd w:id="69"/>
    <w:bookmarkEnd w:id="70"/>
    <w:bookmarkEnd w:id="71"/>
    <w:bookmarkEnd w:id="72"/>
    <w:p w14:paraId="5CB23685">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Start w:id="73" w:name="_Toc300934944"/>
      <w:bookmarkStart w:id="74" w:name="_Toc318581156"/>
      <w:bookmarkStart w:id="75" w:name="_Toc304295522"/>
      <w:bookmarkStart w:id="76" w:name="_Toc312677987"/>
      <w:bookmarkStart w:id="77" w:name="_Toc303539101"/>
      <w:r>
        <w:rPr>
          <w:rFonts w:hint="eastAsia" w:ascii="宋体" w:hAnsi="宋体" w:eastAsia="宋体" w:cs="宋体"/>
          <w:color w:val="auto"/>
          <w:kern w:val="0"/>
          <w:szCs w:val="21"/>
          <w:highlight w:val="none"/>
        </w:rPr>
        <w:t>.10.3 场内交通</w:t>
      </w:r>
    </w:p>
    <w:p w14:paraId="72C08E9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关于场外交通和场内交通的边界的约定：</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rPr>
        <w:t>。</w:t>
      </w:r>
    </w:p>
    <w:p w14:paraId="79462F90">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关于发包人向承包人免费提供满足工程施工需要的场内道路和交通设施的约定：</w:t>
      </w:r>
      <w:r>
        <w:rPr>
          <w:rFonts w:hint="eastAsia" w:ascii="宋体" w:hAnsi="宋体" w:eastAsia="宋体" w:cs="宋体"/>
          <w:color w:val="auto"/>
          <w:kern w:val="0"/>
          <w:szCs w:val="21"/>
          <w:highlight w:val="none"/>
          <w:u w:val="single"/>
        </w:rPr>
        <w:t xml:space="preserve">利用现有的场内道路和交通设施，如需新建，承包人需在征得发包人同意后自行建设，并承担费用。  </w:t>
      </w:r>
      <w:bookmarkEnd w:id="73"/>
      <w:bookmarkEnd w:id="74"/>
      <w:bookmarkEnd w:id="75"/>
      <w:bookmarkEnd w:id="76"/>
      <w:bookmarkEnd w:id="77"/>
      <w:bookmarkStart w:id="78" w:name="_Toc318581157"/>
    </w:p>
    <w:p w14:paraId="42F79E1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1.10.4超大件和超重件的运输</w:t>
      </w:r>
    </w:p>
    <w:p w14:paraId="46F17AD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运输超大件或超重件所需的道路和桥梁临时加固改造费用和其他有关费用由</w:t>
      </w:r>
      <w:r>
        <w:rPr>
          <w:rFonts w:hint="eastAsia" w:ascii="宋体" w:hAnsi="宋体" w:eastAsia="宋体" w:cs="宋体"/>
          <w:b/>
          <w:color w:val="auto"/>
          <w:kern w:val="0"/>
          <w:szCs w:val="21"/>
          <w:highlight w:val="none"/>
          <w:u w:val="single"/>
        </w:rPr>
        <w:t>承包人</w:t>
      </w:r>
      <w:r>
        <w:rPr>
          <w:rFonts w:hint="eastAsia" w:ascii="宋体" w:hAnsi="宋体" w:eastAsia="宋体" w:cs="宋体"/>
          <w:color w:val="auto"/>
          <w:kern w:val="0"/>
          <w:szCs w:val="21"/>
          <w:highlight w:val="none"/>
        </w:rPr>
        <w:t>承担。</w:t>
      </w:r>
    </w:p>
    <w:bookmarkEnd w:id="78"/>
    <w:p w14:paraId="33591A25">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知识产权</w:t>
      </w:r>
    </w:p>
    <w:p w14:paraId="7E0F79D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color w:val="auto"/>
          <w:kern w:val="0"/>
          <w:szCs w:val="21"/>
          <w:highlight w:val="none"/>
          <w:u w:val="single"/>
        </w:rPr>
        <w:t>著作权属于发包人</w:t>
      </w:r>
      <w:r>
        <w:rPr>
          <w:rFonts w:hint="eastAsia" w:ascii="宋体" w:hAnsi="宋体" w:eastAsia="宋体" w:cs="宋体"/>
          <w:color w:val="auto"/>
          <w:kern w:val="0"/>
          <w:szCs w:val="21"/>
          <w:highlight w:val="none"/>
        </w:rPr>
        <w:t>。</w:t>
      </w:r>
    </w:p>
    <w:p w14:paraId="4167771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关于发包人提供的上述文件的使用限制的要求：</w:t>
      </w:r>
      <w:r>
        <w:rPr>
          <w:rFonts w:hint="eastAsia" w:ascii="宋体" w:hAnsi="宋体" w:eastAsia="宋体" w:cs="宋体"/>
          <w:color w:val="auto"/>
          <w:kern w:val="0"/>
          <w:szCs w:val="21"/>
          <w:highlight w:val="none"/>
          <w:u w:val="single"/>
        </w:rPr>
        <w:t>永久性限制 ，未经发包人事前书面同意，承包人不得以任何形式用于与本合同无关的其他用途，工程竣工后，除为履行保修义务而允许承包人保留一套竣工图外，承包人应将图纸返还发包人</w:t>
      </w:r>
      <w:r>
        <w:rPr>
          <w:rFonts w:hint="eastAsia" w:ascii="宋体" w:hAnsi="宋体" w:eastAsia="宋体" w:cs="宋体"/>
          <w:color w:val="auto"/>
          <w:kern w:val="0"/>
          <w:szCs w:val="21"/>
          <w:highlight w:val="none"/>
        </w:rPr>
        <w:t>。</w:t>
      </w:r>
    </w:p>
    <w:p w14:paraId="17D408F5">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1.11.2 关于承包人为实施工程所编制文件的著作权的归属：  </w:t>
      </w:r>
      <w:r>
        <w:rPr>
          <w:rFonts w:hint="eastAsia" w:ascii="宋体" w:hAnsi="宋体" w:eastAsia="宋体" w:cs="宋体"/>
          <w:color w:val="auto"/>
          <w:kern w:val="0"/>
          <w:szCs w:val="21"/>
          <w:highlight w:val="none"/>
          <w:u w:val="single"/>
        </w:rPr>
        <w:t>归发包人享有</w:t>
      </w:r>
      <w:r>
        <w:rPr>
          <w:rFonts w:hint="eastAsia" w:ascii="宋体" w:hAnsi="宋体" w:eastAsia="宋体" w:cs="宋体"/>
          <w:color w:val="auto"/>
          <w:kern w:val="0"/>
          <w:szCs w:val="21"/>
          <w:highlight w:val="none"/>
        </w:rPr>
        <w:t>。</w:t>
      </w:r>
    </w:p>
    <w:p w14:paraId="073CC0C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关于承包人提供的上述文件的使用限制的要求：</w:t>
      </w:r>
      <w:r>
        <w:rPr>
          <w:rFonts w:hint="eastAsia" w:ascii="宋体" w:hAnsi="宋体" w:eastAsia="宋体" w:cs="宋体"/>
          <w:color w:val="auto"/>
          <w:kern w:val="0"/>
          <w:szCs w:val="21"/>
          <w:highlight w:val="none"/>
          <w:u w:val="single"/>
        </w:rPr>
        <w:t>经发包人事前书面同意，在不泄露发包人商业秘密或技术信息的情况下使用</w:t>
      </w:r>
      <w:r>
        <w:rPr>
          <w:rFonts w:hint="eastAsia" w:ascii="宋体" w:hAnsi="宋体" w:eastAsia="宋体" w:cs="宋体"/>
          <w:color w:val="auto"/>
          <w:kern w:val="0"/>
          <w:szCs w:val="21"/>
          <w:highlight w:val="none"/>
        </w:rPr>
        <w:t>。</w:t>
      </w:r>
    </w:p>
    <w:p w14:paraId="38C2973E">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承包人在施工过程中所采用的专利、专有技术、技术秘密的使用费的承担方式：</w:t>
      </w:r>
      <w:r>
        <w:rPr>
          <w:rFonts w:hint="eastAsia" w:ascii="宋体" w:hAnsi="宋体" w:eastAsia="宋体" w:cs="宋体"/>
          <w:color w:val="auto"/>
          <w:kern w:val="0"/>
          <w:szCs w:val="21"/>
          <w:highlight w:val="none"/>
          <w:u w:val="single"/>
        </w:rPr>
        <w:t>承包人自行承担；（除合同明确约定外）承包人在施工过程中所采用的专利、专有技术、技术秘密的使用费用均已包含在本合同价款内，发包人不再另行支付</w:t>
      </w:r>
      <w:r>
        <w:rPr>
          <w:rFonts w:hint="eastAsia" w:ascii="宋体" w:hAnsi="宋体" w:eastAsia="宋体" w:cs="宋体"/>
          <w:color w:val="auto"/>
          <w:kern w:val="0"/>
          <w:szCs w:val="21"/>
          <w:highlight w:val="none"/>
        </w:rPr>
        <w:t>。</w:t>
      </w:r>
    </w:p>
    <w:p w14:paraId="3D1B693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1.13工程量清单错误的修正</w:t>
      </w:r>
    </w:p>
    <w:p w14:paraId="28EA76F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出现工程量清单错误时，是否调整合同价格：</w:t>
      </w:r>
      <w:r>
        <w:rPr>
          <w:rFonts w:hint="eastAsia" w:ascii="宋体" w:hAnsi="宋体" w:eastAsia="宋体" w:cs="宋体"/>
          <w:color w:val="auto"/>
          <w:kern w:val="0"/>
          <w:szCs w:val="21"/>
          <w:highlight w:val="none"/>
          <w:u w:val="single"/>
        </w:rPr>
        <w:t>参照本合同专用条款12.1执行</w:t>
      </w:r>
      <w:r>
        <w:rPr>
          <w:rFonts w:hint="eastAsia" w:ascii="宋体" w:hAnsi="宋体" w:eastAsia="宋体" w:cs="宋体"/>
          <w:color w:val="auto"/>
          <w:kern w:val="0"/>
          <w:szCs w:val="21"/>
          <w:highlight w:val="none"/>
        </w:rPr>
        <w:t>。</w:t>
      </w:r>
    </w:p>
    <w:p w14:paraId="01DC58B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允许调整合同价格的工程量偏差范围：</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30033D3E">
      <w:pPr>
        <w:widowControl/>
        <w:spacing w:line="360" w:lineRule="auto"/>
        <w:jc w:val="left"/>
        <w:rPr>
          <w:rFonts w:hint="eastAsia" w:ascii="宋体" w:hAnsi="宋体" w:eastAsia="宋体" w:cs="宋体"/>
          <w:color w:val="auto"/>
          <w:kern w:val="0"/>
          <w:szCs w:val="21"/>
          <w:highlight w:val="none"/>
        </w:rPr>
      </w:pPr>
      <w:bookmarkStart w:id="79" w:name="_Toc351203634"/>
      <w:r>
        <w:rPr>
          <w:rFonts w:hint="eastAsia" w:ascii="宋体" w:hAnsi="宋体" w:eastAsia="宋体" w:cs="宋体"/>
          <w:color w:val="auto"/>
          <w:kern w:val="0"/>
          <w:szCs w:val="21"/>
          <w:highlight w:val="none"/>
        </w:rPr>
        <w:t>2</w:t>
      </w:r>
      <w:bookmarkStart w:id="80" w:name="_Toc292559362"/>
      <w:bookmarkStart w:id="81" w:name="_Toc296891197"/>
      <w:bookmarkStart w:id="82" w:name="_Toc296944496"/>
      <w:bookmarkStart w:id="83" w:name="_Toc297120457"/>
      <w:bookmarkStart w:id="84" w:name="_Toc292559867"/>
      <w:bookmarkStart w:id="85" w:name="_Toc296346658"/>
      <w:bookmarkStart w:id="86" w:name="_Toc296347156"/>
      <w:bookmarkStart w:id="87" w:name="_Toc296503157"/>
      <w:bookmarkStart w:id="88" w:name="_Toc296890985"/>
      <w:bookmarkStart w:id="89" w:name="_Toc297048343"/>
      <w:r>
        <w:rPr>
          <w:rFonts w:hint="eastAsia" w:ascii="宋体" w:hAnsi="宋体" w:eastAsia="宋体" w:cs="宋体"/>
          <w:color w:val="auto"/>
          <w:kern w:val="0"/>
          <w:szCs w:val="21"/>
          <w:highlight w:val="none"/>
        </w:rPr>
        <w:t>. 发包人</w:t>
      </w:r>
      <w:bookmarkEnd w:id="79"/>
    </w:p>
    <w:bookmarkEnd w:id="80"/>
    <w:bookmarkEnd w:id="81"/>
    <w:bookmarkEnd w:id="82"/>
    <w:bookmarkEnd w:id="83"/>
    <w:bookmarkEnd w:id="84"/>
    <w:bookmarkEnd w:id="85"/>
    <w:bookmarkEnd w:id="86"/>
    <w:bookmarkEnd w:id="87"/>
    <w:bookmarkEnd w:id="88"/>
    <w:bookmarkEnd w:id="89"/>
    <w:p w14:paraId="51046EBC">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 发包人代表</w:t>
      </w:r>
    </w:p>
    <w:p w14:paraId="631DE8A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发包人代表：</w:t>
      </w:r>
      <w:r>
        <w:rPr>
          <w:rFonts w:hint="eastAsia" w:ascii="宋体" w:hAnsi="宋体" w:eastAsia="宋体" w:cs="宋体"/>
          <w:color w:val="auto"/>
          <w:kern w:val="0"/>
          <w:sz w:val="22"/>
          <w:szCs w:val="21"/>
          <w:highlight w:val="none"/>
          <w:u w:val="single"/>
        </w:rPr>
        <w:t xml:space="preserve">                </w:t>
      </w:r>
    </w:p>
    <w:p w14:paraId="64A8E14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0762BD6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3C3256D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务：</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5E69178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5888F2B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7DED64D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 w:val="22"/>
          <w:szCs w:val="21"/>
          <w:highlight w:val="none"/>
        </w:rPr>
        <w:t xml:space="preserve">                      </w:t>
      </w:r>
      <w:r>
        <w:rPr>
          <w:rFonts w:hint="eastAsia" w:ascii="宋体" w:hAnsi="宋体" w:eastAsia="宋体" w:cs="宋体"/>
          <w:color w:val="auto"/>
          <w:kern w:val="0"/>
          <w:szCs w:val="21"/>
          <w:highlight w:val="none"/>
        </w:rPr>
        <w:t>。</w:t>
      </w:r>
    </w:p>
    <w:p w14:paraId="5B1E6764">
      <w:pPr>
        <w:widowControl/>
        <w:adjustRightInd w:val="0"/>
        <w:snapToGrid w:val="0"/>
        <w:spacing w:line="360" w:lineRule="auto"/>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发包人对发包人代表的授权范围如下：</w:t>
      </w:r>
      <w:r>
        <w:rPr>
          <w:rFonts w:hint="eastAsia" w:ascii="宋体" w:hAnsi="宋体" w:eastAsia="宋体" w:cs="宋体"/>
          <w:b/>
          <w:bCs/>
          <w:color w:val="auto"/>
          <w:kern w:val="0"/>
          <w:szCs w:val="21"/>
          <w:highlight w:val="none"/>
          <w:u w:val="single"/>
        </w:rPr>
        <w:t>对质量、成本、安全、进度进行全面管理，但发包人代表签字，不能直接认定为发包人的意思表示，必须经发包人盖章方可生效。</w:t>
      </w:r>
    </w:p>
    <w:p w14:paraId="637CE3F9">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 施工现场、施工条件和基础资料的提供</w:t>
      </w:r>
    </w:p>
    <w:p w14:paraId="0274727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2.4.1 提供施工现场</w:t>
      </w:r>
    </w:p>
    <w:p w14:paraId="2A224B04">
      <w:pPr>
        <w:widowControl/>
        <w:adjustRightInd w:val="0"/>
        <w:snapToGrid w:val="0"/>
        <w:spacing w:line="360" w:lineRule="auto"/>
        <w:ind w:firstLine="420" w:firstLineChars="200"/>
        <w:rPr>
          <w:rFonts w:hint="eastAsia" w:ascii="宋体" w:hAnsi="宋体" w:eastAsia="宋体" w:cs="宋体"/>
          <w:b/>
          <w:bCs/>
          <w:color w:val="auto"/>
          <w:kern w:val="0"/>
          <w:szCs w:val="21"/>
          <w:highlight w:val="none"/>
          <w:u w:val="single"/>
        </w:rPr>
      </w:pPr>
      <w:r>
        <w:rPr>
          <w:rFonts w:hint="eastAsia" w:ascii="宋体" w:hAnsi="宋体" w:eastAsia="宋体" w:cs="宋体"/>
          <w:color w:val="auto"/>
          <w:kern w:val="0"/>
          <w:szCs w:val="21"/>
          <w:highlight w:val="none"/>
        </w:rPr>
        <w:t>关于发包人移交施工现场的期限要求：</w:t>
      </w:r>
      <w:r>
        <w:rPr>
          <w:rFonts w:hint="eastAsia" w:ascii="宋体" w:hAnsi="宋体" w:eastAsia="宋体" w:cs="宋体"/>
          <w:color w:val="auto"/>
          <w:kern w:val="0"/>
          <w:szCs w:val="21"/>
          <w:highlight w:val="none"/>
          <w:u w:val="single"/>
        </w:rPr>
        <w:t xml:space="preserve">      </w:t>
      </w:r>
      <w:r>
        <w:rPr>
          <w:rFonts w:hint="eastAsia" w:ascii="宋体" w:hAnsi="宋体" w:eastAsia="宋体" w:cs="宋体"/>
          <w:b/>
          <w:bCs/>
          <w:color w:val="auto"/>
          <w:kern w:val="0"/>
          <w:szCs w:val="21"/>
          <w:highlight w:val="none"/>
          <w:u w:val="single"/>
        </w:rPr>
        <w:t>年   月   日前。</w:t>
      </w:r>
    </w:p>
    <w:p w14:paraId="1251262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2.4.2 提供施工条件</w:t>
      </w:r>
    </w:p>
    <w:p w14:paraId="3112C5E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关于发包人应负责提供施工所需要的条件，包括：</w:t>
      </w:r>
    </w:p>
    <w:p w14:paraId="333D7D0D">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rPr>
        <w:t>（1）</w:t>
      </w:r>
      <w:r>
        <w:rPr>
          <w:rFonts w:hint="eastAsia" w:ascii="宋体" w:hAnsi="宋体" w:eastAsia="宋体" w:cs="宋体"/>
          <w:b/>
          <w:color w:val="auto"/>
          <w:kern w:val="0"/>
          <w:szCs w:val="21"/>
          <w:highlight w:val="none"/>
          <w:u w:val="single"/>
        </w:rPr>
        <w:t>施工所需的水、电、电讯线路接至施工场地的时间、地点和供应要求：</w:t>
      </w:r>
    </w:p>
    <w:p w14:paraId="34BA6583">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①所需正常施工的电源、水源已由发包方安装至施工现场边缘。</w:t>
      </w:r>
    </w:p>
    <w:p w14:paraId="42B5EB30">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 xml:space="preserve">②施工用电：施工场内临时低压接电及线缆铺设由承包人自理且费用包括在合同价款内。 </w:t>
      </w:r>
    </w:p>
    <w:p w14:paraId="3DA896ED">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③施工用水：施工场内临时用水接水管铺设由承包人自理且费用包括在合同价款内。</w:t>
      </w:r>
    </w:p>
    <w:p w14:paraId="196EB370">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④施工用水、用电费用由承包人承担，费用包含在合同价款中，工程结算时扣除。</w:t>
      </w:r>
    </w:p>
    <w:p w14:paraId="384CFBBC">
      <w:pPr>
        <w:widowControl/>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⑤用电与用水高峰期时供应不足由承包人自行设法解决，费用已包含在合同价中，发包人不另支付相关费用。</w:t>
      </w:r>
    </w:p>
    <w:p w14:paraId="72189501">
      <w:pPr>
        <w:widowControl/>
        <w:snapToGrid w:val="0"/>
        <w:spacing w:line="360" w:lineRule="auto"/>
        <w:ind w:firstLine="422" w:firstLineChars="200"/>
        <w:rPr>
          <w:rFonts w:hint="eastAsia" w:ascii="宋体" w:hAnsi="宋体" w:eastAsia="宋体" w:cs="宋体"/>
          <w:color w:val="auto"/>
          <w:kern w:val="0"/>
          <w:sz w:val="22"/>
          <w:szCs w:val="22"/>
          <w:highlight w:val="none"/>
        </w:rPr>
      </w:pPr>
      <w:r>
        <w:rPr>
          <w:rFonts w:hint="eastAsia" w:ascii="宋体" w:hAnsi="宋体" w:eastAsia="宋体" w:cs="宋体"/>
          <w:b/>
          <w:color w:val="auto"/>
          <w:kern w:val="0"/>
          <w:szCs w:val="21"/>
          <w:highlight w:val="none"/>
          <w:u w:val="single"/>
        </w:rPr>
        <w:t>⑥施工现场无搭设临时用房场地，承包人自行考虑，费用包含在合同价款中。</w:t>
      </w:r>
    </w:p>
    <w:p w14:paraId="421E07E7">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u w:val="single"/>
          <w:lang w:val="en-US" w:eastAsia="zh-CN"/>
        </w:rPr>
        <w:t>2</w:t>
      </w:r>
      <w:r>
        <w:rPr>
          <w:rFonts w:hint="eastAsia" w:ascii="宋体" w:hAnsi="宋体" w:eastAsia="宋体" w:cs="宋体"/>
          <w:b/>
          <w:color w:val="auto"/>
          <w:kern w:val="0"/>
          <w:szCs w:val="21"/>
          <w:highlight w:val="none"/>
          <w:u w:val="single"/>
        </w:rPr>
        <w:t>）协调处理施工场地周围地下管线和邻近建筑物、构筑物（含文物保护建筑）、古树名木的保护工作：承包人应在施工前对地下管线提出保护方案，经发包人等有关部门及时审核后，费用由承包人承担；施工过程中，承包人需在发现当日向发包人报告施工现场内新发现的须保护的地下管线、邻近建筑物、构筑物（含文物保护建筑）、古树名木。未知地下管线由承包人负责开挖样洞、在发现当日报告工程监理单位及发包人，并提出保护方案，经发包人等有关部门及时审核后，费用由承包人承担；邻近建筑物、构筑物（含文物保护建筑）、古树名木，承包人严格按照施工图及相关规范规定施工后还须另行保护措施的，由承包人提出保护方案，发包人等有关部门及时审核后，费用由承包人承担。因承包人施工不当造成的损失，其费用由承包人承担。</w:t>
      </w:r>
    </w:p>
    <w:p w14:paraId="3B61DDCB">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2.5 资金来源证明及支付担保</w:t>
      </w:r>
    </w:p>
    <w:p w14:paraId="3793204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发包人提供资金来源证明的期限要求：</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41573E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发包人是否提供支付担保：</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2F900754">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发包人提供支付担保的形式：</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7801A345">
      <w:pPr>
        <w:widowControl/>
        <w:spacing w:line="360" w:lineRule="auto"/>
        <w:jc w:val="left"/>
        <w:rPr>
          <w:rFonts w:hint="eastAsia" w:ascii="宋体" w:hAnsi="宋体" w:eastAsia="宋体" w:cs="宋体"/>
          <w:color w:val="auto"/>
          <w:kern w:val="0"/>
          <w:szCs w:val="21"/>
          <w:highlight w:val="none"/>
        </w:rPr>
      </w:pPr>
      <w:bookmarkStart w:id="90" w:name="_Toc351203635"/>
      <w:r>
        <w:rPr>
          <w:rFonts w:hint="eastAsia" w:ascii="宋体" w:hAnsi="宋体" w:eastAsia="宋体" w:cs="宋体"/>
          <w:color w:val="auto"/>
          <w:kern w:val="0"/>
          <w:szCs w:val="21"/>
          <w:highlight w:val="none"/>
        </w:rPr>
        <w:t>3</w:t>
      </w:r>
      <w:bookmarkStart w:id="91" w:name="_Toc296503158"/>
      <w:bookmarkStart w:id="92" w:name="_Toc297048344"/>
      <w:bookmarkStart w:id="93" w:name="_Toc297120458"/>
      <w:bookmarkStart w:id="94" w:name="_Toc296890986"/>
      <w:bookmarkStart w:id="95" w:name="_Toc292559363"/>
      <w:bookmarkStart w:id="96" w:name="_Toc296346659"/>
      <w:bookmarkStart w:id="97" w:name="_Toc292559868"/>
      <w:bookmarkStart w:id="98" w:name="_Toc296944497"/>
      <w:bookmarkStart w:id="99" w:name="_Toc296347157"/>
      <w:bookmarkStart w:id="100" w:name="_Toc296891198"/>
      <w:r>
        <w:rPr>
          <w:rFonts w:hint="eastAsia" w:ascii="宋体" w:hAnsi="宋体" w:eastAsia="宋体" w:cs="宋体"/>
          <w:color w:val="auto"/>
          <w:kern w:val="0"/>
          <w:szCs w:val="21"/>
          <w:highlight w:val="none"/>
        </w:rPr>
        <w:t>. 承包人</w:t>
      </w:r>
      <w:bookmarkEnd w:id="90"/>
    </w:p>
    <w:bookmarkEnd w:id="91"/>
    <w:bookmarkEnd w:id="92"/>
    <w:bookmarkEnd w:id="93"/>
    <w:bookmarkEnd w:id="94"/>
    <w:bookmarkEnd w:id="95"/>
    <w:bookmarkEnd w:id="96"/>
    <w:bookmarkEnd w:id="97"/>
    <w:bookmarkEnd w:id="98"/>
    <w:bookmarkEnd w:id="99"/>
    <w:bookmarkEnd w:id="100"/>
    <w:p w14:paraId="56CB4A5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 承包人的一般义务</w:t>
      </w:r>
    </w:p>
    <w:p w14:paraId="4304F77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（1）应提供计划、报表的名称及完成时间：</w:t>
      </w:r>
      <w:r>
        <w:rPr>
          <w:rFonts w:hint="eastAsia" w:ascii="宋体" w:hAnsi="宋体" w:eastAsia="宋体" w:cs="宋体"/>
          <w:color w:val="auto"/>
          <w:kern w:val="0"/>
          <w:szCs w:val="21"/>
          <w:highlight w:val="none"/>
          <w:u w:val="single"/>
        </w:rPr>
        <w:t>本工程供应商须制定充分、完整、详细的施工组织方案和计划，报监理、学院相关职能部门审核后开工，并编制应急预案一套。每月【7】日向发包人、监理单位提交当月完成工程量、本月工程产值报表及下月工程进度计划和主要材料使用计划及计划完成产值，一式【3】份，如不按期提供的，发包人有权拒付工程款。每周一报告本周作业计划，上周实施情况一式【3】份。（当月已完合格工程量：指上月25日至当月24日的工程量）。</w:t>
      </w:r>
    </w:p>
    <w:p w14:paraId="43CA0F1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（2）承担施工安全保卫工作及非夜间施工照明的责任和要求：</w:t>
      </w:r>
      <w:r>
        <w:rPr>
          <w:rFonts w:hint="eastAsia" w:ascii="宋体" w:hAnsi="宋体" w:eastAsia="宋体" w:cs="宋体"/>
          <w:color w:val="auto"/>
          <w:kern w:val="0"/>
          <w:szCs w:val="21"/>
          <w:highlight w:val="none"/>
          <w:u w:val="single"/>
        </w:rPr>
        <w:t>承办施工暂住人口证手续以及计划生育手续，施工现场的夜间照明线路必须单独敷设，承担所有安全保卫责任以及引起的所有经济和法律责任；承担各级政府管理部门所要求的一切责任以及引起的所有经济和法律责任。</w:t>
      </w:r>
    </w:p>
    <w:p w14:paraId="53386E53">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（3）需承包人办理的有关施工场地交通、环卫和施工噪音管理等手续：</w:t>
      </w:r>
      <w:r>
        <w:rPr>
          <w:rFonts w:hint="eastAsia" w:ascii="宋体" w:hAnsi="宋体" w:eastAsia="宋体" w:cs="宋体"/>
          <w:color w:val="auto"/>
          <w:kern w:val="0"/>
          <w:szCs w:val="21"/>
          <w:highlight w:val="none"/>
          <w:u w:val="single"/>
        </w:rPr>
        <w:t>遵照政府有关部门对施工场地交通、环卫和施工噪音的管理规定，按规定办理相关手续，费用由承包人负责，发包人给予配合。如承包人未及时办理有关手续而造成的罚款由承包人承担。</w:t>
      </w:r>
    </w:p>
    <w:p w14:paraId="0C3157B4">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（4）完工工程成品保护的特殊要求及费用承担：</w:t>
      </w:r>
      <w:r>
        <w:rPr>
          <w:rFonts w:hint="eastAsia" w:ascii="宋体" w:hAnsi="宋体" w:eastAsia="宋体" w:cs="宋体"/>
          <w:color w:val="auto"/>
          <w:kern w:val="0"/>
          <w:szCs w:val="21"/>
          <w:highlight w:val="none"/>
          <w:u w:val="single"/>
        </w:rPr>
        <w:t>按发包人的要求进行保护，费用由承包人承担。</w:t>
      </w:r>
    </w:p>
    <w:p w14:paraId="60B956D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（5）施工现场清洁卫生的要求：</w:t>
      </w:r>
      <w:r>
        <w:rPr>
          <w:rFonts w:hint="eastAsia" w:ascii="宋体" w:hAnsi="宋体" w:eastAsia="宋体" w:cs="宋体"/>
          <w:color w:val="auto"/>
          <w:kern w:val="0"/>
          <w:szCs w:val="21"/>
          <w:highlight w:val="none"/>
          <w:u w:val="single"/>
        </w:rPr>
        <w:t>承包人结合《浙江省建设工程现场安全文明施工标准化工地管理办法》等省市相关规定，制定相应文明施工措施方案，保证施工现场清洁卫生。如承包人未按文明施工方案实施的，发包人有权责令承包人立即整改，对承包人拒不整改或未按规定期限完成整改的，发包人有权对承包人处以罚款、暂停施工等处罚。本工程承包人搭设的所有临时设施、施工便道等（包括借地范围内），在本工程交工验收合格后【7】日内，自行拆除清运完毕，达到监理和发包人认为合格的使用状态否则将不予结算。</w:t>
      </w:r>
    </w:p>
    <w:p w14:paraId="548B5ACB">
      <w:pPr>
        <w:adjustRightInd w:val="0"/>
        <w:snapToGrid w:val="0"/>
        <w:spacing w:before="156" w:beforeLines="50" w:after="156" w:afterLines="50"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（6）承包人提交的竣工资料的内容：</w:t>
      </w:r>
      <w:r>
        <w:rPr>
          <w:rFonts w:hint="eastAsia" w:ascii="宋体" w:hAnsi="宋体" w:eastAsia="宋体" w:cs="宋体"/>
          <w:b/>
          <w:bCs/>
          <w:color w:val="auto"/>
          <w:szCs w:val="21"/>
          <w:highlight w:val="none"/>
          <w:u w:val="single"/>
        </w:rPr>
        <w:t>向发包方提供竣工图（【3】套）、竣工资料及竣工验收报告，并附光盘（含影像资料、图片等）及发包人要求提供的其他材料</w:t>
      </w:r>
      <w:r>
        <w:rPr>
          <w:rFonts w:hint="eastAsia" w:ascii="宋体" w:hAnsi="宋体" w:eastAsia="宋体" w:cs="宋体"/>
          <w:color w:val="auto"/>
          <w:szCs w:val="21"/>
          <w:highlight w:val="none"/>
        </w:rPr>
        <w:t>。</w:t>
      </w:r>
    </w:p>
    <w:p w14:paraId="5146EEA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承包人需要提交的竣工资料套数：</w:t>
      </w:r>
      <w:r>
        <w:rPr>
          <w:rFonts w:hint="eastAsia" w:ascii="宋体" w:hAnsi="宋体" w:eastAsia="宋体" w:cs="宋体"/>
          <w:b/>
          <w:bCs/>
          <w:color w:val="auto"/>
          <w:kern w:val="0"/>
          <w:szCs w:val="21"/>
          <w:highlight w:val="none"/>
          <w:u w:val="single"/>
        </w:rPr>
        <w:t>满足工程所在地建设行政主管部门和城市建设档案管理机构有关施工资料的要求。按相关规定和要求整理立卷。竣工档案质量必须符合浙江省、杭州市等档案管理机构的验收存档标准。</w:t>
      </w:r>
      <w:r>
        <w:rPr>
          <w:rFonts w:hint="eastAsia" w:ascii="宋体" w:hAnsi="宋体" w:eastAsia="宋体" w:cs="宋体"/>
          <w:color w:val="auto"/>
          <w:kern w:val="0"/>
          <w:szCs w:val="21"/>
          <w:highlight w:val="none"/>
        </w:rPr>
        <w:t>。</w:t>
      </w:r>
    </w:p>
    <w:p w14:paraId="761A77B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承包人提交的竣工资料的费用承担：</w:t>
      </w:r>
      <w:r>
        <w:rPr>
          <w:rFonts w:hint="eastAsia" w:ascii="宋体" w:hAnsi="宋体" w:eastAsia="宋体" w:cs="宋体"/>
          <w:b/>
          <w:bCs/>
          <w:color w:val="auto"/>
          <w:kern w:val="0"/>
          <w:szCs w:val="21"/>
          <w:highlight w:val="none"/>
          <w:u w:val="single"/>
        </w:rPr>
        <w:t>承包人承担</w:t>
      </w:r>
      <w:r>
        <w:rPr>
          <w:rFonts w:hint="eastAsia" w:ascii="宋体" w:hAnsi="宋体" w:eastAsia="宋体" w:cs="宋体"/>
          <w:color w:val="auto"/>
          <w:kern w:val="0"/>
          <w:szCs w:val="21"/>
          <w:highlight w:val="none"/>
        </w:rPr>
        <w:t>。</w:t>
      </w:r>
    </w:p>
    <w:p w14:paraId="5B683927">
      <w:pPr>
        <w:widowControl/>
        <w:adjustRightInd w:val="0"/>
        <w:snapToGrid w:val="0"/>
        <w:spacing w:line="360" w:lineRule="auto"/>
        <w:ind w:firstLine="420" w:firstLineChars="200"/>
        <w:rPr>
          <w:rFonts w:hint="eastAsia" w:ascii="宋体" w:hAnsi="宋体" w:eastAsia="宋体" w:cs="宋体"/>
          <w:b/>
          <w:bCs/>
          <w:color w:val="auto"/>
          <w:kern w:val="0"/>
          <w:szCs w:val="21"/>
          <w:highlight w:val="none"/>
        </w:rPr>
      </w:pPr>
      <w:r>
        <w:rPr>
          <w:rFonts w:hint="eastAsia" w:ascii="宋体" w:hAnsi="宋体" w:eastAsia="宋体" w:cs="宋体"/>
          <w:color w:val="auto"/>
          <w:kern w:val="0"/>
          <w:szCs w:val="21"/>
          <w:highlight w:val="none"/>
        </w:rPr>
        <w:t>承包人提交的竣工资料移交时间：</w:t>
      </w:r>
      <w:r>
        <w:rPr>
          <w:rFonts w:hint="eastAsia" w:ascii="宋体" w:hAnsi="宋体" w:eastAsia="宋体" w:cs="宋体"/>
          <w:b/>
          <w:bCs/>
          <w:color w:val="auto"/>
          <w:kern w:val="0"/>
          <w:szCs w:val="21"/>
          <w:highlight w:val="none"/>
          <w:u w:val="single"/>
        </w:rPr>
        <w:t>竣工验收前【3】天</w:t>
      </w:r>
      <w:r>
        <w:rPr>
          <w:rFonts w:hint="eastAsia" w:ascii="宋体" w:hAnsi="宋体" w:eastAsia="宋体" w:cs="宋体"/>
          <w:b/>
          <w:bCs/>
          <w:color w:val="auto"/>
          <w:kern w:val="0"/>
          <w:szCs w:val="21"/>
          <w:highlight w:val="none"/>
        </w:rPr>
        <w:t>。</w:t>
      </w:r>
    </w:p>
    <w:p w14:paraId="736FF294">
      <w:pPr>
        <w:widowControl/>
        <w:adjustRightInd w:val="0"/>
        <w:snapToGrid w:val="0"/>
        <w:spacing w:line="360" w:lineRule="auto"/>
        <w:ind w:firstLine="420" w:firstLineChars="200"/>
        <w:rPr>
          <w:rFonts w:hint="eastAsia" w:ascii="宋体" w:hAnsi="宋体" w:eastAsia="宋体" w:cs="宋体"/>
          <w:b/>
          <w:bCs/>
          <w:color w:val="auto"/>
          <w:kern w:val="0"/>
          <w:szCs w:val="21"/>
          <w:highlight w:val="none"/>
          <w:u w:val="single"/>
        </w:rPr>
      </w:pPr>
      <w:r>
        <w:rPr>
          <w:rFonts w:hint="eastAsia" w:ascii="宋体" w:hAnsi="宋体" w:eastAsia="宋体" w:cs="宋体"/>
          <w:color w:val="auto"/>
          <w:kern w:val="0"/>
          <w:szCs w:val="21"/>
          <w:highlight w:val="none"/>
        </w:rPr>
        <w:t>承包人提交的竣工资料形式要求：</w:t>
      </w:r>
      <w:r>
        <w:rPr>
          <w:rFonts w:hint="eastAsia" w:ascii="宋体" w:hAnsi="宋体" w:eastAsia="宋体" w:cs="宋体"/>
          <w:b/>
          <w:bCs/>
          <w:color w:val="auto"/>
          <w:kern w:val="0"/>
          <w:szCs w:val="21"/>
          <w:highlight w:val="none"/>
          <w:u w:val="single"/>
        </w:rPr>
        <w:t>纸质文件和电子文件。</w:t>
      </w:r>
    </w:p>
    <w:p w14:paraId="0670758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（7）承包人应履行的其他义务：</w:t>
      </w:r>
    </w:p>
    <w:p w14:paraId="347BCE00">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a、承包人在工程实施期间应对发包人提供的各项水电设施以及沿街户外广告进行必要的保护，相关费用在磋商响应报价中综合考虑。若由于承包人未能妥善保护给发包人造成的损失由承包人承担。</w:t>
      </w:r>
    </w:p>
    <w:p w14:paraId="0DBCE226">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b、协助发包人和监理工程师避免因合同或文件之间的差异给工程带来任何损失是承包人的义务，承包人故意隐瞒或不及时向监理工程师、发包人通报此类较为明显的差异，承包人应自费纠正或消除此类差异给工程带来的影响。</w:t>
      </w:r>
    </w:p>
    <w:p w14:paraId="31EBFEF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c、承包人在施工中，有责任配合发包人或发包人委托的科研单位进行本工程有关的科研监测、测试和检测工作，并不得提出任何费用要求。</w:t>
      </w:r>
    </w:p>
    <w:p w14:paraId="0221B1A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d、承包人在使用地方道路过程中，必须采取一切措施确保车辆正常通行，做到施工、通车两不误，由于承包人措施不力，导致堵车和事故频发或损坏地方道路，影响交通安全和正常运行，并造成重大影响，引起索赔，赔偿，诉讼费用及工程拖延或施工费用增加时，因由承包人承担一切费用。</w:t>
      </w:r>
    </w:p>
    <w:p w14:paraId="58A979BD">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e、承包人有责任按发包人、监理人的指令协调、配合工程范围的管线的搬迁（含管线回搬）及交通组织（含路面恢复）、绿化迁移、三通一平工作，负责办理市政设施养护管理交接手续，负责对工程范围内已废弃的管线（必要的需经管线单位确认）以及其他障碍物的拆除和处理。负责组织各类施工协调、交通配合例会，做好施工现场的交通管理工作。实施上述项目所需时间包含在总工期内。承包人亦必须服从发包人和监理单位的同意协调、指令与要求，做好与其他多家单位的施工配合。</w:t>
      </w:r>
    </w:p>
    <w:p w14:paraId="2FC21749">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f、承包人的项目部、临时加工场地、项目参与人员的临时宿舍等临时设施的借地由承包人负责，并承担一切费用。因条件有限，发包人概不负责相关场地宿舍等。</w:t>
      </w:r>
    </w:p>
    <w:p w14:paraId="31656211">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g、承包人有责任维护发包人形象，若由于承包人的安全、文明施工问题而造成发包人被他人索赔，发包人保留向承包人索赔的权利。</w:t>
      </w:r>
    </w:p>
    <w:p w14:paraId="329DE2F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h、接受发包人委托，负责办理施工期间的掘路执照、临时占路证、交通施工许可证、管线监护卡、质监和安监的报监手续。</w:t>
      </w:r>
    </w:p>
    <w:p w14:paraId="3B081284">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I、作为一名有经验的承包人，对于图纸设计中不满足现行验收规范要求的部分及时提出合理化的建议，若未及时发现并提出不利于今后施工及验收的问题，应承担相应的责任。</w:t>
      </w:r>
    </w:p>
    <w:p w14:paraId="1D96E5E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 项目经理</w:t>
      </w:r>
    </w:p>
    <w:p w14:paraId="6E572F8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项目经理：</w:t>
      </w:r>
    </w:p>
    <w:p w14:paraId="700AA508">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3.2.1 项目经理：</w:t>
      </w:r>
    </w:p>
    <w:p w14:paraId="708DA798">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姓    名：</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7315490B">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身份证号：</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0B2FAE08">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建造师执业资格等级：</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00B6C58A">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建造师注册证书号：</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1D52B75D">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建造师执业印章号：</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4E13E1C5">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安全生产考核合格证书号：</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3161CF69">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联系电话：</w:t>
      </w:r>
      <w:r>
        <w:rPr>
          <w:rFonts w:hint="eastAsia" w:ascii="宋体" w:hAnsi="宋体" w:eastAsia="宋体" w:cs="宋体"/>
          <w:color w:val="auto"/>
          <w:kern w:val="0"/>
          <w:sz w:val="22"/>
          <w:szCs w:val="22"/>
          <w:highlight w:val="none"/>
          <w:u w:val="single"/>
        </w:rPr>
        <w:t>                            </w:t>
      </w:r>
      <w:r>
        <w:rPr>
          <w:rFonts w:hint="eastAsia" w:ascii="宋体" w:hAnsi="宋体" w:eastAsia="宋体" w:cs="宋体"/>
          <w:color w:val="auto"/>
          <w:kern w:val="0"/>
          <w:sz w:val="22"/>
          <w:szCs w:val="22"/>
          <w:highlight w:val="none"/>
        </w:rPr>
        <w:t>；</w:t>
      </w:r>
    </w:p>
    <w:p w14:paraId="42CE195E">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电子信箱：</w:t>
      </w:r>
      <w:r>
        <w:rPr>
          <w:rFonts w:hint="eastAsia" w:ascii="宋体" w:hAnsi="宋体" w:eastAsia="宋体" w:cs="宋体"/>
          <w:color w:val="auto"/>
          <w:kern w:val="0"/>
          <w:sz w:val="22"/>
          <w:szCs w:val="22"/>
          <w:highlight w:val="none"/>
          <w:u w:val="single"/>
        </w:rPr>
        <w:t>                             </w:t>
      </w:r>
      <w:r>
        <w:rPr>
          <w:rFonts w:hint="eastAsia" w:ascii="宋体" w:hAnsi="宋体" w:eastAsia="宋体" w:cs="宋体"/>
          <w:color w:val="auto"/>
          <w:kern w:val="0"/>
          <w:sz w:val="22"/>
          <w:szCs w:val="22"/>
          <w:highlight w:val="none"/>
        </w:rPr>
        <w:t>；</w:t>
      </w:r>
    </w:p>
    <w:p w14:paraId="2E800F1B">
      <w:pPr>
        <w:widowControl/>
        <w:spacing w:line="360" w:lineRule="exact"/>
        <w:ind w:firstLine="42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通信地址：</w:t>
      </w:r>
      <w:r>
        <w:rPr>
          <w:rFonts w:hint="eastAsia" w:ascii="宋体" w:hAnsi="宋体" w:eastAsia="宋体" w:cs="宋体"/>
          <w:color w:val="auto"/>
          <w:kern w:val="0"/>
          <w:sz w:val="22"/>
          <w:szCs w:val="22"/>
          <w:highlight w:val="none"/>
          <w:u w:val="single"/>
        </w:rPr>
        <w:t>                             </w:t>
      </w:r>
      <w:r>
        <w:rPr>
          <w:rFonts w:hint="eastAsia" w:ascii="宋体" w:hAnsi="宋体" w:eastAsia="宋体" w:cs="宋体"/>
          <w:color w:val="auto"/>
          <w:kern w:val="0"/>
          <w:sz w:val="22"/>
          <w:szCs w:val="22"/>
          <w:highlight w:val="none"/>
        </w:rPr>
        <w:t>；</w:t>
      </w:r>
    </w:p>
    <w:p w14:paraId="069585E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关于项目经理每月在施工现场的时间要求：开工之日起到工程竣工验收合格，</w:t>
      </w:r>
      <w:r>
        <w:rPr>
          <w:rFonts w:hint="eastAsia" w:ascii="宋体" w:hAnsi="宋体" w:eastAsia="宋体" w:cs="宋体"/>
          <w:color w:val="auto"/>
          <w:kern w:val="0"/>
          <w:szCs w:val="21"/>
          <w:highlight w:val="none"/>
          <w:u w:val="single"/>
        </w:rPr>
        <w:t>出勤率按照为每月【25】天，每日工作时间【8】小时考勤。重要施工工序或环节时项目经理、技术负责人等必须到场</w:t>
      </w:r>
      <w:r>
        <w:rPr>
          <w:rFonts w:hint="eastAsia" w:ascii="宋体" w:hAnsi="宋体" w:eastAsia="宋体" w:cs="宋体"/>
          <w:color w:val="auto"/>
          <w:kern w:val="0"/>
          <w:szCs w:val="21"/>
          <w:highlight w:val="none"/>
        </w:rPr>
        <w:t>。</w:t>
      </w:r>
    </w:p>
    <w:p w14:paraId="5C02FFC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项目经理未经批准，擅自离开施工现场的违约责任每发生一次，承包人向发包人支付【10000】元违约金，累计发生【3】次以上的，发包人有权要求更换项目经理或解除合同。</w:t>
      </w:r>
    </w:p>
    <w:p w14:paraId="6528435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承包人擅自更换项目经理的违约责任：</w:t>
      </w:r>
      <w:r>
        <w:rPr>
          <w:rFonts w:hint="eastAsia" w:ascii="宋体" w:hAnsi="宋体" w:eastAsia="宋体" w:cs="宋体"/>
          <w:b/>
          <w:color w:val="auto"/>
          <w:kern w:val="0"/>
          <w:szCs w:val="21"/>
          <w:highlight w:val="none"/>
          <w:u w:val="single"/>
        </w:rPr>
        <w:t xml:space="preserve">在施工期间不准更换，特殊情况要求更换的项目经理的，须经发包人书面同意，同时发包人有权从工程款中按以下标准扣除承包人应承担的违约金：更换项目经理，违约金【5000】万元人民币/次；未经发包人同意擅自更换项目经理的，承包人应向发包人支付【10000】元违约金，同时发包人有权解除合同  </w:t>
      </w:r>
      <w:r>
        <w:rPr>
          <w:rFonts w:hint="eastAsia" w:ascii="宋体" w:hAnsi="宋体" w:eastAsia="宋体" w:cs="宋体"/>
          <w:color w:val="auto"/>
          <w:kern w:val="0"/>
          <w:szCs w:val="21"/>
          <w:highlight w:val="none"/>
        </w:rPr>
        <w:t>。</w:t>
      </w:r>
    </w:p>
    <w:p w14:paraId="07BE32A6">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3.2.4 承包人无正当理由拒绝更换项目经理的违约责任：</w:t>
      </w:r>
      <w:r>
        <w:rPr>
          <w:rFonts w:hint="eastAsia" w:ascii="宋体" w:hAnsi="宋体" w:eastAsia="宋体" w:cs="宋体"/>
          <w:color w:val="auto"/>
          <w:kern w:val="0"/>
          <w:szCs w:val="21"/>
          <w:highlight w:val="none"/>
          <w:u w:val="single"/>
        </w:rPr>
        <w:t>承包人在接到发包人更换项目经理的通知后【5】天内仍未更换的，承包人应支付违约金【20000】元，并承担由此增加的费用和延误的工期；在【15】天内仍未更换项目经理的，发包人有权解除合同</w:t>
      </w:r>
      <w:r>
        <w:rPr>
          <w:rFonts w:hint="eastAsia" w:ascii="宋体" w:hAnsi="宋体" w:eastAsia="宋体" w:cs="宋体"/>
          <w:color w:val="auto"/>
          <w:kern w:val="0"/>
          <w:szCs w:val="21"/>
          <w:highlight w:val="none"/>
        </w:rPr>
        <w:t>。</w:t>
      </w:r>
    </w:p>
    <w:p w14:paraId="33FC0DE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 承包人人员</w:t>
      </w:r>
    </w:p>
    <w:p w14:paraId="6D36A50B">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3.3.1 承包人提交项目管理机构及施工现场管理人员安排报告的期限</w:t>
      </w:r>
      <w:r>
        <w:rPr>
          <w:rFonts w:hint="eastAsia" w:ascii="宋体" w:hAnsi="宋体" w:eastAsia="宋体" w:cs="宋体"/>
          <w:color w:val="auto"/>
          <w:kern w:val="0"/>
          <w:szCs w:val="21"/>
          <w:highlight w:val="none"/>
          <w:u w:val="single"/>
        </w:rPr>
        <w:t>：【】年【】月【】日前。承包人逾期提供的，每逾期一天，应向发包人支付【2000】元违约金，逾期超过【15】天的，发包人有权解除合同  。</w:t>
      </w:r>
    </w:p>
    <w:p w14:paraId="778672F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承包人无正当理由拒绝撤换主要施工管理人员的违约责任：</w:t>
      </w:r>
      <w:r>
        <w:rPr>
          <w:rFonts w:hint="eastAsia" w:ascii="宋体" w:hAnsi="宋体" w:eastAsia="宋体" w:cs="宋体"/>
          <w:b/>
          <w:color w:val="auto"/>
          <w:kern w:val="0"/>
          <w:szCs w:val="21"/>
          <w:highlight w:val="none"/>
          <w:u w:val="single"/>
        </w:rPr>
        <w:t>技术负责人、施工员，处以违约金【5000】元人民币/次/人；安全员、质检员、材料员，处以违约金【2000】元人民币/次/人</w:t>
      </w:r>
      <w:r>
        <w:rPr>
          <w:rFonts w:hint="eastAsia" w:ascii="宋体" w:hAnsi="宋体" w:eastAsia="宋体" w:cs="宋体"/>
          <w:color w:val="auto"/>
          <w:kern w:val="0"/>
          <w:szCs w:val="21"/>
          <w:highlight w:val="none"/>
        </w:rPr>
        <w:t>。</w:t>
      </w:r>
    </w:p>
    <w:p w14:paraId="33EDC19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3.3.4 承包人主要施工管理人员离开施工现场的批准要求：</w:t>
      </w:r>
      <w:r>
        <w:rPr>
          <w:rFonts w:hint="eastAsia" w:ascii="宋体" w:hAnsi="宋体" w:eastAsia="宋体" w:cs="宋体"/>
          <w:color w:val="auto"/>
          <w:kern w:val="0"/>
          <w:szCs w:val="21"/>
          <w:highlight w:val="none"/>
          <w:u w:val="single"/>
        </w:rPr>
        <w:t xml:space="preserve">   </w:t>
      </w:r>
      <w:r>
        <w:rPr>
          <w:rFonts w:hint="eastAsia" w:ascii="宋体" w:hAnsi="宋体" w:eastAsia="宋体" w:cs="宋体"/>
          <w:b/>
          <w:bCs/>
          <w:color w:val="auto"/>
          <w:kern w:val="0"/>
          <w:szCs w:val="21"/>
          <w:highlight w:val="none"/>
          <w:u w:val="single"/>
        </w:rPr>
        <w:t>按通用合同条款第3.3.4条规定执行</w:t>
      </w:r>
      <w:r>
        <w:rPr>
          <w:rFonts w:hint="eastAsia" w:ascii="宋体" w:hAnsi="宋体" w:eastAsia="宋体" w:cs="宋体"/>
          <w:color w:val="auto"/>
          <w:kern w:val="0"/>
          <w:szCs w:val="21"/>
          <w:highlight w:val="none"/>
        </w:rPr>
        <w:t>。</w:t>
      </w:r>
    </w:p>
    <w:p w14:paraId="6D27966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3.3.5承包人擅自更换主要施工管理人员的违约责任：</w:t>
      </w:r>
      <w:r>
        <w:rPr>
          <w:rFonts w:hint="eastAsia" w:ascii="宋体" w:hAnsi="宋体" w:eastAsia="宋体" w:cs="宋体"/>
          <w:b/>
          <w:color w:val="auto"/>
          <w:kern w:val="0"/>
          <w:szCs w:val="21"/>
          <w:highlight w:val="none"/>
          <w:u w:val="single"/>
        </w:rPr>
        <w:t>若更换技术负责人、施工员，处以违约金1万元人民币/次/人；若更换安全员、质检员、材料员，处以违约金伍仟元人民币/次/人</w:t>
      </w:r>
      <w:r>
        <w:rPr>
          <w:rFonts w:hint="eastAsia" w:ascii="宋体" w:hAnsi="宋体" w:eastAsia="宋体" w:cs="宋体"/>
          <w:color w:val="auto"/>
          <w:kern w:val="0"/>
          <w:szCs w:val="21"/>
          <w:highlight w:val="none"/>
        </w:rPr>
        <w:t>。除上述违约责任外，同时扣除履约担保中的项目班子到位保证金。</w:t>
      </w:r>
    </w:p>
    <w:p w14:paraId="1C7E75A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承包人主要施工管理人员擅自离开施工现场的违约责任：</w:t>
      </w:r>
      <w:r>
        <w:rPr>
          <w:rFonts w:hint="eastAsia" w:ascii="宋体" w:hAnsi="宋体" w:eastAsia="宋体" w:cs="宋体"/>
          <w:b/>
          <w:bCs/>
          <w:color w:val="auto"/>
          <w:kern w:val="0"/>
          <w:szCs w:val="21"/>
          <w:highlight w:val="none"/>
          <w:u w:val="single"/>
        </w:rPr>
        <w:t>发包人有权要求更换管理人员，承包人应支付【5000】元违约金，累计发生【3】次以上的，发包人有权解除合同</w:t>
      </w:r>
      <w:r>
        <w:rPr>
          <w:rFonts w:hint="eastAsia" w:ascii="宋体" w:hAnsi="宋体" w:eastAsia="宋体" w:cs="宋体"/>
          <w:color w:val="auto"/>
          <w:kern w:val="0"/>
          <w:szCs w:val="21"/>
          <w:highlight w:val="none"/>
        </w:rPr>
        <w:t>。</w:t>
      </w:r>
    </w:p>
    <w:p w14:paraId="0613CF9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bookmarkStart w:id="101" w:name="_Toc296890987"/>
      <w:bookmarkStart w:id="102" w:name="_Toc296347158"/>
      <w:bookmarkStart w:id="103" w:name="_Toc297048345"/>
      <w:bookmarkStart w:id="104" w:name="_Toc297123492"/>
      <w:bookmarkStart w:id="105" w:name="_Toc292559364"/>
      <w:bookmarkStart w:id="106" w:name="_Toc312677988"/>
      <w:bookmarkStart w:id="107" w:name="_Toc297120459"/>
      <w:bookmarkStart w:id="108" w:name="_Toc300934945"/>
      <w:bookmarkStart w:id="109" w:name="_Toc296891199"/>
      <w:bookmarkStart w:id="110" w:name="_Toc304295523"/>
      <w:bookmarkStart w:id="111" w:name="_Toc296944498"/>
      <w:bookmarkStart w:id="112" w:name="_Toc303539102"/>
      <w:bookmarkStart w:id="113" w:name="_Toc296503159"/>
      <w:bookmarkStart w:id="114" w:name="_Toc292559869"/>
      <w:bookmarkStart w:id="115" w:name="_Toc296346660"/>
      <w:bookmarkStart w:id="116" w:name="_Toc297216151"/>
      <w:r>
        <w:rPr>
          <w:rFonts w:hint="eastAsia" w:ascii="宋体" w:hAnsi="宋体" w:eastAsia="宋体" w:cs="宋体"/>
          <w:color w:val="auto"/>
          <w:kern w:val="0"/>
          <w:szCs w:val="21"/>
          <w:highlight w:val="none"/>
        </w:rPr>
        <w:t>.5 分包</w:t>
      </w: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2D2A539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bookmarkStart w:id="117" w:name="_Toc296347159"/>
      <w:bookmarkStart w:id="118" w:name="_Toc297048346"/>
      <w:bookmarkStart w:id="119" w:name="_Toc297123493"/>
      <w:bookmarkStart w:id="120" w:name="_Toc297216152"/>
      <w:bookmarkStart w:id="121" w:name="_Toc296503160"/>
      <w:bookmarkStart w:id="122" w:name="_Toc304295524"/>
      <w:bookmarkStart w:id="123" w:name="_Toc297120460"/>
      <w:bookmarkStart w:id="124" w:name="_Toc292559365"/>
      <w:bookmarkStart w:id="125" w:name="_Toc296891200"/>
      <w:bookmarkStart w:id="126" w:name="_Toc300934946"/>
      <w:bookmarkStart w:id="127" w:name="_Toc292559870"/>
      <w:bookmarkStart w:id="128" w:name="_Toc296890988"/>
      <w:bookmarkStart w:id="129" w:name="_Toc296944499"/>
      <w:bookmarkStart w:id="130" w:name="_Toc296346661"/>
      <w:bookmarkStart w:id="131" w:name="_Toc303539103"/>
      <w:bookmarkStart w:id="132" w:name="_Toc318581158"/>
      <w:bookmarkStart w:id="133" w:name="_Toc312677989"/>
      <w:r>
        <w:rPr>
          <w:rFonts w:hint="eastAsia" w:ascii="宋体" w:hAnsi="宋体" w:eastAsia="宋体" w:cs="宋体"/>
          <w:color w:val="auto"/>
          <w:kern w:val="0"/>
          <w:szCs w:val="21"/>
          <w:highlight w:val="none"/>
        </w:rPr>
        <w:t>.5.1 分包的一般约定</w:t>
      </w:r>
    </w:p>
    <w:p w14:paraId="1421816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禁止分包的工程包括：</w:t>
      </w:r>
      <w:r>
        <w:rPr>
          <w:rFonts w:hint="eastAsia" w:ascii="宋体" w:hAnsi="宋体" w:eastAsia="宋体" w:cs="宋体"/>
          <w:b/>
          <w:bCs/>
          <w:color w:val="auto"/>
          <w:kern w:val="0"/>
          <w:szCs w:val="21"/>
          <w:highlight w:val="none"/>
          <w:u w:val="single"/>
        </w:rPr>
        <w:t>未经发包人同意一律不得分包</w:t>
      </w:r>
      <w:r>
        <w:rPr>
          <w:rFonts w:hint="eastAsia" w:ascii="宋体" w:hAnsi="宋体" w:eastAsia="宋体" w:cs="宋体"/>
          <w:color w:val="auto"/>
          <w:kern w:val="0"/>
          <w:szCs w:val="21"/>
          <w:highlight w:val="none"/>
        </w:rPr>
        <w:t>。</w:t>
      </w:r>
    </w:p>
    <w:p w14:paraId="6221B52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主体结构、关键性工作的范围：</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4" w:name="_Toc296346662"/>
      <w:bookmarkStart w:id="135" w:name="_Toc297123494"/>
      <w:bookmarkStart w:id="136" w:name="_Toc297216153"/>
      <w:bookmarkStart w:id="137" w:name="_Toc297120461"/>
      <w:bookmarkStart w:id="138" w:name="_Toc296890989"/>
      <w:bookmarkStart w:id="139" w:name="_Toc303539104"/>
      <w:bookmarkStart w:id="140" w:name="_Toc300934947"/>
      <w:bookmarkStart w:id="141" w:name="_Toc296347160"/>
      <w:bookmarkStart w:id="142" w:name="_Toc296891201"/>
      <w:bookmarkStart w:id="143" w:name="_Toc297048347"/>
      <w:bookmarkStart w:id="144" w:name="_Toc304295525"/>
      <w:bookmarkStart w:id="145" w:name="_Toc296503161"/>
      <w:bookmarkStart w:id="146" w:name="_Toc296944500"/>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6551C78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bookmarkStart w:id="147" w:name="_Toc318581159"/>
      <w:bookmarkStart w:id="148" w:name="_Toc312677990"/>
      <w:r>
        <w:rPr>
          <w:rFonts w:hint="eastAsia" w:ascii="宋体" w:hAnsi="宋体" w:eastAsia="宋体" w:cs="宋体"/>
          <w:color w:val="auto"/>
          <w:kern w:val="0"/>
          <w:szCs w:val="21"/>
          <w:highlight w:val="none"/>
        </w:rPr>
        <w:t>.5.2分包的确定</w:t>
      </w:r>
    </w:p>
    <w:p w14:paraId="418A893B">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允许分包的专业工程包括：</w:t>
      </w:r>
      <w:r>
        <w:rPr>
          <w:rFonts w:hint="eastAsia" w:ascii="宋体" w:hAnsi="宋体" w:eastAsia="宋体" w:cs="宋体"/>
          <w:b/>
          <w:bCs/>
          <w:color w:val="auto"/>
          <w:kern w:val="0"/>
          <w:szCs w:val="21"/>
          <w:highlight w:val="none"/>
          <w:u w:val="single"/>
        </w:rPr>
        <w:t>不允许分包</w:t>
      </w:r>
      <w:r>
        <w:rPr>
          <w:rFonts w:hint="eastAsia" w:ascii="宋体" w:hAnsi="宋体" w:eastAsia="宋体" w:cs="宋体"/>
          <w:color w:val="auto"/>
          <w:kern w:val="0"/>
          <w:szCs w:val="21"/>
          <w:highlight w:val="none"/>
        </w:rPr>
        <w:t>。</w:t>
      </w:r>
    </w:p>
    <w:p w14:paraId="6EE6D10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其他关于分包的约定：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77851B6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3.5.4 分包合同价款</w:t>
      </w:r>
    </w:p>
    <w:p w14:paraId="77C0161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关于分包合同价款支付的约定：。</w:t>
      </w:r>
    </w:p>
    <w:bookmarkEnd w:id="147"/>
    <w:bookmarkEnd w:id="148"/>
    <w:p w14:paraId="65FA930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 工程照管与成品、半成品保护</w:t>
      </w:r>
    </w:p>
    <w:p w14:paraId="688767F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承包人负责照管工程及工程相关的材料、工程设备的起始时间：合同签订之日起至工程</w:t>
      </w:r>
      <w:r>
        <w:rPr>
          <w:rFonts w:hint="eastAsia" w:ascii="宋体" w:hAnsi="宋体" w:eastAsia="宋体" w:cs="宋体"/>
          <w:color w:val="auto"/>
          <w:kern w:val="0"/>
          <w:szCs w:val="21"/>
          <w:highlight w:val="none"/>
          <w:lang w:val="en-US" w:eastAsia="zh-CN"/>
        </w:rPr>
        <w:t>竣工验收合格</w:t>
      </w:r>
      <w:r>
        <w:rPr>
          <w:rFonts w:hint="eastAsia" w:ascii="宋体" w:hAnsi="宋体" w:eastAsia="宋体" w:cs="宋体"/>
          <w:color w:val="auto"/>
          <w:kern w:val="0"/>
          <w:szCs w:val="21"/>
          <w:highlight w:val="none"/>
        </w:rPr>
        <w:t>止。</w:t>
      </w:r>
    </w:p>
    <w:p w14:paraId="0430FBD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 履约担保</w:t>
      </w:r>
    </w:p>
    <w:p w14:paraId="5A43CF3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承包人是否提供履约担保：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是</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DF844B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承包人提供履约担保的形式、金额及期限的：</w:t>
      </w:r>
      <w:r>
        <w:rPr>
          <w:rFonts w:hint="eastAsia" w:ascii="宋体" w:hAnsi="宋体" w:eastAsia="宋体" w:cs="宋体"/>
          <w:color w:val="auto"/>
          <w:kern w:val="0"/>
          <w:szCs w:val="21"/>
          <w:highlight w:val="none"/>
          <w:u w:val="single"/>
        </w:rPr>
        <w:t>履约担保的形式：支票（同城）、汇票、电汇、经甲方认可的银行保函（省内国有或股份制商业银行一级支行以上分支机构出具的无条件支付的银行保函）。履约担保的金额：成交金额的【</w:t>
      </w:r>
      <w:r>
        <w:rPr>
          <w:rFonts w:hint="eastAsia" w:ascii="宋体" w:hAnsi="宋体" w:eastAsia="宋体" w:cs="宋体"/>
          <w:color w:val="auto"/>
          <w:kern w:val="0"/>
          <w:szCs w:val="21"/>
          <w:highlight w:val="none"/>
          <w:u w:val="single"/>
          <w:lang w:val="en-US" w:eastAsia="zh-CN"/>
        </w:rPr>
        <w:t>2</w:t>
      </w:r>
      <w:r>
        <w:rPr>
          <w:rFonts w:hint="eastAsia" w:ascii="宋体" w:hAnsi="宋体" w:eastAsia="宋体" w:cs="宋体"/>
          <w:color w:val="auto"/>
          <w:kern w:val="0"/>
          <w:szCs w:val="21"/>
          <w:highlight w:val="none"/>
          <w:u w:val="single"/>
        </w:rPr>
        <w:t>】%。</w:t>
      </w:r>
      <w:r>
        <w:rPr>
          <w:rFonts w:hint="eastAsia" w:ascii="宋体" w:hAnsi="宋体" w:eastAsia="宋体" w:cs="宋体"/>
          <w:bCs/>
          <w:color w:val="auto"/>
          <w:kern w:val="0"/>
          <w:szCs w:val="21"/>
          <w:highlight w:val="none"/>
          <w:u w:val="single"/>
        </w:rPr>
        <w:t>履约担保的最晚递交时间：合同签订后</w:t>
      </w:r>
      <w:r>
        <w:rPr>
          <w:rFonts w:hint="eastAsia" w:ascii="宋体" w:hAnsi="宋体" w:eastAsia="宋体" w:cs="宋体"/>
          <w:color w:val="auto"/>
          <w:kern w:val="0"/>
          <w:szCs w:val="21"/>
          <w:highlight w:val="none"/>
          <w:u w:val="single"/>
        </w:rPr>
        <w:t>【7】</w:t>
      </w:r>
      <w:r>
        <w:rPr>
          <w:rFonts w:hint="eastAsia" w:ascii="宋体" w:hAnsi="宋体" w:eastAsia="宋体" w:cs="宋体"/>
          <w:bCs/>
          <w:color w:val="auto"/>
          <w:kern w:val="0"/>
          <w:szCs w:val="21"/>
          <w:highlight w:val="none"/>
          <w:u w:val="single"/>
        </w:rPr>
        <w:t>日内。</w:t>
      </w:r>
      <w:r>
        <w:rPr>
          <w:rFonts w:hint="eastAsia" w:ascii="宋体" w:hAnsi="宋体" w:eastAsia="宋体" w:cs="宋体"/>
          <w:color w:val="auto"/>
          <w:kern w:val="0"/>
          <w:szCs w:val="21"/>
          <w:highlight w:val="none"/>
          <w:u w:val="single"/>
        </w:rPr>
        <w:t>履约担保有效期自履约担保交纳之日起至竣工验收合格后【30】日内有效。在此有效期截止日后【7】天内此履约担保（在扣除承包人应承担的违约金、损害赔偿等费用后如有剩余）退还给承包人，履约担保不计息。合同履行期间如承包人出现违约情况，发包人有权从履约保证金中直接扣除承包人应承担的违约金，承包人应在接到处罚通知后【7】天内补足履约保证金，否则发包人有权在停止支付工程进度款或从工程进度款中扣除</w:t>
      </w:r>
      <w:r>
        <w:rPr>
          <w:rFonts w:hint="eastAsia" w:ascii="宋体" w:hAnsi="宋体" w:eastAsia="宋体" w:cs="宋体"/>
          <w:color w:val="auto"/>
          <w:kern w:val="0"/>
          <w:szCs w:val="21"/>
          <w:highlight w:val="none"/>
        </w:rPr>
        <w:t>。</w:t>
      </w:r>
    </w:p>
    <w:p w14:paraId="012FB5D7">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a)质量保证金占履约保证金的【40】%，视发生质量事故的严重程度处罚。若验收不合格或未达到合同约定质量目标，罚没全部保证金。</w:t>
      </w:r>
    </w:p>
    <w:p w14:paraId="202FCE9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b)工期保证金占履约保证金的【15】%，工期以合同工期和经批准的顺延工期为准，若不能按期竣工，全罚没全部保证金。</w:t>
      </w:r>
    </w:p>
    <w:p w14:paraId="05F66C96">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c)项目经理及项目班子到位率保证金占履约保证金的【15】%。项目经理或项目班子若不能按要求到位，罚没全部保证金。</w:t>
      </w:r>
    </w:p>
    <w:p w14:paraId="4620AF7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d)文明安全生产保证金占履约保证金的【30】%，发生重大人身安全事故，罚没全部保证金。</w:t>
      </w:r>
    </w:p>
    <w:p w14:paraId="266218E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说明：承包人提供履约担保的形式、上述履约保证金的内容构成系对履约保证金组成的说明，但不得构成对发包人处置履约保证金的限制，即对于上述任何一项违约情形，发包人均有权在履约保证金总额范围内处分保证金，而不受上述比例限制</w:t>
      </w:r>
      <w:r>
        <w:rPr>
          <w:rFonts w:hint="eastAsia" w:ascii="宋体" w:hAnsi="宋体" w:eastAsia="宋体" w:cs="宋体"/>
          <w:color w:val="auto"/>
          <w:kern w:val="0"/>
          <w:szCs w:val="21"/>
          <w:highlight w:val="none"/>
        </w:rPr>
        <w:t>。</w:t>
      </w:r>
    </w:p>
    <w:p w14:paraId="23AB8FC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履约保证金的补足：发包人根据本合同约定行使处分履约保证金权利后应当及时书面通知承包人，承包人应当接到通知后【7】个工作日补足，以使整个合同期内的履约保证金始终维持在成交金额【</w:t>
      </w:r>
      <w:r>
        <w:rPr>
          <w:rFonts w:hint="eastAsia" w:ascii="宋体" w:hAnsi="宋体" w:eastAsia="宋体" w:cs="宋体"/>
          <w:color w:val="auto"/>
          <w:kern w:val="0"/>
          <w:szCs w:val="21"/>
          <w:highlight w:val="none"/>
          <w:u w:val="single"/>
          <w:lang w:val="en-US" w:eastAsia="zh-CN"/>
        </w:rPr>
        <w:t>2</w:t>
      </w:r>
      <w:r>
        <w:rPr>
          <w:rFonts w:hint="eastAsia" w:ascii="宋体" w:hAnsi="宋体" w:eastAsia="宋体" w:cs="宋体"/>
          <w:color w:val="auto"/>
          <w:kern w:val="0"/>
          <w:szCs w:val="21"/>
          <w:highlight w:val="none"/>
          <w:u w:val="single"/>
        </w:rPr>
        <w:t>】%的数额。逾期未能补足的，每日按应补而未补金额的万分之五支付逾期补交违约金。</w:t>
      </w:r>
    </w:p>
    <w:p w14:paraId="2F436D9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49" w:name="_Toc351203636"/>
      <w:r>
        <w:rPr>
          <w:rFonts w:hint="eastAsia" w:ascii="宋体" w:hAnsi="宋体" w:eastAsia="宋体" w:cs="宋体"/>
          <w:color w:val="auto"/>
          <w:kern w:val="0"/>
          <w:szCs w:val="21"/>
          <w:highlight w:val="none"/>
        </w:rPr>
        <w:t>4</w:t>
      </w:r>
      <w:bookmarkStart w:id="150" w:name="_Toc296347161"/>
      <w:bookmarkStart w:id="151" w:name="_Toc296503162"/>
      <w:bookmarkStart w:id="152" w:name="_Toc296944501"/>
      <w:bookmarkStart w:id="153" w:name="_Toc267251413"/>
      <w:bookmarkStart w:id="154" w:name="_Toc292559366"/>
      <w:bookmarkStart w:id="155" w:name="_Toc297120462"/>
      <w:bookmarkStart w:id="156" w:name="_Toc296890990"/>
      <w:bookmarkStart w:id="157" w:name="_Toc297048348"/>
      <w:bookmarkStart w:id="158" w:name="_Toc296891202"/>
      <w:bookmarkStart w:id="159" w:name="_Toc296346663"/>
      <w:bookmarkStart w:id="160" w:name="_Toc292559871"/>
      <w:r>
        <w:rPr>
          <w:rFonts w:hint="eastAsia" w:ascii="宋体" w:hAnsi="宋体" w:eastAsia="宋体" w:cs="宋体"/>
          <w:color w:val="auto"/>
          <w:kern w:val="0"/>
          <w:szCs w:val="21"/>
          <w:highlight w:val="none"/>
        </w:rPr>
        <w:t>. 监</w:t>
      </w:r>
      <w:bookmarkEnd w:id="150"/>
      <w:bookmarkEnd w:id="151"/>
      <w:bookmarkEnd w:id="152"/>
      <w:bookmarkEnd w:id="153"/>
      <w:bookmarkEnd w:id="154"/>
      <w:bookmarkEnd w:id="155"/>
      <w:bookmarkEnd w:id="156"/>
      <w:bookmarkEnd w:id="157"/>
      <w:bookmarkEnd w:id="158"/>
      <w:bookmarkEnd w:id="159"/>
      <w:bookmarkEnd w:id="160"/>
      <w:r>
        <w:rPr>
          <w:rFonts w:hint="eastAsia" w:ascii="宋体" w:hAnsi="宋体" w:eastAsia="宋体" w:cs="宋体"/>
          <w:color w:val="auto"/>
          <w:kern w:val="0"/>
          <w:szCs w:val="21"/>
          <w:highlight w:val="none"/>
        </w:rPr>
        <w:t>理人</w:t>
      </w:r>
      <w:bookmarkEnd w:id="149"/>
    </w:p>
    <w:p w14:paraId="5FC53E2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4.1监理人的一般规定</w:t>
      </w:r>
    </w:p>
    <w:p w14:paraId="3BC654A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关于监理人的监理内容：</w:t>
      </w:r>
      <w:r>
        <w:rPr>
          <w:rFonts w:hint="eastAsia" w:ascii="宋体" w:hAnsi="宋体" w:eastAsia="宋体" w:cs="宋体"/>
          <w:b/>
          <w:color w:val="auto"/>
          <w:kern w:val="0"/>
          <w:szCs w:val="21"/>
          <w:highlight w:val="none"/>
          <w:u w:val="single"/>
        </w:rPr>
        <w:t>现场全过程协调，负责质量、安全、进度监督，签证及技术服务</w:t>
      </w:r>
      <w:r>
        <w:rPr>
          <w:rFonts w:hint="eastAsia" w:ascii="宋体" w:hAnsi="宋体" w:eastAsia="宋体" w:cs="宋体"/>
          <w:color w:val="auto"/>
          <w:kern w:val="0"/>
          <w:szCs w:val="21"/>
          <w:highlight w:val="none"/>
        </w:rPr>
        <w:t>。</w:t>
      </w:r>
    </w:p>
    <w:p w14:paraId="56BFE87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关于监理人的监理权限：</w:t>
      </w:r>
      <w:r>
        <w:rPr>
          <w:rFonts w:hint="eastAsia" w:ascii="宋体" w:hAnsi="宋体" w:eastAsia="宋体" w:cs="宋体"/>
          <w:b/>
          <w:bCs/>
          <w:color w:val="auto"/>
          <w:kern w:val="0"/>
          <w:szCs w:val="21"/>
          <w:highlight w:val="none"/>
          <w:u w:val="single"/>
        </w:rPr>
        <w:t>按监理合同约定实行</w:t>
      </w:r>
      <w:r>
        <w:rPr>
          <w:rFonts w:hint="eastAsia" w:ascii="宋体" w:hAnsi="宋体" w:eastAsia="宋体" w:cs="宋体"/>
          <w:color w:val="auto"/>
          <w:kern w:val="0"/>
          <w:szCs w:val="21"/>
          <w:highlight w:val="none"/>
        </w:rPr>
        <w:t xml:space="preserve">。 </w:t>
      </w:r>
    </w:p>
    <w:p w14:paraId="720E44B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关于监理人在施工现场的办公场所、生活场所的提供和费用承担的约定：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555C64B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 监理人员</w:t>
      </w:r>
    </w:p>
    <w:p w14:paraId="7E288E5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w:t>
      </w:r>
    </w:p>
    <w:p w14:paraId="36B38EC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p>
    <w:p w14:paraId="215E72A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务：；</w:t>
      </w:r>
    </w:p>
    <w:p w14:paraId="2599AC1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监理工程师执业资格证书号：；</w:t>
      </w:r>
    </w:p>
    <w:p w14:paraId="75E61EF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p>
    <w:p w14:paraId="337351A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p>
    <w:p w14:paraId="5FD7057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p>
    <w:p w14:paraId="132CC4D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关于监理人的其他约定：。</w:t>
      </w:r>
    </w:p>
    <w:p w14:paraId="5C2FEAC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 商定或确定</w:t>
      </w:r>
    </w:p>
    <w:p w14:paraId="04D1A12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61" w:name="_Toc267251418"/>
      <w:r>
        <w:rPr>
          <w:rFonts w:hint="eastAsia" w:ascii="宋体" w:hAnsi="宋体" w:eastAsia="宋体" w:cs="宋体"/>
          <w:color w:val="auto"/>
          <w:kern w:val="0"/>
          <w:szCs w:val="21"/>
          <w:highlight w:val="none"/>
        </w:rPr>
        <w:t>在发包人和承包人不能通过协商达成一致意见时，发包人授权监理人对以下事项进行确定：</w:t>
      </w:r>
    </w:p>
    <w:p w14:paraId="1B85BA42">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p w14:paraId="3731E32A">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p w14:paraId="60A5F130">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p w14:paraId="5C6E538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62" w:name="_Toc351203637"/>
      <w:r>
        <w:rPr>
          <w:rFonts w:hint="eastAsia" w:ascii="宋体" w:hAnsi="宋体" w:eastAsia="宋体" w:cs="宋体"/>
          <w:color w:val="auto"/>
          <w:kern w:val="0"/>
          <w:szCs w:val="21"/>
          <w:highlight w:val="none"/>
        </w:rPr>
        <w:t>5</w:t>
      </w:r>
      <w:bookmarkEnd w:id="161"/>
      <w:bookmarkStart w:id="163" w:name="_Toc296944502"/>
      <w:bookmarkStart w:id="164" w:name="_Toc296891203"/>
      <w:bookmarkStart w:id="165" w:name="_Toc297048349"/>
      <w:bookmarkStart w:id="166" w:name="_Toc292559367"/>
      <w:bookmarkStart w:id="167" w:name="_Toc296346664"/>
      <w:bookmarkStart w:id="168" w:name="_Toc297120463"/>
      <w:bookmarkStart w:id="169" w:name="_Toc296890991"/>
      <w:bookmarkStart w:id="170" w:name="_Toc296503163"/>
      <w:bookmarkStart w:id="171" w:name="_Toc292559872"/>
      <w:bookmarkStart w:id="172" w:name="_Toc296347162"/>
      <w:r>
        <w:rPr>
          <w:rFonts w:hint="eastAsia" w:ascii="宋体" w:hAnsi="宋体" w:eastAsia="宋体" w:cs="宋体"/>
          <w:color w:val="auto"/>
          <w:kern w:val="0"/>
          <w:szCs w:val="21"/>
          <w:highlight w:val="none"/>
        </w:rPr>
        <w:t>. 工程质量</w:t>
      </w:r>
      <w:bookmarkEnd w:id="162"/>
    </w:p>
    <w:p w14:paraId="45A8F0BA">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 质量要求</w:t>
      </w:r>
    </w:p>
    <w:p w14:paraId="75D3F79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bookmarkStart w:id="173" w:name="_Toc297123496"/>
      <w:bookmarkStart w:id="174" w:name="_Toc300934949"/>
      <w:bookmarkStart w:id="175" w:name="_Toc312677997"/>
      <w:bookmarkStart w:id="176" w:name="_Toc318581164"/>
      <w:bookmarkStart w:id="177" w:name="_Toc297216155"/>
      <w:bookmarkStart w:id="178" w:name="_Toc303539106"/>
      <w:bookmarkStart w:id="179" w:name="_Toc304295527"/>
      <w:r>
        <w:rPr>
          <w:rFonts w:hint="eastAsia" w:ascii="宋体" w:hAnsi="宋体" w:eastAsia="宋体" w:cs="宋体"/>
          <w:color w:val="auto"/>
          <w:kern w:val="0"/>
          <w:szCs w:val="21"/>
          <w:highlight w:val="none"/>
        </w:rPr>
        <w:t>.1.1 特殊质量标准和要求：</w:t>
      </w:r>
      <w:r>
        <w:rPr>
          <w:rFonts w:hint="eastAsia" w:ascii="宋体" w:hAnsi="宋体" w:eastAsia="宋体" w:cs="宋体"/>
          <w:color w:val="auto"/>
          <w:kern w:val="0"/>
          <w:szCs w:val="21"/>
          <w:highlight w:val="none"/>
          <w:u w:val="single"/>
        </w:rPr>
        <w:t>合格</w:t>
      </w:r>
      <w:r>
        <w:rPr>
          <w:rFonts w:hint="eastAsia" w:ascii="宋体" w:hAnsi="宋体" w:eastAsia="宋体" w:cs="宋体"/>
          <w:color w:val="auto"/>
          <w:kern w:val="0"/>
          <w:szCs w:val="21"/>
          <w:highlight w:val="none"/>
        </w:rPr>
        <w:t>。</w:t>
      </w:r>
    </w:p>
    <w:p w14:paraId="5BD2D11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关于工程奖项的约定：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187AAF0E">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 隐蔽工程检查</w:t>
      </w:r>
    </w:p>
    <w:p w14:paraId="7D7E05E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5.3.2承包人提前通知监理人隐蔽工程检查的期限的约定：</w:t>
      </w:r>
      <w:r>
        <w:rPr>
          <w:rFonts w:hint="eastAsia" w:ascii="宋体" w:hAnsi="宋体" w:eastAsia="宋体" w:cs="宋体"/>
          <w:color w:val="auto"/>
          <w:kern w:val="0"/>
          <w:szCs w:val="21"/>
          <w:highlight w:val="none"/>
          <w:u w:val="single"/>
        </w:rPr>
        <w:t>承包人应在共同检查前【48】小时书面通知监理人检查，通知中应载明隐蔽检查的内容、时间和地点，并应附有自检记录和必要的检查资料</w:t>
      </w:r>
      <w:r>
        <w:rPr>
          <w:rFonts w:hint="eastAsia" w:ascii="宋体" w:hAnsi="宋体" w:eastAsia="宋体" w:cs="宋体"/>
          <w:color w:val="auto"/>
          <w:kern w:val="0"/>
          <w:szCs w:val="21"/>
          <w:highlight w:val="none"/>
        </w:rPr>
        <w:t>。</w:t>
      </w:r>
    </w:p>
    <w:p w14:paraId="628813E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监理人不能按时进行检查时，应提前</w:t>
      </w:r>
      <w:r>
        <w:rPr>
          <w:rFonts w:hint="eastAsia" w:ascii="宋体" w:hAnsi="宋体" w:eastAsia="宋体" w:cs="宋体"/>
          <w:color w:val="auto"/>
          <w:kern w:val="0"/>
          <w:szCs w:val="21"/>
          <w:highlight w:val="none"/>
          <w:u w:val="single"/>
        </w:rPr>
        <w:t>【24】</w:t>
      </w:r>
      <w:r>
        <w:rPr>
          <w:rFonts w:hint="eastAsia" w:ascii="宋体" w:hAnsi="宋体" w:eastAsia="宋体" w:cs="宋体"/>
          <w:color w:val="auto"/>
          <w:kern w:val="0"/>
          <w:szCs w:val="21"/>
          <w:highlight w:val="none"/>
        </w:rPr>
        <w:t>小时提交书面延期要求。</w:t>
      </w:r>
    </w:p>
    <w:p w14:paraId="1129A17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关于延期最长不得超过：</w:t>
      </w:r>
      <w:r>
        <w:rPr>
          <w:rFonts w:hint="eastAsia" w:ascii="宋体" w:hAnsi="宋体" w:eastAsia="宋体" w:cs="宋体"/>
          <w:color w:val="auto"/>
          <w:kern w:val="0"/>
          <w:szCs w:val="21"/>
          <w:highlight w:val="none"/>
          <w:u w:val="single"/>
        </w:rPr>
        <w:t>【48】</w:t>
      </w:r>
      <w:r>
        <w:rPr>
          <w:rFonts w:hint="eastAsia" w:ascii="宋体" w:hAnsi="宋体" w:eastAsia="宋体" w:cs="宋体"/>
          <w:color w:val="auto"/>
          <w:kern w:val="0"/>
          <w:szCs w:val="21"/>
          <w:highlight w:val="none"/>
        </w:rPr>
        <w:t>小时。</w:t>
      </w:r>
    </w:p>
    <w:p w14:paraId="617811E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80" w:name="_Toc351203638"/>
      <w:r>
        <w:rPr>
          <w:rFonts w:hint="eastAsia" w:ascii="宋体" w:hAnsi="宋体" w:eastAsia="宋体" w:cs="宋体"/>
          <w:color w:val="auto"/>
          <w:kern w:val="0"/>
          <w:szCs w:val="21"/>
          <w:highlight w:val="none"/>
        </w:rPr>
        <w:t>6. 安全文明施工与环境保护</w:t>
      </w:r>
      <w:bookmarkEnd w:id="180"/>
    </w:p>
    <w:p w14:paraId="0091E92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6.1安全文明施工</w:t>
      </w:r>
    </w:p>
    <w:p w14:paraId="4069E061">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6.1.1 项目安全生产的达标目标及相应事项的约定：</w:t>
      </w:r>
      <w:r>
        <w:rPr>
          <w:rFonts w:hint="eastAsia" w:ascii="宋体" w:hAnsi="宋体" w:eastAsia="宋体" w:cs="宋体"/>
          <w:color w:val="auto"/>
          <w:kern w:val="0"/>
          <w:szCs w:val="21"/>
          <w:highlight w:val="none"/>
          <w:u w:val="single"/>
        </w:rPr>
        <w:t>承包人在施工期间，应杜绝伤亡事故，严格执行省、市有关建设工程安全、文明施工的规定，由于管理不善引起政府有关部门罚款或责令停工整改等，其发生的费用或导致的工期延误等后果应由承包人自行承担；施工现场必须按规定配备专职安全员，专职负责安全文明施工工作及预防事故的发生，安全人员，有权按有关规定发布指令，并采取保护性措施防止事故发生。</w:t>
      </w:r>
    </w:p>
    <w:p w14:paraId="7B08329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6.1.4 关于治安保卫的特别约定：</w:t>
      </w:r>
      <w:r>
        <w:rPr>
          <w:rFonts w:hint="eastAsia" w:ascii="宋体" w:hAnsi="宋体" w:eastAsia="宋体" w:cs="宋体"/>
          <w:b/>
          <w:bCs/>
          <w:color w:val="auto"/>
          <w:kern w:val="0"/>
          <w:szCs w:val="21"/>
          <w:highlight w:val="none"/>
          <w:u w:val="single"/>
        </w:rPr>
        <w:t>按通用合同条款第6.1.4条规定执行</w:t>
      </w:r>
      <w:r>
        <w:rPr>
          <w:rFonts w:hint="eastAsia" w:ascii="宋体" w:hAnsi="宋体" w:eastAsia="宋体" w:cs="宋体"/>
          <w:color w:val="auto"/>
          <w:kern w:val="0"/>
          <w:szCs w:val="21"/>
          <w:highlight w:val="none"/>
        </w:rPr>
        <w:t>。</w:t>
      </w:r>
    </w:p>
    <w:p w14:paraId="67A709A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关于编制施工场地治安管理计划的约定：</w:t>
      </w:r>
      <w:r>
        <w:rPr>
          <w:rFonts w:hint="eastAsia" w:ascii="宋体" w:hAnsi="宋体" w:eastAsia="宋体" w:cs="宋体"/>
          <w:b/>
          <w:bCs/>
          <w:color w:val="auto"/>
          <w:kern w:val="0"/>
          <w:szCs w:val="21"/>
          <w:highlight w:val="none"/>
          <w:u w:val="single"/>
        </w:rPr>
        <w:t>按通用合同条款第6.1.4条规定执行</w:t>
      </w:r>
      <w:r>
        <w:rPr>
          <w:rFonts w:hint="eastAsia" w:ascii="宋体" w:hAnsi="宋体" w:eastAsia="宋体" w:cs="宋体"/>
          <w:color w:val="auto"/>
          <w:kern w:val="0"/>
          <w:szCs w:val="21"/>
          <w:highlight w:val="none"/>
        </w:rPr>
        <w:t>。</w:t>
      </w:r>
    </w:p>
    <w:p w14:paraId="4B21966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6.1.5 文明施工</w:t>
      </w:r>
    </w:p>
    <w:p w14:paraId="45D3890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合同当事人对文明施工的要求：</w:t>
      </w:r>
    </w:p>
    <w:p w14:paraId="4C38A2B8">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1）承包人应严格按照省、市及地方安全生产和劳动保护的有关规定，认真落实各项安全保护措施及安全生产责任制，并随时接受发包人或监理工程师及有关部门的监督检查。发包人在进行巡查时发现工程质量或环境保护、文明施工、安全施工达不到要求，第一次发现给予承包人警告并责令整改，二次及以上发现承包人应立即整改并向发包人支付</w:t>
      </w:r>
      <w:r>
        <w:rPr>
          <w:rFonts w:hint="eastAsia" w:ascii="宋体" w:hAnsi="宋体" w:eastAsia="宋体" w:cs="宋体"/>
          <w:color w:val="auto"/>
          <w:kern w:val="0"/>
          <w:szCs w:val="21"/>
          <w:highlight w:val="none"/>
          <w:u w:val="single"/>
        </w:rPr>
        <w:t>【50000】</w:t>
      </w:r>
      <w:r>
        <w:rPr>
          <w:rFonts w:hint="eastAsia" w:ascii="宋体" w:hAnsi="宋体" w:eastAsia="宋体" w:cs="宋体"/>
          <w:b/>
          <w:bCs/>
          <w:color w:val="auto"/>
          <w:kern w:val="0"/>
          <w:szCs w:val="21"/>
          <w:highlight w:val="none"/>
          <w:u w:val="single"/>
        </w:rPr>
        <w:t>元人民币的违约金。被上级主管部门通报批评，承包人按人民币</w:t>
      </w:r>
      <w:r>
        <w:rPr>
          <w:rFonts w:hint="eastAsia" w:ascii="宋体" w:hAnsi="宋体" w:eastAsia="宋体" w:cs="宋体"/>
          <w:color w:val="auto"/>
          <w:kern w:val="0"/>
          <w:szCs w:val="21"/>
          <w:highlight w:val="none"/>
          <w:u w:val="single"/>
        </w:rPr>
        <w:t>【50000】</w:t>
      </w:r>
      <w:r>
        <w:rPr>
          <w:rFonts w:hint="eastAsia" w:ascii="宋体" w:hAnsi="宋体" w:eastAsia="宋体" w:cs="宋体"/>
          <w:b/>
          <w:bCs/>
          <w:color w:val="auto"/>
          <w:kern w:val="0"/>
          <w:szCs w:val="21"/>
          <w:highlight w:val="none"/>
          <w:u w:val="single"/>
        </w:rPr>
        <w:t>元/次向发包人支付违约金，同时发包人有权解除合同；被媒体曝光，向发包人支付人民币</w:t>
      </w:r>
      <w:r>
        <w:rPr>
          <w:rFonts w:hint="eastAsia" w:ascii="宋体" w:hAnsi="宋体" w:eastAsia="宋体" w:cs="宋体"/>
          <w:color w:val="auto"/>
          <w:kern w:val="0"/>
          <w:szCs w:val="21"/>
          <w:highlight w:val="none"/>
          <w:u w:val="single"/>
        </w:rPr>
        <w:t>【50000】</w:t>
      </w:r>
      <w:r>
        <w:rPr>
          <w:rFonts w:hint="eastAsia" w:ascii="宋体" w:hAnsi="宋体" w:eastAsia="宋体" w:cs="宋体"/>
          <w:b/>
          <w:bCs/>
          <w:color w:val="auto"/>
          <w:kern w:val="0"/>
          <w:szCs w:val="21"/>
          <w:highlight w:val="none"/>
          <w:u w:val="single"/>
        </w:rPr>
        <w:t>元违约金，同时发包人有权解除合同。</w:t>
      </w:r>
    </w:p>
    <w:p w14:paraId="5E97C0B7">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（2）承包人应对进度施工现场的施工人员进行安全文明施工教育，持证上岗，配备必要的劳动保护用具，保证工程的施工安全和人身安全。</w:t>
      </w:r>
    </w:p>
    <w:p w14:paraId="7DDD7E76">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07CDB4EA">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4）安全施工所发生的费用承包人已在磋商响应报价中包干，发生重大伤亡事故或其他事故，承包人应及时上报发包人，并承担全部赔偿责任（非承包人原因除外）。施工过程中若发生死亡事故，由承包人承担全部责任并支付全部费用，且必须在事发后立即启动应急预案，并在24小时内按事故等级通报上级，并做好事故处理和善后等各类事宜，否则发包人有权直接处理，相关费用在履约担保（或工程款）中直接扣除。发生任何事故的，发包人均有权解除合同。</w:t>
      </w:r>
    </w:p>
    <w:p w14:paraId="17845FFC">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u w:val="single"/>
        </w:rPr>
        <w:t>（5）承包人按规定自行向建设行政各主管部门、城市行政主管部门等相关职能部门办理相关手续，施工组织须符合管理部门的要求，发包人给予协调，费用不予增加。承包人必须做好安全文明施工、环境保护（扬尘、排污、泥浆外运等）工作。</w:t>
      </w:r>
    </w:p>
    <w:p w14:paraId="31A7D72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6.1.6 关于安全文明施工费支付比例和支付期限的约定：视相关措施的落实情况与合同款同期支付。</w:t>
      </w:r>
    </w:p>
    <w:bookmarkEnd w:id="173"/>
    <w:bookmarkEnd w:id="174"/>
    <w:bookmarkEnd w:id="175"/>
    <w:bookmarkEnd w:id="176"/>
    <w:bookmarkEnd w:id="177"/>
    <w:bookmarkEnd w:id="178"/>
    <w:bookmarkEnd w:id="179"/>
    <w:p w14:paraId="10BAF96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181" w:name="_Toc351203639"/>
      <w:r>
        <w:rPr>
          <w:rFonts w:hint="eastAsia" w:ascii="宋体" w:hAnsi="宋体" w:eastAsia="宋体" w:cs="宋体"/>
          <w:color w:val="auto"/>
          <w:kern w:val="0"/>
          <w:szCs w:val="21"/>
          <w:highlight w:val="none"/>
        </w:rPr>
        <w:t>7. 工期和进度</w:t>
      </w:r>
      <w:bookmarkEnd w:id="181"/>
    </w:p>
    <w:p w14:paraId="544361D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 施工组织设计</w:t>
      </w:r>
    </w:p>
    <w:p w14:paraId="4C154178">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7.1.1 合同当事人约定的施工组织设计应包括的其他内容：</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0CEC4930">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7.1.2 施工组织设计的提交和修改</w:t>
      </w:r>
    </w:p>
    <w:p w14:paraId="29E3B36F">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承包人提交详细施工组织设计的期限的约定：</w:t>
      </w:r>
      <w:r>
        <w:rPr>
          <w:rFonts w:hint="eastAsia" w:ascii="宋体" w:hAnsi="宋体" w:eastAsia="宋体" w:cs="宋体"/>
          <w:b/>
          <w:bCs/>
          <w:color w:val="auto"/>
          <w:kern w:val="0"/>
          <w:szCs w:val="21"/>
          <w:highlight w:val="none"/>
          <w:u w:val="single"/>
        </w:rPr>
        <w:t>合同签订后</w:t>
      </w:r>
      <w:r>
        <w:rPr>
          <w:rFonts w:hint="eastAsia" w:ascii="宋体" w:hAnsi="宋体" w:eastAsia="宋体" w:cs="宋体"/>
          <w:color w:val="auto"/>
          <w:kern w:val="0"/>
          <w:szCs w:val="21"/>
          <w:highlight w:val="none"/>
          <w:u w:val="single"/>
        </w:rPr>
        <w:t>【7】</w:t>
      </w:r>
      <w:r>
        <w:rPr>
          <w:rFonts w:hint="eastAsia" w:ascii="宋体" w:hAnsi="宋体" w:eastAsia="宋体" w:cs="宋体"/>
          <w:b/>
          <w:bCs/>
          <w:color w:val="auto"/>
          <w:kern w:val="0"/>
          <w:szCs w:val="21"/>
          <w:highlight w:val="none"/>
          <w:u w:val="single"/>
        </w:rPr>
        <w:t>天提供，逾期提供的，每逾期一天，应向发包人支付【2000】元违约金，逾期超过【15】天的，发包人有权解除合同</w:t>
      </w:r>
      <w:r>
        <w:rPr>
          <w:rFonts w:hint="eastAsia" w:ascii="宋体" w:hAnsi="宋体" w:eastAsia="宋体" w:cs="宋体"/>
          <w:color w:val="auto"/>
          <w:kern w:val="0"/>
          <w:szCs w:val="21"/>
          <w:highlight w:val="none"/>
        </w:rPr>
        <w:t>。</w:t>
      </w:r>
    </w:p>
    <w:p w14:paraId="012E1B9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发包人和监理人在收到详细的施工组织设计后确认或提出修改意见的期限：</w:t>
      </w:r>
      <w:r>
        <w:rPr>
          <w:rFonts w:hint="eastAsia" w:ascii="宋体" w:hAnsi="宋体" w:eastAsia="宋体" w:cs="宋体"/>
          <w:b/>
          <w:bCs/>
          <w:color w:val="auto"/>
          <w:kern w:val="0"/>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宋体" w:hAnsi="宋体" w:eastAsia="宋体" w:cs="宋体"/>
          <w:color w:val="auto"/>
          <w:kern w:val="0"/>
          <w:szCs w:val="21"/>
          <w:highlight w:val="none"/>
        </w:rPr>
        <w:t>。</w:t>
      </w:r>
    </w:p>
    <w:p w14:paraId="440C2E9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bookmarkStart w:id="182" w:name="_Toc297123514"/>
      <w:bookmarkStart w:id="183" w:name="_Toc312677479"/>
      <w:bookmarkStart w:id="184" w:name="_Toc312678005"/>
      <w:bookmarkStart w:id="185" w:name="_Toc304295541"/>
      <w:bookmarkStart w:id="186" w:name="_Toc303539123"/>
      <w:bookmarkStart w:id="187" w:name="_Toc297216173"/>
      <w:bookmarkStart w:id="188" w:name="_Toc300934966"/>
      <w:r>
        <w:rPr>
          <w:rFonts w:hint="eastAsia" w:ascii="宋体" w:hAnsi="宋体" w:eastAsia="宋体" w:cs="宋体"/>
          <w:color w:val="auto"/>
          <w:kern w:val="0"/>
          <w:szCs w:val="21"/>
          <w:highlight w:val="none"/>
        </w:rPr>
        <w:t>.2 施工进度计划</w:t>
      </w:r>
    </w:p>
    <w:p w14:paraId="2BD3D76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7.2.2 施工进度计划的修订</w:t>
      </w:r>
    </w:p>
    <w:p w14:paraId="0C4D69F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发包人和监理人在收到修订的施工进度计划后确认或提出修改意见的期限：</w:t>
      </w:r>
      <w:r>
        <w:rPr>
          <w:rFonts w:hint="eastAsia" w:ascii="宋体" w:hAnsi="宋体" w:eastAsia="宋体" w:cs="宋体"/>
          <w:b/>
          <w:bCs/>
          <w:color w:val="auto"/>
          <w:kern w:val="0"/>
          <w:szCs w:val="21"/>
          <w:highlight w:val="none"/>
          <w:u w:val="single"/>
        </w:rPr>
        <w:t>接到报告后【7】天内予以批复</w:t>
      </w:r>
      <w:r>
        <w:rPr>
          <w:rFonts w:hint="eastAsia" w:ascii="宋体" w:hAnsi="宋体" w:eastAsia="宋体" w:cs="宋体"/>
          <w:color w:val="auto"/>
          <w:kern w:val="0"/>
          <w:szCs w:val="21"/>
          <w:highlight w:val="none"/>
        </w:rPr>
        <w:t>。</w:t>
      </w:r>
    </w:p>
    <w:p w14:paraId="3830189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 开工</w:t>
      </w:r>
    </w:p>
    <w:p w14:paraId="6A3CCE6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7.3.1 开工准备</w:t>
      </w:r>
    </w:p>
    <w:p w14:paraId="3A2CC5E9">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关于承包人提交工程开工报审表的期限：【202</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】年【】月【】日前，</w:t>
      </w:r>
      <w:r>
        <w:rPr>
          <w:rFonts w:hint="eastAsia" w:ascii="宋体" w:hAnsi="宋体" w:eastAsia="宋体" w:cs="宋体"/>
          <w:color w:val="auto"/>
          <w:kern w:val="0"/>
          <w:szCs w:val="21"/>
          <w:highlight w:val="none"/>
          <w:u w:val="single"/>
        </w:rPr>
        <w:t xml:space="preserve">逾期提供的，每逾期一天，应向发包人支付【2000】元违约金 </w:t>
      </w:r>
      <w:r>
        <w:rPr>
          <w:rFonts w:hint="eastAsia" w:ascii="宋体" w:hAnsi="宋体" w:eastAsia="宋体" w:cs="宋体"/>
          <w:color w:val="auto"/>
          <w:kern w:val="0"/>
          <w:szCs w:val="21"/>
          <w:highlight w:val="none"/>
        </w:rPr>
        <w:t>。</w:t>
      </w:r>
    </w:p>
    <w:p w14:paraId="2D41C13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关于发包人应完成的其他开工准备工作及期限：</w:t>
      </w:r>
      <w:r>
        <w:rPr>
          <w:rFonts w:hint="eastAsia" w:ascii="宋体" w:hAnsi="宋体" w:eastAsia="宋体" w:cs="宋体"/>
          <w:b/>
          <w:bCs/>
          <w:color w:val="auto"/>
          <w:kern w:val="0"/>
          <w:szCs w:val="21"/>
          <w:highlight w:val="none"/>
          <w:u w:val="single"/>
        </w:rPr>
        <w:t>开工前【7】天</w:t>
      </w:r>
      <w:r>
        <w:rPr>
          <w:rFonts w:hint="eastAsia" w:ascii="宋体" w:hAnsi="宋体" w:eastAsia="宋体" w:cs="宋体"/>
          <w:color w:val="auto"/>
          <w:kern w:val="0"/>
          <w:szCs w:val="21"/>
          <w:highlight w:val="none"/>
        </w:rPr>
        <w:t>。</w:t>
      </w:r>
    </w:p>
    <w:p w14:paraId="571044A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关于承包人应完成的其他开工准备工作及期限：【202</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】年【】月【】日前，逾期完成的，每逾期一天，应向发包人支付【2000】元违约金。</w:t>
      </w:r>
    </w:p>
    <w:p w14:paraId="07F7F96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7.3.2开工通知</w:t>
      </w:r>
    </w:p>
    <w:p w14:paraId="1D80ECC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因发包人原因造成监理人未能在计划开工日期之日起</w:t>
      </w:r>
      <w:r>
        <w:rPr>
          <w:rFonts w:hint="eastAsia" w:ascii="宋体" w:hAnsi="宋体" w:eastAsia="宋体" w:cs="宋体"/>
          <w:color w:val="auto"/>
          <w:kern w:val="0"/>
          <w:szCs w:val="21"/>
          <w:highlight w:val="none"/>
          <w:u w:val="single"/>
        </w:rPr>
        <w:t xml:space="preserve"> 【90】 </w:t>
      </w:r>
      <w:r>
        <w:rPr>
          <w:rFonts w:hint="eastAsia" w:ascii="宋体" w:hAnsi="宋体" w:eastAsia="宋体" w:cs="宋体"/>
          <w:color w:val="auto"/>
          <w:kern w:val="0"/>
          <w:szCs w:val="21"/>
          <w:highlight w:val="none"/>
        </w:rPr>
        <w:t>天内发出开工通知的，承包人有权提出价格调整要求，或者解除合同。</w:t>
      </w:r>
    </w:p>
    <w:bookmarkEnd w:id="182"/>
    <w:bookmarkEnd w:id="183"/>
    <w:bookmarkEnd w:id="184"/>
    <w:bookmarkEnd w:id="185"/>
    <w:bookmarkEnd w:id="186"/>
    <w:bookmarkEnd w:id="187"/>
    <w:bookmarkEnd w:id="188"/>
    <w:p w14:paraId="7C55703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 测量放线</w:t>
      </w:r>
    </w:p>
    <w:p w14:paraId="5F4C4511">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7.4.1发包人通过监理人向承包人提供测量基准点、基准线和水准点及其书面资料的期限：</w:t>
      </w:r>
      <w:r>
        <w:rPr>
          <w:rFonts w:hint="eastAsia" w:ascii="宋体" w:hAnsi="宋体" w:eastAsia="宋体" w:cs="宋体"/>
          <w:b/>
          <w:bCs/>
          <w:color w:val="auto"/>
          <w:kern w:val="0"/>
          <w:szCs w:val="21"/>
          <w:highlight w:val="none"/>
          <w:u w:val="single"/>
        </w:rPr>
        <w:t>开工前七天</w:t>
      </w:r>
      <w:r>
        <w:rPr>
          <w:rFonts w:hint="eastAsia" w:ascii="宋体" w:hAnsi="宋体" w:eastAsia="宋体" w:cs="宋体"/>
          <w:color w:val="auto"/>
          <w:kern w:val="0"/>
          <w:szCs w:val="21"/>
          <w:highlight w:val="none"/>
        </w:rPr>
        <w:t>。</w:t>
      </w:r>
    </w:p>
    <w:p w14:paraId="4D261AC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bookmarkStart w:id="189" w:name="_Toc312677484"/>
      <w:bookmarkStart w:id="190" w:name="_Toc297123516"/>
      <w:bookmarkStart w:id="191" w:name="_Toc312678010"/>
      <w:bookmarkStart w:id="192" w:name="_Toc297216175"/>
      <w:bookmarkStart w:id="193" w:name="_Toc303539125"/>
      <w:bookmarkStart w:id="194" w:name="_Toc300934968"/>
      <w:bookmarkStart w:id="195" w:name="_Toc304295546"/>
      <w:r>
        <w:rPr>
          <w:rFonts w:hint="eastAsia" w:ascii="宋体" w:hAnsi="宋体" w:eastAsia="宋体" w:cs="宋体"/>
          <w:color w:val="auto"/>
          <w:kern w:val="0"/>
          <w:szCs w:val="21"/>
          <w:highlight w:val="none"/>
        </w:rPr>
        <w:t>.5 工期延误</w:t>
      </w:r>
    </w:p>
    <w:bookmarkEnd w:id="189"/>
    <w:bookmarkEnd w:id="190"/>
    <w:bookmarkEnd w:id="191"/>
    <w:bookmarkEnd w:id="192"/>
    <w:bookmarkEnd w:id="193"/>
    <w:bookmarkEnd w:id="194"/>
    <w:bookmarkEnd w:id="195"/>
    <w:p w14:paraId="65BAF2C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7.5.1 因发包人原因导致工期延误</w:t>
      </w:r>
    </w:p>
    <w:p w14:paraId="4169AF5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）因发包人原因导致工期延误的其他情形：</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5982037B">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）双方约定工期顺延的其他情况：</w:t>
      </w:r>
      <w:r>
        <w:rPr>
          <w:rFonts w:hint="eastAsia" w:ascii="宋体" w:hAnsi="宋体" w:eastAsia="宋体" w:cs="宋体"/>
          <w:color w:val="auto"/>
          <w:kern w:val="0"/>
          <w:szCs w:val="21"/>
          <w:highlight w:val="none"/>
          <w:u w:val="single"/>
        </w:rPr>
        <w:t>承包人按协议条款约定的开工日期开始施工，具体开、停和复工的时间以发包人（或监理单位）的签证为准，如工程前期滞后、重大设计变更而影响施工关键线路进度，工期顺延由承包人申请监理审核后报发包人签证为准。除经监理和发包人联系单签证同意外，工期一律不得顺延。承包人在磋商响应时已充分考虑各项因素（包括但不限于周边环境、停电停水、物价波动、气候因素等）影响，保证工程连续施工，以上费用已含在承包人合同价款中。凡由于承包人造成的工期延误，则工期不能顺延，由此引起的赶工措施等费用增加均由承包人自行承担。</w:t>
      </w:r>
      <w:r>
        <w:rPr>
          <w:rFonts w:hint="eastAsia" w:ascii="宋体" w:hAnsi="宋体" w:eastAsia="宋体" w:cs="宋体"/>
          <w:bCs/>
          <w:color w:val="auto"/>
          <w:kern w:val="0"/>
          <w:szCs w:val="21"/>
          <w:highlight w:val="none"/>
          <w:u w:val="single"/>
        </w:rPr>
        <w:t>因非承包人原因导致的工期延误，经发包人确认的，工期相应顺延，但费用不予补偿。</w:t>
      </w:r>
    </w:p>
    <w:p w14:paraId="0559E21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）工程延期的审批：</w:t>
      </w:r>
      <w:r>
        <w:rPr>
          <w:rFonts w:hint="eastAsia" w:ascii="宋体" w:hAnsi="宋体" w:eastAsia="宋体" w:cs="宋体"/>
          <w:color w:val="auto"/>
          <w:kern w:val="0"/>
          <w:szCs w:val="21"/>
          <w:highlight w:val="none"/>
          <w:u w:val="single"/>
        </w:rPr>
        <w:t>必须是非承包人自身的原因造成的工期延误，发包人才可以考虑是否受理承包人的延期申请；若只是局部工程受到影响，承包人应采取措施并合理安排施工方案予以弥补，而不能影响工程的总工期。</w:t>
      </w:r>
    </w:p>
    <w:p w14:paraId="6EDDB5B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bookmarkStart w:id="196" w:name="_Toc312678012"/>
      <w:bookmarkStart w:id="197" w:name="_Toc312677486"/>
      <w:bookmarkStart w:id="198" w:name="_Toc318581169"/>
      <w:bookmarkStart w:id="199" w:name="_Toc297123518"/>
      <w:bookmarkStart w:id="200" w:name="_Toc300934970"/>
      <w:bookmarkStart w:id="201" w:name="_Toc304295548"/>
      <w:bookmarkStart w:id="202" w:name="_Toc297216177"/>
      <w:bookmarkStart w:id="203" w:name="_Toc303539127"/>
      <w:r>
        <w:rPr>
          <w:rFonts w:hint="eastAsia" w:ascii="宋体" w:hAnsi="宋体" w:eastAsia="宋体" w:cs="宋体"/>
          <w:color w:val="auto"/>
          <w:kern w:val="0"/>
          <w:szCs w:val="21"/>
          <w:highlight w:val="none"/>
        </w:rPr>
        <w:t>.5.2 因承包人原因导致工期延误</w:t>
      </w:r>
    </w:p>
    <w:bookmarkEnd w:id="196"/>
    <w:bookmarkEnd w:id="197"/>
    <w:bookmarkEnd w:id="198"/>
    <w:p w14:paraId="7296CDB6">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因</w:t>
      </w:r>
      <w:bookmarkStart w:id="204" w:name="_Toc312677487"/>
      <w:bookmarkStart w:id="205" w:name="_Toc312678013"/>
      <w:bookmarkStart w:id="206" w:name="_Toc318581170"/>
      <w:r>
        <w:rPr>
          <w:rFonts w:hint="eastAsia" w:ascii="宋体" w:hAnsi="宋体" w:eastAsia="宋体" w:cs="宋体"/>
          <w:color w:val="auto"/>
          <w:kern w:val="0"/>
          <w:szCs w:val="21"/>
          <w:highlight w:val="none"/>
        </w:rPr>
        <w:t>承包人原因造成工期延误，逾期竣工违约金的计算方法为：</w:t>
      </w:r>
    </w:p>
    <w:p w14:paraId="6A7F374C">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①因承包人原因工程不能按合同约定工期竣工，每延误一天，承包人应按人民币【2000】元向发包人支付违约金。该违约金发包人有权在承包人的履约保证金中扣除，不足部分在工程结算价款中扣除，逾期超过【15】天的，发包人有权解除合同，并要求承包人退还已收取的全部费用，并支付【50000】元违约金。</w:t>
      </w:r>
    </w:p>
    <w:p w14:paraId="41877E58">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②因承包人原因，承包人在施工过程中不能按施工总进度计划完成各项施工任务，实际施工进度比施工进度计划滞后超过【15】天（含【15】天）的，发包人有权解除合同，也有权仍选择由承包人继续履行合同，如发包人选择由承包人继续履行合同的，竣工工期每延误一天，承包人应按人民币【2000】元向发包人支付违约金。</w:t>
      </w:r>
      <w:bookmarkEnd w:id="199"/>
      <w:bookmarkEnd w:id="200"/>
      <w:bookmarkEnd w:id="201"/>
      <w:bookmarkEnd w:id="202"/>
      <w:bookmarkEnd w:id="203"/>
      <w:bookmarkEnd w:id="204"/>
      <w:bookmarkEnd w:id="205"/>
    </w:p>
    <w:bookmarkEnd w:id="206"/>
    <w:p w14:paraId="30013DE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因承包人原因造成工期延误，逾</w:t>
      </w:r>
      <w:bookmarkStart w:id="207" w:name="_Toc312678014"/>
      <w:bookmarkStart w:id="208" w:name="_Toc318581171"/>
      <w:r>
        <w:rPr>
          <w:rFonts w:hint="eastAsia" w:ascii="宋体" w:hAnsi="宋体" w:eastAsia="宋体" w:cs="宋体"/>
          <w:color w:val="auto"/>
          <w:kern w:val="0"/>
          <w:szCs w:val="21"/>
          <w:highlight w:val="none"/>
        </w:rPr>
        <w:t>期竣工违约金的上限：</w:t>
      </w:r>
      <w:r>
        <w:rPr>
          <w:rFonts w:hint="eastAsia" w:ascii="宋体" w:hAnsi="宋体" w:eastAsia="宋体" w:cs="宋体"/>
          <w:b/>
          <w:bCs/>
          <w:color w:val="auto"/>
          <w:kern w:val="0"/>
          <w:szCs w:val="21"/>
          <w:highlight w:val="none"/>
          <w:u w:val="single"/>
        </w:rPr>
        <w:t>累计最高不超过合同总价的百分之二十，但因工期延误给发包人造成的损失不受该违约金上限的限制</w:t>
      </w:r>
      <w:r>
        <w:rPr>
          <w:rFonts w:hint="eastAsia" w:ascii="宋体" w:hAnsi="宋体" w:eastAsia="宋体" w:cs="宋体"/>
          <w:color w:val="auto"/>
          <w:kern w:val="0"/>
          <w:szCs w:val="21"/>
          <w:highlight w:val="none"/>
        </w:rPr>
        <w:t>。</w:t>
      </w:r>
    </w:p>
    <w:bookmarkEnd w:id="207"/>
    <w:bookmarkEnd w:id="208"/>
    <w:p w14:paraId="6E5639C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bookmarkStart w:id="209" w:name="_Toc304295549"/>
      <w:bookmarkStart w:id="210" w:name="_Toc297216178"/>
      <w:bookmarkStart w:id="211" w:name="_Toc312678015"/>
      <w:bookmarkStart w:id="212" w:name="_Toc297123519"/>
      <w:bookmarkStart w:id="213" w:name="_Toc300934971"/>
      <w:bookmarkStart w:id="214" w:name="_Toc303539128"/>
      <w:r>
        <w:rPr>
          <w:rFonts w:hint="eastAsia" w:ascii="宋体" w:hAnsi="宋体" w:eastAsia="宋体" w:cs="宋体"/>
          <w:color w:val="auto"/>
          <w:kern w:val="0"/>
          <w:szCs w:val="21"/>
          <w:highlight w:val="none"/>
        </w:rPr>
        <w:t>.6 不</w:t>
      </w:r>
      <w:bookmarkEnd w:id="209"/>
      <w:bookmarkEnd w:id="210"/>
      <w:bookmarkEnd w:id="211"/>
      <w:bookmarkEnd w:id="212"/>
      <w:bookmarkEnd w:id="213"/>
      <w:bookmarkEnd w:id="214"/>
      <w:r>
        <w:rPr>
          <w:rFonts w:hint="eastAsia" w:ascii="宋体" w:hAnsi="宋体" w:eastAsia="宋体" w:cs="宋体"/>
          <w:color w:val="auto"/>
          <w:kern w:val="0"/>
          <w:szCs w:val="21"/>
          <w:highlight w:val="none"/>
        </w:rPr>
        <w:t>利物质条件</w:t>
      </w:r>
    </w:p>
    <w:p w14:paraId="4B8024F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215" w:name="_Toc297123520"/>
      <w:bookmarkStart w:id="216" w:name="_Toc318581172"/>
      <w:bookmarkStart w:id="217" w:name="_Toc303539129"/>
      <w:bookmarkStart w:id="218" w:name="_Toc304295550"/>
      <w:bookmarkStart w:id="219" w:name="_Toc297216179"/>
      <w:bookmarkStart w:id="220" w:name="_Toc300934972"/>
      <w:bookmarkStart w:id="221" w:name="_Toc312678016"/>
      <w:r>
        <w:rPr>
          <w:rFonts w:hint="eastAsia" w:ascii="宋体" w:hAnsi="宋体" w:eastAsia="宋体" w:cs="宋体"/>
          <w:color w:val="auto"/>
          <w:kern w:val="0"/>
          <w:szCs w:val="21"/>
          <w:highlight w:val="none"/>
        </w:rPr>
        <w:t>不利物质条件的其他情形和有关约定：</w:t>
      </w:r>
      <w:r>
        <w:rPr>
          <w:rFonts w:hint="eastAsia" w:ascii="宋体" w:hAnsi="宋体" w:eastAsia="宋体" w:cs="宋体"/>
          <w:b/>
          <w:bCs/>
          <w:color w:val="auto"/>
          <w:kern w:val="0"/>
          <w:szCs w:val="21"/>
          <w:highlight w:val="none"/>
          <w:u w:val="single"/>
        </w:rPr>
        <w:t>按通用合同条款第7.6条规定执行</w:t>
      </w:r>
      <w:r>
        <w:rPr>
          <w:rFonts w:hint="eastAsia" w:ascii="宋体" w:hAnsi="宋体" w:eastAsia="宋体" w:cs="宋体"/>
          <w:color w:val="auto"/>
          <w:kern w:val="0"/>
          <w:szCs w:val="21"/>
          <w:highlight w:val="none"/>
        </w:rPr>
        <w:t>。</w:t>
      </w:r>
    </w:p>
    <w:bookmarkEnd w:id="215"/>
    <w:bookmarkEnd w:id="216"/>
    <w:bookmarkEnd w:id="217"/>
    <w:bookmarkEnd w:id="218"/>
    <w:bookmarkEnd w:id="219"/>
    <w:bookmarkEnd w:id="220"/>
    <w:bookmarkEnd w:id="221"/>
    <w:p w14:paraId="715A7F4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bookmarkStart w:id="222" w:name="_Toc297216180"/>
      <w:bookmarkStart w:id="223" w:name="_Toc304295551"/>
      <w:bookmarkStart w:id="224" w:name="_Toc312678017"/>
      <w:bookmarkStart w:id="225" w:name="_Toc300934973"/>
      <w:bookmarkStart w:id="226" w:name="_Toc297123521"/>
      <w:bookmarkStart w:id="227" w:name="_Toc303539130"/>
      <w:r>
        <w:rPr>
          <w:rFonts w:hint="eastAsia" w:ascii="宋体" w:hAnsi="宋体" w:eastAsia="宋体" w:cs="宋体"/>
          <w:color w:val="auto"/>
          <w:kern w:val="0"/>
          <w:szCs w:val="21"/>
          <w:highlight w:val="none"/>
        </w:rPr>
        <w:t>.7异常恶劣的气候条件</w:t>
      </w:r>
    </w:p>
    <w:bookmarkEnd w:id="222"/>
    <w:bookmarkEnd w:id="223"/>
    <w:bookmarkEnd w:id="224"/>
    <w:bookmarkEnd w:id="225"/>
    <w:bookmarkEnd w:id="226"/>
    <w:bookmarkEnd w:id="227"/>
    <w:p w14:paraId="14E09D2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发包人和承包人同意以下情形视为异常恶劣的气候条件：</w:t>
      </w:r>
    </w:p>
    <w:p w14:paraId="48D2D07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1810764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0B7A128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CFA89A3">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7.9 提前竣工的奖励</w:t>
      </w:r>
    </w:p>
    <w:p w14:paraId="6E5C457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7.9.2提前竣工的奖励：</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5E17CD5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228" w:name="_Toc351203640"/>
      <w:r>
        <w:rPr>
          <w:rFonts w:hint="eastAsia" w:ascii="宋体" w:hAnsi="宋体" w:eastAsia="宋体" w:cs="宋体"/>
          <w:color w:val="auto"/>
          <w:kern w:val="0"/>
          <w:szCs w:val="21"/>
          <w:highlight w:val="none"/>
        </w:rPr>
        <w:t>8. 材料与设备</w:t>
      </w:r>
      <w:bookmarkEnd w:id="228"/>
    </w:p>
    <w:bookmarkEnd w:id="163"/>
    <w:bookmarkEnd w:id="164"/>
    <w:bookmarkEnd w:id="165"/>
    <w:bookmarkEnd w:id="166"/>
    <w:bookmarkEnd w:id="167"/>
    <w:bookmarkEnd w:id="168"/>
    <w:bookmarkEnd w:id="169"/>
    <w:bookmarkEnd w:id="170"/>
    <w:bookmarkEnd w:id="171"/>
    <w:bookmarkEnd w:id="172"/>
    <w:p w14:paraId="233F2A1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bookmarkStart w:id="229" w:name="_Toc296346668"/>
      <w:bookmarkStart w:id="230" w:name="_Toc292559372"/>
      <w:bookmarkStart w:id="231" w:name="_Toc300934979"/>
      <w:bookmarkStart w:id="232" w:name="_Toc303539136"/>
      <w:bookmarkStart w:id="233" w:name="_Toc296891207"/>
      <w:bookmarkStart w:id="234" w:name="_Toc304295556"/>
      <w:bookmarkStart w:id="235" w:name="_Toc292559877"/>
      <w:bookmarkStart w:id="236" w:name="_Toc296503167"/>
      <w:bookmarkStart w:id="237" w:name="_Toc297123527"/>
      <w:bookmarkStart w:id="238" w:name="_Toc297048353"/>
      <w:bookmarkStart w:id="239" w:name="_Toc296944506"/>
      <w:bookmarkStart w:id="240" w:name="_Toc297120467"/>
      <w:bookmarkStart w:id="241" w:name="_Toc280868654"/>
      <w:bookmarkStart w:id="242" w:name="_Toc297216186"/>
      <w:bookmarkStart w:id="243" w:name="_Toc312678019"/>
      <w:bookmarkStart w:id="244" w:name="_Toc296890995"/>
      <w:bookmarkStart w:id="245" w:name="_Toc312677493"/>
      <w:bookmarkStart w:id="246" w:name="_Toc296347166"/>
      <w:bookmarkStart w:id="247" w:name="_Toc280868656"/>
      <w:bookmarkStart w:id="248" w:name="_Toc280868655"/>
      <w:bookmarkStart w:id="249" w:name="_Toc267251424"/>
      <w:r>
        <w:rPr>
          <w:rFonts w:hint="eastAsia" w:ascii="宋体" w:hAnsi="宋体" w:eastAsia="宋体" w:cs="宋体"/>
          <w:color w:val="auto"/>
          <w:kern w:val="0"/>
          <w:szCs w:val="21"/>
          <w:highlight w:val="none"/>
        </w:rPr>
        <w:t>.4材料与工程设备的保管与使用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2C8DB6C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bookmarkStart w:id="250" w:name="_Toc292559878"/>
      <w:bookmarkStart w:id="251" w:name="_Toc292559373"/>
      <w:bookmarkStart w:id="252" w:name="_Toc318581173"/>
      <w:bookmarkStart w:id="253" w:name="_Toc296944507"/>
      <w:bookmarkStart w:id="254" w:name="_Toc304295557"/>
      <w:bookmarkStart w:id="255" w:name="_Toc296503168"/>
      <w:bookmarkStart w:id="256" w:name="_Toc296347167"/>
      <w:bookmarkStart w:id="257" w:name="_Toc312677494"/>
      <w:bookmarkStart w:id="258" w:name="_Toc296891208"/>
      <w:bookmarkStart w:id="259" w:name="_Toc312678020"/>
      <w:bookmarkStart w:id="260" w:name="_Toc296346669"/>
      <w:bookmarkStart w:id="261" w:name="_Toc297123528"/>
      <w:bookmarkStart w:id="262" w:name="_Toc303539137"/>
      <w:bookmarkStart w:id="263" w:name="_Toc297120468"/>
      <w:bookmarkStart w:id="264" w:name="_Toc300934980"/>
      <w:bookmarkStart w:id="265" w:name="_Toc297048354"/>
      <w:bookmarkStart w:id="266" w:name="_Toc297216187"/>
      <w:bookmarkStart w:id="267" w:name="_Toc296890996"/>
      <w:r>
        <w:rPr>
          <w:rFonts w:hint="eastAsia" w:ascii="宋体" w:hAnsi="宋体" w:eastAsia="宋体" w:cs="宋体"/>
          <w:color w:val="auto"/>
          <w:kern w:val="0"/>
          <w:szCs w:val="21"/>
          <w:highlight w:val="none"/>
        </w:rPr>
        <w:t>.4.1发包人供应的材料设备的保管费用的承担：</w:t>
      </w:r>
    </w:p>
    <w:p w14:paraId="0FB9468C">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u w:val="single"/>
        </w:rPr>
        <w:t>发包人供应的材料设备保管费用、安装过程中的二次搬运费用和设备就位费、检验试验费由承包人承担；因承包人原因发生材料丢失损坏，由承包人负责赔偿。</w:t>
      </w:r>
      <w:bookmarkEnd w:id="250"/>
      <w:bookmarkEnd w:id="251"/>
    </w:p>
    <w:p w14:paraId="0853BEDE">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 样品</w:t>
      </w:r>
    </w:p>
    <w:p w14:paraId="3CD36CA9">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8.6.1 样品的报送与封存</w:t>
      </w:r>
    </w:p>
    <w:p w14:paraId="65F92FE1">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需要承包人报送样品的材料或工程设备，样品的种类、名称、规格、数量要求：</w:t>
      </w:r>
      <w:r>
        <w:rPr>
          <w:rFonts w:hint="eastAsia" w:ascii="宋体" w:hAnsi="宋体" w:eastAsia="宋体" w:cs="宋体"/>
          <w:b/>
          <w:bCs/>
          <w:color w:val="auto"/>
          <w:kern w:val="0"/>
          <w:szCs w:val="21"/>
          <w:highlight w:val="none"/>
          <w:u w:val="single"/>
        </w:rPr>
        <w:t>按通用合同条款第8.6.1条规定执行</w:t>
      </w:r>
      <w:r>
        <w:rPr>
          <w:rFonts w:hint="eastAsia" w:ascii="宋体" w:hAnsi="宋体" w:eastAsia="宋体" w:cs="宋体"/>
          <w:color w:val="auto"/>
          <w:kern w:val="0"/>
          <w:szCs w:val="21"/>
          <w:highlight w:val="none"/>
        </w:rPr>
        <w:t>。</w:t>
      </w:r>
    </w:p>
    <w:p w14:paraId="3E18BF8C">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8.8 施工设备和临时设施</w:t>
      </w:r>
    </w:p>
    <w:p w14:paraId="37A083B3">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8.8.1 承包人提供的施工设备和临时设施</w:t>
      </w:r>
    </w:p>
    <w:p w14:paraId="34864D69">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关于修建临时设施费用承担的约定：</w:t>
      </w:r>
      <w:r>
        <w:rPr>
          <w:rFonts w:hint="eastAsia" w:ascii="宋体" w:hAnsi="宋体" w:eastAsia="宋体" w:cs="宋体"/>
          <w:color w:val="auto"/>
          <w:kern w:val="0"/>
          <w:szCs w:val="21"/>
          <w:highlight w:val="none"/>
          <w:u w:val="single"/>
        </w:rPr>
        <w:t>由承包人承担 。</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41593CA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268" w:name="_Toc351203641"/>
      <w:r>
        <w:rPr>
          <w:rFonts w:hint="eastAsia" w:ascii="宋体" w:hAnsi="宋体" w:eastAsia="宋体" w:cs="宋体"/>
          <w:color w:val="auto"/>
          <w:kern w:val="0"/>
          <w:szCs w:val="21"/>
          <w:highlight w:val="none"/>
        </w:rPr>
        <w:t>9</w:t>
      </w:r>
      <w:bookmarkEnd w:id="247"/>
      <w:bookmarkEnd w:id="248"/>
      <w:bookmarkEnd w:id="249"/>
      <w:bookmarkStart w:id="269" w:name="_Toc303539139"/>
      <w:bookmarkStart w:id="270" w:name="_Toc297216192"/>
      <w:bookmarkStart w:id="271" w:name="_Toc297123533"/>
      <w:bookmarkStart w:id="272" w:name="_Toc312677495"/>
      <w:bookmarkStart w:id="273" w:name="_Toc312678021"/>
      <w:bookmarkStart w:id="274" w:name="_Toc304295559"/>
      <w:bookmarkStart w:id="275" w:name="_Toc300934982"/>
      <w:bookmarkStart w:id="276" w:name="_Toc267251427"/>
      <w:bookmarkStart w:id="277" w:name="_Toc292559378"/>
      <w:bookmarkStart w:id="278" w:name="_Toc296944512"/>
      <w:bookmarkStart w:id="279" w:name="_Toc292559883"/>
      <w:bookmarkStart w:id="280" w:name="_Toc296891213"/>
      <w:bookmarkStart w:id="281" w:name="_Toc296503173"/>
      <w:bookmarkStart w:id="282" w:name="_Toc296891001"/>
      <w:bookmarkStart w:id="283" w:name="_Toc297048359"/>
      <w:bookmarkStart w:id="284" w:name="_Toc297120473"/>
      <w:bookmarkStart w:id="285" w:name="_Toc296347172"/>
      <w:bookmarkStart w:id="286" w:name="_Toc267251428"/>
      <w:bookmarkStart w:id="287" w:name="_Toc296346674"/>
      <w:r>
        <w:rPr>
          <w:rFonts w:hint="eastAsia" w:ascii="宋体" w:hAnsi="宋体" w:eastAsia="宋体" w:cs="宋体"/>
          <w:color w:val="auto"/>
          <w:kern w:val="0"/>
          <w:szCs w:val="21"/>
          <w:highlight w:val="none"/>
        </w:rPr>
        <w:t>. 试验与检验</w:t>
      </w:r>
      <w:bookmarkEnd w:id="268"/>
    </w:p>
    <w:bookmarkEnd w:id="269"/>
    <w:bookmarkEnd w:id="270"/>
    <w:bookmarkEnd w:id="271"/>
    <w:bookmarkEnd w:id="272"/>
    <w:bookmarkEnd w:id="273"/>
    <w:bookmarkEnd w:id="274"/>
    <w:bookmarkEnd w:id="275"/>
    <w:p w14:paraId="417480B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bookmarkStart w:id="288" w:name="_Toc300934983"/>
      <w:bookmarkStart w:id="289" w:name="_Toc297216193"/>
      <w:bookmarkStart w:id="290" w:name="_Toc303539140"/>
      <w:bookmarkStart w:id="291" w:name="_Toc312678022"/>
      <w:bookmarkStart w:id="292" w:name="_Toc312677496"/>
      <w:bookmarkStart w:id="293" w:name="_Toc304295560"/>
      <w:bookmarkStart w:id="294" w:name="_Toc297123534"/>
      <w:r>
        <w:rPr>
          <w:rFonts w:hint="eastAsia" w:ascii="宋体" w:hAnsi="宋体" w:eastAsia="宋体" w:cs="宋体"/>
          <w:color w:val="auto"/>
          <w:kern w:val="0"/>
          <w:szCs w:val="21"/>
          <w:highlight w:val="none"/>
        </w:rPr>
        <w:t>.1试验设备与试验人员</w:t>
      </w:r>
    </w:p>
    <w:bookmarkEnd w:id="288"/>
    <w:bookmarkEnd w:id="289"/>
    <w:bookmarkEnd w:id="290"/>
    <w:bookmarkEnd w:id="291"/>
    <w:bookmarkEnd w:id="292"/>
    <w:bookmarkEnd w:id="293"/>
    <w:bookmarkEnd w:id="294"/>
    <w:p w14:paraId="023BECA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bookmarkStart w:id="295" w:name="_Toc304295561"/>
      <w:bookmarkStart w:id="296" w:name="_Toc297216194"/>
      <w:bookmarkStart w:id="297" w:name="_Toc312678023"/>
      <w:bookmarkStart w:id="298" w:name="_Toc297123535"/>
      <w:bookmarkStart w:id="299" w:name="_Toc312677497"/>
      <w:bookmarkStart w:id="300" w:name="_Toc300934984"/>
      <w:bookmarkStart w:id="301" w:name="_Toc303539141"/>
      <w:bookmarkStart w:id="302" w:name="_Toc318581174"/>
      <w:r>
        <w:rPr>
          <w:rFonts w:hint="eastAsia" w:ascii="宋体" w:hAnsi="宋体" w:eastAsia="宋体" w:cs="宋体"/>
          <w:color w:val="auto"/>
          <w:kern w:val="0"/>
          <w:szCs w:val="21"/>
          <w:highlight w:val="none"/>
        </w:rPr>
        <w:t>.1.2 试验设备</w:t>
      </w:r>
    </w:p>
    <w:p w14:paraId="04989B0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施工现场需要配置的试验场所：</w:t>
      </w:r>
      <w:bookmarkEnd w:id="295"/>
      <w:bookmarkEnd w:id="296"/>
      <w:bookmarkEnd w:id="297"/>
      <w:bookmarkEnd w:id="298"/>
      <w:bookmarkEnd w:id="299"/>
      <w:bookmarkEnd w:id="300"/>
      <w:bookmarkEnd w:id="301"/>
      <w:bookmarkStart w:id="303" w:name="_Toc312678024"/>
      <w:bookmarkStart w:id="304" w:name="_Toc297216195"/>
      <w:bookmarkStart w:id="305" w:name="_Toc304295562"/>
      <w:bookmarkStart w:id="306" w:name="_Toc300934985"/>
      <w:bookmarkStart w:id="307" w:name="_Toc312677498"/>
      <w:bookmarkStart w:id="308" w:name="_Toc297123536"/>
      <w:bookmarkStart w:id="309" w:name="_Toc303539142"/>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w:t>
      </w:r>
    </w:p>
    <w:p w14:paraId="1C45B33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施工现场需要配备的试验设备：</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658B90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施工现场需要具备的其他试验条件：满足工程需要，由承包人提供 。</w:t>
      </w:r>
    </w:p>
    <w:p w14:paraId="12261EB3">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9.4 现场工艺试验 </w:t>
      </w:r>
    </w:p>
    <w:p w14:paraId="08E228D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现场工艺试验的有关约定：承包人应当根据国家或行业的规程、规范进行试验，费用已包含在合同价款中，不得另行计取。</w:t>
      </w:r>
    </w:p>
    <w:bookmarkEnd w:id="302"/>
    <w:bookmarkEnd w:id="303"/>
    <w:bookmarkEnd w:id="304"/>
    <w:bookmarkEnd w:id="305"/>
    <w:bookmarkEnd w:id="306"/>
    <w:bookmarkEnd w:id="307"/>
    <w:bookmarkEnd w:id="308"/>
    <w:bookmarkEnd w:id="309"/>
    <w:p w14:paraId="1B50E6D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310" w:name="_Toc351203642"/>
      <w:r>
        <w:rPr>
          <w:rFonts w:hint="eastAsia" w:ascii="宋体" w:hAnsi="宋体" w:eastAsia="宋体" w:cs="宋体"/>
          <w:color w:val="auto"/>
          <w:kern w:val="0"/>
          <w:szCs w:val="21"/>
          <w:highlight w:val="none"/>
        </w:rPr>
        <w:t>1</w:t>
      </w:r>
      <w:bookmarkEnd w:id="276"/>
      <w:bookmarkEnd w:id="277"/>
      <w:bookmarkEnd w:id="278"/>
      <w:bookmarkEnd w:id="279"/>
      <w:bookmarkEnd w:id="280"/>
      <w:bookmarkEnd w:id="281"/>
      <w:bookmarkEnd w:id="282"/>
      <w:bookmarkEnd w:id="283"/>
      <w:bookmarkEnd w:id="284"/>
      <w:bookmarkEnd w:id="285"/>
      <w:bookmarkEnd w:id="286"/>
      <w:bookmarkEnd w:id="287"/>
      <w:bookmarkStart w:id="311" w:name="_Toc292559398"/>
      <w:bookmarkStart w:id="312" w:name="_Toc296944532"/>
      <w:bookmarkStart w:id="313" w:name="_Toc303539146"/>
      <w:bookmarkStart w:id="314" w:name="_Toc304295566"/>
      <w:bookmarkStart w:id="315" w:name="_Toc297120493"/>
      <w:bookmarkStart w:id="316" w:name="_Toc292559903"/>
      <w:bookmarkStart w:id="317" w:name="_Toc296503193"/>
      <w:bookmarkStart w:id="318" w:name="_Toc296891021"/>
      <w:bookmarkStart w:id="319" w:name="_Toc296346694"/>
      <w:bookmarkStart w:id="320" w:name="_Toc300934989"/>
      <w:bookmarkStart w:id="321" w:name="_Toc297216199"/>
      <w:bookmarkStart w:id="322" w:name="_Toc296891233"/>
      <w:bookmarkStart w:id="323" w:name="_Toc297123540"/>
      <w:bookmarkStart w:id="324" w:name="_Toc296347192"/>
      <w:bookmarkStart w:id="325" w:name="_Toc297048379"/>
      <w:bookmarkStart w:id="326" w:name="_Toc312678025"/>
      <w:bookmarkStart w:id="327" w:name="_Toc312677499"/>
      <w:bookmarkStart w:id="328" w:name="_Toc267251439"/>
      <w:bookmarkStart w:id="329" w:name="_Toc267251433"/>
      <w:bookmarkStart w:id="330" w:name="_Toc267251435"/>
      <w:bookmarkStart w:id="331" w:name="_Toc267251440"/>
      <w:bookmarkStart w:id="332" w:name="_Toc267251441"/>
      <w:bookmarkStart w:id="333" w:name="_Toc267251437"/>
      <w:bookmarkStart w:id="334" w:name="_Toc267251442"/>
      <w:r>
        <w:rPr>
          <w:rFonts w:hint="eastAsia" w:ascii="宋体" w:hAnsi="宋体" w:eastAsia="宋体" w:cs="宋体"/>
          <w:color w:val="auto"/>
          <w:kern w:val="0"/>
          <w:szCs w:val="21"/>
          <w:highlight w:val="none"/>
        </w:rPr>
        <w:t>0. 变更</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End w:id="326"/>
    <w:bookmarkEnd w:id="327"/>
    <w:p w14:paraId="51E86CE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Start w:id="335" w:name="_Toc297216200"/>
      <w:bookmarkStart w:id="336" w:name="_Toc296891234"/>
      <w:bookmarkStart w:id="337" w:name="_Toc296944533"/>
      <w:bookmarkStart w:id="338" w:name="_Toc296891022"/>
      <w:bookmarkStart w:id="339" w:name="_Toc297123541"/>
      <w:bookmarkStart w:id="340" w:name="_Toc296347193"/>
      <w:bookmarkStart w:id="341" w:name="_Toc297048380"/>
      <w:bookmarkStart w:id="342" w:name="_Toc312677500"/>
      <w:bookmarkStart w:id="343" w:name="_Toc300934990"/>
      <w:bookmarkStart w:id="344" w:name="_Toc296503194"/>
      <w:bookmarkStart w:id="345" w:name="_Toc312678026"/>
      <w:bookmarkStart w:id="346" w:name="_Toc292559904"/>
      <w:bookmarkStart w:id="347" w:name="_Toc303539147"/>
      <w:bookmarkStart w:id="348" w:name="_Toc296346695"/>
      <w:bookmarkStart w:id="349" w:name="_Toc297120494"/>
      <w:bookmarkStart w:id="350" w:name="_Toc304295567"/>
      <w:bookmarkStart w:id="351" w:name="_Toc292559399"/>
      <w:r>
        <w:rPr>
          <w:rFonts w:hint="eastAsia" w:ascii="宋体" w:hAnsi="宋体" w:eastAsia="宋体" w:cs="宋体"/>
          <w:color w:val="auto"/>
          <w:kern w:val="0"/>
          <w:szCs w:val="21"/>
          <w:highlight w:val="none"/>
        </w:rPr>
        <w:t>0.1变更的范围</w:t>
      </w:r>
    </w:p>
    <w:p w14:paraId="780A6D47">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关于变更的范围的约定：</w:t>
      </w:r>
    </w:p>
    <w:p w14:paraId="53186FEC">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color w:val="auto"/>
          <w:kern w:val="0"/>
          <w:szCs w:val="21"/>
          <w:highlight w:val="none"/>
          <w:u w:val="single"/>
        </w:rPr>
        <w:t>（1）</w:t>
      </w:r>
      <w:r>
        <w:rPr>
          <w:rFonts w:hint="eastAsia" w:ascii="宋体" w:hAnsi="宋体" w:eastAsia="宋体" w:cs="宋体"/>
          <w:b/>
          <w:bCs/>
          <w:color w:val="auto"/>
          <w:kern w:val="0"/>
          <w:szCs w:val="21"/>
          <w:highlight w:val="none"/>
          <w:u w:val="single"/>
        </w:rPr>
        <w:t>施工中发包人需对原工程设计变更，应提前【7】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74DEE82F">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（2）施工中承包人不得对原工程设计进行变更。因承包人擅自变更设计发生的费用和由此导致发包人损失，由承包人承担，延误的工期不予顺延，同时发包人有权解除合同。</w:t>
      </w:r>
    </w:p>
    <w:p w14:paraId="4931CCA2">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同时发包人有权解除合同。发包人同意采用承包人合理化建议，所发生的费用和获得的收益，发包人承包人另行约定分担或分享</w:t>
      </w:r>
      <w:r>
        <w:rPr>
          <w:rFonts w:hint="eastAsia" w:ascii="宋体" w:hAnsi="宋体" w:eastAsia="宋体" w:cs="宋体"/>
          <w:color w:val="auto"/>
          <w:kern w:val="0"/>
          <w:szCs w:val="21"/>
          <w:highlight w:val="none"/>
        </w:rPr>
        <w:t>。</w:t>
      </w:r>
    </w:p>
    <w:p w14:paraId="3FC19A04">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 变更估价</w:t>
      </w:r>
    </w:p>
    <w:p w14:paraId="05DA7B3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10.4.1 变更估价原则</w:t>
      </w:r>
    </w:p>
    <w:p w14:paraId="229ACE5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关于变更估价的约定: </w:t>
      </w:r>
      <w:r>
        <w:rPr>
          <w:rFonts w:hint="eastAsia" w:ascii="宋体" w:hAnsi="宋体" w:eastAsia="宋体" w:cs="宋体"/>
          <w:b/>
          <w:bCs/>
          <w:color w:val="auto"/>
          <w:kern w:val="0"/>
          <w:szCs w:val="21"/>
          <w:highlight w:val="none"/>
          <w:u w:val="single"/>
        </w:rPr>
        <w:t>发包人有可能根据工程需要修改施工图或发出指令增加或减少工程量，工程量不论增减多少，承包人均应无条件服从，对因变更增加或减少的工程量，其结算口径按本合同相应条款执行。对变更单项材料累计金额达到规定标准时，发包人有权通过招标确定材料价格及供货单位</w:t>
      </w:r>
      <w:r>
        <w:rPr>
          <w:rFonts w:hint="eastAsia" w:ascii="宋体" w:hAnsi="宋体" w:eastAsia="宋体" w:cs="宋体"/>
          <w:color w:val="auto"/>
          <w:kern w:val="0"/>
          <w:szCs w:val="21"/>
          <w:highlight w:val="none"/>
        </w:rPr>
        <w:t>。</w:t>
      </w:r>
    </w:p>
    <w:p w14:paraId="38E97AF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Toc297123544"/>
      <w:bookmarkStart w:id="353" w:name="_Toc292559402"/>
      <w:bookmarkStart w:id="354" w:name="_Toc296891237"/>
      <w:bookmarkStart w:id="355" w:name="_Toc297120497"/>
      <w:bookmarkStart w:id="356" w:name="_Toc292559907"/>
      <w:bookmarkStart w:id="357" w:name="_Toc297048383"/>
      <w:bookmarkStart w:id="358" w:name="_Toc296944536"/>
      <w:bookmarkStart w:id="359" w:name="_Toc300934993"/>
      <w:bookmarkStart w:id="360" w:name="_Toc296346698"/>
      <w:bookmarkStart w:id="361" w:name="_Toc296347196"/>
      <w:bookmarkStart w:id="362" w:name="_Toc297216203"/>
      <w:bookmarkStart w:id="363" w:name="_Toc296891025"/>
      <w:bookmarkStart w:id="364" w:name="_Toc296503197"/>
      <w:bookmarkStart w:id="365" w:name="_Toc303539150"/>
      <w:bookmarkStart w:id="366" w:name="_Toc304295570"/>
      <w:bookmarkStart w:id="367" w:name="_Toc312677503"/>
      <w:bookmarkStart w:id="368" w:name="_Toc312678029"/>
      <w:r>
        <w:rPr>
          <w:rFonts w:hint="eastAsia" w:ascii="宋体" w:hAnsi="宋体" w:eastAsia="宋体" w:cs="宋体"/>
          <w:color w:val="auto"/>
          <w:kern w:val="0"/>
          <w:szCs w:val="21"/>
          <w:highlight w:val="none"/>
        </w:rPr>
        <w:t>0.5承</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9" w:name="_Toc296944542"/>
      <w:bookmarkStart w:id="370" w:name="_Toc296503203"/>
      <w:bookmarkStart w:id="371" w:name="_Toc297120503"/>
      <w:bookmarkStart w:id="372" w:name="_Toc300934994"/>
      <w:bookmarkStart w:id="373" w:name="_Toc296891243"/>
      <w:bookmarkStart w:id="374" w:name="_Toc296891031"/>
      <w:bookmarkStart w:id="375" w:name="_Toc296346704"/>
      <w:bookmarkStart w:id="376" w:name="_Toc292559408"/>
      <w:bookmarkStart w:id="377" w:name="_Toc292559913"/>
      <w:bookmarkStart w:id="378" w:name="_Toc303539151"/>
      <w:bookmarkStart w:id="379" w:name="_Toc297123545"/>
      <w:bookmarkStart w:id="380" w:name="_Toc296347202"/>
      <w:bookmarkStart w:id="381" w:name="_Toc297216204"/>
      <w:bookmarkStart w:id="382" w:name="_Toc297048389"/>
      <w:r>
        <w:rPr>
          <w:rFonts w:hint="eastAsia" w:ascii="宋体" w:hAnsi="宋体" w:eastAsia="宋体" w:cs="宋体"/>
          <w:color w:val="auto"/>
          <w:kern w:val="0"/>
          <w:szCs w:val="21"/>
          <w:highlight w:val="none"/>
        </w:rPr>
        <w:t>包人的合理化建议</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7AEE2A9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监理人审查承包人合理化建议的期限：</w:t>
      </w:r>
      <w:r>
        <w:rPr>
          <w:rFonts w:hint="eastAsia" w:ascii="宋体" w:hAnsi="宋体" w:eastAsia="宋体" w:cs="宋体"/>
          <w:b/>
          <w:bCs/>
          <w:color w:val="auto"/>
          <w:kern w:val="0"/>
          <w:szCs w:val="21"/>
          <w:highlight w:val="none"/>
          <w:u w:val="single"/>
        </w:rPr>
        <w:t>按通用合同条款第10.5条规定执行</w:t>
      </w:r>
      <w:r>
        <w:rPr>
          <w:rFonts w:hint="eastAsia" w:ascii="宋体" w:hAnsi="宋体" w:eastAsia="宋体" w:cs="宋体"/>
          <w:color w:val="auto"/>
          <w:kern w:val="0"/>
          <w:szCs w:val="21"/>
          <w:highlight w:val="none"/>
        </w:rPr>
        <w:t>。</w:t>
      </w:r>
    </w:p>
    <w:p w14:paraId="61B9599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发包人审批承包人合理化建议的期限：</w:t>
      </w:r>
      <w:r>
        <w:rPr>
          <w:rFonts w:hint="eastAsia" w:ascii="宋体" w:hAnsi="宋体" w:eastAsia="宋体" w:cs="宋体"/>
          <w:b/>
          <w:bCs/>
          <w:color w:val="auto"/>
          <w:kern w:val="0"/>
          <w:szCs w:val="21"/>
          <w:highlight w:val="none"/>
          <w:u w:val="single"/>
        </w:rPr>
        <w:t>按通用合同条款第10.5条规定执行</w:t>
      </w:r>
      <w:r>
        <w:rPr>
          <w:rFonts w:hint="eastAsia" w:ascii="宋体" w:hAnsi="宋体" w:eastAsia="宋体" w:cs="宋体"/>
          <w:color w:val="auto"/>
          <w:kern w:val="0"/>
          <w:szCs w:val="21"/>
          <w:highlight w:val="none"/>
        </w:rPr>
        <w:t>。</w:t>
      </w:r>
    </w:p>
    <w:p w14:paraId="73F092B8">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w:t>
      </w:r>
      <w:bookmarkStart w:id="383" w:name="_Toc296346705"/>
      <w:bookmarkStart w:id="384" w:name="_Toc296347203"/>
      <w:bookmarkStart w:id="385" w:name="_Toc296503204"/>
      <w:bookmarkStart w:id="386" w:name="_Toc296891032"/>
      <w:bookmarkStart w:id="387" w:name="_Toc292559409"/>
      <w:bookmarkStart w:id="388" w:name="_Toc300934995"/>
      <w:bookmarkStart w:id="389" w:name="_Toc297123546"/>
      <w:bookmarkStart w:id="390" w:name="_Toc292559914"/>
      <w:bookmarkStart w:id="391" w:name="_Toc304295571"/>
      <w:bookmarkStart w:id="392" w:name="_Toc296944543"/>
      <w:bookmarkStart w:id="393" w:name="_Toc297120504"/>
      <w:bookmarkStart w:id="394" w:name="_Toc318581175"/>
      <w:bookmarkStart w:id="395" w:name="_Toc296891244"/>
      <w:bookmarkStart w:id="396" w:name="_Toc312677504"/>
      <w:bookmarkStart w:id="397" w:name="_Toc312678030"/>
      <w:bookmarkStart w:id="398" w:name="_Toc297216205"/>
      <w:bookmarkStart w:id="399" w:name="_Toc303539152"/>
      <w:bookmarkStart w:id="400" w:name="_Toc297048390"/>
      <w:r>
        <w:rPr>
          <w:rFonts w:hint="eastAsia" w:ascii="宋体" w:hAnsi="宋体" w:eastAsia="宋体" w:cs="宋体"/>
          <w:color w:val="auto"/>
          <w:kern w:val="0"/>
          <w:szCs w:val="21"/>
          <w:highlight w:val="none"/>
        </w:rPr>
        <w:t>包人提出的合理化建议降低了合同价格或者提高了工程经济效益的奖励的方法和金额为：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2B189220">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Start w:id="401" w:name="_Toc312678033"/>
      <w:bookmarkStart w:id="402" w:name="_Toc296346700"/>
      <w:bookmarkStart w:id="403" w:name="_Toc312677507"/>
      <w:bookmarkStart w:id="404" w:name="_Toc297123548"/>
      <w:bookmarkStart w:id="405" w:name="_Toc292559404"/>
      <w:bookmarkStart w:id="406" w:name="_Toc296944538"/>
      <w:bookmarkStart w:id="407" w:name="_Toc297216207"/>
      <w:bookmarkStart w:id="408" w:name="_Toc304295574"/>
      <w:bookmarkStart w:id="409" w:name="_Toc296503199"/>
      <w:bookmarkStart w:id="410" w:name="_Toc300934997"/>
      <w:bookmarkStart w:id="411" w:name="_Toc297120499"/>
      <w:bookmarkStart w:id="412" w:name="_Toc296891239"/>
      <w:bookmarkStart w:id="413" w:name="_Toc303539154"/>
      <w:bookmarkStart w:id="414" w:name="_Toc292559909"/>
      <w:bookmarkStart w:id="415" w:name="_Toc296347198"/>
      <w:bookmarkStart w:id="416" w:name="_Toc297048385"/>
      <w:bookmarkStart w:id="417" w:name="_Toc296891027"/>
      <w:r>
        <w:rPr>
          <w:rFonts w:hint="eastAsia" w:ascii="宋体" w:hAnsi="宋体" w:eastAsia="宋体" w:cs="宋体"/>
          <w:color w:val="auto"/>
          <w:kern w:val="0"/>
          <w:szCs w:val="21"/>
          <w:highlight w:val="none"/>
        </w:rPr>
        <w:t>0.7 暂估价</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0438D64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Start w:id="418" w:name="_Toc312677509"/>
      <w:bookmarkStart w:id="419" w:name="_Toc312678035"/>
      <w:bookmarkStart w:id="420" w:name="_Toc318581177"/>
      <w:r>
        <w:rPr>
          <w:rFonts w:hint="eastAsia" w:ascii="宋体" w:hAnsi="宋体" w:eastAsia="宋体" w:cs="宋体"/>
          <w:color w:val="auto"/>
          <w:kern w:val="0"/>
          <w:szCs w:val="21"/>
          <w:highlight w:val="none"/>
        </w:rPr>
        <w:t>0.7.1 依法必须招标的暂估价项目</w:t>
      </w:r>
    </w:p>
    <w:bookmarkEnd w:id="418"/>
    <w:bookmarkEnd w:id="419"/>
    <w:bookmarkEnd w:id="420"/>
    <w:p w14:paraId="0C1C2DA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对于依法必须招标的暂估价项目的确认和批准采取第</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种方式确定。</w:t>
      </w:r>
    </w:p>
    <w:p w14:paraId="4178AA1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10.7.2 不属于依法必须招标的暂估价项目</w:t>
      </w:r>
    </w:p>
    <w:p w14:paraId="4CC61C0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对于不属于依法必须招标的暂估价项目的确认和批准采取第</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种方式确定。</w:t>
      </w:r>
    </w:p>
    <w:p w14:paraId="7471137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第3种方式：承包人直接实施的暂估价项目</w:t>
      </w:r>
    </w:p>
    <w:p w14:paraId="4D4982E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承包人直接实施的暂估价项目的约定：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33D1C9C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10.8 暂列金额</w:t>
      </w:r>
    </w:p>
    <w:p w14:paraId="58109B4D">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合同当事人关于暂列金额使用的约定：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C32FF9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21" w:name="_Toc351203643"/>
      <w:r>
        <w:rPr>
          <w:rFonts w:hint="eastAsia" w:ascii="宋体" w:hAnsi="宋体" w:eastAsia="宋体" w:cs="宋体"/>
          <w:color w:val="auto"/>
          <w:kern w:val="0"/>
          <w:szCs w:val="21"/>
          <w:highlight w:val="none"/>
        </w:rPr>
        <w:t>11. 价格调整</w:t>
      </w:r>
      <w:bookmarkEnd w:id="421"/>
    </w:p>
    <w:p w14:paraId="3571F31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bookmarkEnd w:id="328"/>
    <w:bookmarkEnd w:id="329"/>
    <w:bookmarkEnd w:id="330"/>
    <w:bookmarkEnd w:id="331"/>
    <w:bookmarkEnd w:id="332"/>
    <w:bookmarkEnd w:id="333"/>
    <w:p w14:paraId="3C15256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22" w:name="_Toc296503205"/>
      <w:bookmarkStart w:id="423" w:name="_Toc296346706"/>
      <w:bookmarkStart w:id="424" w:name="_Toc292559410"/>
      <w:bookmarkStart w:id="425" w:name="_Toc297048391"/>
      <w:bookmarkStart w:id="426" w:name="_Toc296891033"/>
      <w:bookmarkStart w:id="427" w:name="_Toc296347204"/>
      <w:bookmarkStart w:id="428" w:name="_Toc296944544"/>
      <w:bookmarkStart w:id="429" w:name="_Toc296891245"/>
      <w:bookmarkStart w:id="430" w:name="_Toc292559915"/>
      <w:bookmarkStart w:id="431" w:name="_Toc297120505"/>
      <w:bookmarkStart w:id="432" w:name="_Toc351203644"/>
      <w:bookmarkStart w:id="433" w:name="_Toc300935002"/>
      <w:bookmarkStart w:id="434" w:name="_Toc312678040"/>
      <w:bookmarkStart w:id="435" w:name="_Toc303539159"/>
      <w:bookmarkStart w:id="436" w:name="_Toc304295579"/>
      <w:bookmarkStart w:id="437" w:name="_Toc297123552"/>
      <w:bookmarkStart w:id="438" w:name="_Toc297216211"/>
      <w:r>
        <w:rPr>
          <w:rFonts w:hint="eastAsia" w:ascii="宋体" w:hAnsi="宋体" w:eastAsia="宋体" w:cs="宋体"/>
          <w:color w:val="auto"/>
          <w:kern w:val="0"/>
          <w:szCs w:val="21"/>
          <w:highlight w:val="none"/>
        </w:rPr>
        <w:t xml:space="preserve">12. </w:t>
      </w:r>
      <w:bookmarkEnd w:id="422"/>
      <w:bookmarkEnd w:id="423"/>
      <w:bookmarkEnd w:id="424"/>
      <w:bookmarkEnd w:id="425"/>
      <w:bookmarkEnd w:id="426"/>
      <w:bookmarkEnd w:id="427"/>
      <w:bookmarkEnd w:id="428"/>
      <w:bookmarkEnd w:id="429"/>
      <w:bookmarkEnd w:id="430"/>
      <w:bookmarkEnd w:id="431"/>
      <w:r>
        <w:rPr>
          <w:rFonts w:hint="eastAsia" w:ascii="宋体" w:hAnsi="宋体" w:eastAsia="宋体" w:cs="宋体"/>
          <w:color w:val="auto"/>
          <w:kern w:val="0"/>
          <w:szCs w:val="21"/>
          <w:highlight w:val="none"/>
        </w:rPr>
        <w:t>合同价格、计量与支付</w:t>
      </w:r>
      <w:bookmarkEnd w:id="432"/>
    </w:p>
    <w:bookmarkEnd w:id="433"/>
    <w:bookmarkEnd w:id="434"/>
    <w:bookmarkEnd w:id="435"/>
    <w:bookmarkEnd w:id="436"/>
    <w:bookmarkEnd w:id="437"/>
    <w:bookmarkEnd w:id="438"/>
    <w:p w14:paraId="39DAE6D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39" w:name="_Toc292559916"/>
      <w:bookmarkStart w:id="440" w:name="_Toc267251461"/>
      <w:bookmarkStart w:id="441" w:name="_Toc292559411"/>
      <w:bookmarkStart w:id="442" w:name="_Toc296346707"/>
      <w:bookmarkStart w:id="443" w:name="_Toc296944545"/>
      <w:bookmarkStart w:id="444" w:name="_Toc296891246"/>
      <w:bookmarkStart w:id="445" w:name="_Toc296347205"/>
      <w:bookmarkStart w:id="446" w:name="_Toc296503206"/>
      <w:bookmarkStart w:id="447" w:name="_Toc296891034"/>
      <w:bookmarkStart w:id="448" w:name="_Toc297048392"/>
      <w:bookmarkStart w:id="449" w:name="_Toc297120506"/>
      <w:bookmarkStart w:id="450" w:name="_Toc300935003"/>
      <w:bookmarkStart w:id="451" w:name="_Toc304295580"/>
      <w:bookmarkStart w:id="452" w:name="_Toc297123553"/>
      <w:bookmarkStart w:id="453" w:name="_Toc312678041"/>
      <w:bookmarkStart w:id="454" w:name="_Toc297216212"/>
      <w:bookmarkStart w:id="455" w:name="_Toc303539160"/>
      <w:r>
        <w:rPr>
          <w:rFonts w:hint="eastAsia" w:ascii="宋体" w:hAnsi="宋体" w:eastAsia="宋体" w:cs="宋体"/>
          <w:color w:val="auto"/>
          <w:kern w:val="0"/>
          <w:szCs w:val="21"/>
          <w:highlight w:val="none"/>
        </w:rPr>
        <w:t>12.1 合</w:t>
      </w:r>
      <w:bookmarkEnd w:id="439"/>
      <w:bookmarkEnd w:id="440"/>
      <w:bookmarkEnd w:id="441"/>
      <w:r>
        <w:rPr>
          <w:rFonts w:hint="eastAsia" w:ascii="宋体" w:hAnsi="宋体" w:eastAsia="宋体" w:cs="宋体"/>
          <w:color w:val="auto"/>
          <w:kern w:val="0"/>
          <w:szCs w:val="21"/>
          <w:highlight w:val="none"/>
        </w:rPr>
        <w:t>同价</w:t>
      </w:r>
      <w:bookmarkEnd w:id="442"/>
      <w:bookmarkEnd w:id="443"/>
      <w:bookmarkEnd w:id="444"/>
      <w:bookmarkEnd w:id="445"/>
      <w:bookmarkEnd w:id="446"/>
      <w:bookmarkEnd w:id="447"/>
      <w:bookmarkEnd w:id="448"/>
      <w:bookmarkEnd w:id="449"/>
      <w:r>
        <w:rPr>
          <w:rFonts w:hint="eastAsia" w:ascii="宋体" w:hAnsi="宋体" w:eastAsia="宋体" w:cs="宋体"/>
          <w:color w:val="auto"/>
          <w:kern w:val="0"/>
          <w:szCs w:val="21"/>
          <w:highlight w:val="none"/>
        </w:rPr>
        <w:t>格形式</w:t>
      </w:r>
    </w:p>
    <w:bookmarkEnd w:id="450"/>
    <w:bookmarkEnd w:id="451"/>
    <w:bookmarkEnd w:id="452"/>
    <w:bookmarkEnd w:id="453"/>
    <w:bookmarkEnd w:id="454"/>
    <w:bookmarkEnd w:id="455"/>
    <w:p w14:paraId="45ECDD5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1、本合同为☑单价合同 □总价合同 。</w:t>
      </w:r>
    </w:p>
    <w:p w14:paraId="1847C12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单价包含的风险范围：</w:t>
      </w:r>
    </w:p>
    <w:p w14:paraId="34FB58FC">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a、除不可抗力外的各种自然灾害；</w:t>
      </w:r>
    </w:p>
    <w:p w14:paraId="5463FA80">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b、安全生产文明施工不当引起的责任；</w:t>
      </w:r>
    </w:p>
    <w:p w14:paraId="1B236C29">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c、所有磋商文件或工程量清单明示要求报价的内容而承包人未予报价的，将被认为包含在合同总价中，结算时合同价款不再增加；</w:t>
      </w:r>
    </w:p>
    <w:p w14:paraId="673EC429">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d、工程要素（含人工、材料（设备）、机械台班）价格的涨跌风险；</w:t>
      </w:r>
    </w:p>
    <w:p w14:paraId="55E23CC6">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e、承包人对工程现场环境以及发包人提供的磋商文件、图纸等资料作出错误的推论、理解而导致的报价失误；</w:t>
      </w:r>
    </w:p>
    <w:p w14:paraId="44E5AEEC">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f、磋商文件约定的工程量清单数量误差引起的综合单价成本差异（风险范围及范围外调整方法见本条款第2）条的规定）；</w:t>
      </w:r>
    </w:p>
    <w:p w14:paraId="01A7A024">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g、施工组织措施费和技术措施费在成交以后，在合同施工范围内，无论现场施工条件如何变化、设计如何变更、也无论工程量增减的幅度如何，均不再调整；</w:t>
      </w:r>
    </w:p>
    <w:p w14:paraId="143B413E">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h、施工期间停水、停电引起的费用增加；</w:t>
      </w:r>
    </w:p>
    <w:p w14:paraId="252F3199">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i、清单描述中有按图集或规范施工的，综合单价必须满足规范和图集要求，综合单价不作调整；</w:t>
      </w:r>
    </w:p>
    <w:p w14:paraId="0E0D48AE">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j、本工程垃圾外运费用一次性包干，包括所有垃圾清理、搬运、外运与消纳所产生的费用，施工过程及结算时不予增加。</w:t>
      </w:r>
    </w:p>
    <w:p w14:paraId="0D3B3F28">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k、所有磋商文件或工程量清单明示要求报价包干或费率包干（指规费、税金、意外伤害保险费、总承包服务费）的内容；</w:t>
      </w:r>
    </w:p>
    <w:p w14:paraId="28099000">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l、除本条明确允许调整内容以外的其他风险因素；</w:t>
      </w:r>
    </w:p>
    <w:p w14:paraId="02427970">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u w:val="single"/>
        </w:rPr>
        <w:t>m、若同一工程中出现清单项目相同而报价或取费不一致者，按最低者执行。</w:t>
      </w:r>
    </w:p>
    <w:p w14:paraId="02DA043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风险费用的计算方法：</w:t>
      </w:r>
      <w:r>
        <w:rPr>
          <w:rFonts w:hint="eastAsia" w:ascii="宋体" w:hAnsi="宋体" w:eastAsia="宋体" w:cs="宋体"/>
          <w:b/>
          <w:color w:val="auto"/>
          <w:kern w:val="0"/>
          <w:szCs w:val="21"/>
          <w:highlight w:val="none"/>
          <w:u w:val="single"/>
        </w:rPr>
        <w:t>风险因素范围内的费用由承包人自行考虑计列，不再另行计列、调整</w:t>
      </w:r>
      <w:r>
        <w:rPr>
          <w:rFonts w:hint="eastAsia" w:ascii="宋体" w:hAnsi="宋体" w:eastAsia="宋体" w:cs="宋体"/>
          <w:color w:val="auto"/>
          <w:kern w:val="0"/>
          <w:szCs w:val="21"/>
          <w:highlight w:val="none"/>
        </w:rPr>
        <w:t>。</w:t>
      </w:r>
    </w:p>
    <w:p w14:paraId="3D954E6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风险范围以外合同价格的调整方法：</w:t>
      </w:r>
    </w:p>
    <w:p w14:paraId="3DB3E657">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工程量：以施工图及有效变更为依据按照工程量清单计算规则进行计算；单价：①投标书中有相同子目的，按投标价；②投标书中有相似子目的，按相似子目组价计算；③没有相同及相似的，按2018版定额相应子目组价计算，费率及规费按投标口径组价计算;④部分内容进行调整的，则原投标单价为基础，仅就调整部分进行调整，仅调整主要材料的，则仅调整材料之间的当期信息价（无信息价时按市场价）差价。</w:t>
      </w:r>
    </w:p>
    <w:p w14:paraId="0AC33A68">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1）综合单价确定方式：</w:t>
      </w:r>
    </w:p>
    <w:p w14:paraId="7D562AFC">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①合同中已有适用的综合单价的，按合同中已有的综合单价确定；</w:t>
      </w:r>
    </w:p>
    <w:p w14:paraId="12BCA26F">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②合同中有类似工程项目单价的，可以参照合同中类似项目的单价计算确定；</w:t>
      </w:r>
    </w:p>
    <w:p w14:paraId="264F0267">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③合同中没有类似工程项目单价的，按以下口径重新组价并下浮后的综合单价确定【下浮率=（1-成交价/最高限价）*100%】：套用浙江省建设工程预算定额（2018版）及计价规则；按主要材料单价和人工单价依次按施工期间杭州市建设工程信息、浙江造价信息（合同工期内各期材料信息价格的平均值，先参照杭州市信息价，如没有则参照浙江省信息价，以上信息价均为正刊）计算；信息刊物上都没有的主要材料由监理确认材料具体规格型号后，交审计组价后发包人签证确认；综合费用（包干部分除外）按磋商响应价口径计取。</w:t>
      </w:r>
    </w:p>
    <w:p w14:paraId="71B43DB1">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u w:val="single"/>
        </w:rPr>
        <w:t>2）工程结算时当单项清单工程数量的变化幅度在10%以外，且其影响分部分项工程费用总额超过1%时，其增加的工程量和减少后剩余的工程量的综合单价按以下口径重新组价并下浮后的综合单价确定【下浮率=（1-成交价/最高限价）*100%】：套用浙江省建设工程预算定额（2018版）及计价规则；主要材料单价和人工单价依次按施工期间杭州市建设工程信息、浙江造价信息（合同工期内各期材料信息价格的平均值，先参照杭州市信息价，如没有则参照浙江省信息价，以上信息价均为正刊）计算；信息刊物上都没有的主要材料由监理确认材料具体规格型号后，交审计组价后发包人签证确认；综合费用（包干部分除外）按磋商响应价口径计取</w:t>
      </w:r>
      <w:r>
        <w:rPr>
          <w:rFonts w:hint="eastAsia" w:ascii="宋体" w:hAnsi="宋体" w:eastAsia="宋体" w:cs="宋体"/>
          <w:color w:val="auto"/>
          <w:kern w:val="0"/>
          <w:szCs w:val="21"/>
          <w:highlight w:val="none"/>
        </w:rPr>
        <w:t>。</w:t>
      </w:r>
    </w:p>
    <w:p w14:paraId="40F8341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2、总价合同。</w:t>
      </w:r>
    </w:p>
    <w:p w14:paraId="0D9B3E4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总价包含的风险范围：</w:t>
      </w:r>
      <w:r>
        <w:rPr>
          <w:rFonts w:hint="eastAsia" w:ascii="宋体" w:hAnsi="宋体" w:eastAsia="宋体" w:cs="宋体"/>
          <w:color w:val="auto"/>
          <w:kern w:val="0"/>
          <w:szCs w:val="21"/>
          <w:highlight w:val="none"/>
          <w:u w:val="single"/>
        </w:rPr>
        <w:t xml:space="preserve"> 包括但不限于本合同专用条款中所列明的全部风险 </w:t>
      </w:r>
      <w:r>
        <w:rPr>
          <w:rFonts w:hint="eastAsia" w:ascii="宋体" w:hAnsi="宋体" w:eastAsia="宋体" w:cs="宋体"/>
          <w:color w:val="auto"/>
          <w:kern w:val="0"/>
          <w:szCs w:val="21"/>
          <w:highlight w:val="none"/>
        </w:rPr>
        <w:t>。</w:t>
      </w:r>
    </w:p>
    <w:p w14:paraId="0C9B2A6E">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风险费用的计算方法：</w:t>
      </w:r>
      <w:r>
        <w:rPr>
          <w:rFonts w:hint="eastAsia" w:ascii="宋体" w:hAnsi="宋体" w:eastAsia="宋体" w:cs="宋体"/>
          <w:color w:val="auto"/>
          <w:kern w:val="0"/>
          <w:szCs w:val="21"/>
          <w:highlight w:val="none"/>
          <w:u w:val="single"/>
        </w:rPr>
        <w:t xml:space="preserve"> 风险因素范围内的费用由承包人自行考虑计列，如费用减少，以减少后的费用计列；如费用增加，不再另行计列、调整。  </w:t>
      </w:r>
    </w:p>
    <w:p w14:paraId="72D222F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风险范围以外合同价格的调整方法：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358923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3、其他价格方式：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6D56986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56" w:name="_Toc300935004"/>
      <w:bookmarkStart w:id="457" w:name="_Toc303539161"/>
      <w:bookmarkStart w:id="458" w:name="_Toc297123554"/>
      <w:bookmarkStart w:id="459" w:name="_Toc297216213"/>
      <w:bookmarkStart w:id="460" w:name="_Toc304295581"/>
      <w:bookmarkStart w:id="461" w:name="_Toc312678042"/>
      <w:bookmarkStart w:id="462" w:name="_Toc296503207"/>
      <w:bookmarkStart w:id="463" w:name="_Toc296944546"/>
      <w:bookmarkStart w:id="464" w:name="_Toc296891247"/>
      <w:bookmarkStart w:id="465" w:name="_Toc292559917"/>
      <w:bookmarkStart w:id="466" w:name="_Toc297048393"/>
      <w:bookmarkStart w:id="467" w:name="_Toc296347206"/>
      <w:bookmarkStart w:id="468" w:name="_Toc296891035"/>
      <w:bookmarkStart w:id="469" w:name="_Toc297120507"/>
      <w:bookmarkStart w:id="470" w:name="_Toc292559412"/>
      <w:bookmarkStart w:id="471" w:name="_Toc296346708"/>
      <w:r>
        <w:rPr>
          <w:rFonts w:hint="eastAsia" w:ascii="宋体" w:hAnsi="宋体" w:eastAsia="宋体" w:cs="宋体"/>
          <w:color w:val="auto"/>
          <w:kern w:val="0"/>
          <w:szCs w:val="21"/>
          <w:highlight w:val="none"/>
        </w:rPr>
        <w:t>12.2 预付款</w:t>
      </w:r>
    </w:p>
    <w:bookmarkEnd w:id="456"/>
    <w:bookmarkEnd w:id="457"/>
    <w:bookmarkEnd w:id="458"/>
    <w:bookmarkEnd w:id="459"/>
    <w:bookmarkEnd w:id="460"/>
    <w:bookmarkEnd w:id="461"/>
    <w:p w14:paraId="328D945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预付款的支付</w:t>
      </w:r>
    </w:p>
    <w:p w14:paraId="15CBECB9">
      <w:pPr>
        <w:widowControl/>
        <w:adjustRightInd w:val="0"/>
        <w:snapToGrid w:val="0"/>
        <w:spacing w:line="360" w:lineRule="auto"/>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预付款支付比例或金额：</w:t>
      </w:r>
      <w:r>
        <w:rPr>
          <w:rFonts w:hint="eastAsia" w:ascii="宋体" w:hAnsi="宋体" w:eastAsia="宋体" w:cs="宋体"/>
          <w:b/>
          <w:color w:val="auto"/>
          <w:kern w:val="0"/>
          <w:szCs w:val="21"/>
          <w:highlight w:val="none"/>
          <w:u w:val="single"/>
        </w:rPr>
        <w:t>合同金额【</w:t>
      </w:r>
      <w:r>
        <w:rPr>
          <w:rFonts w:hint="eastAsia" w:ascii="宋体" w:hAnsi="宋体" w:eastAsia="宋体" w:cs="宋体"/>
          <w:b/>
          <w:color w:val="auto"/>
          <w:kern w:val="0"/>
          <w:szCs w:val="21"/>
          <w:highlight w:val="none"/>
          <w:u w:val="single"/>
          <w:lang w:val="en-US" w:eastAsia="zh-CN"/>
        </w:rPr>
        <w:t>40</w:t>
      </w:r>
      <w:r>
        <w:rPr>
          <w:rFonts w:hint="eastAsia" w:ascii="宋体" w:hAnsi="宋体" w:eastAsia="宋体" w:cs="宋体"/>
          <w:b/>
          <w:color w:val="auto"/>
          <w:kern w:val="0"/>
          <w:szCs w:val="21"/>
          <w:highlight w:val="none"/>
          <w:u w:val="single"/>
        </w:rPr>
        <w:t>】% 。</w:t>
      </w:r>
    </w:p>
    <w:p w14:paraId="32ED1CF5">
      <w:pPr>
        <w:widowControl/>
        <w:adjustRightInd w:val="0"/>
        <w:snapToGrid w:val="0"/>
        <w:spacing w:line="360" w:lineRule="auto"/>
        <w:ind w:firstLine="422" w:firstLineChars="200"/>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预付款支付期限：</w:t>
      </w:r>
      <w:r>
        <w:rPr>
          <w:rFonts w:hint="eastAsia" w:ascii="宋体" w:hAnsi="宋体" w:eastAsia="宋体" w:cs="宋体"/>
          <w:b/>
          <w:color w:val="auto"/>
          <w:kern w:val="0"/>
          <w:szCs w:val="21"/>
          <w:highlight w:val="none"/>
          <w:u w:val="single"/>
        </w:rPr>
        <w:t>合同签订、承包人递交履约保证金后，且承包人施工队伍主要管理人员、主要施工机械进场，且发包人收到符合要求的发票后发包人向承包人预付签约合同价的【</w:t>
      </w:r>
      <w:r>
        <w:rPr>
          <w:rFonts w:hint="eastAsia" w:ascii="宋体" w:hAnsi="宋体" w:eastAsia="宋体" w:cs="宋体"/>
          <w:b/>
          <w:color w:val="auto"/>
          <w:kern w:val="0"/>
          <w:szCs w:val="21"/>
          <w:highlight w:val="none"/>
          <w:u w:val="single"/>
          <w:lang w:val="en-US" w:eastAsia="zh-CN"/>
        </w:rPr>
        <w:t>4</w:t>
      </w:r>
      <w:r>
        <w:rPr>
          <w:rFonts w:hint="eastAsia" w:ascii="宋体" w:hAnsi="宋体" w:eastAsia="宋体" w:cs="宋体"/>
          <w:b/>
          <w:color w:val="auto"/>
          <w:kern w:val="0"/>
          <w:szCs w:val="21"/>
          <w:highlight w:val="none"/>
          <w:u w:val="single"/>
        </w:rPr>
        <w:t>0】%的工程预付款</w:t>
      </w:r>
      <w:r>
        <w:rPr>
          <w:rFonts w:hint="eastAsia" w:ascii="宋体" w:hAnsi="宋体" w:eastAsia="宋体" w:cs="宋体"/>
          <w:b/>
          <w:color w:val="auto"/>
          <w:kern w:val="0"/>
          <w:szCs w:val="21"/>
          <w:highlight w:val="none"/>
        </w:rPr>
        <w:t>。</w:t>
      </w:r>
    </w:p>
    <w:p w14:paraId="0077A69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预付款扣回的方式：</w:t>
      </w:r>
      <w:r>
        <w:rPr>
          <w:rFonts w:hint="eastAsia" w:ascii="宋体" w:hAnsi="宋体" w:eastAsia="宋体" w:cs="宋体"/>
          <w:b/>
          <w:bCs/>
          <w:color w:val="auto"/>
          <w:kern w:val="0"/>
          <w:szCs w:val="21"/>
          <w:highlight w:val="none"/>
          <w:u w:val="single"/>
        </w:rPr>
        <w:t xml:space="preserve">           </w:t>
      </w:r>
      <w:r>
        <w:rPr>
          <w:rFonts w:hint="eastAsia" w:ascii="宋体" w:hAnsi="宋体" w:eastAsia="宋体" w:cs="宋体"/>
          <w:color w:val="auto"/>
          <w:kern w:val="0"/>
          <w:szCs w:val="21"/>
          <w:highlight w:val="none"/>
        </w:rPr>
        <w:t>。</w:t>
      </w:r>
    </w:p>
    <w:p w14:paraId="49431E9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12.2.2 预付款担保</w:t>
      </w:r>
    </w:p>
    <w:p w14:paraId="313286C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承包人提交预付款担保的期限：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4F5B7EB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预付款担保的形式为：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bookmarkEnd w:id="462"/>
    <w:bookmarkEnd w:id="463"/>
    <w:bookmarkEnd w:id="464"/>
    <w:bookmarkEnd w:id="465"/>
    <w:bookmarkEnd w:id="466"/>
    <w:bookmarkEnd w:id="467"/>
    <w:bookmarkEnd w:id="468"/>
    <w:bookmarkEnd w:id="469"/>
    <w:bookmarkEnd w:id="470"/>
    <w:bookmarkEnd w:id="471"/>
    <w:p w14:paraId="025BE16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 计量</w:t>
      </w:r>
    </w:p>
    <w:p w14:paraId="1BB612B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12.3.1 计量原则</w:t>
      </w:r>
    </w:p>
    <w:p w14:paraId="71C090B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工程量计算规则：</w:t>
      </w:r>
    </w:p>
    <w:p w14:paraId="6D79E38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实行工程量清单计价的工程项目，其工程量的计算规则应按国家标准工程量计算规范及省级行业主管部门颁布的补充规定执行。</w:t>
      </w:r>
    </w:p>
    <w:p w14:paraId="1FCAFF4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（2）不实行工程量清单计价的工程项目，工程量的计算规则应按省、市行业主管部门颁布的各专业工程定额的工程量计算规则执行。</w:t>
      </w:r>
    </w:p>
    <w:p w14:paraId="1AAA019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12.3.2 计量周期</w:t>
      </w:r>
    </w:p>
    <w:p w14:paraId="56CC697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关于计量周期的约定：</w:t>
      </w:r>
      <w:r>
        <w:rPr>
          <w:rFonts w:hint="eastAsia" w:ascii="宋体" w:hAnsi="宋体" w:eastAsia="宋体" w:cs="宋体"/>
          <w:b/>
          <w:bCs/>
          <w:color w:val="auto"/>
          <w:kern w:val="0"/>
          <w:szCs w:val="21"/>
          <w:highlight w:val="none"/>
          <w:u w:val="single"/>
        </w:rPr>
        <w:t>工程量的计量按月进行</w:t>
      </w:r>
      <w:r>
        <w:rPr>
          <w:rFonts w:hint="eastAsia" w:ascii="宋体" w:hAnsi="宋体" w:eastAsia="宋体" w:cs="宋体"/>
          <w:color w:val="auto"/>
          <w:kern w:val="0"/>
          <w:szCs w:val="21"/>
          <w:highlight w:val="none"/>
        </w:rPr>
        <w:t>。</w:t>
      </w:r>
    </w:p>
    <w:p w14:paraId="06E8426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12.3.3 单价合同的计量</w:t>
      </w:r>
    </w:p>
    <w:p w14:paraId="520C983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关于单价合同计量的约定：</w:t>
      </w:r>
      <w:r>
        <w:rPr>
          <w:rFonts w:hint="eastAsia" w:ascii="宋体" w:hAnsi="宋体" w:eastAsia="宋体" w:cs="宋体"/>
          <w:b/>
          <w:bCs/>
          <w:color w:val="auto"/>
          <w:kern w:val="0"/>
          <w:szCs w:val="21"/>
          <w:highlight w:val="none"/>
          <w:u w:val="single"/>
        </w:rPr>
        <w:t>按通用合同条款规定执行</w:t>
      </w:r>
      <w:r>
        <w:rPr>
          <w:rFonts w:hint="eastAsia" w:ascii="宋体" w:hAnsi="宋体" w:eastAsia="宋体" w:cs="宋体"/>
          <w:color w:val="auto"/>
          <w:kern w:val="0"/>
          <w:szCs w:val="21"/>
          <w:highlight w:val="none"/>
        </w:rPr>
        <w:t>。</w:t>
      </w:r>
    </w:p>
    <w:p w14:paraId="431E093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12.3.4 总价合同的计量</w:t>
      </w:r>
    </w:p>
    <w:p w14:paraId="4EB6F69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关于总价合同计量的约定：</w:t>
      </w:r>
      <w:r>
        <w:rPr>
          <w:rFonts w:hint="eastAsia" w:ascii="宋体" w:hAnsi="宋体" w:eastAsia="宋体" w:cs="宋体"/>
          <w:b/>
          <w:bCs/>
          <w:color w:val="auto"/>
          <w:kern w:val="0"/>
          <w:szCs w:val="21"/>
          <w:highlight w:val="none"/>
          <w:u w:val="single"/>
        </w:rPr>
        <w:t>/</w:t>
      </w:r>
      <w:r>
        <w:rPr>
          <w:rFonts w:hint="eastAsia" w:ascii="宋体" w:hAnsi="宋体" w:eastAsia="宋体" w:cs="宋体"/>
          <w:color w:val="auto"/>
          <w:kern w:val="0"/>
          <w:szCs w:val="21"/>
          <w:highlight w:val="none"/>
        </w:rPr>
        <w:t>。</w:t>
      </w:r>
    </w:p>
    <w:p w14:paraId="5211FD4E">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12.3.5总价合同采用支付分解表计量支付的，是否适用第12.3.4 项〔总价合同的计量〕约定进行计量：</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rPr>
        <w:t>。</w:t>
      </w:r>
    </w:p>
    <w:p w14:paraId="1C7CF06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12.3.6 其他价格形式合同的计量</w:t>
      </w:r>
    </w:p>
    <w:p w14:paraId="5E4FD24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其他价格形式的计量方式和程序：</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C283F3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 工程进度款支付</w:t>
      </w:r>
    </w:p>
    <w:p w14:paraId="59CA685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72" w:name="_Toc292559416"/>
      <w:bookmarkStart w:id="473" w:name="_Toc296891039"/>
      <w:bookmarkStart w:id="474" w:name="_Toc296347210"/>
      <w:bookmarkStart w:id="475" w:name="_Toc303539163"/>
      <w:bookmarkStart w:id="476" w:name="_Toc297123556"/>
      <w:bookmarkStart w:id="477" w:name="_Toc297216215"/>
      <w:bookmarkStart w:id="478" w:name="_Toc300935006"/>
      <w:bookmarkStart w:id="479" w:name="_Toc297120511"/>
      <w:bookmarkStart w:id="480" w:name="_Toc297048397"/>
      <w:bookmarkStart w:id="481" w:name="_Toc296891251"/>
      <w:bookmarkStart w:id="482" w:name="_Toc296503211"/>
      <w:bookmarkStart w:id="483" w:name="_Toc296346712"/>
      <w:bookmarkStart w:id="484" w:name="_Toc292559921"/>
      <w:bookmarkStart w:id="485" w:name="_Toc296944550"/>
      <w:r>
        <w:rPr>
          <w:rFonts w:hint="eastAsia" w:ascii="宋体" w:hAnsi="宋体" w:eastAsia="宋体" w:cs="宋体"/>
          <w:color w:val="auto"/>
          <w:kern w:val="0"/>
          <w:szCs w:val="21"/>
          <w:highlight w:val="none"/>
        </w:rPr>
        <w:t>12.4.1 付款周期</w:t>
      </w:r>
    </w:p>
    <w:p w14:paraId="68D274A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关于付款周期的约定：</w:t>
      </w:r>
    </w:p>
    <w:p w14:paraId="119E7574">
      <w:pPr>
        <w:widowControl/>
        <w:spacing w:line="360" w:lineRule="auto"/>
        <w:ind w:left="0" w:leftChars="0" w:firstLine="422" w:firstLineChars="200"/>
        <w:jc w:val="left"/>
        <w:rPr>
          <w:rFonts w:hint="eastAsia" w:ascii="宋体" w:hAnsi="宋体" w:eastAsia="宋体" w:cs="宋体"/>
          <w:b/>
          <w:bCs/>
          <w:color w:val="auto"/>
          <w:kern w:val="0"/>
          <w:szCs w:val="21"/>
          <w:highlight w:val="none"/>
          <w:u w:val="single"/>
        </w:rPr>
      </w:pPr>
      <w:r>
        <w:rPr>
          <w:rFonts w:hint="eastAsia" w:ascii="宋体" w:hAnsi="宋体" w:eastAsia="宋体" w:cs="宋体"/>
          <w:b/>
          <w:color w:val="auto"/>
          <w:kern w:val="0"/>
          <w:szCs w:val="21"/>
          <w:highlight w:val="none"/>
          <w:u w:val="single"/>
        </w:rPr>
        <w:t>（1）项目竣工验收合格后，支付至合同价款的【85】%，并扣除承包人应承担的全部费用（包括但不限于违约金、损害赔偿金等）无息退还履约保证金。</w:t>
      </w:r>
    </w:p>
    <w:p w14:paraId="7D725839">
      <w:pPr>
        <w:widowControl/>
        <w:spacing w:line="360" w:lineRule="auto"/>
        <w:ind w:left="0" w:leftChars="0" w:firstLine="422" w:firstLineChars="200"/>
        <w:jc w:val="left"/>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（2）本项目最终以审计为准，审计完毕后【7】日承包人向发包人缴纳审定价的【1.5】%作为质保金，发包人收到质保金后支付至审计审定总价的100%（含预付款）。</w:t>
      </w:r>
    </w:p>
    <w:p w14:paraId="15CB7739">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（3）新增和经认定变更新增的工程量，在扣除【1.5】%作为质保金后于工程结算审计完毕后【7】日一次性支付；</w:t>
      </w:r>
    </w:p>
    <w:p w14:paraId="7BED30DD">
      <w:pPr>
        <w:widowControl/>
        <w:adjustRightInd w:val="0"/>
        <w:snapToGrid w:val="0"/>
        <w:spacing w:line="360" w:lineRule="auto"/>
        <w:ind w:firstLine="422" w:firstLineChars="200"/>
        <w:rPr>
          <w:rFonts w:hint="eastAsia" w:ascii="宋体" w:hAnsi="宋体" w:eastAsia="宋体" w:cs="宋体"/>
          <w:b/>
          <w:bCs w:val="0"/>
          <w:color w:val="auto"/>
          <w:kern w:val="0"/>
          <w:sz w:val="21"/>
          <w:szCs w:val="21"/>
          <w:highlight w:val="none"/>
          <w:u w:val="single"/>
          <w:lang w:val="en-US" w:eastAsia="zh-CN" w:bidi="ar-SA"/>
        </w:rPr>
      </w:pPr>
      <w:r>
        <w:rPr>
          <w:rFonts w:hint="eastAsia" w:ascii="宋体" w:hAnsi="宋体" w:eastAsia="宋体" w:cs="宋体"/>
          <w:b/>
          <w:bCs w:val="0"/>
          <w:color w:val="auto"/>
          <w:kern w:val="0"/>
          <w:sz w:val="21"/>
          <w:szCs w:val="21"/>
          <w:highlight w:val="none"/>
          <w:u w:val="single"/>
          <w:lang w:val="en-US" w:eastAsia="zh-CN" w:bidi="ar-SA"/>
        </w:rPr>
        <w:t>（4）施工水电费按工程竣工结算审定价的0.5％计算，在结算审定款中直接扣除。</w:t>
      </w:r>
    </w:p>
    <w:p w14:paraId="335CDEDB">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u w:val="single"/>
          <w:lang w:val="en-US" w:eastAsia="zh-CN"/>
        </w:rPr>
        <w:t>5</w:t>
      </w:r>
      <w:r>
        <w:rPr>
          <w:rFonts w:hint="eastAsia" w:ascii="宋体" w:hAnsi="宋体" w:eastAsia="宋体" w:cs="宋体"/>
          <w:b/>
          <w:color w:val="auto"/>
          <w:kern w:val="0"/>
          <w:szCs w:val="21"/>
          <w:highlight w:val="none"/>
          <w:u w:val="single"/>
        </w:rPr>
        <w:t>）质保金在质保期满【2】年经验收无质量问题后扣除承包人应承担的全部费用（包括但不限于违约金、损害赔偿金等）后【7】天内结清（不计利息）；</w:t>
      </w:r>
    </w:p>
    <w:p w14:paraId="16F07A5D">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u w:val="single"/>
          <w:lang w:val="en-US" w:eastAsia="zh-CN"/>
        </w:rPr>
        <w:t>6</w:t>
      </w:r>
      <w:r>
        <w:rPr>
          <w:rFonts w:hint="eastAsia" w:ascii="宋体" w:hAnsi="宋体" w:eastAsia="宋体" w:cs="宋体"/>
          <w:b/>
          <w:color w:val="auto"/>
          <w:kern w:val="0"/>
          <w:szCs w:val="21"/>
          <w:highlight w:val="none"/>
          <w:u w:val="single"/>
        </w:rPr>
        <w:t>）上述工程进度款（包括质保金、履约保证金）支付时，发包人有权从应支付给承包人的任意一笔款项中扣除承包人应承担的全部费用（包括但不限于代付费用、违约金、损害赔偿金等）；</w:t>
      </w:r>
    </w:p>
    <w:p w14:paraId="1B45CAA9">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u w:val="single"/>
          <w:lang w:val="en-US" w:eastAsia="zh-CN"/>
        </w:rPr>
        <w:t>7</w:t>
      </w:r>
      <w:r>
        <w:rPr>
          <w:rFonts w:hint="eastAsia" w:ascii="宋体" w:hAnsi="宋体" w:eastAsia="宋体" w:cs="宋体"/>
          <w:b/>
          <w:color w:val="auto"/>
          <w:kern w:val="0"/>
          <w:szCs w:val="21"/>
          <w:highlight w:val="none"/>
          <w:u w:val="single"/>
        </w:rPr>
        <w:t>）发包人审核的工程量仅作为进度款支付依据，不作为结算依据；</w:t>
      </w:r>
    </w:p>
    <w:p w14:paraId="7F941516">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u w:val="single"/>
          <w:lang w:val="en-US" w:eastAsia="zh-CN"/>
        </w:rPr>
        <w:t>8</w:t>
      </w:r>
      <w:r>
        <w:rPr>
          <w:rFonts w:hint="eastAsia" w:ascii="宋体" w:hAnsi="宋体" w:eastAsia="宋体" w:cs="宋体"/>
          <w:b/>
          <w:color w:val="auto"/>
          <w:kern w:val="0"/>
          <w:szCs w:val="21"/>
          <w:highlight w:val="none"/>
          <w:u w:val="single"/>
        </w:rPr>
        <w:t>）发包人拨付的工程款，汇入承包人指定的公司账户，户名：         ，开户银行：         ，账号：          。</w:t>
      </w:r>
    </w:p>
    <w:p w14:paraId="123C2C1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进度付款申请单的编制</w:t>
      </w:r>
    </w:p>
    <w:p w14:paraId="48E4E62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关于进度付款申请单编制的约定：</w:t>
      </w:r>
      <w:r>
        <w:rPr>
          <w:rFonts w:hint="eastAsia" w:ascii="宋体" w:hAnsi="宋体" w:eastAsia="宋体" w:cs="宋体"/>
          <w:b/>
          <w:bCs/>
          <w:color w:val="auto"/>
          <w:kern w:val="0"/>
          <w:szCs w:val="21"/>
          <w:highlight w:val="none"/>
          <w:u w:val="single"/>
        </w:rPr>
        <w:t>按通用合同条款第12.4.2条规定执行</w:t>
      </w:r>
      <w:r>
        <w:rPr>
          <w:rFonts w:hint="eastAsia" w:ascii="宋体" w:hAnsi="宋体" w:eastAsia="宋体" w:cs="宋体"/>
          <w:color w:val="auto"/>
          <w:kern w:val="0"/>
          <w:szCs w:val="21"/>
          <w:highlight w:val="none"/>
        </w:rPr>
        <w:t>。</w:t>
      </w:r>
    </w:p>
    <w:p w14:paraId="6C55385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hint="eastAsia" w:ascii="宋体" w:hAnsi="宋体" w:eastAsia="宋体" w:cs="宋体"/>
          <w:color w:val="auto"/>
          <w:kern w:val="0"/>
          <w:szCs w:val="21"/>
          <w:highlight w:val="none"/>
        </w:rPr>
        <w:t>2.4.3 进度付款申请单的提交</w:t>
      </w:r>
    </w:p>
    <w:p w14:paraId="040756F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（1）单价合同进度付款申请单提交的约定：</w:t>
      </w:r>
      <w:r>
        <w:rPr>
          <w:rFonts w:hint="eastAsia" w:ascii="宋体" w:hAnsi="宋体" w:eastAsia="宋体" w:cs="宋体"/>
          <w:b/>
          <w:bCs/>
          <w:color w:val="auto"/>
          <w:kern w:val="0"/>
          <w:szCs w:val="21"/>
          <w:highlight w:val="none"/>
          <w:u w:val="single"/>
        </w:rPr>
        <w:t>按通用合同条款第12.4.3条第（1）项规定执行</w:t>
      </w:r>
      <w:r>
        <w:rPr>
          <w:rFonts w:hint="eastAsia" w:ascii="宋体" w:hAnsi="宋体" w:eastAsia="宋体" w:cs="宋体"/>
          <w:color w:val="auto"/>
          <w:kern w:val="0"/>
          <w:szCs w:val="21"/>
          <w:highlight w:val="none"/>
        </w:rPr>
        <w:t>。</w:t>
      </w:r>
    </w:p>
    <w:p w14:paraId="5CE2C73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（2）总价合同进度付款申请单提交的约定：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7EA5945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（3）其他价格形式合同进度付款申请单提交的约定：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54D78A6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12.4.4 进度款审核和支付</w:t>
      </w:r>
    </w:p>
    <w:p w14:paraId="67D62588">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（1）监理人审查并报送发包人的期限：</w:t>
      </w:r>
      <w:r>
        <w:rPr>
          <w:rFonts w:hint="eastAsia" w:ascii="宋体" w:hAnsi="宋体" w:eastAsia="宋体" w:cs="宋体"/>
          <w:b/>
          <w:bCs/>
          <w:color w:val="auto"/>
          <w:kern w:val="0"/>
          <w:szCs w:val="21"/>
          <w:highlight w:val="none"/>
          <w:u w:val="single"/>
        </w:rPr>
        <w:t>【7】天内完成审查</w:t>
      </w:r>
      <w:r>
        <w:rPr>
          <w:rFonts w:hint="eastAsia" w:ascii="宋体" w:hAnsi="宋体" w:eastAsia="宋体" w:cs="宋体"/>
          <w:color w:val="auto"/>
          <w:kern w:val="0"/>
          <w:szCs w:val="21"/>
          <w:highlight w:val="none"/>
        </w:rPr>
        <w:t>。</w:t>
      </w:r>
    </w:p>
    <w:p w14:paraId="712415A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发包人完成审批并签发进度款支付证书的期限：</w:t>
      </w:r>
      <w:r>
        <w:rPr>
          <w:rFonts w:hint="eastAsia" w:ascii="宋体" w:hAnsi="宋体" w:eastAsia="宋体" w:cs="宋体"/>
          <w:b/>
          <w:bCs/>
          <w:color w:val="auto"/>
          <w:kern w:val="0"/>
          <w:szCs w:val="21"/>
          <w:highlight w:val="none"/>
          <w:u w:val="single"/>
        </w:rPr>
        <w:t>收到监理人报送的进度付款申请单及相关资料后【15】天内</w:t>
      </w:r>
      <w:r>
        <w:rPr>
          <w:rFonts w:hint="eastAsia" w:ascii="宋体" w:hAnsi="宋体" w:eastAsia="宋体" w:cs="宋体"/>
          <w:color w:val="auto"/>
          <w:kern w:val="0"/>
          <w:szCs w:val="21"/>
          <w:highlight w:val="none"/>
        </w:rPr>
        <w:t>。</w:t>
      </w:r>
    </w:p>
    <w:p w14:paraId="58AAE82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（2）发包人支付进度款的期限：</w:t>
      </w:r>
      <w:r>
        <w:rPr>
          <w:rFonts w:hint="eastAsia" w:ascii="宋体" w:hAnsi="宋体" w:eastAsia="宋体" w:cs="宋体"/>
          <w:b/>
          <w:bCs/>
          <w:color w:val="auto"/>
          <w:kern w:val="0"/>
          <w:szCs w:val="21"/>
          <w:highlight w:val="none"/>
          <w:u w:val="single"/>
        </w:rPr>
        <w:t>在进度款支付证书或临时进度款支付证书签发后【15】天内完成支付</w:t>
      </w:r>
      <w:r>
        <w:rPr>
          <w:rFonts w:hint="eastAsia" w:ascii="宋体" w:hAnsi="宋体" w:eastAsia="宋体" w:cs="宋体"/>
          <w:color w:val="auto"/>
          <w:kern w:val="0"/>
          <w:szCs w:val="21"/>
          <w:highlight w:val="none"/>
        </w:rPr>
        <w:t>。</w:t>
      </w:r>
    </w:p>
    <w:p w14:paraId="2EF4731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发包人逾期支付进度款的违约金的计算方式：</w:t>
      </w:r>
      <w:r>
        <w:rPr>
          <w:rFonts w:hint="eastAsia" w:ascii="宋体" w:hAnsi="宋体" w:eastAsia="宋体" w:cs="宋体"/>
          <w:b/>
          <w:color w:val="auto"/>
          <w:kern w:val="0"/>
          <w:szCs w:val="21"/>
          <w:highlight w:val="none"/>
          <w:u w:val="single"/>
        </w:rPr>
        <w:t>承担违约责任，经催告后仍未支付的，自催告期满次日起，按当期应付工程进度款金额的一年期存款利率支付违约金</w:t>
      </w:r>
      <w:r>
        <w:rPr>
          <w:rFonts w:hint="eastAsia" w:ascii="宋体" w:hAnsi="宋体" w:eastAsia="宋体" w:cs="宋体"/>
          <w:color w:val="auto"/>
          <w:kern w:val="0"/>
          <w:szCs w:val="21"/>
          <w:highlight w:val="none"/>
        </w:rPr>
        <w:t>。</w:t>
      </w:r>
    </w:p>
    <w:p w14:paraId="31A4E3E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12.4.6 支付分解表的编制</w:t>
      </w:r>
    </w:p>
    <w:p w14:paraId="56350A0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2、总价合同支付分解表的编制与审批：</w:t>
      </w:r>
      <w:r>
        <w:rPr>
          <w:rFonts w:hint="eastAsia" w:ascii="宋体" w:hAnsi="宋体" w:eastAsia="宋体" w:cs="宋体"/>
          <w:b/>
          <w:bCs/>
          <w:color w:val="auto"/>
          <w:kern w:val="0"/>
          <w:szCs w:val="21"/>
          <w:highlight w:val="none"/>
          <w:u w:val="single"/>
        </w:rPr>
        <w:t>按通用合同条款第12.4.6条第2项规定执行</w:t>
      </w:r>
      <w:r>
        <w:rPr>
          <w:rFonts w:hint="eastAsia" w:ascii="宋体" w:hAnsi="宋体" w:eastAsia="宋体" w:cs="宋体"/>
          <w:color w:val="auto"/>
          <w:kern w:val="0"/>
          <w:szCs w:val="21"/>
          <w:highlight w:val="none"/>
        </w:rPr>
        <w:t>。</w:t>
      </w:r>
    </w:p>
    <w:p w14:paraId="3868AEF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3、单价合同的总价项目支付分解表的编制与审批：</w:t>
      </w:r>
      <w:r>
        <w:rPr>
          <w:rFonts w:hint="eastAsia" w:ascii="宋体" w:hAnsi="宋体" w:eastAsia="宋体" w:cs="宋体"/>
          <w:b/>
          <w:bCs/>
          <w:color w:val="auto"/>
          <w:kern w:val="0"/>
          <w:szCs w:val="21"/>
          <w:highlight w:val="none"/>
          <w:u w:val="single"/>
        </w:rPr>
        <w:t>按通用合同条款第12.4.6条第3项规定执行</w:t>
      </w:r>
      <w:r>
        <w:rPr>
          <w:rFonts w:hint="eastAsia" w:ascii="宋体" w:hAnsi="宋体" w:eastAsia="宋体" w:cs="宋体"/>
          <w:color w:val="auto"/>
          <w:kern w:val="0"/>
          <w:szCs w:val="21"/>
          <w:highlight w:val="none"/>
        </w:rPr>
        <w:t>。</w:t>
      </w:r>
    </w:p>
    <w:bookmarkEnd w:id="334"/>
    <w:p w14:paraId="464DA57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486" w:name="_Toc351203645"/>
      <w:bookmarkStart w:id="487" w:name="_Toc300935015"/>
      <w:bookmarkStart w:id="488" w:name="_Toc297123564"/>
      <w:bookmarkStart w:id="489" w:name="_Toc297120519"/>
      <w:bookmarkStart w:id="490" w:name="_Toc297048405"/>
      <w:bookmarkStart w:id="491" w:name="_Toc296347218"/>
      <w:bookmarkStart w:id="492" w:name="_Toc304295593"/>
      <w:bookmarkStart w:id="493" w:name="_Toc297216223"/>
      <w:bookmarkStart w:id="494" w:name="_Toc296891047"/>
      <w:bookmarkStart w:id="495" w:name="_Toc312678053"/>
      <w:bookmarkStart w:id="496" w:name="_Toc303539172"/>
      <w:bookmarkStart w:id="497" w:name="_Toc296503219"/>
      <w:bookmarkStart w:id="498" w:name="_Toc296944558"/>
      <w:bookmarkStart w:id="499" w:name="_Toc296346720"/>
      <w:bookmarkStart w:id="500" w:name="_Toc292559929"/>
      <w:bookmarkStart w:id="501" w:name="_Toc292559424"/>
      <w:bookmarkStart w:id="502" w:name="_Toc296891259"/>
      <w:r>
        <w:rPr>
          <w:rFonts w:hint="eastAsia" w:ascii="宋体" w:hAnsi="宋体" w:eastAsia="宋体" w:cs="宋体"/>
          <w:color w:val="auto"/>
          <w:kern w:val="0"/>
          <w:szCs w:val="21"/>
          <w:highlight w:val="none"/>
        </w:rPr>
        <w:t>13. 验收和工程试车</w:t>
      </w:r>
      <w:bookmarkEnd w:id="486"/>
    </w:p>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14:paraId="4501A9E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 分部分项工程验收</w:t>
      </w:r>
    </w:p>
    <w:p w14:paraId="5389FCD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13.1.2监理人不能按时进行验收时，应提前</w:t>
      </w:r>
      <w:r>
        <w:rPr>
          <w:rFonts w:hint="eastAsia" w:ascii="宋体" w:hAnsi="宋体" w:eastAsia="宋体" w:cs="宋体"/>
          <w:color w:val="auto"/>
          <w:kern w:val="0"/>
          <w:szCs w:val="21"/>
          <w:highlight w:val="none"/>
          <w:u w:val="single"/>
        </w:rPr>
        <w:t>【24】</w:t>
      </w:r>
      <w:r>
        <w:rPr>
          <w:rFonts w:hint="eastAsia" w:ascii="宋体" w:hAnsi="宋体" w:eastAsia="宋体" w:cs="宋体"/>
          <w:color w:val="auto"/>
          <w:kern w:val="0"/>
          <w:szCs w:val="21"/>
          <w:highlight w:val="none"/>
        </w:rPr>
        <w:t>小时提交书面延期要求。</w:t>
      </w:r>
    </w:p>
    <w:p w14:paraId="733B2019">
      <w:pPr>
        <w:widowControl/>
        <w:adjustRightInd w:val="0"/>
        <w:snapToGrid w:val="0"/>
        <w:spacing w:line="360" w:lineRule="auto"/>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关于延期最长不得超过：</w:t>
      </w:r>
      <w:r>
        <w:rPr>
          <w:rFonts w:hint="eastAsia" w:ascii="宋体" w:hAnsi="宋体" w:eastAsia="宋体" w:cs="宋体"/>
          <w:color w:val="auto"/>
          <w:kern w:val="0"/>
          <w:szCs w:val="21"/>
          <w:highlight w:val="none"/>
          <w:u w:val="single"/>
        </w:rPr>
        <w:t>【48】</w:t>
      </w:r>
      <w:r>
        <w:rPr>
          <w:rFonts w:hint="eastAsia" w:ascii="宋体" w:hAnsi="宋体" w:eastAsia="宋体" w:cs="宋体"/>
          <w:color w:val="auto"/>
          <w:kern w:val="0"/>
          <w:szCs w:val="21"/>
          <w:highlight w:val="none"/>
        </w:rPr>
        <w:t>小时。</w:t>
      </w:r>
    </w:p>
    <w:p w14:paraId="31CE272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03" w:name="_Toc296503223"/>
      <w:bookmarkStart w:id="504" w:name="_Toc292559428"/>
      <w:bookmarkStart w:id="505" w:name="_Toc296346724"/>
      <w:bookmarkStart w:id="506" w:name="_Toc297216224"/>
      <w:bookmarkStart w:id="507" w:name="_Toc296891051"/>
      <w:bookmarkStart w:id="508" w:name="_Toc297048409"/>
      <w:bookmarkStart w:id="509" w:name="_Toc292559933"/>
      <w:bookmarkStart w:id="510" w:name="_Toc296944562"/>
      <w:bookmarkStart w:id="511" w:name="_Toc303539173"/>
      <w:bookmarkStart w:id="512" w:name="_Toc296891263"/>
      <w:bookmarkStart w:id="513" w:name="_Toc312678056"/>
      <w:bookmarkStart w:id="514" w:name="_Toc304295596"/>
      <w:bookmarkStart w:id="515" w:name="_Toc297123565"/>
      <w:bookmarkStart w:id="516" w:name="_Toc297120523"/>
      <w:bookmarkStart w:id="517" w:name="_Toc300935016"/>
      <w:bookmarkStart w:id="518" w:name="_Toc296347222"/>
      <w:bookmarkStart w:id="519" w:name="_Toc267251474"/>
      <w:bookmarkStart w:id="520" w:name="_Toc267251475"/>
      <w:bookmarkStart w:id="521" w:name="_Toc267251476"/>
      <w:bookmarkStart w:id="522" w:name="_Toc267251473"/>
      <w:bookmarkStart w:id="523" w:name="_Toc267251471"/>
      <w:bookmarkStart w:id="524" w:name="_Toc267251472"/>
      <w:bookmarkStart w:id="525" w:name="_Toc267251470"/>
      <w:r>
        <w:rPr>
          <w:rFonts w:hint="eastAsia" w:ascii="宋体" w:hAnsi="宋体" w:eastAsia="宋体" w:cs="宋体"/>
          <w:color w:val="auto"/>
          <w:kern w:val="0"/>
          <w:szCs w:val="21"/>
          <w:highlight w:val="none"/>
        </w:rPr>
        <w:t>13.2 竣工验收</w:t>
      </w:r>
    </w:p>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14:paraId="07FF31F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26" w:name="_Toc280868704"/>
      <w:bookmarkStart w:id="527" w:name="_Toc280868705"/>
      <w:bookmarkStart w:id="528" w:name="_Toc280868706"/>
      <w:bookmarkStart w:id="529" w:name="_Toc280868707"/>
      <w:bookmarkStart w:id="530" w:name="_Toc280868708"/>
      <w:bookmarkStart w:id="531" w:name="_Toc280868709"/>
      <w:r>
        <w:rPr>
          <w:rFonts w:hint="eastAsia" w:ascii="宋体" w:hAnsi="宋体" w:eastAsia="宋体" w:cs="宋体"/>
          <w:color w:val="auto"/>
          <w:kern w:val="0"/>
          <w:szCs w:val="21"/>
          <w:highlight w:val="none"/>
        </w:rPr>
        <w:t>13.2.2竣工验收程序</w:t>
      </w:r>
    </w:p>
    <w:bookmarkEnd w:id="526"/>
    <w:p w14:paraId="1ADB410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关于竣工验收程序的约定：</w:t>
      </w:r>
      <w:r>
        <w:rPr>
          <w:rFonts w:hint="eastAsia" w:ascii="宋体" w:hAnsi="宋体" w:eastAsia="宋体" w:cs="宋体"/>
          <w:b/>
          <w:bCs/>
          <w:color w:val="auto"/>
          <w:kern w:val="0"/>
          <w:szCs w:val="21"/>
          <w:highlight w:val="none"/>
          <w:u w:val="single"/>
        </w:rPr>
        <w:t>按通用合同条款第13.2.2条规定执行</w:t>
      </w:r>
      <w:r>
        <w:rPr>
          <w:rFonts w:hint="eastAsia" w:ascii="宋体" w:hAnsi="宋体" w:eastAsia="宋体" w:cs="宋体"/>
          <w:color w:val="auto"/>
          <w:kern w:val="0"/>
          <w:szCs w:val="21"/>
          <w:highlight w:val="none"/>
        </w:rPr>
        <w:t>。</w:t>
      </w:r>
    </w:p>
    <w:p w14:paraId="4AF2BF4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发包人不按照本项约定组织竣工验收、颁发工程接收证书的违约金的计算方法：</w:t>
      </w:r>
      <w:r>
        <w:rPr>
          <w:rFonts w:hint="eastAsia" w:ascii="宋体" w:hAnsi="宋体" w:eastAsia="宋体" w:cs="宋体"/>
          <w:color w:val="auto"/>
          <w:kern w:val="0"/>
          <w:sz w:val="30"/>
          <w:szCs w:val="32"/>
          <w:highlight w:val="none"/>
          <w:u w:val="single"/>
        </w:rPr>
        <w:t>/</w:t>
      </w:r>
      <w:r>
        <w:rPr>
          <w:rFonts w:hint="eastAsia" w:ascii="宋体" w:hAnsi="宋体" w:eastAsia="宋体" w:cs="宋体"/>
          <w:color w:val="auto"/>
          <w:kern w:val="0"/>
          <w:szCs w:val="21"/>
          <w:highlight w:val="none"/>
        </w:rPr>
        <w:t>。</w:t>
      </w:r>
    </w:p>
    <w:bookmarkEnd w:id="527"/>
    <w:p w14:paraId="782954B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13.2.5移交、接收全部与部分工程</w:t>
      </w:r>
    </w:p>
    <w:bookmarkEnd w:id="528"/>
    <w:p w14:paraId="599B4E6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承包人向发包人移交工程的期限：</w:t>
      </w:r>
      <w:r>
        <w:rPr>
          <w:rFonts w:hint="eastAsia" w:ascii="宋体" w:hAnsi="宋体" w:eastAsia="宋体" w:cs="宋体"/>
          <w:b/>
          <w:bCs/>
          <w:color w:val="auto"/>
          <w:kern w:val="0"/>
          <w:szCs w:val="21"/>
          <w:highlight w:val="none"/>
          <w:u w:val="single"/>
        </w:rPr>
        <w:t>颁发工程接收证书后【2】天内完成工程的移交</w:t>
      </w:r>
      <w:r>
        <w:rPr>
          <w:rFonts w:hint="eastAsia" w:ascii="宋体" w:hAnsi="宋体" w:eastAsia="宋体" w:cs="宋体"/>
          <w:color w:val="auto"/>
          <w:kern w:val="0"/>
          <w:szCs w:val="21"/>
          <w:highlight w:val="none"/>
        </w:rPr>
        <w:t>。</w:t>
      </w:r>
    </w:p>
    <w:p w14:paraId="51C3023C">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发包人未按本合同约定接收全部或部分工程的，违约金的计算方法为：</w:t>
      </w:r>
      <w:r>
        <w:rPr>
          <w:rFonts w:hint="eastAsia" w:ascii="宋体" w:hAnsi="宋体" w:eastAsia="宋体" w:cs="宋体"/>
          <w:color w:val="auto"/>
          <w:kern w:val="0"/>
          <w:sz w:val="30"/>
          <w:szCs w:val="32"/>
          <w:highlight w:val="none"/>
          <w:u w:val="single"/>
        </w:rPr>
        <w:t>/</w:t>
      </w:r>
      <w:r>
        <w:rPr>
          <w:rFonts w:hint="eastAsia" w:ascii="宋体" w:hAnsi="宋体" w:eastAsia="宋体" w:cs="宋体"/>
          <w:color w:val="auto"/>
          <w:kern w:val="0"/>
          <w:szCs w:val="21"/>
          <w:highlight w:val="none"/>
        </w:rPr>
        <w:t>。</w:t>
      </w:r>
    </w:p>
    <w:bookmarkEnd w:id="529"/>
    <w:p w14:paraId="4BB68F1D">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承包人未按时移交工程的，违约金的计算方法为：</w:t>
      </w:r>
      <w:r>
        <w:rPr>
          <w:rFonts w:hint="eastAsia" w:ascii="宋体" w:hAnsi="宋体" w:eastAsia="宋体" w:cs="宋体"/>
          <w:color w:val="auto"/>
          <w:kern w:val="0"/>
          <w:szCs w:val="21"/>
          <w:highlight w:val="none"/>
          <w:u w:val="single"/>
        </w:rPr>
        <w:t xml:space="preserve"> 每逾期一天，应向发包人支付【2000】元违约金，逾期超过【15】天的，发包人有权解除合同 。</w:t>
      </w:r>
    </w:p>
    <w:p w14:paraId="4C4889A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 工程试车</w:t>
      </w:r>
    </w:p>
    <w:bookmarkEnd w:id="530"/>
    <w:p w14:paraId="5130114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试车程序</w:t>
      </w:r>
    </w:p>
    <w:p w14:paraId="2E40E41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工程试车内容：</w:t>
      </w:r>
      <w:r>
        <w:rPr>
          <w:rFonts w:hint="eastAsia" w:ascii="宋体" w:hAnsi="宋体" w:eastAsia="宋体" w:cs="宋体"/>
          <w:b/>
          <w:bCs/>
          <w:color w:val="auto"/>
          <w:kern w:val="0"/>
          <w:szCs w:val="21"/>
          <w:highlight w:val="none"/>
          <w:u w:val="single"/>
        </w:rPr>
        <w:t>试车内容应与承包人承包范围相一致，试车费用由承包人承担</w:t>
      </w:r>
      <w:r>
        <w:rPr>
          <w:rFonts w:hint="eastAsia" w:ascii="宋体" w:hAnsi="宋体" w:eastAsia="宋体" w:cs="宋体"/>
          <w:color w:val="auto"/>
          <w:kern w:val="0"/>
          <w:szCs w:val="21"/>
          <w:highlight w:val="none"/>
        </w:rPr>
        <w:t>。</w:t>
      </w:r>
    </w:p>
    <w:p w14:paraId="55DC895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（1）单机无负荷试车费用由</w:t>
      </w:r>
      <w:r>
        <w:rPr>
          <w:rFonts w:hint="eastAsia" w:ascii="宋体" w:hAnsi="宋体" w:eastAsia="宋体" w:cs="宋体"/>
          <w:b/>
          <w:bCs/>
          <w:color w:val="auto"/>
          <w:kern w:val="0"/>
          <w:szCs w:val="21"/>
          <w:highlight w:val="none"/>
          <w:u w:val="single"/>
        </w:rPr>
        <w:t>承包人</w:t>
      </w:r>
      <w:r>
        <w:rPr>
          <w:rFonts w:hint="eastAsia" w:ascii="宋体" w:hAnsi="宋体" w:eastAsia="宋体" w:cs="宋体"/>
          <w:color w:val="auto"/>
          <w:kern w:val="0"/>
          <w:szCs w:val="21"/>
          <w:highlight w:val="none"/>
        </w:rPr>
        <w:t>承担；</w:t>
      </w:r>
    </w:p>
    <w:p w14:paraId="5818EE3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（2）无负荷联动试车费用由</w:t>
      </w:r>
      <w:r>
        <w:rPr>
          <w:rFonts w:hint="eastAsia" w:ascii="宋体" w:hAnsi="宋体" w:eastAsia="宋体" w:cs="宋体"/>
          <w:b/>
          <w:bCs/>
          <w:color w:val="auto"/>
          <w:kern w:val="0"/>
          <w:szCs w:val="21"/>
          <w:highlight w:val="none"/>
          <w:u w:val="single"/>
        </w:rPr>
        <w:t>承包人</w:t>
      </w:r>
      <w:r>
        <w:rPr>
          <w:rFonts w:hint="eastAsia" w:ascii="宋体" w:hAnsi="宋体" w:eastAsia="宋体" w:cs="宋体"/>
          <w:color w:val="auto"/>
          <w:kern w:val="0"/>
          <w:szCs w:val="21"/>
          <w:highlight w:val="none"/>
        </w:rPr>
        <w:t>承担。</w:t>
      </w:r>
    </w:p>
    <w:p w14:paraId="07DF257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投料试车</w:t>
      </w:r>
    </w:p>
    <w:p w14:paraId="08DF10D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关于投料试车相关事项的约定：</w:t>
      </w:r>
      <w:r>
        <w:rPr>
          <w:rFonts w:hint="eastAsia" w:ascii="宋体" w:hAnsi="宋体" w:eastAsia="宋体" w:cs="宋体"/>
          <w:b/>
          <w:bCs/>
          <w:color w:val="auto"/>
          <w:kern w:val="0"/>
          <w:szCs w:val="21"/>
          <w:highlight w:val="none"/>
          <w:u w:val="single"/>
        </w:rPr>
        <w:t>按通用合同条款第13.3.3条规定执行</w:t>
      </w:r>
      <w:r>
        <w:rPr>
          <w:rFonts w:hint="eastAsia" w:ascii="宋体" w:hAnsi="宋体" w:eastAsia="宋体" w:cs="宋体"/>
          <w:color w:val="auto"/>
          <w:kern w:val="0"/>
          <w:szCs w:val="21"/>
          <w:highlight w:val="none"/>
        </w:rPr>
        <w:t>。</w:t>
      </w:r>
    </w:p>
    <w:p w14:paraId="5CEC026D">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 竣工退场</w:t>
      </w:r>
    </w:p>
    <w:p w14:paraId="53F6D94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13.6.1 竣工退场</w:t>
      </w:r>
    </w:p>
    <w:p w14:paraId="153B91D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承包人完成竣工退场的期限：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65F328C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32" w:name="_Toc351203646"/>
      <w:r>
        <w:rPr>
          <w:rFonts w:hint="eastAsia" w:ascii="宋体" w:hAnsi="宋体" w:eastAsia="宋体" w:cs="宋体"/>
          <w:color w:val="auto"/>
          <w:kern w:val="0"/>
          <w:szCs w:val="21"/>
          <w:highlight w:val="none"/>
        </w:rPr>
        <w:t>14. 竣工结算</w:t>
      </w:r>
      <w:bookmarkEnd w:id="532"/>
    </w:p>
    <w:p w14:paraId="0F73204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竣工结算申请</w:t>
      </w:r>
    </w:p>
    <w:p w14:paraId="4861D93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承包人提交竣工结算申请单的期限：</w:t>
      </w:r>
      <w:r>
        <w:rPr>
          <w:rFonts w:hint="eastAsia" w:ascii="宋体" w:hAnsi="宋体" w:eastAsia="宋体" w:cs="宋体"/>
          <w:b/>
          <w:bCs/>
          <w:color w:val="auto"/>
          <w:kern w:val="0"/>
          <w:szCs w:val="21"/>
          <w:highlight w:val="none"/>
          <w:u w:val="single"/>
        </w:rPr>
        <w:t>在工程竣工验收合格后【15】天内</w:t>
      </w:r>
      <w:r>
        <w:rPr>
          <w:rFonts w:hint="eastAsia" w:ascii="宋体" w:hAnsi="宋体" w:eastAsia="宋体" w:cs="宋体"/>
          <w:color w:val="auto"/>
          <w:kern w:val="0"/>
          <w:szCs w:val="21"/>
          <w:highlight w:val="none"/>
        </w:rPr>
        <w:t>。</w:t>
      </w:r>
    </w:p>
    <w:p w14:paraId="4474057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竣工结算申请单应包括的内容：</w:t>
      </w:r>
    </w:p>
    <w:p w14:paraId="672CE374">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（1）竣工结算合同价格；</w:t>
      </w:r>
    </w:p>
    <w:p w14:paraId="2F37ED84">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（2）发包人已支付承包人的款项；</w:t>
      </w:r>
    </w:p>
    <w:p w14:paraId="3ADB892D">
      <w:pPr>
        <w:widowControl/>
        <w:adjustRightInd w:val="0"/>
        <w:snapToGrid w:val="0"/>
        <w:spacing w:line="360" w:lineRule="auto"/>
        <w:ind w:firstLine="422" w:firstLineChars="200"/>
        <w:rPr>
          <w:rFonts w:hint="eastAsia" w:ascii="宋体" w:hAnsi="宋体" w:eastAsia="宋体" w:cs="宋体"/>
          <w:b/>
          <w:bCs/>
          <w:color w:val="auto"/>
          <w:kern w:val="0"/>
          <w:szCs w:val="21"/>
          <w:highlight w:val="none"/>
          <w:u w:val="single"/>
        </w:rPr>
      </w:pPr>
      <w:r>
        <w:rPr>
          <w:rFonts w:hint="eastAsia" w:ascii="宋体" w:hAnsi="宋体" w:eastAsia="宋体" w:cs="宋体"/>
          <w:b/>
          <w:bCs/>
          <w:color w:val="auto"/>
          <w:kern w:val="0"/>
          <w:szCs w:val="21"/>
          <w:highlight w:val="none"/>
          <w:u w:val="single"/>
        </w:rPr>
        <w:t xml:space="preserve">（3）应扣留的质量保证金等； </w:t>
      </w:r>
    </w:p>
    <w:p w14:paraId="62C9706B">
      <w:pPr>
        <w:widowControl/>
        <w:adjustRightInd w:val="0"/>
        <w:snapToGrid w:val="0"/>
        <w:spacing w:line="360" w:lineRule="auto"/>
        <w:ind w:firstLine="422" w:firstLineChars="200"/>
        <w:rPr>
          <w:rFonts w:hint="eastAsia" w:ascii="宋体" w:hAnsi="宋体" w:eastAsia="宋体" w:cs="宋体"/>
          <w:color w:val="auto"/>
          <w:kern w:val="0"/>
          <w:szCs w:val="21"/>
          <w:highlight w:val="none"/>
          <w:u w:val="single"/>
        </w:rPr>
      </w:pPr>
      <w:r>
        <w:rPr>
          <w:rFonts w:hint="eastAsia" w:ascii="宋体" w:hAnsi="宋体" w:eastAsia="宋体" w:cs="宋体"/>
          <w:b/>
          <w:bCs/>
          <w:color w:val="auto"/>
          <w:kern w:val="0"/>
          <w:szCs w:val="21"/>
          <w:highlight w:val="none"/>
          <w:u w:val="single"/>
        </w:rPr>
        <w:t>（4）发包人应支付承包人的合同价款。</w:t>
      </w:r>
    </w:p>
    <w:p w14:paraId="1A37AB85">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u w:val="single"/>
        </w:rPr>
        <w:t>（5）本工程结算造价以审计部门的最终审计结果为准，发包人根据国家造价管理的有关规定以及审计部门审定的价款进行结算，与承包人办理最终价款结算手续。发包人、审计部门应在竣工验收合格、承包人提供完整结算资料以及具备其它结算条件后及时按有关规定核实承包人递交的结算报告及结算资料，但并不受通用条款所述的时间约束。结算审核费用按发包人与结算审核单位的合同约定支付，其中核增额和超过5%以外的核减额的审计费用由承包人按浙价服[2009]84号文件规定的收费标准支付。</w:t>
      </w:r>
    </w:p>
    <w:p w14:paraId="0F04F0AB">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竣工结算审核</w:t>
      </w:r>
    </w:p>
    <w:p w14:paraId="2E53CFA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发包人审批竣工付款申请单的期限：</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2F606AA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发包人完成竣工付款的期限：</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0DD92DA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关于竣工付款证书异议部分复核的方式和程序：</w:t>
      </w:r>
      <w:r>
        <w:rPr>
          <w:rFonts w:hint="eastAsia" w:ascii="宋体" w:hAnsi="宋体" w:eastAsia="宋体" w:cs="宋体"/>
          <w:b/>
          <w:bCs/>
          <w:color w:val="auto"/>
          <w:kern w:val="0"/>
          <w:szCs w:val="21"/>
          <w:highlight w:val="none"/>
          <w:u w:val="single"/>
        </w:rPr>
        <w:t>按通用合同条款第14.2条第（3）项规定执行</w:t>
      </w:r>
      <w:r>
        <w:rPr>
          <w:rFonts w:hint="eastAsia" w:ascii="宋体" w:hAnsi="宋体" w:eastAsia="宋体" w:cs="宋体"/>
          <w:color w:val="auto"/>
          <w:kern w:val="0"/>
          <w:szCs w:val="21"/>
          <w:highlight w:val="none"/>
        </w:rPr>
        <w:t>。</w:t>
      </w:r>
    </w:p>
    <w:p w14:paraId="52EE9C3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 最终结清</w:t>
      </w:r>
    </w:p>
    <w:p w14:paraId="2C024FC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14.4.1 最终结清申请单</w:t>
      </w:r>
    </w:p>
    <w:p w14:paraId="611E36B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承包人提交最终结清申请单的份数：</w:t>
      </w:r>
      <w:r>
        <w:rPr>
          <w:rFonts w:hint="eastAsia" w:ascii="宋体" w:hAnsi="宋体" w:eastAsia="宋体" w:cs="宋体"/>
          <w:b/>
          <w:bCs/>
          <w:color w:val="auto"/>
          <w:kern w:val="0"/>
          <w:szCs w:val="21"/>
          <w:highlight w:val="none"/>
          <w:u w:val="single"/>
        </w:rPr>
        <w:t>【5】份</w:t>
      </w:r>
      <w:r>
        <w:rPr>
          <w:rFonts w:hint="eastAsia" w:ascii="宋体" w:hAnsi="宋体" w:eastAsia="宋体" w:cs="宋体"/>
          <w:color w:val="auto"/>
          <w:kern w:val="0"/>
          <w:szCs w:val="21"/>
          <w:highlight w:val="none"/>
        </w:rPr>
        <w:t>。</w:t>
      </w:r>
    </w:p>
    <w:p w14:paraId="43D8D83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承包人提交最终结算申请单的期限：</w:t>
      </w:r>
      <w:r>
        <w:rPr>
          <w:rFonts w:hint="eastAsia" w:ascii="宋体" w:hAnsi="宋体" w:eastAsia="宋体" w:cs="宋体"/>
          <w:b/>
          <w:bCs/>
          <w:color w:val="auto"/>
          <w:kern w:val="0"/>
          <w:szCs w:val="21"/>
          <w:highlight w:val="none"/>
          <w:u w:val="single"/>
        </w:rPr>
        <w:t>在缺陷责任期终止证书颁发后【15】天内</w:t>
      </w:r>
      <w:r>
        <w:rPr>
          <w:rFonts w:hint="eastAsia" w:ascii="宋体" w:hAnsi="宋体" w:eastAsia="宋体" w:cs="宋体"/>
          <w:color w:val="auto"/>
          <w:kern w:val="0"/>
          <w:szCs w:val="21"/>
          <w:highlight w:val="none"/>
        </w:rPr>
        <w:t xml:space="preserve">。 </w:t>
      </w:r>
    </w:p>
    <w:p w14:paraId="609DF3A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14.4.2 最终结清证书和支付</w:t>
      </w:r>
    </w:p>
    <w:p w14:paraId="4E1821A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（1）发包人完成最终结清申请单的审批并颁发最终结清证书的期限：</w:t>
      </w:r>
      <w:r>
        <w:rPr>
          <w:rFonts w:hint="eastAsia" w:ascii="宋体" w:hAnsi="宋体" w:eastAsia="宋体" w:cs="宋体"/>
          <w:b/>
          <w:bCs/>
          <w:color w:val="auto"/>
          <w:kern w:val="0"/>
          <w:szCs w:val="21"/>
          <w:highlight w:val="none"/>
          <w:u w:val="single"/>
        </w:rPr>
        <w:t>在收到承包人提交的最终结清申请单后【15】天内</w:t>
      </w:r>
      <w:r>
        <w:rPr>
          <w:rFonts w:hint="eastAsia" w:ascii="宋体" w:hAnsi="宋体" w:eastAsia="宋体" w:cs="宋体"/>
          <w:color w:val="auto"/>
          <w:kern w:val="0"/>
          <w:szCs w:val="21"/>
          <w:highlight w:val="none"/>
        </w:rPr>
        <w:t>。</w:t>
      </w:r>
    </w:p>
    <w:p w14:paraId="238B158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（2）发包人完成支付的期限：</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bookmarkEnd w:id="519"/>
    <w:bookmarkEnd w:id="520"/>
    <w:bookmarkEnd w:id="521"/>
    <w:bookmarkEnd w:id="522"/>
    <w:bookmarkEnd w:id="523"/>
    <w:bookmarkEnd w:id="524"/>
    <w:bookmarkEnd w:id="525"/>
    <w:bookmarkEnd w:id="531"/>
    <w:p w14:paraId="50AAC01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33" w:name="_Toc351203647"/>
      <w:bookmarkStart w:id="534" w:name="_Toc267251483"/>
      <w:bookmarkStart w:id="535" w:name="_Toc267251482"/>
      <w:bookmarkStart w:id="536" w:name="_Toc267251484"/>
      <w:bookmarkStart w:id="537" w:name="_Toc267251485"/>
      <w:bookmarkStart w:id="538" w:name="_Toc267251489"/>
      <w:bookmarkStart w:id="539" w:name="_Toc267251488"/>
      <w:bookmarkStart w:id="540" w:name="_Toc267251486"/>
      <w:bookmarkStart w:id="541" w:name="_Toc267251490"/>
      <w:bookmarkStart w:id="542" w:name="_Toc267251491"/>
      <w:bookmarkStart w:id="543" w:name="_Toc267251496"/>
      <w:bookmarkStart w:id="544" w:name="_Toc267251492"/>
      <w:bookmarkStart w:id="545" w:name="_Toc267251495"/>
      <w:bookmarkStart w:id="546" w:name="_Toc267251499"/>
      <w:bookmarkStart w:id="547" w:name="_Toc267251494"/>
      <w:bookmarkStart w:id="548" w:name="_Toc267251498"/>
      <w:bookmarkStart w:id="549" w:name="_Toc267251503"/>
      <w:bookmarkStart w:id="550" w:name="_Toc267251501"/>
      <w:bookmarkStart w:id="551" w:name="_Toc267251493"/>
      <w:bookmarkStart w:id="552" w:name="_Toc267251502"/>
      <w:bookmarkStart w:id="553" w:name="_Toc267251497"/>
      <w:bookmarkStart w:id="554" w:name="_Toc267251504"/>
      <w:bookmarkStart w:id="555" w:name="_Toc267251506"/>
      <w:bookmarkStart w:id="556" w:name="_Toc267251507"/>
      <w:bookmarkStart w:id="557" w:name="_Toc267251508"/>
      <w:bookmarkStart w:id="558" w:name="_Toc267251513"/>
      <w:bookmarkStart w:id="559" w:name="_Toc267251511"/>
      <w:bookmarkStart w:id="560" w:name="_Toc267251515"/>
      <w:bookmarkStart w:id="561" w:name="_Toc267251509"/>
      <w:bookmarkStart w:id="562" w:name="_Toc267251510"/>
      <w:bookmarkStart w:id="563" w:name="_Toc267251514"/>
      <w:r>
        <w:rPr>
          <w:rFonts w:hint="eastAsia" w:ascii="宋体" w:hAnsi="宋体" w:eastAsia="宋体" w:cs="宋体"/>
          <w:color w:val="auto"/>
          <w:kern w:val="0"/>
          <w:szCs w:val="21"/>
          <w:highlight w:val="none"/>
        </w:rPr>
        <w:t>15. 缺陷责任期与保修</w:t>
      </w:r>
      <w:bookmarkEnd w:id="533"/>
    </w:p>
    <w:p w14:paraId="58C5950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15.2缺陷责任期</w:t>
      </w:r>
      <w:bookmarkEnd w:id="534"/>
    </w:p>
    <w:p w14:paraId="3D86024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缺陷责任期的具体期限：</w:t>
      </w:r>
      <w:r>
        <w:rPr>
          <w:rFonts w:hint="eastAsia" w:ascii="宋体" w:hAnsi="宋体" w:eastAsia="宋体" w:cs="宋体"/>
          <w:color w:val="auto"/>
          <w:kern w:val="0"/>
          <w:szCs w:val="21"/>
          <w:highlight w:val="none"/>
          <w:u w:val="single"/>
        </w:rPr>
        <w:t xml:space="preserve">【24】个月，自工程竣工验收合格（指验收时发现的所有质量缺陷均整改完毕并经验收合格）之日起计算，法律规定的缺陷责任期超过【24】个月的，执行法律法规的规定   </w:t>
      </w:r>
      <w:r>
        <w:rPr>
          <w:rFonts w:hint="eastAsia" w:ascii="宋体" w:hAnsi="宋体" w:eastAsia="宋体" w:cs="宋体"/>
          <w:color w:val="auto"/>
          <w:kern w:val="0"/>
          <w:szCs w:val="21"/>
          <w:highlight w:val="none"/>
        </w:rPr>
        <w:t>。</w:t>
      </w:r>
    </w:p>
    <w:p w14:paraId="6BBB519A">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15.3 质量保证金</w:t>
      </w:r>
    </w:p>
    <w:p w14:paraId="150FA2D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关于是否扣留质量保证金的约定：</w:t>
      </w:r>
      <w:r>
        <w:rPr>
          <w:rFonts w:hint="eastAsia" w:ascii="宋体" w:hAnsi="宋体" w:eastAsia="宋体" w:cs="宋体"/>
          <w:color w:val="auto"/>
          <w:kern w:val="0"/>
          <w:szCs w:val="21"/>
          <w:highlight w:val="none"/>
          <w:u w:val="single"/>
        </w:rPr>
        <w:t xml:space="preserve">   是  </w:t>
      </w:r>
      <w:r>
        <w:rPr>
          <w:rFonts w:hint="eastAsia" w:ascii="宋体" w:hAnsi="宋体" w:eastAsia="宋体" w:cs="宋体"/>
          <w:color w:val="auto"/>
          <w:kern w:val="0"/>
          <w:szCs w:val="21"/>
          <w:highlight w:val="none"/>
        </w:rPr>
        <w:t>。在工程项目竣工前，承包人按专用合同条款第3.7条提供履约担保的，发包人不得同时预留工程质量保证金。</w:t>
      </w:r>
    </w:p>
    <w:p w14:paraId="2A7D5F5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p>
    <w:p w14:paraId="5EC7FE54">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15.3.1 承包人提供质量保证金的方式</w:t>
      </w:r>
    </w:p>
    <w:p w14:paraId="37B1503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质量保证金采用以下第</w:t>
      </w:r>
      <w:r>
        <w:rPr>
          <w:rFonts w:hint="eastAsia" w:ascii="宋体" w:hAnsi="宋体" w:eastAsia="宋体" w:cs="宋体"/>
          <w:color w:val="auto"/>
          <w:kern w:val="0"/>
          <w:szCs w:val="21"/>
          <w:highlight w:val="none"/>
          <w:u w:val="single"/>
        </w:rPr>
        <w:t xml:space="preserve">  （3）   </w:t>
      </w:r>
      <w:r>
        <w:rPr>
          <w:rFonts w:hint="eastAsia" w:ascii="宋体" w:hAnsi="宋体" w:eastAsia="宋体" w:cs="宋体"/>
          <w:color w:val="auto"/>
          <w:kern w:val="0"/>
          <w:szCs w:val="21"/>
          <w:highlight w:val="none"/>
        </w:rPr>
        <w:t>种方式：</w:t>
      </w:r>
    </w:p>
    <w:p w14:paraId="3E1E58C9">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（1）质量保证金保函，保证金额为：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19872FE">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%的工程款；</w:t>
      </w:r>
    </w:p>
    <w:p w14:paraId="69AA7EA2">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b/>
          <w:bCs/>
          <w:color w:val="auto"/>
          <w:kern w:val="0"/>
          <w:szCs w:val="21"/>
          <w:highlight w:val="none"/>
          <w:u w:val="single"/>
        </w:rPr>
        <w:t>审计完毕后【7】日承包人向发包人缴纳审定价的【1.5】%作为质保金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7E154108">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15.3.2 质量保证金的扣留 </w:t>
      </w:r>
    </w:p>
    <w:p w14:paraId="747375D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质量保证金的扣留采取以下第</w:t>
      </w:r>
      <w:r>
        <w:rPr>
          <w:rFonts w:hint="eastAsia" w:ascii="宋体" w:hAnsi="宋体" w:eastAsia="宋体" w:cs="宋体"/>
          <w:color w:val="auto"/>
          <w:kern w:val="0"/>
          <w:szCs w:val="21"/>
          <w:highlight w:val="none"/>
          <w:u w:val="single"/>
        </w:rPr>
        <w:t xml:space="preserve">  （3）   </w:t>
      </w:r>
      <w:r>
        <w:rPr>
          <w:rFonts w:hint="eastAsia" w:ascii="宋体" w:hAnsi="宋体" w:eastAsia="宋体" w:cs="宋体"/>
          <w:color w:val="auto"/>
          <w:kern w:val="0"/>
          <w:szCs w:val="21"/>
          <w:highlight w:val="none"/>
        </w:rPr>
        <w:t>种方式：</w:t>
      </w:r>
    </w:p>
    <w:p w14:paraId="54CEEA29">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（1）在支付工程进度款时逐次扣留，在此情形下，质量保证金的计算基数不包括预付款的支付、扣回以及价格调整的金额；</w:t>
      </w:r>
    </w:p>
    <w:p w14:paraId="7BCB5A74">
      <w:pPr>
        <w:widowControl/>
        <w:autoSpaceDE w:val="0"/>
        <w:autoSpaceDN w:val="0"/>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（2）工程竣工结算时一次性扣留质量保证金；</w:t>
      </w:r>
    </w:p>
    <w:p w14:paraId="29B55E3B">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（3）其他扣留方式:</w:t>
      </w:r>
      <w:r>
        <w:rPr>
          <w:rFonts w:hint="eastAsia" w:ascii="宋体" w:hAnsi="宋体" w:eastAsia="宋体" w:cs="宋体"/>
          <w:b/>
          <w:color w:val="auto"/>
          <w:kern w:val="0"/>
          <w:szCs w:val="21"/>
          <w:highlight w:val="none"/>
          <w:u w:val="single"/>
        </w:rPr>
        <w:t>工程结算审计后增加合同价的【1.5】%。</w:t>
      </w:r>
    </w:p>
    <w:p w14:paraId="319B765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关于质量保证金的补充约定</w:t>
      </w:r>
      <w:r>
        <w:rPr>
          <w:rFonts w:hint="eastAsia" w:ascii="宋体" w:hAnsi="宋体" w:eastAsia="宋体" w:cs="宋体"/>
          <w:b/>
          <w:color w:val="auto"/>
          <w:kern w:val="0"/>
          <w:szCs w:val="21"/>
          <w:highlight w:val="none"/>
          <w:u w:val="single"/>
        </w:rPr>
        <w:t>：结算金额【1.5】%作为工程质量保证金，质保金在质保期满经验收无质量问题、扣除承包人应承担的全部费用（包括但不限于违约金违约金、损害赔偿金等）后【7】天内全部结清（不计利息）。</w:t>
      </w:r>
    </w:p>
    <w:bookmarkEnd w:id="535"/>
    <w:bookmarkEnd w:id="536"/>
    <w:p w14:paraId="51B40FF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15.4保修</w:t>
      </w:r>
    </w:p>
    <w:bookmarkEnd w:id="537"/>
    <w:p w14:paraId="7881779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15.4.1 保修责任</w:t>
      </w:r>
    </w:p>
    <w:p w14:paraId="1031F90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工程保修期为：</w:t>
      </w:r>
      <w:r>
        <w:rPr>
          <w:rFonts w:hint="eastAsia" w:ascii="宋体" w:hAnsi="宋体" w:eastAsia="宋体" w:cs="宋体"/>
          <w:b/>
          <w:bCs/>
          <w:color w:val="auto"/>
          <w:kern w:val="0"/>
          <w:szCs w:val="21"/>
          <w:highlight w:val="none"/>
          <w:u w:val="single"/>
        </w:rPr>
        <w:t>按工程质量保修书规定执行</w:t>
      </w:r>
      <w:r>
        <w:rPr>
          <w:rFonts w:hint="eastAsia" w:ascii="宋体" w:hAnsi="宋体" w:eastAsia="宋体" w:cs="宋体"/>
          <w:color w:val="auto"/>
          <w:kern w:val="0"/>
          <w:szCs w:val="21"/>
          <w:highlight w:val="none"/>
        </w:rPr>
        <w:t>。</w:t>
      </w:r>
    </w:p>
    <w:p w14:paraId="074F04A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15.4.3 修复通知</w:t>
      </w:r>
    </w:p>
    <w:p w14:paraId="5997CF1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承包人收到保修通知并到达工程现场的合理时间：</w:t>
      </w:r>
      <w:r>
        <w:rPr>
          <w:rFonts w:hint="eastAsia" w:ascii="宋体" w:hAnsi="宋体" w:eastAsia="宋体" w:cs="宋体"/>
          <w:color w:val="auto"/>
          <w:kern w:val="0"/>
          <w:szCs w:val="21"/>
          <w:highlight w:val="none"/>
          <w:u w:val="single"/>
        </w:rPr>
        <w:t>3日内，承包人逾期未响应或未完成维修的，发包人有权自行或另行委托第三方负责，相关费用由承包人承担，发包人有权从应支付给承包人的费用中扣除</w:t>
      </w:r>
      <w:r>
        <w:rPr>
          <w:rFonts w:hint="eastAsia" w:ascii="宋体" w:hAnsi="宋体" w:eastAsia="宋体" w:cs="宋体"/>
          <w:color w:val="auto"/>
          <w:kern w:val="0"/>
          <w:szCs w:val="21"/>
          <w:highlight w:val="none"/>
        </w:rPr>
        <w:t>。</w:t>
      </w:r>
    </w:p>
    <w:bookmarkEnd w:id="538"/>
    <w:bookmarkEnd w:id="539"/>
    <w:bookmarkEnd w:id="540"/>
    <w:bookmarkEnd w:id="541"/>
    <w:p w14:paraId="53C831E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64" w:name="_Toc351203648"/>
      <w:bookmarkStart w:id="565" w:name="_Toc280868717"/>
      <w:bookmarkStart w:id="566" w:name="_Toc280868718"/>
      <w:r>
        <w:rPr>
          <w:rFonts w:hint="eastAsia" w:ascii="宋体" w:hAnsi="宋体" w:eastAsia="宋体" w:cs="宋体"/>
          <w:color w:val="auto"/>
          <w:kern w:val="0"/>
          <w:szCs w:val="21"/>
          <w:highlight w:val="none"/>
        </w:rPr>
        <w:t>16. 违约</w:t>
      </w:r>
      <w:bookmarkEnd w:id="564"/>
    </w:p>
    <w:p w14:paraId="24CF99D5">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 发包人违约</w:t>
      </w:r>
    </w:p>
    <w:p w14:paraId="746A2CA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16.1.1发包人违约的情形</w:t>
      </w:r>
    </w:p>
    <w:p w14:paraId="5928A1C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6C42207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16.1.2 发包人违约的责任</w:t>
      </w:r>
    </w:p>
    <w:p w14:paraId="30800AE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发包人违约责任的承担方式和计算方法：</w:t>
      </w:r>
    </w:p>
    <w:p w14:paraId="4C0EE16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（1）因发包人原因未能在计划开工日期前7天内下达开工通知的违约责任：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5015A3D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（2）因发包人原因未能按合同约定支付合同价款的违约责任：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3A8FEC9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（3）发包人违反第10.1款〔变更的范围〕第（2）项约定，自行实施被取消的工作或转由他人实施的违约责任：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58066B9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448C3D2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（5）因发包人违反合同约定造成暂停施工的违约责任：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2439C579">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（6）发包人无正当理由没有在约定期限内发出复工指示，导致承包人无法复工的违约责任：</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5345C4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104FD69B">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16.1.3 因发包人违约解除合同</w:t>
      </w:r>
    </w:p>
    <w:p w14:paraId="2FADBCAC">
      <w:pPr>
        <w:widowControl/>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发生16.1.1项〔发包人违约的情形〕后【30】天内发包人仍不纠正其违约行为并致使合同目的不能实现的，承包人有权解除合同。</w:t>
      </w:r>
    </w:p>
    <w:p w14:paraId="72BCA4E9">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 承包人违约</w:t>
      </w:r>
    </w:p>
    <w:p w14:paraId="1D9C4E2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16.2.1 承包人违约的情形</w:t>
      </w:r>
    </w:p>
    <w:p w14:paraId="68AB44C6">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承包人违约的其他情形：</w:t>
      </w:r>
      <w:r>
        <w:rPr>
          <w:rFonts w:hint="eastAsia" w:ascii="宋体" w:hAnsi="宋体" w:eastAsia="宋体" w:cs="宋体"/>
          <w:color w:val="auto"/>
          <w:kern w:val="0"/>
          <w:szCs w:val="21"/>
          <w:highlight w:val="none"/>
          <w:u w:val="single"/>
        </w:rPr>
        <w:t xml:space="preserve"> </w:t>
      </w:r>
    </w:p>
    <w:p w14:paraId="46162BDF">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承包人在竣工验收合格后【7】天内必须做到工完场清、料清、障清，如未在合同约定时间内做到工完场清，发包人有权指定其他单位清理，其费用在工程款中扣除，承包人还应承担由此给发包人带来的损失，及按日【2000】元支付违约金。</w:t>
      </w:r>
    </w:p>
    <w:p w14:paraId="601BB033">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2）因承包人不按施工设计图纸施工或违反施工规范进行施工或建筑材料设备、施工工艺不合格等产生的工程质量问题而引起的返工、补救、整改或重建，其全部责任和费用以及赔偿均由承包人自行承担。并向发包人支付违约金【20000】元。</w:t>
      </w:r>
    </w:p>
    <w:p w14:paraId="500E66B1">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（3）承包人应及时支付民工工资，如因拖欠民工工资引起纠纷，发包人有权从工程款中扣除直接支付给该工程的民工工资。 承包人如发生此类情况，另需向发包人支付违约金【     】元。（合同价款的【1】%）</w:t>
      </w:r>
    </w:p>
    <w:p w14:paraId="1BF706B6">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（4）由于承包人原因，导致发包人无法取得城建档案馆签发的《建设工程竣工档案接收证书》的，承包人应在发包人通知后【7】日内补救，并发包人支付【5000】元违约金。</w:t>
      </w:r>
    </w:p>
    <w:p w14:paraId="44B15F2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（5）承包人将本合同工程转包或分包的， 发包人有权解除合同，要求承包人支付【20000】元违约金。</w:t>
      </w:r>
    </w:p>
    <w:p w14:paraId="56622D7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（6）承包人有任何违约行为的，发包人均有权暂缓支付工程价款，且不视为发包人违约。      </w:t>
      </w:r>
      <w:r>
        <w:rPr>
          <w:rFonts w:hint="eastAsia" w:ascii="宋体" w:hAnsi="宋体" w:eastAsia="宋体" w:cs="宋体"/>
          <w:color w:val="auto"/>
          <w:kern w:val="0"/>
          <w:szCs w:val="21"/>
          <w:highlight w:val="none"/>
        </w:rPr>
        <w:t>。</w:t>
      </w:r>
    </w:p>
    <w:p w14:paraId="57849D61">
      <w:pPr>
        <w:widowControl/>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（7）承包人发生安全事故，发包人有权单方解除合同，并要求承包人支付【50000】元违约金。</w:t>
      </w:r>
    </w:p>
    <w:p w14:paraId="59F0D799">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（8）承包人或承包人法定代表人、项目经理、公司高管等涉嫌刑事犯罪或涉及任何行政处罚事项的，发包人有权单方解除合同，并要求承包人支付【50000】元违约金。</w:t>
      </w:r>
    </w:p>
    <w:p w14:paraId="2A0F40F2">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(9)承包人在其他任何项目中存在安全事故、提供虚假资料投标等行为的（包括发包人相关项目及其他单位的任何项目），发包人均有权单方解除合同，并要求承包人支付【50000】元违约金。</w:t>
      </w:r>
    </w:p>
    <w:p w14:paraId="46F58658">
      <w:pPr>
        <w:wordWrap w:val="0"/>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（10）承包人违反本合同约定的其他在先合同义务的，发包人均有权单方解除合同，并要求承包人支付【50000】元违约金，违约金不足以弥补发包人损失的承包人应予补足。</w:t>
      </w:r>
    </w:p>
    <w:p w14:paraId="64788CF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16.2.2承包人违约的责任</w:t>
      </w:r>
    </w:p>
    <w:p w14:paraId="22B7E38A">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承包人违约责任的承担方式和计算方法：</w:t>
      </w:r>
      <w:r>
        <w:rPr>
          <w:rFonts w:hint="eastAsia" w:ascii="宋体" w:hAnsi="宋体" w:eastAsia="宋体" w:cs="宋体"/>
          <w:color w:val="auto"/>
          <w:kern w:val="0"/>
          <w:szCs w:val="21"/>
          <w:highlight w:val="none"/>
          <w:u w:val="single"/>
        </w:rPr>
        <w:t xml:space="preserve">    见本合同相关条款    </w:t>
      </w:r>
      <w:r>
        <w:rPr>
          <w:rFonts w:hint="eastAsia" w:ascii="宋体" w:hAnsi="宋体" w:eastAsia="宋体" w:cs="宋体"/>
          <w:color w:val="auto"/>
          <w:kern w:val="0"/>
          <w:szCs w:val="21"/>
          <w:highlight w:val="none"/>
        </w:rPr>
        <w:t xml:space="preserve">。    </w:t>
      </w:r>
    </w:p>
    <w:p w14:paraId="2DFAEF4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16.2.3 因承包人违约解除合同</w:t>
      </w:r>
    </w:p>
    <w:p w14:paraId="73D30AA5">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关于承包人违约解除合同的特别约定：</w:t>
      </w:r>
      <w:r>
        <w:rPr>
          <w:rFonts w:hint="eastAsia" w:ascii="宋体" w:hAnsi="宋体" w:eastAsia="宋体" w:cs="宋体"/>
          <w:color w:val="auto"/>
          <w:kern w:val="0"/>
          <w:szCs w:val="21"/>
          <w:highlight w:val="none"/>
          <w:u w:val="single"/>
        </w:rPr>
        <w:t xml:space="preserve">  发包人选择解除合同的，承包人应在收到发包人通知后在【7】日内退场、退还已收取的全部费用并支付【50000】元违约金。</w:t>
      </w:r>
    </w:p>
    <w:p w14:paraId="3419BA8A">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本合同约定的违约金不足以弥补发包人损失的，承包人应予以补足 。同时承包人还应承担发包人为实现权利而支出的合理费用，包括但不限于诉讼费、保全费、鉴定费、律师代理费、执行费、差旅费等    </w:t>
      </w:r>
      <w:r>
        <w:rPr>
          <w:rFonts w:hint="eastAsia" w:ascii="宋体" w:hAnsi="宋体" w:eastAsia="宋体" w:cs="宋体"/>
          <w:color w:val="auto"/>
          <w:kern w:val="0"/>
          <w:szCs w:val="21"/>
          <w:highlight w:val="none"/>
        </w:rPr>
        <w:t>。</w:t>
      </w:r>
    </w:p>
    <w:p w14:paraId="4532440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auto"/>
          <w:kern w:val="0"/>
          <w:szCs w:val="21"/>
          <w:highlight w:val="none"/>
          <w:u w:val="single"/>
        </w:rPr>
        <w:t>/</w:t>
      </w:r>
      <w:r>
        <w:rPr>
          <w:rFonts w:hint="eastAsia" w:ascii="宋体" w:hAnsi="宋体" w:eastAsia="宋体" w:cs="宋体"/>
          <w:color w:val="auto"/>
          <w:kern w:val="0"/>
          <w:szCs w:val="21"/>
          <w:highlight w:val="none"/>
        </w:rPr>
        <w:t>。</w:t>
      </w:r>
    </w:p>
    <w:p w14:paraId="413C4275">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67" w:name="_Toc351203649"/>
      <w:r>
        <w:rPr>
          <w:rFonts w:hint="eastAsia" w:ascii="宋体" w:hAnsi="宋体" w:eastAsia="宋体" w:cs="宋体"/>
          <w:color w:val="auto"/>
          <w:kern w:val="0"/>
          <w:szCs w:val="21"/>
          <w:highlight w:val="none"/>
        </w:rPr>
        <w:t>17. 不可抗力</w:t>
      </w:r>
      <w:bookmarkEnd w:id="565"/>
      <w:bookmarkEnd w:id="567"/>
    </w:p>
    <w:p w14:paraId="000648C0">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不可抗力的确认</w:t>
      </w:r>
    </w:p>
    <w:p w14:paraId="107106E7">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除通用合同条款约定的不可抗力事件之外，视为不可抗力的其他情形： </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1C7F52D">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17.4 因不可抗力解除合同</w:t>
      </w:r>
    </w:p>
    <w:p w14:paraId="57CF4574">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合同解除后，发包人应在商定或确定发包人应支付款项后天内完成款项的支付。</w:t>
      </w:r>
    </w:p>
    <w:p w14:paraId="2938B61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68" w:name="_Toc351203650"/>
      <w:r>
        <w:rPr>
          <w:rFonts w:hint="eastAsia" w:ascii="宋体" w:hAnsi="宋体" w:eastAsia="宋体" w:cs="宋体"/>
          <w:color w:val="auto"/>
          <w:kern w:val="0"/>
          <w:szCs w:val="21"/>
          <w:highlight w:val="none"/>
        </w:rPr>
        <w:t>18. 保险</w:t>
      </w:r>
      <w:bookmarkEnd w:id="568"/>
    </w:p>
    <w:bookmarkEnd w:id="566"/>
    <w:p w14:paraId="1AD43442">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18.1 工程保险</w:t>
      </w:r>
    </w:p>
    <w:p w14:paraId="26C66EA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关于工程保险的特别约定：</w:t>
      </w:r>
      <w:r>
        <w:rPr>
          <w:rFonts w:hint="eastAsia" w:ascii="宋体" w:hAnsi="宋体" w:eastAsia="宋体" w:cs="宋体"/>
          <w:color w:val="auto"/>
          <w:kern w:val="0"/>
          <w:szCs w:val="21"/>
          <w:highlight w:val="none"/>
          <w:u w:val="single"/>
        </w:rPr>
        <w:t xml:space="preserve">  承包人委托承包人以发、承包双方共同名义投保建筑工程一切险、安装工程一切险，费用已包含在合同价款内；承包人应当为建设工程和施工场地内的自有人员、设备及第三方生命财产办理保险并支付保险费用，费用已包含在合同价款内；质（安）监部门要求的意外伤害保险，因未办理保险所造成发包人的损失，承包人承担赔偿责任    </w:t>
      </w:r>
      <w:r>
        <w:rPr>
          <w:rFonts w:hint="eastAsia" w:ascii="宋体" w:hAnsi="宋体" w:eastAsia="宋体" w:cs="宋体"/>
          <w:color w:val="auto"/>
          <w:kern w:val="0"/>
          <w:szCs w:val="21"/>
          <w:highlight w:val="none"/>
        </w:rPr>
        <w:t>。</w:t>
      </w:r>
    </w:p>
    <w:p w14:paraId="09214EF6">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18.3 其他保险</w:t>
      </w:r>
    </w:p>
    <w:p w14:paraId="40030B1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关于其他保险的约定：</w:t>
      </w:r>
      <w:r>
        <w:rPr>
          <w:rFonts w:hint="eastAsia" w:ascii="宋体" w:hAnsi="宋体" w:eastAsia="宋体" w:cs="宋体"/>
          <w:b/>
          <w:bCs/>
          <w:color w:val="auto"/>
          <w:kern w:val="0"/>
          <w:szCs w:val="21"/>
          <w:highlight w:val="none"/>
          <w:u w:val="single"/>
        </w:rPr>
        <w:t>承包人投保建筑工</w:t>
      </w:r>
      <w:r>
        <w:rPr>
          <w:rFonts w:hint="eastAsia" w:ascii="宋体" w:hAnsi="宋体" w:eastAsia="宋体" w:cs="宋体"/>
          <w:b/>
          <w:color w:val="auto"/>
          <w:kern w:val="0"/>
          <w:szCs w:val="21"/>
          <w:highlight w:val="none"/>
          <w:u w:val="single"/>
        </w:rPr>
        <w:t>人及管理人员意外伤害保险</w:t>
      </w:r>
      <w:r>
        <w:rPr>
          <w:rFonts w:hint="eastAsia" w:ascii="宋体" w:hAnsi="宋体" w:eastAsia="宋体" w:cs="宋体"/>
          <w:color w:val="auto"/>
          <w:kern w:val="0"/>
          <w:szCs w:val="21"/>
          <w:highlight w:val="none"/>
        </w:rPr>
        <w:t>。</w:t>
      </w:r>
    </w:p>
    <w:p w14:paraId="47286EE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承包人是否应为其施工设备等办理财产保险：</w:t>
      </w:r>
      <w:r>
        <w:rPr>
          <w:rFonts w:hint="eastAsia" w:ascii="宋体" w:hAnsi="宋体" w:eastAsia="宋体" w:cs="宋体"/>
          <w:color w:val="auto"/>
          <w:kern w:val="0"/>
          <w:szCs w:val="21"/>
          <w:highlight w:val="none"/>
          <w:u w:val="single"/>
        </w:rPr>
        <w:t>是</w:t>
      </w:r>
      <w:r>
        <w:rPr>
          <w:rFonts w:hint="eastAsia" w:ascii="宋体" w:hAnsi="宋体" w:eastAsia="宋体" w:cs="宋体"/>
          <w:color w:val="auto"/>
          <w:kern w:val="0"/>
          <w:szCs w:val="21"/>
          <w:highlight w:val="none"/>
        </w:rPr>
        <w:t>。</w:t>
      </w:r>
    </w:p>
    <w:p w14:paraId="0B863091">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18.7 通知义务</w:t>
      </w:r>
    </w:p>
    <w:p w14:paraId="4ED26FA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关于变更保险合同时的通知义务的约定：</w:t>
      </w:r>
      <w:r>
        <w:rPr>
          <w:rFonts w:hint="eastAsia" w:ascii="宋体" w:hAnsi="宋体" w:eastAsia="宋体" w:cs="宋体"/>
          <w:b/>
          <w:bCs/>
          <w:color w:val="auto"/>
          <w:kern w:val="0"/>
          <w:szCs w:val="21"/>
          <w:highlight w:val="none"/>
          <w:u w:val="single"/>
        </w:rPr>
        <w:t>按通用合同条款第18.7条项规定执行</w:t>
      </w:r>
      <w:r>
        <w:rPr>
          <w:rFonts w:hint="eastAsia" w:ascii="宋体" w:hAnsi="宋体" w:eastAsia="宋体" w:cs="宋体"/>
          <w:color w:val="auto"/>
          <w:kern w:val="0"/>
          <w:szCs w:val="21"/>
          <w:highlight w:val="none"/>
        </w:rPr>
        <w:t>。</w:t>
      </w:r>
    </w:p>
    <w:bookmarkEnd w:id="542"/>
    <w:bookmarkEnd w:id="543"/>
    <w:bookmarkEnd w:id="544"/>
    <w:bookmarkEnd w:id="545"/>
    <w:bookmarkEnd w:id="546"/>
    <w:bookmarkEnd w:id="547"/>
    <w:bookmarkEnd w:id="548"/>
    <w:bookmarkEnd w:id="549"/>
    <w:bookmarkEnd w:id="550"/>
    <w:bookmarkEnd w:id="551"/>
    <w:bookmarkEnd w:id="552"/>
    <w:bookmarkEnd w:id="553"/>
    <w:p w14:paraId="63ABC81C">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bookmarkStart w:id="569" w:name="_Toc351203651"/>
      <w:r>
        <w:rPr>
          <w:rFonts w:hint="eastAsia" w:ascii="宋体" w:hAnsi="宋体" w:eastAsia="宋体" w:cs="宋体"/>
          <w:color w:val="auto"/>
          <w:kern w:val="0"/>
          <w:szCs w:val="21"/>
          <w:highlight w:val="none"/>
        </w:rPr>
        <w:t>20. 争议解决</w:t>
      </w:r>
      <w:bookmarkEnd w:id="569"/>
    </w:p>
    <w:bookmarkEnd w:id="554"/>
    <w:bookmarkEnd w:id="555"/>
    <w:p w14:paraId="27EF67F7">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 争</w:t>
      </w:r>
      <w:bookmarkEnd w:id="556"/>
      <w:r>
        <w:rPr>
          <w:rFonts w:hint="eastAsia" w:ascii="宋体" w:hAnsi="宋体" w:eastAsia="宋体" w:cs="宋体"/>
          <w:color w:val="auto"/>
          <w:kern w:val="0"/>
          <w:szCs w:val="21"/>
          <w:highlight w:val="none"/>
        </w:rPr>
        <w:t>议评审</w:t>
      </w:r>
    </w:p>
    <w:p w14:paraId="6D3DD50C">
      <w:pPr>
        <w:widowControl/>
        <w:adjustRightInd w:val="0"/>
        <w:snapToGrid w:val="0"/>
        <w:spacing w:line="360" w:lineRule="auto"/>
        <w:ind w:left="149" w:leftChars="71"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合同当事人是否同意将工程争议提交争议评审小组决定：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w:t>
      </w:r>
    </w:p>
    <w:p w14:paraId="011FE3A2">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20.3.1 争议评审小组的确定</w:t>
      </w:r>
    </w:p>
    <w:p w14:paraId="3CD91787">
      <w:pPr>
        <w:widowControl/>
        <w:adjustRightInd w:val="0"/>
        <w:snapToGrid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争议评审小组成员的确定：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7EECE47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选定争议评审员的期限：</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D91AB53">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争议评审小组成员的报酬承担方式：</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6206EE2F">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其他事项的约定：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495894C3">
      <w:pPr>
        <w:widowControl/>
        <w:autoSpaceDE w:val="0"/>
        <w:autoSpaceDN w:val="0"/>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20.3.2 争议评审小组的决定</w:t>
      </w:r>
    </w:p>
    <w:p w14:paraId="11402478">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合同当事人关于本项的约定：</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7A60E6C6">
      <w:pPr>
        <w:widowControl/>
        <w:adjustRightInd w:val="0"/>
        <w:snapToGrid w:val="0"/>
        <w:spacing w:line="360" w:lineRule="auto"/>
        <w:ind w:firstLine="420" w:firstLineChars="200"/>
        <w:outlineLvl w:val="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20.4仲裁或诉讼</w:t>
      </w:r>
      <w:bookmarkEnd w:id="557"/>
    </w:p>
    <w:p w14:paraId="356123F6">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因合同及合同有关事项发生的争议，按下列第种方式解决：</w:t>
      </w:r>
    </w:p>
    <w:p w14:paraId="5BBE83CD">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（1）向</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仲裁委员会申请仲裁；</w:t>
      </w:r>
    </w:p>
    <w:p w14:paraId="3787D84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（2）向</w:t>
      </w:r>
      <w:r>
        <w:rPr>
          <w:rFonts w:hint="eastAsia" w:ascii="宋体" w:hAnsi="宋体" w:eastAsia="宋体" w:cs="宋体"/>
          <w:b/>
          <w:bCs/>
          <w:color w:val="auto"/>
          <w:kern w:val="0"/>
          <w:szCs w:val="21"/>
          <w:highlight w:val="none"/>
          <w:u w:val="single"/>
        </w:rPr>
        <w:t>工程所在地</w:t>
      </w:r>
      <w:r>
        <w:rPr>
          <w:rFonts w:hint="eastAsia" w:ascii="宋体" w:hAnsi="宋体" w:eastAsia="宋体" w:cs="宋体"/>
          <w:color w:val="auto"/>
          <w:kern w:val="0"/>
          <w:szCs w:val="21"/>
          <w:highlight w:val="none"/>
        </w:rPr>
        <w:t>人民法院起诉。</w:t>
      </w:r>
      <w:bookmarkEnd w:id="558"/>
      <w:bookmarkEnd w:id="559"/>
      <w:bookmarkEnd w:id="560"/>
      <w:bookmarkEnd w:id="561"/>
      <w:bookmarkEnd w:id="562"/>
      <w:bookmarkEnd w:id="563"/>
    </w:p>
    <w:p w14:paraId="599DD577">
      <w:pPr>
        <w:widowControl/>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21.补充条款</w:t>
      </w:r>
    </w:p>
    <w:p w14:paraId="3D9FEE59">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21.1工程质量要求的其他约定</w:t>
      </w:r>
    </w:p>
    <w:p w14:paraId="385D40E1">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bCs/>
          <w:color w:val="auto"/>
          <w:kern w:val="0"/>
          <w:szCs w:val="21"/>
          <w:highlight w:val="none"/>
        </w:rPr>
        <w:t>21.1.1</w:t>
      </w:r>
      <w:r>
        <w:rPr>
          <w:rFonts w:hint="eastAsia" w:ascii="宋体" w:hAnsi="宋体" w:eastAsia="宋体" w:cs="宋体"/>
          <w:b/>
          <w:color w:val="auto"/>
          <w:kern w:val="0"/>
          <w:szCs w:val="21"/>
          <w:highlight w:val="none"/>
          <w:u w:val="single"/>
        </w:rPr>
        <w:t>承包人必须严格按合同条款、施工图纸及设计说明文件、施工验收规范、国家和省市的有关质量验收标准，精心组织施工，确保工程质量达到国家合格验收标准。承包人应详细编制施工方案，详细叙述关键部位的质量保证措施，并在响应文件中对质量目标进行承诺。</w:t>
      </w:r>
    </w:p>
    <w:p w14:paraId="63C194B4">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工程经各方验收，质量未达到合同约定“合格”标准的，由承包人负责整改直至通过验收，承包人承担由此产生的所有费用及给发包人造成的损失，且工期不予顺延；工程经过承包人的全面整改后，经各方验收仍然未达到合同约定“合格”标准的，承包人必须按合同总价款的【1】%向发包人支付违约金，该违约金从工程款中扣除。若承包人不按发包人要求整改或整改后仍不合格的，发包人有权委托第三方进行整改，整改费用由承包人承担，在工程款中扣除。发包人委托第三方整改不能免除承包人根据合同约定应当承担的工程保维修责任。</w:t>
      </w:r>
    </w:p>
    <w:p w14:paraId="61D3AE00">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bCs/>
          <w:color w:val="auto"/>
          <w:kern w:val="0"/>
          <w:szCs w:val="21"/>
          <w:highlight w:val="none"/>
        </w:rPr>
        <w:t>21.1.2</w:t>
      </w:r>
      <w:r>
        <w:rPr>
          <w:rFonts w:hint="eastAsia" w:ascii="宋体" w:hAnsi="宋体" w:eastAsia="宋体" w:cs="宋体"/>
          <w:b/>
          <w:color w:val="auto"/>
          <w:kern w:val="0"/>
          <w:szCs w:val="21"/>
          <w:highlight w:val="none"/>
          <w:u w:val="single"/>
        </w:rPr>
        <w:t>因工程施工交叉进行，承包人应积极配合，并无条件服从发包人或监理工程师的合理安排。</w:t>
      </w:r>
    </w:p>
    <w:p w14:paraId="3A24B23F">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21.2工期要求的其他约定</w:t>
      </w:r>
    </w:p>
    <w:p w14:paraId="78DB8F54">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21.2.1承包人应详细踏勘、了解现场实际情况，在磋商中应充分考虑现场情况对施工工期的影响，该部分内容在施工工期中包干，成交后不予调整。</w:t>
      </w:r>
    </w:p>
    <w:p w14:paraId="687BB59E">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21.2.2合同工期为进场施工开始至竣工验收时止，承包人必须做好配合协调工作，因协调配合不当引起的工期等所有损失均由承包人承担。</w:t>
      </w:r>
    </w:p>
    <w:p w14:paraId="710AA6EC">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21.2.3如承包人认为发生了可顺延工期情形的，承包人必须于工期延误情形发生后14天内向发包人提出顺延工期申请，经发包人签证后按发包人签证的工期顺延。承包人逾期未申请顺延工期的，工期不予以顺延。</w:t>
      </w:r>
    </w:p>
    <w:p w14:paraId="18B4E5FA">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21.3安全文明施工要求的其他约定</w:t>
      </w:r>
    </w:p>
    <w:p w14:paraId="0CADB0BD">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 xml:space="preserve">21.3.1承包人与发包人必须签定《安全生产责任协议书》和《文明施工责任协议书》（见附件），且必须按照浙江省及发包人安全生产、文明施工标准化工地要求，做好安全生产、文明施工。 </w:t>
      </w:r>
    </w:p>
    <w:p w14:paraId="27112929">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安全生产、文明施工相关费用在工程实施过程中必须足额投入，否则发包人有权拒绝支付该项费用。</w:t>
      </w:r>
    </w:p>
    <w:p w14:paraId="1128A7CA">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安全生产、文明施工维护及宣传方案需征得发包人同意方可实施。</w:t>
      </w:r>
    </w:p>
    <w:p w14:paraId="0A54DFAD">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21.4人员到位要求的其他约定</w:t>
      </w:r>
    </w:p>
    <w:p w14:paraId="715748BD">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21.4.1承包人在响应文件中承诺的管理人员（项目经理、技术负责人、施工员、安全员、质检员、材料员）配备数量应满足本工程管理的需要和相应规范、文件要求。</w:t>
      </w:r>
    </w:p>
    <w:p w14:paraId="117617F1">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本项目采用指纹考勤，在响应文件中需对管理人员的出勤率作出承诺。若项目经理、技术负责人出勤率不足磋商响应承诺，处罚【2000】元人民币/天；施工员、安全员、质检员、材料员出勤率不足磋商响应承诺，处罚【1000】元人民币/天/人（出勤率按照为每月【30】天，每日工作时间【8】小时考勤）。重要施工工序或环节时项目经理、技术负责人等必须到场，否则处罚【2000】元人民币/每次。</w:t>
      </w:r>
    </w:p>
    <w:p w14:paraId="50F63C87">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21.5合同价款的其他约定</w:t>
      </w:r>
    </w:p>
    <w:p w14:paraId="6F816EBA">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21.5.1在工程通过竣工验收前，对已完成工程成品的保护工作由承包人负责，费用在磋商响应报价中包干。</w:t>
      </w:r>
    </w:p>
    <w:p w14:paraId="1AE204D9">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21.5.2本工程工期较紧，相应赶工措施费用包含在磋商响应报价中。</w:t>
      </w:r>
    </w:p>
    <w:p w14:paraId="2D4DC39A">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21.5.3承包人所报的费用中必须包含危险作业意外伤害保险费用，否则所产生的一切后果由承包人承担。</w:t>
      </w:r>
    </w:p>
    <w:p w14:paraId="4FE69ED8">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21.5.4施工组织措施费和技术措施费在成交以后，在合同施工范围内，无论现场施工条件如何变化、设计如何变更、也无论工程量增减的幅度如何，均不再调整；</w:t>
      </w:r>
    </w:p>
    <w:p w14:paraId="0B4B335E">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21.5.5磋商响应报价必须与施工组织设计相一致，对施工组织设计的内容未在磋商响应报价中体现的均视同承包人优惠。施工期间由于承包人原因造成施工方案的更改，所增加的工程费用及工期一概不予调整，属施工技术组织措施失误造成的费用及延误工期均由承包人承担。</w:t>
      </w:r>
    </w:p>
    <w:p w14:paraId="60CAA6A4">
      <w:pPr>
        <w:adjustRightInd w:val="0"/>
        <w:snapToGrid w:val="0"/>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21.6其他方面的约定</w:t>
      </w:r>
    </w:p>
    <w:p w14:paraId="70C16DE8">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承包人的响应文件必须完全响应磋商文件的要求，磋商响应文件中一切有悖于磋商文件的条款均视作无效条款；承包人在响应文件中单方面设置限制发包人的条款和内容均将被视作无效内容，并且出现上述现象时，承包人应自行承担被否决风险。响应文件中所有在磋商文件约定内容之外的与费用、进度、质量、索赔等有关的制约性内容在承包人成交后，经发包人作出书面确认之前，均视作无效。</w:t>
      </w:r>
    </w:p>
    <w:p w14:paraId="68326992">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21.6.2如承包人在磋商响应时选择的备选材料设备品牌不在发包人推荐范围内，其材料设备进场前必须报发包人、监理审核，经审核如存在材料不满足发包人要求的，则发包人有权在发包人推荐的范围内任意选择</w:t>
      </w:r>
      <w:r>
        <w:rPr>
          <w:rFonts w:hint="eastAsia" w:ascii="宋体" w:hAnsi="宋体" w:eastAsia="宋体" w:cs="宋体"/>
          <w:b/>
          <w:bCs/>
          <w:color w:val="auto"/>
          <w:kern w:val="0"/>
          <w:szCs w:val="21"/>
          <w:highlight w:val="none"/>
          <w:u w:val="single"/>
        </w:rPr>
        <w:t>或社会上相关产品进行指定</w:t>
      </w:r>
      <w:r>
        <w:rPr>
          <w:rFonts w:hint="eastAsia" w:ascii="宋体" w:hAnsi="宋体" w:eastAsia="宋体" w:cs="宋体"/>
          <w:b/>
          <w:color w:val="auto"/>
          <w:kern w:val="0"/>
          <w:szCs w:val="21"/>
          <w:highlight w:val="none"/>
          <w:u w:val="single"/>
        </w:rPr>
        <w:t>，且价格不予调整。</w:t>
      </w:r>
    </w:p>
    <w:p w14:paraId="4A43A55B">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21.6.3承包人应充分响应杭州市委、市政府及当地政府关于工程运输车安全整治有关问题的相关意见，落实好工程安全运输责任制。</w:t>
      </w:r>
    </w:p>
    <w:p w14:paraId="74D0E552">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21.6.4当承包人未按合同约定履行义务，造成质量低下、进度迟缓、管理混乱或将成交项目转让（转包给他人），发包方有权解除合同，没收履约担保，如给发包人造成的损失超过保证金数额的还应当对超过部份予以赔偿，并依法承担相应的法律责任；</w:t>
      </w:r>
    </w:p>
    <w:p w14:paraId="68640629">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21.6.5承包人应确保民工工资的及时支付，如不及时支付，视作违约，承包人应按合同价款的1%向发包人支付违约金且由此造成的后果与损失应由承包人承担，同时，发包人有权在工程款中扣除相应费用代为支付民工工资。</w:t>
      </w:r>
    </w:p>
    <w:p w14:paraId="57CCF1BC">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21.6.6承包人需加强维修服务意识，信守维修服务承诺书中的各项承诺，维修服务承诺书作为合同附件。</w:t>
      </w:r>
    </w:p>
    <w:p w14:paraId="1B09F254">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21.6.7工程实施期间，承包人必须确保本工程项目进度款专款专用，发包人（或发包人委托的中介机构）随时有权到承包人处核查工程进度款使用情况，承包人须全力配合不得以任何理由拒绝。</w:t>
      </w:r>
    </w:p>
    <w:p w14:paraId="01633DC7">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21.6.8承包人应提供所有分部分项工程量清单和技术措施清单项目的综合单价分析表和工料机分析表（工料机分析表由承包人在收到成交通知书两天内提供（须与电子文本完全一致），但电子文本需与响应文件同时提交）。</w:t>
      </w:r>
    </w:p>
    <w:p w14:paraId="1354E2FA">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21.6.9承包人应在响应文件中列出所有承包人认为需提供的工日、材料（设备）、机械台班价格，若承包人未列出，在施工期间可由发包人根据响应文件及其它的合同文件确定价格。</w:t>
      </w:r>
    </w:p>
    <w:p w14:paraId="6D3E31FB">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21.6.10承包人应在响应文件中列出所有承包人认为需列出的材料（设备）的规格、型号、品牌、档次等，若承包人未列出，在施工期间发包人可根据工程需要提出要求，承包人必须按照发包人的要求提供材料（设备）。</w:t>
      </w:r>
    </w:p>
    <w:p w14:paraId="42B8BB5C">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21.6.11如果承包人提供的工日、材料（设备）、机械台班价格及综合单价分析表和工料机分析表与综合单价有矛盾，结算时应以综合单价为准。如是综合总价合同，则已包含在合同价款中。</w:t>
      </w:r>
    </w:p>
    <w:p w14:paraId="63426225">
      <w:pPr>
        <w:adjustRightInd w:val="0"/>
        <w:snapToGrid w:val="0"/>
        <w:spacing w:line="360" w:lineRule="auto"/>
        <w:ind w:firstLine="422" w:firstLineChars="200"/>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21.6.12承包人应服从发包人的协调组织安排，不得因交叉交错施工影响本工程总体进度。</w:t>
      </w:r>
    </w:p>
    <w:p w14:paraId="1504867D">
      <w:pPr>
        <w:widowControl/>
        <w:tabs>
          <w:tab w:val="left" w:pos="8080"/>
        </w:tabs>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21.6.13本工程在实施过程中，如承包人的施工队伍素质、力量、现场管理班子、施工设备、不能很好满足实际施工的需要，现场文明安全施工不符合磋商响应文件的承诺，造成现场管理混乱、工程质量和进度达不到磋商响应所承诺的要求时，发包人有权要求其调整充实施工力量，承包人必须接受，如措施不力，将视作承包人违约处理直至终止合同,并按本合同的约定追究违约责任。</w:t>
      </w:r>
    </w:p>
    <w:p w14:paraId="79628065">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 xml:space="preserve">21.6.14中介机构（审计部门）对承包人提交的竣工结算报告进行审核（计）时，承包人必须根据发包人及中介机构（审计部门）的要求履行配合义务，因承包人不配合中介机构（审计部门），导致中介机构（审计部门）无法及时完成造价审核（审计）的，责任由承包人承担，承包人不得以此要求发包人承担逾期付款违约责任，并按日【2000】元向发包人支付违约金。        </w:t>
      </w:r>
    </w:p>
    <w:p w14:paraId="2E50A55E">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21.6.15本合同所涉及的所有处罚违约金将以现金形式缴纳，月罚月交，如未按时递交违约金，本月工程款暂停支付。</w:t>
      </w:r>
    </w:p>
    <w:p w14:paraId="73549AF5">
      <w:pPr>
        <w:widowControl/>
        <w:adjustRightInd w:val="0"/>
        <w:snapToGrid w:val="0"/>
        <w:spacing w:line="360" w:lineRule="auto"/>
        <w:ind w:firstLine="422" w:firstLineChars="200"/>
        <w:rPr>
          <w:rFonts w:hint="eastAsia" w:ascii="宋体" w:hAnsi="宋体" w:eastAsia="宋体" w:cs="宋体"/>
          <w:b/>
          <w:color w:val="auto"/>
          <w:kern w:val="0"/>
          <w:szCs w:val="21"/>
          <w:highlight w:val="none"/>
          <w:u w:val="single"/>
        </w:rPr>
      </w:pPr>
      <w:r>
        <w:rPr>
          <w:rFonts w:hint="eastAsia" w:ascii="宋体" w:hAnsi="宋体" w:eastAsia="宋体" w:cs="宋体"/>
          <w:b/>
          <w:color w:val="auto"/>
          <w:kern w:val="0"/>
          <w:szCs w:val="21"/>
          <w:highlight w:val="none"/>
          <w:u w:val="single"/>
        </w:rPr>
        <w:t>21.6.16本项目涉及到的检测、监测、质检费用由承包人在磋商响应报价中综合考虑，已包含在报价中，不再另行支付。</w:t>
      </w:r>
    </w:p>
    <w:p w14:paraId="38481B2F">
      <w:pPr>
        <w:widowControl/>
        <w:adjustRightInd w:val="0"/>
        <w:snapToGrid w:val="0"/>
        <w:spacing w:line="360" w:lineRule="auto"/>
        <w:ind w:firstLine="422" w:firstLineChars="200"/>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u w:val="single"/>
        </w:rPr>
        <w:t>21.6.17合同双方确认，本合同及本合同约定的其它文件组成部分中的各项约定都是通过法定采购过程形成的合法成果，不存在与磋商文件和承包人响应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合同履行过程中，经双方协商一致变更、补充本合同内容的，不受本条款限制，补充合同或工程联系单等内容与本合同内容不一致的，以补充合同内容为准</w:t>
      </w:r>
      <w:r>
        <w:rPr>
          <w:rFonts w:hint="eastAsia" w:ascii="宋体" w:hAnsi="宋体" w:eastAsia="宋体" w:cs="宋体"/>
          <w:color w:val="auto"/>
          <w:kern w:val="0"/>
          <w:szCs w:val="21"/>
          <w:highlight w:val="none"/>
          <w:u w:val="single"/>
        </w:rPr>
        <w:t>。</w:t>
      </w:r>
    </w:p>
    <w:p w14:paraId="01EC031E">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p>
    <w:p w14:paraId="39FB089F">
      <w:pPr>
        <w:adjustRightInd w:val="0"/>
        <w:snapToGrid w:val="0"/>
        <w:spacing w:line="360" w:lineRule="auto"/>
        <w:ind w:firstLine="420" w:firstLineChars="200"/>
        <w:rPr>
          <w:rFonts w:hint="eastAsia" w:ascii="宋体" w:hAnsi="宋体" w:eastAsia="宋体" w:cs="宋体"/>
          <w:color w:val="auto"/>
          <w:szCs w:val="21"/>
          <w:highlight w:val="none"/>
        </w:rPr>
        <w:sectPr>
          <w:footerReference r:id="rId6" w:type="default"/>
          <w:pgSz w:w="11906" w:h="16838"/>
          <w:pgMar w:top="1418" w:right="1555" w:bottom="1418" w:left="1531" w:header="567" w:footer="567" w:gutter="0"/>
          <w:cols w:space="720" w:num="1"/>
          <w:docGrid w:type="lines" w:linePitch="312" w:charSpace="0"/>
        </w:sectPr>
      </w:pPr>
    </w:p>
    <w:p w14:paraId="157CE2DF">
      <w:pPr>
        <w:widowControl/>
        <w:spacing w:before="120" w:beforeLines="50" w:after="120" w:afterLines="50"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lang w:val="zh-CN"/>
        </w:rPr>
        <w:t>附件一：工程质量保修书格式</w:t>
      </w:r>
    </w:p>
    <w:p w14:paraId="1E9061ED">
      <w:pPr>
        <w:widowControl/>
        <w:spacing w:before="120" w:beforeLines="50" w:after="120" w:afterLines="50" w:line="360" w:lineRule="auto"/>
        <w:ind w:firstLine="442" w:firstLineChars="200"/>
        <w:jc w:val="center"/>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工程质量保修书</w:t>
      </w:r>
    </w:p>
    <w:p w14:paraId="024766E3">
      <w:pPr>
        <w:widowControl/>
        <w:spacing w:line="360" w:lineRule="auto"/>
        <w:ind w:firstLine="440" w:firstLineChars="200"/>
        <w:rPr>
          <w:rFonts w:hint="eastAsia" w:ascii="宋体" w:hAnsi="宋体" w:eastAsia="宋体" w:cs="宋体"/>
          <w:color w:val="auto"/>
          <w:kern w:val="0"/>
          <w:sz w:val="22"/>
          <w:szCs w:val="21"/>
          <w:highlight w:val="none"/>
          <w:lang w:eastAsia="zh-CN"/>
        </w:rPr>
      </w:pPr>
      <w:r>
        <w:rPr>
          <w:rFonts w:hint="eastAsia" w:ascii="宋体" w:hAnsi="宋体" w:eastAsia="宋体" w:cs="宋体"/>
          <w:color w:val="auto"/>
          <w:kern w:val="0"/>
          <w:sz w:val="22"/>
          <w:szCs w:val="21"/>
          <w:highlight w:val="none"/>
        </w:rPr>
        <w:t>发包人（全称）：</w:t>
      </w:r>
      <w:r>
        <w:rPr>
          <w:rFonts w:hint="eastAsia" w:ascii="宋体" w:hAnsi="宋体" w:eastAsia="宋体" w:cs="宋体"/>
          <w:b/>
          <w:color w:val="auto"/>
          <w:kern w:val="0"/>
          <w:sz w:val="22"/>
          <w:szCs w:val="21"/>
          <w:highlight w:val="none"/>
          <w:u w:val="single"/>
          <w:lang w:eastAsia="zh-CN"/>
        </w:rPr>
        <w:t>浙江警察学院</w:t>
      </w:r>
    </w:p>
    <w:p w14:paraId="7AF0D779">
      <w:pPr>
        <w:widowControl/>
        <w:spacing w:line="360" w:lineRule="auto"/>
        <w:ind w:firstLine="440" w:firstLineChars="200"/>
        <w:rPr>
          <w:rFonts w:hint="eastAsia" w:ascii="宋体" w:hAnsi="宋体" w:eastAsia="宋体" w:cs="宋体"/>
          <w:b/>
          <w:color w:val="auto"/>
          <w:kern w:val="0"/>
          <w:sz w:val="22"/>
          <w:szCs w:val="21"/>
          <w:highlight w:val="none"/>
          <w:u w:val="single"/>
        </w:rPr>
      </w:pPr>
      <w:r>
        <w:rPr>
          <w:rFonts w:hint="eastAsia" w:ascii="宋体" w:hAnsi="宋体" w:eastAsia="宋体" w:cs="宋体"/>
          <w:color w:val="auto"/>
          <w:kern w:val="0"/>
          <w:sz w:val="22"/>
          <w:szCs w:val="21"/>
          <w:highlight w:val="none"/>
        </w:rPr>
        <w:t>承包人（全称）：</w:t>
      </w:r>
    </w:p>
    <w:p w14:paraId="09CA069B">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发包人和承包人根据《中华人民共和国建筑法》和《建设工程质量管理条例》，经协商一致就（工程全称）签订工程质量保修书。</w:t>
      </w:r>
    </w:p>
    <w:p w14:paraId="44722043">
      <w:pPr>
        <w:widowControl/>
        <w:spacing w:line="360" w:lineRule="auto"/>
        <w:ind w:firstLine="440"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一、工程质量保修范围和内容</w:t>
      </w:r>
    </w:p>
    <w:p w14:paraId="57411968">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承包人在质量保修期内，按照有关法律规定和合同约定，承担工程质量保修责任。</w:t>
      </w:r>
    </w:p>
    <w:p w14:paraId="124F1F2F">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809D1F1">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w:t>
      </w:r>
      <w:r>
        <w:rPr>
          <w:rFonts w:hint="eastAsia" w:ascii="宋体" w:hAnsi="宋体" w:eastAsia="宋体" w:cs="宋体"/>
          <w:color w:val="auto"/>
          <w:kern w:val="0"/>
          <w:sz w:val="22"/>
          <w:szCs w:val="21"/>
          <w:highlight w:val="none"/>
          <w:u w:val="single"/>
        </w:rPr>
        <w:t>本合同承包范围内的全部工程内容</w:t>
      </w:r>
      <w:r>
        <w:rPr>
          <w:rFonts w:hint="eastAsia" w:ascii="宋体" w:hAnsi="宋体" w:eastAsia="宋体" w:cs="宋体"/>
          <w:color w:val="auto"/>
          <w:kern w:val="0"/>
          <w:sz w:val="22"/>
          <w:szCs w:val="21"/>
          <w:highlight w:val="none"/>
        </w:rPr>
        <w:t>。</w:t>
      </w:r>
    </w:p>
    <w:p w14:paraId="7E0CCEFC">
      <w:pPr>
        <w:widowControl/>
        <w:spacing w:line="360" w:lineRule="auto"/>
        <w:ind w:firstLine="442"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b/>
          <w:color w:val="auto"/>
          <w:kern w:val="0"/>
          <w:sz w:val="22"/>
          <w:szCs w:val="21"/>
          <w:highlight w:val="none"/>
        </w:rPr>
        <w:t>　　</w:t>
      </w:r>
      <w:r>
        <w:rPr>
          <w:rFonts w:hint="eastAsia" w:ascii="宋体" w:hAnsi="宋体" w:eastAsia="宋体" w:cs="宋体"/>
          <w:color w:val="auto"/>
          <w:kern w:val="0"/>
          <w:sz w:val="22"/>
          <w:szCs w:val="21"/>
          <w:highlight w:val="none"/>
        </w:rPr>
        <w:t>二、质量保修期</w:t>
      </w:r>
    </w:p>
    <w:p w14:paraId="377577FE">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质量保修期从工程实际竣工验收合格之日算起。</w:t>
      </w:r>
    </w:p>
    <w:p w14:paraId="17B88B71">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双方根据《建设工程质量管理条例》及国家有关规定，结合具体工程情况约定质量保修期如下：</w:t>
      </w:r>
    </w:p>
    <w:p w14:paraId="283227C1">
      <w:pPr>
        <w:widowControl/>
        <w:spacing w:line="360" w:lineRule="auto"/>
        <w:ind w:left="420" w:left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1、地基基础工程和主体结构工程为设计文件规定的该工程合理使用年限；</w:t>
      </w:r>
    </w:p>
    <w:p w14:paraId="2AE9A521">
      <w:pPr>
        <w:widowControl/>
        <w:spacing w:line="360" w:lineRule="auto"/>
        <w:ind w:left="420" w:left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2、屋面防水工程、有防水要求的墙面、地面的防渗漏为捌年；</w:t>
      </w:r>
    </w:p>
    <w:p w14:paraId="2BA5F8FD">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3、装修工程为贰年；</w:t>
      </w:r>
    </w:p>
    <w:p w14:paraId="0B1BBE4C">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4、电气管线、给排水管道、设备安装工程为贰年；</w:t>
      </w:r>
    </w:p>
    <w:p w14:paraId="5E3463A7">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5、供热与供冷系统为贰个采暖期、供冷期；</w:t>
      </w:r>
    </w:p>
    <w:p w14:paraId="554B96B3">
      <w:pPr>
        <w:widowControl/>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6、其他约定：</w:t>
      </w:r>
    </w:p>
    <w:p w14:paraId="218BFB67">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质量保修期自工程竣工验收合格之日起计算。</w:t>
      </w:r>
    </w:p>
    <w:p w14:paraId="30EF3D3A">
      <w:pPr>
        <w:widowControl/>
        <w:spacing w:line="360" w:lineRule="auto"/>
        <w:ind w:firstLine="440"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三、缺陷责任期</w:t>
      </w:r>
    </w:p>
    <w:p w14:paraId="66C8A3A0">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工程缺陷责任期及设备质保期为</w:t>
      </w:r>
      <w:r>
        <w:rPr>
          <w:rFonts w:hint="eastAsia" w:ascii="宋体" w:hAnsi="宋体" w:eastAsia="宋体" w:cs="宋体"/>
          <w:color w:val="auto"/>
          <w:kern w:val="0"/>
          <w:sz w:val="22"/>
          <w:szCs w:val="21"/>
          <w:highlight w:val="none"/>
          <w:u w:val="single"/>
        </w:rPr>
        <w:t xml:space="preserve">   24  </w:t>
      </w:r>
      <w:r>
        <w:rPr>
          <w:rFonts w:hint="eastAsia" w:ascii="宋体" w:hAnsi="宋体" w:eastAsia="宋体" w:cs="宋体"/>
          <w:color w:val="auto"/>
          <w:kern w:val="0"/>
          <w:sz w:val="22"/>
          <w:szCs w:val="21"/>
          <w:highlight w:val="none"/>
        </w:rPr>
        <w:t>个月，缺陷责任期自工程通过竣工验收之日起计算。单位工程先于全部工程进行验收，单位工程缺陷责任期自单位工程验收合格之日起算。</w:t>
      </w:r>
    </w:p>
    <w:p w14:paraId="3B44A0C8">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缺陷责任期终止后，发包人在扣除承包人应承担的违约金、损害赔偿金、维修费等费用后无息退还剩余的质量保证金。</w:t>
      </w:r>
    </w:p>
    <w:p w14:paraId="77479CEB">
      <w:pPr>
        <w:widowControl/>
        <w:spacing w:line="360" w:lineRule="auto"/>
        <w:ind w:firstLine="440"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四、质量保修责任</w:t>
      </w:r>
    </w:p>
    <w:p w14:paraId="61F64D90">
      <w:pPr>
        <w:widowControl/>
        <w:spacing w:line="360" w:lineRule="auto"/>
        <w:ind w:left="105" w:leftChars="50" w:firstLine="440" w:firstLineChars="200"/>
        <w:jc w:val="left"/>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1．属于保修范围、内容的项目，承包人应当在接到保修通知之日起7天内派人保修。承包人不在约定期限内派人保修或未完成维修的，发包人可以委托他人修理，相关费用由承包人承担。</w:t>
      </w:r>
    </w:p>
    <w:p w14:paraId="46930281">
      <w:pPr>
        <w:widowControl/>
        <w:spacing w:line="360" w:lineRule="auto"/>
        <w:ind w:left="105" w:leftChars="50" w:firstLine="440" w:firstLineChars="200"/>
        <w:jc w:val="left"/>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2．发生紧急事故需抢修的，承包人在接到事故通知后，应当立即到达事故现场抢修，否则承包人有限自行或另行委托第三方维修，相关费用由承包人承担。</w:t>
      </w:r>
    </w:p>
    <w:p w14:paraId="4602D893">
      <w:pPr>
        <w:widowControl/>
        <w:spacing w:line="360" w:lineRule="auto"/>
        <w:ind w:left="105" w:leftChars="50" w:firstLine="440" w:firstLineChars="200"/>
        <w:jc w:val="left"/>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9DCA401">
      <w:pPr>
        <w:widowControl/>
        <w:spacing w:line="360" w:lineRule="auto"/>
        <w:ind w:firstLine="440" w:firstLineChars="200"/>
        <w:jc w:val="left"/>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4．质量保修完成后，由发包人组织验收。</w:t>
      </w:r>
    </w:p>
    <w:p w14:paraId="0B86B393">
      <w:pPr>
        <w:widowControl/>
        <w:spacing w:line="360" w:lineRule="auto"/>
        <w:ind w:firstLine="440"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五、保修费用</w:t>
      </w:r>
    </w:p>
    <w:p w14:paraId="78C117E0">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保修费用由造成质量缺陷的责任方承担。</w:t>
      </w:r>
    </w:p>
    <w:p w14:paraId="2F37FEA8">
      <w:pPr>
        <w:widowControl/>
        <w:spacing w:line="360" w:lineRule="auto"/>
        <w:ind w:firstLine="442" w:firstLineChars="200"/>
        <w:outlineLvl w:val="0"/>
        <w:rPr>
          <w:rFonts w:hint="eastAsia" w:ascii="宋体" w:hAnsi="宋体" w:eastAsia="宋体" w:cs="宋体"/>
          <w:color w:val="auto"/>
          <w:kern w:val="0"/>
          <w:sz w:val="22"/>
          <w:szCs w:val="21"/>
          <w:highlight w:val="none"/>
        </w:rPr>
      </w:pPr>
      <w:r>
        <w:rPr>
          <w:rFonts w:hint="eastAsia" w:ascii="宋体" w:hAnsi="宋体" w:eastAsia="宋体" w:cs="宋体"/>
          <w:b/>
          <w:color w:val="auto"/>
          <w:kern w:val="0"/>
          <w:sz w:val="22"/>
          <w:szCs w:val="21"/>
          <w:highlight w:val="none"/>
        </w:rPr>
        <w:t>六</w:t>
      </w:r>
      <w:r>
        <w:rPr>
          <w:rFonts w:hint="eastAsia" w:ascii="宋体" w:hAnsi="宋体" w:eastAsia="宋体" w:cs="宋体"/>
          <w:color w:val="auto"/>
          <w:kern w:val="0"/>
          <w:sz w:val="22"/>
          <w:szCs w:val="21"/>
          <w:highlight w:val="none"/>
        </w:rPr>
        <w:t>、双方约定的其他工程质量保修事项：</w:t>
      </w:r>
      <w:r>
        <w:rPr>
          <w:rFonts w:hint="eastAsia" w:ascii="宋体" w:hAnsi="宋体" w:eastAsia="宋体" w:cs="宋体"/>
          <w:color w:val="auto"/>
          <w:kern w:val="0"/>
          <w:sz w:val="22"/>
          <w:szCs w:val="21"/>
          <w:highlight w:val="none"/>
          <w:u w:val="single"/>
        </w:rPr>
        <w:t xml:space="preserve">   /   </w:t>
      </w:r>
      <w:r>
        <w:rPr>
          <w:rFonts w:hint="eastAsia" w:ascii="宋体" w:hAnsi="宋体" w:eastAsia="宋体" w:cs="宋体"/>
          <w:color w:val="auto"/>
          <w:kern w:val="0"/>
          <w:sz w:val="22"/>
          <w:szCs w:val="21"/>
          <w:highlight w:val="none"/>
        </w:rPr>
        <w:t>。</w:t>
      </w:r>
    </w:p>
    <w:p w14:paraId="36A296DC">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工程质量保修书由发包人、承包人在工程竣工验收前共同签署，作为施工合同附件，其有效期限至保修期满。</w:t>
      </w:r>
    </w:p>
    <w:p w14:paraId="465D9AAA">
      <w:pPr>
        <w:widowControl/>
        <w:spacing w:line="360" w:lineRule="auto"/>
        <w:ind w:firstLine="440" w:firstLineChars="200"/>
        <w:rPr>
          <w:rFonts w:hint="eastAsia" w:ascii="宋体" w:hAnsi="宋体" w:eastAsia="宋体" w:cs="宋体"/>
          <w:color w:val="auto"/>
          <w:kern w:val="0"/>
          <w:sz w:val="22"/>
          <w:szCs w:val="21"/>
          <w:highlight w:val="none"/>
        </w:rPr>
      </w:pPr>
    </w:p>
    <w:p w14:paraId="2E79ACA2">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发包人：  </w:t>
      </w:r>
      <w:r>
        <w:rPr>
          <w:rFonts w:hint="eastAsia" w:ascii="宋体" w:hAnsi="宋体" w:eastAsia="宋体" w:cs="宋体"/>
          <w:color w:val="auto"/>
          <w:spacing w:val="-6"/>
          <w:kern w:val="0"/>
          <w:sz w:val="22"/>
          <w:szCs w:val="21"/>
          <w:highlight w:val="none"/>
        </w:rPr>
        <w:t>（公章/合同专用章）</w:t>
      </w:r>
      <w:r>
        <w:rPr>
          <w:rFonts w:hint="eastAsia" w:ascii="宋体" w:hAnsi="宋体" w:eastAsia="宋体" w:cs="宋体"/>
          <w:color w:val="auto"/>
          <w:kern w:val="0"/>
          <w:sz w:val="22"/>
          <w:szCs w:val="21"/>
          <w:highlight w:val="none"/>
        </w:rPr>
        <w:t xml:space="preserve">         承包人：  </w:t>
      </w:r>
      <w:r>
        <w:rPr>
          <w:rFonts w:hint="eastAsia" w:ascii="宋体" w:hAnsi="宋体" w:eastAsia="宋体" w:cs="宋体"/>
          <w:color w:val="auto"/>
          <w:spacing w:val="-6"/>
          <w:kern w:val="0"/>
          <w:sz w:val="22"/>
          <w:szCs w:val="21"/>
          <w:highlight w:val="none"/>
        </w:rPr>
        <w:t>（公章/合同专用章）</w:t>
      </w:r>
    </w:p>
    <w:p w14:paraId="573FD8FF">
      <w:pPr>
        <w:widowControl/>
        <w:spacing w:line="400" w:lineRule="exact"/>
        <w:ind w:firstLine="440"/>
        <w:jc w:val="left"/>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rPr>
        <w:t>地  址：                             地  址：</w:t>
      </w:r>
    </w:p>
    <w:p w14:paraId="229E9691">
      <w:pPr>
        <w:widowControl/>
        <w:spacing w:line="400" w:lineRule="exact"/>
        <w:jc w:val="left"/>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w:t>
      </w:r>
    </w:p>
    <w:p w14:paraId="755FCE3E">
      <w:pPr>
        <w:widowControl/>
        <w:spacing w:line="360" w:lineRule="auto"/>
        <w:ind w:firstLine="440" w:firstLineChars="200"/>
        <w:rPr>
          <w:rFonts w:hint="eastAsia" w:ascii="宋体" w:hAnsi="宋体" w:eastAsia="宋体" w:cs="宋体"/>
          <w:color w:val="auto"/>
          <w:kern w:val="0"/>
          <w:sz w:val="22"/>
          <w:szCs w:val="21"/>
          <w:highlight w:val="none"/>
        </w:rPr>
      </w:pPr>
    </w:p>
    <w:p w14:paraId="13E7D2D4">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法定代表人(签字)：                   法定代表人(签字)：</w:t>
      </w:r>
    </w:p>
    <w:p w14:paraId="228AC397">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委托代理人(签字)：                   委托代理人(签字)：</w:t>
      </w:r>
    </w:p>
    <w:p w14:paraId="6330451E">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电  话：                             电  话：</w:t>
      </w:r>
    </w:p>
    <w:p w14:paraId="13901DAD">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传  真：                             传  真：</w:t>
      </w:r>
    </w:p>
    <w:p w14:paraId="51FE0CE8">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开户银行：                           开户银行：</w:t>
      </w:r>
    </w:p>
    <w:p w14:paraId="65B7615F">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账  号：                             账  号：</w:t>
      </w:r>
    </w:p>
    <w:p w14:paraId="0F8DB47D">
      <w:pPr>
        <w:widowControl/>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邮政编码：                           邮政编码：</w:t>
      </w:r>
    </w:p>
    <w:p w14:paraId="7F103401">
      <w:pPr>
        <w:widowControl/>
        <w:snapToGrid w:val="0"/>
        <w:spacing w:line="360" w:lineRule="auto"/>
        <w:ind w:firstLine="442" w:firstLineChars="200"/>
        <w:rPr>
          <w:rFonts w:hint="eastAsia" w:ascii="宋体" w:hAnsi="宋体" w:eastAsia="宋体" w:cs="宋体"/>
          <w:color w:val="auto"/>
          <w:kern w:val="0"/>
          <w:sz w:val="22"/>
          <w:szCs w:val="21"/>
          <w:highlight w:val="none"/>
        </w:rPr>
      </w:pPr>
      <w:r>
        <w:rPr>
          <w:rFonts w:hint="eastAsia" w:ascii="宋体" w:hAnsi="宋体" w:eastAsia="宋体" w:cs="宋体"/>
          <w:b/>
          <w:color w:val="auto"/>
          <w:kern w:val="0"/>
          <w:sz w:val="22"/>
          <w:szCs w:val="21"/>
          <w:highlight w:val="none"/>
        </w:rPr>
        <w:br w:type="page"/>
      </w:r>
      <w:bookmarkEnd w:id="38"/>
      <w:bookmarkEnd w:id="39"/>
      <w:bookmarkEnd w:id="40"/>
      <w:bookmarkEnd w:id="41"/>
      <w:r>
        <w:rPr>
          <w:rFonts w:hint="eastAsia" w:ascii="宋体" w:hAnsi="宋体" w:eastAsia="宋体" w:cs="宋体"/>
          <w:color w:val="auto"/>
          <w:kern w:val="0"/>
          <w:sz w:val="22"/>
          <w:szCs w:val="21"/>
          <w:highlight w:val="none"/>
        </w:rPr>
        <w:t>附件二：安全生产责任协议书</w:t>
      </w:r>
    </w:p>
    <w:p w14:paraId="2A7B9B3D">
      <w:pPr>
        <w:widowControl/>
        <w:snapToGrid w:val="0"/>
        <w:spacing w:line="360" w:lineRule="auto"/>
        <w:ind w:firstLine="442" w:firstLineChars="200"/>
        <w:jc w:val="center"/>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安全生产责任协议书</w:t>
      </w:r>
    </w:p>
    <w:p w14:paraId="34A172FA">
      <w:pPr>
        <w:widowControl/>
        <w:snapToGrid w:val="0"/>
        <w:spacing w:line="360" w:lineRule="auto"/>
        <w:ind w:firstLine="442" w:firstLineChars="200"/>
        <w:rPr>
          <w:rFonts w:hint="eastAsia" w:ascii="宋体" w:hAnsi="宋体" w:eastAsia="宋体" w:cs="宋体"/>
          <w:b/>
          <w:color w:val="auto"/>
          <w:kern w:val="0"/>
          <w:sz w:val="22"/>
          <w:szCs w:val="21"/>
          <w:highlight w:val="none"/>
          <w:lang w:eastAsia="zh-CN"/>
        </w:rPr>
      </w:pPr>
      <w:r>
        <w:rPr>
          <w:rFonts w:hint="eastAsia" w:ascii="宋体" w:hAnsi="宋体" w:eastAsia="宋体" w:cs="宋体"/>
          <w:b/>
          <w:color w:val="auto"/>
          <w:kern w:val="0"/>
          <w:sz w:val="22"/>
          <w:szCs w:val="21"/>
          <w:highlight w:val="none"/>
        </w:rPr>
        <w:t>甲方（发包人）：</w:t>
      </w:r>
      <w:r>
        <w:rPr>
          <w:rFonts w:hint="eastAsia" w:ascii="宋体" w:hAnsi="宋体" w:eastAsia="宋体" w:cs="宋体"/>
          <w:b/>
          <w:color w:val="auto"/>
          <w:kern w:val="0"/>
          <w:sz w:val="22"/>
          <w:szCs w:val="21"/>
          <w:highlight w:val="none"/>
          <w:lang w:eastAsia="zh-CN"/>
        </w:rPr>
        <w:t>浙江警察学院</w:t>
      </w:r>
    </w:p>
    <w:p w14:paraId="6ECB3792">
      <w:pPr>
        <w:widowControl/>
        <w:snapToGrid w:val="0"/>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乙方（承包人）：</w:t>
      </w:r>
    </w:p>
    <w:p w14:paraId="684EF0B7">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工程项目名称：</w:t>
      </w:r>
    </w:p>
    <w:p w14:paraId="648A738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为落实安全生产的管理要求，确保工程建设的顺利进行，按《浙江省建筑安全文明施工标准化工地管理办法》（浙建建[2005]41号)规定，甲乙双方共同协商，一致同意如下：</w:t>
      </w:r>
    </w:p>
    <w:p w14:paraId="17835D8F">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一、发包人在施工开始前向承包人提交必要的施工场地，明确承包人安全生产管理的责任区域和要求，承包人负责施工现场的安全管理工作，是施工现场的安全管理的责任单位。承包人必须建立健全安全生产保证体系，建立健全应急救援体系其相关文件报发包人备案。</w:t>
      </w:r>
    </w:p>
    <w:p w14:paraId="5F9D697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二、发包人应积极组织和督促承包人开展安全达标活动，及时传达和部署上级的有关安全生产精神和要求，定期听取承包人的意见和要求。加强安全生产的指导和协调。</w:t>
      </w:r>
    </w:p>
    <w:p w14:paraId="13649F2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三、发包人负责组织对承包人安全规范作业、文明施工情况的检查，定期组织考核；对承包人及有关人员在安全生产工作中有突出贡献或成绩显著的集体、个人应给予表彰和物资奖励。对承包人及有关人员发出的违章、违法行为和存在的问题以及在安全生产、文明等创优达标活动中不积极配合的，发包人有权制止教育、责成其限期整改。</w:t>
      </w:r>
    </w:p>
    <w:p w14:paraId="422C4EB8">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四、凡工地内发生生产事故或重大人员伤亡的，发包人派员参与劳动行政部门、司法机关调查处理。发包人可按其造成的后果及影响，对责任单位以按责任违约给予一次性经济的处理。责任违约的经济处理按约定扣除。事故造成的经济损失及因承包人责任给发包人造成的连带经济损失全部由承包人承担。</w:t>
      </w:r>
    </w:p>
    <w:p w14:paraId="0FED71E7">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责任违约的经济处理的约定：</w:t>
      </w:r>
    </w:p>
    <w:p w14:paraId="7F6E5EA8">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依据国家和地方相关法律法规、政策、规定、制度以及本工程施工合同执行。</w:t>
      </w:r>
    </w:p>
    <w:p w14:paraId="323747F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五、承包人应严格贯彻执行国家和市颁布的有关安全生产的法律、法规，严格按照中华人民共和国建设部建标（99）79号“关于发布行业标准《建筑施工安全检查标准》的通知”（编号JGJ59—99）的要求加强内部安全管理，落实各项安全防护措施，确保工程建设中不发生人员死亡事故。</w:t>
      </w:r>
    </w:p>
    <w:p w14:paraId="6E0690A2">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六、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5791C822">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七、承包人进入工地后应明确落实施工现场安全生产第一责任人。根据建设部办公厅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发包人备案。承包人要建立健全安全生产保证体系，落实各级安全责任制，完善各项安全生产制度（包括奖惩制度）：按照”谁施工谁负责”的原则，负责单位内部和施工责任区域的安全生产管理工作。</w:t>
      </w:r>
    </w:p>
    <w:p w14:paraId="3FEECC5D">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八、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2E36E17A">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九、承包人要按照“安全自查，隐患自改、责任自负”的原则加强对施工责任区的日常安全检查。及叫制上和处理各类违章违法行为。对查获的隐患要及时落实整改措施，消除隐患。</w:t>
      </w:r>
    </w:p>
    <w:p w14:paraId="7318002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14:paraId="7F3909F2">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一、在施工现场或施工作业过程中，因承包人原因发生安全事故或造成人员伤亡的，由承包人承担处理和所有的经济赔偿责任。承包人须妥善处理事故，积极抢救受伤人员、保护现场，并按规定时限向当地安监等相关政府部门报告，并立即报告发包人，不得迟报瞒报。发包人应积极配合处理。</w:t>
      </w:r>
    </w:p>
    <w:p w14:paraId="731B3A70">
      <w:pPr>
        <w:widowControl/>
        <w:snapToGrid w:val="0"/>
        <w:spacing w:line="360" w:lineRule="auto"/>
        <w:ind w:firstLine="440" w:firstLineChars="200"/>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u w:val="single"/>
        </w:rPr>
        <w:t>十二、承包人须参加由发包人召集的每周一次的工程工作列会，对工程进度、工程质量、安全施工等情况向会议进行汇报，并接受发包人的安全检查。</w:t>
      </w:r>
    </w:p>
    <w:p w14:paraId="7284E957">
      <w:pPr>
        <w:widowControl/>
        <w:snapToGrid w:val="0"/>
        <w:spacing w:line="360" w:lineRule="auto"/>
        <w:ind w:firstLine="440" w:firstLineChars="200"/>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u w:val="single"/>
        </w:rPr>
        <w:t>十三、承包人不准将工程项目进行整体转包。</w:t>
      </w:r>
    </w:p>
    <w:p w14:paraId="35072727">
      <w:pPr>
        <w:widowControl/>
        <w:snapToGrid w:val="0"/>
        <w:spacing w:line="360" w:lineRule="auto"/>
        <w:ind w:firstLine="440" w:firstLineChars="200"/>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u w:val="single"/>
        </w:rPr>
        <w:t>十四、承包人对施工现场的安全负责。在施工过程中或施工现场，因承包人原因造成的安全事故，由承包人承担处理和所有的经济赔偿责任，承包人须按规定将事故发生情况向当地政府相关部门报告，并立即报告发包人。发包人积极协助处理。</w:t>
      </w:r>
    </w:p>
    <w:p w14:paraId="330332E5">
      <w:pPr>
        <w:widowControl/>
        <w:snapToGrid w:val="0"/>
        <w:spacing w:line="360" w:lineRule="auto"/>
        <w:ind w:firstLine="440" w:firstLineChars="200"/>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u w:val="single"/>
        </w:rPr>
        <w:t>十五、承包人须将施工作业人员名册报发包人备案，承包人的施工作业人员必须接受发包人组织的安全培训，培训合格后由发包人发给盖有发包人印章的“施工出入证”。持有“施工出入证”的人员方可进场施工作业。</w:t>
      </w:r>
    </w:p>
    <w:p w14:paraId="6D2A5B31">
      <w:pPr>
        <w:widowControl/>
        <w:snapToGrid w:val="0"/>
        <w:spacing w:line="360" w:lineRule="auto"/>
        <w:ind w:firstLine="440" w:firstLineChars="200"/>
        <w:rPr>
          <w:rFonts w:hint="eastAsia" w:ascii="宋体" w:hAnsi="宋体" w:eastAsia="宋体" w:cs="宋体"/>
          <w:color w:val="auto"/>
          <w:kern w:val="0"/>
          <w:sz w:val="22"/>
          <w:szCs w:val="21"/>
          <w:highlight w:val="none"/>
          <w:u w:val="single"/>
        </w:rPr>
      </w:pPr>
      <w:r>
        <w:rPr>
          <w:rFonts w:hint="eastAsia" w:ascii="宋体" w:hAnsi="宋体" w:eastAsia="宋体" w:cs="宋体"/>
          <w:color w:val="auto"/>
          <w:kern w:val="0"/>
          <w:sz w:val="22"/>
          <w:szCs w:val="21"/>
          <w:highlight w:val="none"/>
          <w:u w:val="single"/>
        </w:rPr>
        <w:t>十六、承包人须为施工作业人员缴纳相关保险，并在合同签订之日起的 个工作日内将缴纳保险凭证复印件交发包人。</w:t>
      </w:r>
    </w:p>
    <w:p w14:paraId="33609DDE">
      <w:pPr>
        <w:widowControl/>
        <w:snapToGrid w:val="0"/>
        <w:spacing w:line="360" w:lineRule="auto"/>
        <w:ind w:firstLine="442" w:firstLineChars="200"/>
        <w:rPr>
          <w:rFonts w:hint="eastAsia" w:ascii="宋体" w:hAnsi="宋体" w:eastAsia="宋体" w:cs="宋体"/>
          <w:b/>
          <w:color w:val="auto"/>
          <w:kern w:val="0"/>
          <w:sz w:val="22"/>
          <w:szCs w:val="21"/>
          <w:highlight w:val="none"/>
          <w:u w:val="single"/>
        </w:rPr>
      </w:pPr>
      <w:r>
        <w:rPr>
          <w:rFonts w:hint="eastAsia" w:ascii="宋体" w:hAnsi="宋体" w:eastAsia="宋体" w:cs="宋体"/>
          <w:b/>
          <w:color w:val="auto"/>
          <w:kern w:val="0"/>
          <w:sz w:val="22"/>
          <w:szCs w:val="21"/>
          <w:highlight w:val="none"/>
          <w:u w:val="single"/>
        </w:rPr>
        <w:t>十七、承包人必须严格按学院管理规范要求进场施工：必须报学院后勤处、安保处备案，并接受学院安保处的安全教育；进场施工必须佩戴胸牌，统一着装；施工垃圾及时清运，垃圾密闭包装，不得裸露在外。</w:t>
      </w:r>
    </w:p>
    <w:p w14:paraId="4E4EDB86">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十八、本协议中木涉及的有关条款，甲乙双方可根据需要协商补充修改。</w:t>
      </w:r>
    </w:p>
    <w:p w14:paraId="1FDB518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如遇有国家和本市的有关法规不符的，应按国家和本市的有关法规执行。</w:t>
      </w:r>
    </w:p>
    <w:p w14:paraId="68C7287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十九、本协议作为甲乙双方工程承包合同的附件，在工程承包合同签约后生效，与工程承包合同具有同等法律效力。工程承包合同期满，本协议终上。</w:t>
      </w:r>
    </w:p>
    <w:p w14:paraId="6AAD1469">
      <w:pPr>
        <w:widowControl/>
        <w:snapToGrid w:val="0"/>
        <w:spacing w:line="360" w:lineRule="auto"/>
        <w:ind w:firstLine="440" w:firstLineChars="200"/>
        <w:rPr>
          <w:rFonts w:hint="eastAsia" w:ascii="宋体" w:hAnsi="宋体" w:eastAsia="宋体" w:cs="宋体"/>
          <w:color w:val="auto"/>
          <w:kern w:val="0"/>
          <w:sz w:val="22"/>
          <w:szCs w:val="21"/>
          <w:highlight w:val="none"/>
        </w:rPr>
      </w:pPr>
    </w:p>
    <w:p w14:paraId="7031DE23">
      <w:pPr>
        <w:widowControl/>
        <w:snapToGrid w:val="0"/>
        <w:spacing w:line="360" w:lineRule="auto"/>
        <w:ind w:firstLine="440" w:firstLineChars="200"/>
        <w:rPr>
          <w:rFonts w:hint="eastAsia" w:ascii="宋体" w:hAnsi="宋体" w:eastAsia="宋体" w:cs="宋体"/>
          <w:color w:val="auto"/>
          <w:kern w:val="0"/>
          <w:sz w:val="22"/>
          <w:szCs w:val="21"/>
          <w:highlight w:val="none"/>
        </w:rPr>
      </w:pPr>
    </w:p>
    <w:p w14:paraId="49B89D54">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发包人：   </w:t>
      </w:r>
      <w:r>
        <w:rPr>
          <w:rFonts w:hint="eastAsia" w:ascii="宋体" w:hAnsi="宋体" w:eastAsia="宋体" w:cs="宋体"/>
          <w:color w:val="auto"/>
          <w:spacing w:val="-6"/>
          <w:kern w:val="0"/>
          <w:sz w:val="22"/>
          <w:szCs w:val="21"/>
          <w:highlight w:val="none"/>
        </w:rPr>
        <w:t>（公章/合同专用章）</w:t>
      </w:r>
      <w:r>
        <w:rPr>
          <w:rFonts w:hint="eastAsia" w:ascii="宋体" w:hAnsi="宋体" w:eastAsia="宋体" w:cs="宋体"/>
          <w:color w:val="auto"/>
          <w:kern w:val="0"/>
          <w:sz w:val="22"/>
          <w:szCs w:val="21"/>
          <w:highlight w:val="none"/>
        </w:rPr>
        <w:t xml:space="preserve">             承包人：   </w:t>
      </w:r>
      <w:r>
        <w:rPr>
          <w:rFonts w:hint="eastAsia" w:ascii="宋体" w:hAnsi="宋体" w:eastAsia="宋体" w:cs="宋体"/>
          <w:color w:val="auto"/>
          <w:spacing w:val="-6"/>
          <w:kern w:val="0"/>
          <w:sz w:val="22"/>
          <w:szCs w:val="21"/>
          <w:highlight w:val="none"/>
        </w:rPr>
        <w:t>（公章/合同专用章）</w:t>
      </w:r>
    </w:p>
    <w:p w14:paraId="46FDE70F">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法定代表人：                              法定代表人：</w:t>
      </w:r>
    </w:p>
    <w:p w14:paraId="602E3C8B">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或委托代理人：                            或委托代理人：</w:t>
      </w:r>
    </w:p>
    <w:p w14:paraId="1A9EC79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年    月    日                            年    月    日</w:t>
      </w:r>
    </w:p>
    <w:p w14:paraId="1DDDC935">
      <w:pPr>
        <w:widowControl/>
        <w:snapToGrid w:val="0"/>
        <w:spacing w:line="360" w:lineRule="auto"/>
        <w:ind w:firstLine="440" w:firstLineChars="200"/>
        <w:rPr>
          <w:rFonts w:hint="eastAsia" w:ascii="宋体" w:hAnsi="宋体" w:eastAsia="宋体" w:cs="宋体"/>
          <w:color w:val="auto"/>
          <w:kern w:val="0"/>
          <w:sz w:val="22"/>
          <w:szCs w:val="21"/>
          <w:highlight w:val="none"/>
        </w:rPr>
      </w:pPr>
    </w:p>
    <w:p w14:paraId="49078B1E">
      <w:pPr>
        <w:snapToGrid w:val="0"/>
        <w:spacing w:line="360" w:lineRule="auto"/>
        <w:ind w:firstLine="422" w:firstLineChars="200"/>
        <w:rPr>
          <w:rFonts w:hint="eastAsia" w:ascii="宋体" w:hAnsi="宋体" w:eastAsia="宋体" w:cs="宋体"/>
          <w:b/>
          <w:color w:val="auto"/>
          <w:szCs w:val="21"/>
          <w:highlight w:val="none"/>
        </w:rPr>
        <w:sectPr>
          <w:footerReference r:id="rId7" w:type="default"/>
          <w:type w:val="nextColumn"/>
          <w:pgSz w:w="11906" w:h="16838"/>
          <w:pgMar w:top="1418" w:right="1588" w:bottom="1418" w:left="1588" w:header="567" w:footer="567" w:gutter="0"/>
          <w:cols w:space="720" w:num="1"/>
          <w:docGrid w:linePitch="312" w:charSpace="0"/>
        </w:sectPr>
      </w:pPr>
    </w:p>
    <w:p w14:paraId="7CFF7902">
      <w:pPr>
        <w:widowControl/>
        <w:snapToGrid w:val="0"/>
        <w:spacing w:line="360" w:lineRule="auto"/>
        <w:ind w:firstLine="440" w:firstLineChars="200"/>
        <w:rPr>
          <w:rFonts w:hint="eastAsia" w:ascii="宋体" w:hAnsi="宋体" w:eastAsia="宋体" w:cs="宋体"/>
          <w:b/>
          <w:color w:val="auto"/>
          <w:kern w:val="0"/>
          <w:sz w:val="22"/>
          <w:szCs w:val="21"/>
          <w:highlight w:val="none"/>
        </w:rPr>
      </w:pPr>
      <w:r>
        <w:rPr>
          <w:rFonts w:hint="eastAsia" w:ascii="宋体" w:hAnsi="宋体" w:eastAsia="宋体" w:cs="宋体"/>
          <w:color w:val="auto"/>
          <w:kern w:val="0"/>
          <w:sz w:val="22"/>
          <w:szCs w:val="21"/>
          <w:highlight w:val="none"/>
          <w:lang w:val="zh-CN"/>
        </w:rPr>
        <w:t>附件三 文明施工责任协议书格式</w:t>
      </w:r>
    </w:p>
    <w:p w14:paraId="63F17B32">
      <w:pPr>
        <w:widowControl/>
        <w:snapToGrid w:val="0"/>
        <w:spacing w:line="360" w:lineRule="auto"/>
        <w:ind w:firstLine="442" w:firstLineChars="200"/>
        <w:jc w:val="center"/>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文明施工责任协议书</w:t>
      </w:r>
    </w:p>
    <w:p w14:paraId="7320D928">
      <w:pPr>
        <w:widowControl/>
        <w:snapToGrid w:val="0"/>
        <w:spacing w:line="360" w:lineRule="auto"/>
        <w:ind w:firstLine="440" w:firstLineChars="200"/>
        <w:rPr>
          <w:rFonts w:hint="eastAsia" w:ascii="宋体" w:hAnsi="宋体" w:eastAsia="宋体" w:cs="宋体"/>
          <w:color w:val="auto"/>
          <w:kern w:val="0"/>
          <w:sz w:val="22"/>
          <w:szCs w:val="21"/>
          <w:highlight w:val="none"/>
        </w:rPr>
      </w:pPr>
    </w:p>
    <w:p w14:paraId="5E909B8A">
      <w:pPr>
        <w:widowControl/>
        <w:snapToGrid w:val="0"/>
        <w:spacing w:line="360" w:lineRule="auto"/>
        <w:ind w:firstLine="442" w:firstLineChars="200"/>
        <w:rPr>
          <w:rFonts w:hint="eastAsia" w:ascii="宋体" w:hAnsi="宋体" w:eastAsia="宋体" w:cs="宋体"/>
          <w:b/>
          <w:color w:val="auto"/>
          <w:kern w:val="0"/>
          <w:sz w:val="22"/>
          <w:szCs w:val="21"/>
          <w:highlight w:val="none"/>
          <w:lang w:eastAsia="zh-CN"/>
        </w:rPr>
      </w:pPr>
      <w:r>
        <w:rPr>
          <w:rFonts w:hint="eastAsia" w:ascii="宋体" w:hAnsi="宋体" w:eastAsia="宋体" w:cs="宋体"/>
          <w:b/>
          <w:color w:val="auto"/>
          <w:kern w:val="0"/>
          <w:sz w:val="22"/>
          <w:szCs w:val="21"/>
          <w:highlight w:val="none"/>
        </w:rPr>
        <w:t>甲方（发包人）：</w:t>
      </w:r>
      <w:r>
        <w:rPr>
          <w:rFonts w:hint="eastAsia" w:ascii="宋体" w:hAnsi="宋体" w:eastAsia="宋体" w:cs="宋体"/>
          <w:b/>
          <w:color w:val="auto"/>
          <w:kern w:val="0"/>
          <w:sz w:val="22"/>
          <w:szCs w:val="21"/>
          <w:highlight w:val="none"/>
          <w:lang w:eastAsia="zh-CN"/>
        </w:rPr>
        <w:t>浙江警察学院</w:t>
      </w:r>
    </w:p>
    <w:p w14:paraId="076C7835">
      <w:pPr>
        <w:widowControl/>
        <w:snapToGrid w:val="0"/>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乙方（承包人）：</w:t>
      </w:r>
    </w:p>
    <w:p w14:paraId="1A8FE428">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工程项目名称：为认真做好工程建设施工区域内的文明施工，现经甲、乙双方协商同意，明确在文明施工和文明施工管理中的各自职责，并签订如下协议。</w:t>
      </w:r>
    </w:p>
    <w:p w14:paraId="13344B7A">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一、双方同意在在工程管理和工程建设中必须坚持社会效益第一，经济效益和社会效益相—致，“方便人民生活，有利于发展生产、保护生态环境”的原则，坚持便民、利民、为民服务的宗旨。搞好工程建设中的文明施工。</w:t>
      </w:r>
    </w:p>
    <w:p w14:paraId="5D6F576C">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二、双方要认真贯彻”建设单位负责，施工单位实施，地方政府监督”的文明施工原则。现场由甲方代表牵头，建立参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163A312A">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三、乙方应遵守如下规定：</w:t>
      </w:r>
    </w:p>
    <w:p w14:paraId="4E98DA2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1、根据工程的特点，编制文明施工实施方案，在开工前5日内，将文明施工实施方案报甲方和市安全监督部门备案。</w:t>
      </w:r>
    </w:p>
    <w:p w14:paraId="4E881DB6">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2、乙方按有关规定专项包干使用文明施工费，不得挪作他用。</w:t>
      </w:r>
    </w:p>
    <w:p w14:paraId="6A719C3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3、工地应设置专职文明施工安全员，做到佩证上岗、动态管理，及时收集、记录、整理、管理台帐等技术资料。</w:t>
      </w:r>
    </w:p>
    <w:p w14:paraId="1DFF026F">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4、施工现场应按文明施工安全生产的要求，设置各项临时设施，并达到下列要求：</w:t>
      </w:r>
    </w:p>
    <w:p w14:paraId="3D5CEC36">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（1）施工区域与非施工区域严格分隔。</w:t>
      </w:r>
    </w:p>
    <w:p w14:paraId="4357ED5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（2）施工区域内应设置能保证施工安全的夜间照明和警示标志，并采取安全防护措施。</w:t>
      </w:r>
    </w:p>
    <w:p w14:paraId="47027493">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（3）各类材料、机具设备按工地总平面图的布置，在固定场地整齐堆放，不得侵占场内道路及安全防护等设施。</w:t>
      </w:r>
    </w:p>
    <w:p w14:paraId="015F9C14">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（4）其他要求：</w:t>
      </w:r>
      <w:r>
        <w:rPr>
          <w:rFonts w:hint="eastAsia" w:ascii="宋体" w:hAnsi="宋体" w:eastAsia="宋体" w:cs="宋体"/>
          <w:b/>
          <w:color w:val="auto"/>
          <w:kern w:val="0"/>
          <w:sz w:val="22"/>
          <w:szCs w:val="21"/>
          <w:highlight w:val="none"/>
        </w:rPr>
        <w:t>严格按学校管理规范要求进场施工。</w:t>
      </w:r>
    </w:p>
    <w:p w14:paraId="3F5BD71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5、工地民工宿舍应符合卫生要求和居住条件，地面应用砼硬化，照明电线敷设应符合规范，不得任意拉线接电。宿舍应保持整洁有序，不得男女混杂居住及居住与施工无关的人员。</w:t>
      </w:r>
    </w:p>
    <w:p w14:paraId="099C609D">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6、施工现场设有食堂的，应符合杭州市职工食堂管理的有关规定，并配备冷冻、冷藏设备，其位置应远离厕所、垃圾容器等污染源，炊事员应持有效健康证明及岗位培训合格证。</w:t>
      </w:r>
    </w:p>
    <w:p w14:paraId="224D86AF">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施工现场应设置茶桶、保障茶水供应。</w:t>
      </w:r>
    </w:p>
    <w:p w14:paraId="219E01D4">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7、建筑垃圾和其他散体物料装运应实行车辆密闭式运输，冲洗干净后出场，运输过程中严禁沿途抛、洒、滴、漏。</w:t>
      </w:r>
    </w:p>
    <w:p w14:paraId="416A7ECC">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8、乙方应当严格依照《中华人民共和国消防条例》的规定，在工地建立和执行防火管理制度，重点部位设置符合消防要求的消防设施，并保持完好的备用状态。　</w:t>
      </w:r>
    </w:p>
    <w:p w14:paraId="0B819BA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9、遵守建设地的现场管理要求。</w:t>
      </w:r>
    </w:p>
    <w:p w14:paraId="23E20D3F">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10、施工单位在施工中应遵守下列规定：</w:t>
      </w:r>
    </w:p>
    <w:p w14:paraId="09D4384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（1）完善技术和操作管理规程，确保防汛设施和地下管线通畅、安全。</w:t>
      </w:r>
    </w:p>
    <w:p w14:paraId="2DAE0CA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（2）采取各种有效措施，控制扬尘、噪声。</w:t>
      </w:r>
    </w:p>
    <w:p w14:paraId="60D86F0B">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（3）设置各种防护设施，防止施工中废弃物、杂物影响周围环境，伤害过往行人。</w:t>
      </w:r>
    </w:p>
    <w:p w14:paraId="7E72CF78">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（4）随时清理建筑垃圾，控制工地污染。</w:t>
      </w:r>
    </w:p>
    <w:p w14:paraId="313D833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（5）控制夜间施工作业，确需夜间作业的，必须事先向环保部门申办《夜间施工许可证》。</w:t>
      </w:r>
    </w:p>
    <w:p w14:paraId="06F74294">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（6）运用其他有效方式，减少施工时对市容、绿化和环境的不良影响。</w:t>
      </w:r>
    </w:p>
    <w:p w14:paraId="247AAB3B">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（7）遵守交通管理规定，不得使用人力车、三轮车向场外运输建筑垃圾、废土、物料。</w:t>
      </w:r>
    </w:p>
    <w:p w14:paraId="66C9CAEA">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11、施工人员在施工中应严格遵守下列规定:</w:t>
      </w:r>
    </w:p>
    <w:p w14:paraId="33883ACB">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（1）施工中产生的各类垃圾应及时清运到市容环境卫生管理部门指定的地点，严禁随意倾倒在城市道路、河道、绿化带、空旷地带和居民生活垃圾容器内。</w:t>
      </w:r>
    </w:p>
    <w:p w14:paraId="42266E73">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（2）施工中不得随意丢弃废物、旧料和其他杂物。</w:t>
      </w:r>
    </w:p>
    <w:p w14:paraId="36B6A9B9">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（3）施工中应注意清理施工场地，做到随做随清。</w:t>
      </w:r>
    </w:p>
    <w:p w14:paraId="7F63354B">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（4）其他：</w:t>
      </w:r>
    </w:p>
    <w:p w14:paraId="7A780B96">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12、乙方应确保工地出入口和道路的畅通、安全。施工中造成沿线单位、人员的出入口障碍和道路交通堵塞，应及时采取有效措施。</w:t>
      </w:r>
    </w:p>
    <w:p w14:paraId="7C93F441">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13、施工中造成下水道和其他地下管线堵塞或损坏的，应立即疏浚或修复；对工地周围的单位及人员财产造成损失的，应承担经济赔偿责任。</w:t>
      </w:r>
    </w:p>
    <w:p w14:paraId="239E58A4">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四、甲方对乙方开展创建文明土地的工作要经常性地给予指导，定期组织检查，对乙方存在的问题应及时通知乙方进行整改，并有权对乙方责任违约，按约定办法进行经济处理。</w:t>
      </w:r>
    </w:p>
    <w:p w14:paraId="7BB76A9E">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五、因乙方违反文明施工管理要求，被地方政府有关部门查获而受到的经济处罚，以及由此而使甲方受到的经济损失，均由乙方承担。</w:t>
      </w:r>
    </w:p>
    <w:p w14:paraId="76FF4E8D">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六、本协议作为甲乙双方工程合同的附件，在工程合同正式签约后有效，与工程合同具有同等法律效力。工程合同期满，本协议终止。</w:t>
      </w:r>
    </w:p>
    <w:p w14:paraId="4CFC9E65">
      <w:pPr>
        <w:widowControl/>
        <w:snapToGrid w:val="0"/>
        <w:spacing w:line="360" w:lineRule="auto"/>
        <w:ind w:firstLine="440" w:firstLineChars="200"/>
        <w:rPr>
          <w:rFonts w:hint="eastAsia" w:ascii="宋体" w:hAnsi="宋体" w:eastAsia="宋体" w:cs="宋体"/>
          <w:color w:val="auto"/>
          <w:kern w:val="0"/>
          <w:sz w:val="22"/>
          <w:szCs w:val="21"/>
          <w:highlight w:val="none"/>
        </w:rPr>
      </w:pPr>
    </w:p>
    <w:p w14:paraId="372E0A8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发包人：  </w:t>
      </w:r>
      <w:r>
        <w:rPr>
          <w:rFonts w:hint="eastAsia" w:ascii="宋体" w:hAnsi="宋体" w:eastAsia="宋体" w:cs="宋体"/>
          <w:color w:val="auto"/>
          <w:spacing w:val="-6"/>
          <w:kern w:val="0"/>
          <w:sz w:val="22"/>
          <w:szCs w:val="21"/>
          <w:highlight w:val="none"/>
        </w:rPr>
        <w:t>（公章/合同专用章）</w:t>
      </w:r>
      <w:r>
        <w:rPr>
          <w:rFonts w:hint="eastAsia" w:ascii="宋体" w:hAnsi="宋体" w:eastAsia="宋体" w:cs="宋体"/>
          <w:color w:val="auto"/>
          <w:kern w:val="0"/>
          <w:sz w:val="22"/>
          <w:szCs w:val="21"/>
          <w:highlight w:val="none"/>
        </w:rPr>
        <w:t xml:space="preserve">          承包人：    </w:t>
      </w:r>
      <w:r>
        <w:rPr>
          <w:rFonts w:hint="eastAsia" w:ascii="宋体" w:hAnsi="宋体" w:eastAsia="宋体" w:cs="宋体"/>
          <w:color w:val="auto"/>
          <w:spacing w:val="-6"/>
          <w:kern w:val="0"/>
          <w:sz w:val="22"/>
          <w:szCs w:val="21"/>
          <w:highlight w:val="none"/>
        </w:rPr>
        <w:t>（公章/合同专用章）</w:t>
      </w:r>
    </w:p>
    <w:p w14:paraId="11E03F00">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法定代表人：                          法定代表人：</w:t>
      </w:r>
    </w:p>
    <w:p w14:paraId="34EE96F6">
      <w:pPr>
        <w:widowControl/>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或委托代理人：                        或委托代理人：</w:t>
      </w:r>
    </w:p>
    <w:p w14:paraId="31FA75FB">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      年    月    日                        年    月    日</w:t>
      </w:r>
    </w:p>
    <w:p w14:paraId="3437CEA3">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lang w:val="zh-CN"/>
        </w:rPr>
        <w:br w:type="page"/>
      </w:r>
      <w:r>
        <w:rPr>
          <w:rFonts w:hint="eastAsia" w:ascii="宋体" w:hAnsi="宋体" w:eastAsia="宋体" w:cs="宋体"/>
          <w:color w:val="auto"/>
          <w:kern w:val="0"/>
          <w:sz w:val="22"/>
          <w:szCs w:val="21"/>
          <w:highlight w:val="none"/>
          <w:lang w:val="zh-CN"/>
        </w:rPr>
        <w:t>附件四 建设工程廉洁协议书格式</w:t>
      </w:r>
    </w:p>
    <w:p w14:paraId="7F3F1EA4">
      <w:pPr>
        <w:widowControl/>
        <w:adjustRightInd w:val="0"/>
        <w:snapToGrid w:val="0"/>
        <w:spacing w:line="360" w:lineRule="auto"/>
        <w:ind w:firstLine="442" w:firstLineChars="200"/>
        <w:jc w:val="center"/>
        <w:rPr>
          <w:rFonts w:hint="eastAsia" w:ascii="宋体" w:hAnsi="宋体" w:eastAsia="宋体" w:cs="宋体"/>
          <w:color w:val="auto"/>
          <w:kern w:val="0"/>
          <w:sz w:val="22"/>
          <w:szCs w:val="21"/>
          <w:highlight w:val="none"/>
        </w:rPr>
      </w:pPr>
      <w:r>
        <w:rPr>
          <w:rFonts w:hint="eastAsia" w:ascii="宋体" w:hAnsi="宋体" w:eastAsia="宋体" w:cs="宋体"/>
          <w:b/>
          <w:color w:val="auto"/>
          <w:kern w:val="0"/>
          <w:sz w:val="22"/>
          <w:szCs w:val="21"/>
          <w:highlight w:val="none"/>
        </w:rPr>
        <w:t>建设工程廉洁协议书</w:t>
      </w:r>
    </w:p>
    <w:p w14:paraId="4EEE5D79">
      <w:pPr>
        <w:widowControl/>
        <w:adjustRightInd w:val="0"/>
        <w:snapToGrid w:val="0"/>
        <w:spacing w:line="360" w:lineRule="auto"/>
        <w:ind w:firstLine="442" w:firstLineChars="200"/>
        <w:rPr>
          <w:rFonts w:hint="eastAsia" w:ascii="宋体" w:hAnsi="宋体" w:eastAsia="宋体" w:cs="宋体"/>
          <w:b/>
          <w:color w:val="auto"/>
          <w:kern w:val="0"/>
          <w:sz w:val="22"/>
          <w:szCs w:val="21"/>
          <w:highlight w:val="none"/>
          <w:lang w:eastAsia="zh-CN"/>
        </w:rPr>
      </w:pPr>
      <w:r>
        <w:rPr>
          <w:rFonts w:hint="eastAsia" w:ascii="宋体" w:hAnsi="宋体" w:eastAsia="宋体" w:cs="宋体"/>
          <w:b/>
          <w:color w:val="auto"/>
          <w:kern w:val="0"/>
          <w:sz w:val="22"/>
          <w:szCs w:val="21"/>
          <w:highlight w:val="none"/>
        </w:rPr>
        <w:t>甲方（发包人）：</w:t>
      </w:r>
      <w:r>
        <w:rPr>
          <w:rFonts w:hint="eastAsia" w:ascii="宋体" w:hAnsi="宋体" w:eastAsia="宋体" w:cs="宋体"/>
          <w:b/>
          <w:color w:val="auto"/>
          <w:kern w:val="0"/>
          <w:sz w:val="22"/>
          <w:szCs w:val="21"/>
          <w:highlight w:val="none"/>
          <w:lang w:eastAsia="zh-CN"/>
        </w:rPr>
        <w:t>浙江警察学院</w:t>
      </w:r>
    </w:p>
    <w:p w14:paraId="46D07552">
      <w:pPr>
        <w:widowControl/>
        <w:adjustRightInd w:val="0"/>
        <w:snapToGrid w:val="0"/>
        <w:spacing w:line="360" w:lineRule="auto"/>
        <w:ind w:firstLine="442" w:firstLineChars="200"/>
        <w:rPr>
          <w:rFonts w:hint="eastAsia" w:ascii="宋体" w:hAnsi="宋体" w:eastAsia="宋体" w:cs="宋体"/>
          <w:b/>
          <w:color w:val="auto"/>
          <w:kern w:val="0"/>
          <w:sz w:val="22"/>
          <w:szCs w:val="21"/>
          <w:highlight w:val="none"/>
        </w:rPr>
      </w:pPr>
      <w:r>
        <w:rPr>
          <w:rFonts w:hint="eastAsia" w:ascii="宋体" w:hAnsi="宋体" w:eastAsia="宋体" w:cs="宋体"/>
          <w:b/>
          <w:color w:val="auto"/>
          <w:kern w:val="0"/>
          <w:sz w:val="22"/>
          <w:szCs w:val="21"/>
          <w:highlight w:val="none"/>
        </w:rPr>
        <w:t>乙方（承包人）：</w:t>
      </w:r>
    </w:p>
    <w:p w14:paraId="39B402FC">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工程项目名称：为了在工程建设中保持廉政自律的工作作风，防止各种不正当行为的发生，根据国家和省市有关建设工程承发包和廉政建设的各项规定，结合工程建设的特点，订立本协议如下：</w:t>
      </w:r>
    </w:p>
    <w:p w14:paraId="006ABCCC">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一、甲乙双方应当自觉遵守国家和市关于建设工程承发包工作规则以及有关廉政建设的各项规定。</w:t>
      </w:r>
    </w:p>
    <w:p w14:paraId="175F6E13">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二、甲方及其工作人员不得以任何形式向乙方索要和收受回扣等好处费。</w:t>
      </w:r>
    </w:p>
    <w:p w14:paraId="72CF410E">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三、甲方工作人员应当保持与乙方的正常业务交往，不得接受乙方的现金、有价证券和贵重物品，不得在乙方报销任何应有个人支付的费用。</w:t>
      </w:r>
    </w:p>
    <w:p w14:paraId="16E6CABD">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四、甲方工作人员不得参加可能对公正执行公务有影响的宴请和娱乐活动。</w:t>
      </w:r>
    </w:p>
    <w:p w14:paraId="23581C71">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五、甲方工作人员不得要求接受乙方为其住房装修、婚丧嫁娶、家属和子女的工作安排以及出国等提供方便。</w:t>
      </w:r>
    </w:p>
    <w:p w14:paraId="1B61A3D0">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六、甲方工作人员不得向乙方介绍家属或者亲友从事与甲方工程有关的材料设备供应、工程分包等经济活动。</w:t>
      </w:r>
    </w:p>
    <w:p w14:paraId="2AF118E1">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七、乙方应当通过正常途径开展相对业务工作，不得为获取某些不正当利益而向甲方工作人员赠送礼金、有价证券和贵重物品等。</w:t>
      </w:r>
    </w:p>
    <w:p w14:paraId="07023FA2">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八、乙方不得为谋取私利擅自与甲方工作人员就工程承包、工程费用、材料设备供应、工程量变动、工程验收、工程质量问题处理等进行私下商谈或者达成默契。</w:t>
      </w:r>
    </w:p>
    <w:p w14:paraId="29A1D4E3">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九、乙方不得以洽谈业务、签订经济合同为借口，邀请甲方工作人员外出旅游和进入高档娱乐性场所。</w:t>
      </w:r>
    </w:p>
    <w:p w14:paraId="640AA7D2">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十、乙方不得为甲方和个人购置或者提供通讯工具、家电、高档办公用品等物品。</w:t>
      </w:r>
    </w:p>
    <w:p w14:paraId="09D9E396">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一、乙方如发现甲方工作人员有违反上述协议者，应向甲方领导或者甲方上级单位举报。甲方不得找任何借口对乙方进行报复。甲方对举报属实和严格遵守廉政协议的乙方，在同等条件下给予承接后续工程的优先邀请投标权。</w:t>
      </w:r>
    </w:p>
    <w:p w14:paraId="4B4FA3E2">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二、甲方发现乙方有违反本协议或者采用不正当的手段行贿甲方工作人员，甲方根据具体情节和造成的后果追究乙方工程合同造价1%—5%的违约金，由此给甲方造成的损失均由乙方承担，乙方用不正当手段获取的非法所得由甲方单位予以追缴。</w:t>
      </w:r>
    </w:p>
    <w:p w14:paraId="65AC3DC9">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十三、严格执行中纪委下发的中纪发【2007】7号《中共中央纪委关于严格禁止利用职务上的便利谋取不正当利益的若干规定》。</w:t>
      </w:r>
    </w:p>
    <w:p w14:paraId="43056573">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十四、本廉政协议作为工程承发包合同的附件，与工程承发包合同具有同等法律效力，经协议双方签署后立即生效。</w:t>
      </w:r>
    </w:p>
    <w:p w14:paraId="16278648">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十五、本协议一式三份，甲、乙双方各执一份，送交见证部门一份。</w:t>
      </w:r>
    </w:p>
    <w:p w14:paraId="51488F28">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p>
    <w:p w14:paraId="20DB4F7A">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 xml:space="preserve">发包人：  </w:t>
      </w:r>
      <w:r>
        <w:rPr>
          <w:rFonts w:hint="eastAsia" w:ascii="宋体" w:hAnsi="宋体" w:eastAsia="宋体" w:cs="宋体"/>
          <w:color w:val="auto"/>
          <w:spacing w:val="-6"/>
          <w:kern w:val="0"/>
          <w:sz w:val="22"/>
          <w:szCs w:val="21"/>
          <w:highlight w:val="none"/>
        </w:rPr>
        <w:t>（公章/合同专用章）</w:t>
      </w:r>
      <w:r>
        <w:rPr>
          <w:rFonts w:hint="eastAsia" w:ascii="宋体" w:hAnsi="宋体" w:eastAsia="宋体" w:cs="宋体"/>
          <w:color w:val="auto"/>
          <w:kern w:val="0"/>
          <w:sz w:val="22"/>
          <w:szCs w:val="21"/>
          <w:highlight w:val="none"/>
        </w:rPr>
        <w:t xml:space="preserve">         承包人：  </w:t>
      </w:r>
      <w:r>
        <w:rPr>
          <w:rFonts w:hint="eastAsia" w:ascii="宋体" w:hAnsi="宋体" w:eastAsia="宋体" w:cs="宋体"/>
          <w:color w:val="auto"/>
          <w:spacing w:val="-6"/>
          <w:kern w:val="0"/>
          <w:sz w:val="22"/>
          <w:szCs w:val="21"/>
          <w:highlight w:val="none"/>
        </w:rPr>
        <w:t>（公章/合同专用章）</w:t>
      </w:r>
    </w:p>
    <w:p w14:paraId="12D37C97">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p>
    <w:p w14:paraId="65035396">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法定代表人：                          法定代表人：</w:t>
      </w:r>
    </w:p>
    <w:p w14:paraId="1036B987">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p>
    <w:p w14:paraId="0096BCED">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或委托代理人：                        或委托代理人：</w:t>
      </w:r>
    </w:p>
    <w:p w14:paraId="12E5995B">
      <w:pPr>
        <w:widowControl/>
        <w:adjustRightInd w:val="0"/>
        <w:snapToGrid w:val="0"/>
        <w:spacing w:line="360" w:lineRule="auto"/>
        <w:ind w:firstLine="440" w:firstLineChars="200"/>
        <w:rPr>
          <w:rFonts w:hint="eastAsia" w:ascii="宋体" w:hAnsi="宋体" w:eastAsia="宋体" w:cs="宋体"/>
          <w:color w:val="auto"/>
          <w:kern w:val="0"/>
          <w:sz w:val="22"/>
          <w:szCs w:val="21"/>
          <w:highlight w:val="none"/>
        </w:rPr>
      </w:pPr>
    </w:p>
    <w:p w14:paraId="7481229C">
      <w:pPr>
        <w:widowControl/>
        <w:adjustRightInd w:val="0"/>
        <w:snapToGrid w:val="0"/>
        <w:spacing w:line="360" w:lineRule="auto"/>
        <w:ind w:firstLine="1100" w:firstLineChars="500"/>
        <w:rPr>
          <w:rFonts w:hint="eastAsia"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年    月    日                        年    月   日</w:t>
      </w:r>
    </w:p>
    <w:p w14:paraId="33B13B88">
      <w:pPr>
        <w:adjustRightInd w:val="0"/>
        <w:snapToGrid w:val="0"/>
        <w:spacing w:line="360" w:lineRule="auto"/>
        <w:ind w:left="1084" w:hanging="1084" w:hangingChars="300"/>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bookmarkStart w:id="570" w:name="_Toc15881"/>
      <w:r>
        <w:rPr>
          <w:rFonts w:hint="eastAsia" w:ascii="宋体" w:hAnsi="宋体" w:eastAsia="宋体" w:cs="宋体"/>
          <w:b/>
          <w:color w:val="auto"/>
          <w:sz w:val="36"/>
          <w:szCs w:val="36"/>
          <w:highlight w:val="none"/>
        </w:rPr>
        <w:t>第六章　响应文件格式</w:t>
      </w:r>
      <w:bookmarkEnd w:id="570"/>
    </w:p>
    <w:p w14:paraId="6D437182">
      <w:pPr>
        <w:snapToGrid w:val="0"/>
        <w:spacing w:before="120" w:beforeLines="50" w:after="50" w:line="360" w:lineRule="auto"/>
        <w:rPr>
          <w:rFonts w:hint="eastAsia" w:ascii="宋体" w:hAnsi="宋体" w:eastAsia="宋体" w:cs="宋体"/>
          <w:b/>
          <w:bCs/>
          <w:color w:val="auto"/>
          <w:sz w:val="24"/>
          <w:szCs w:val="20"/>
          <w:highlight w:val="none"/>
        </w:rPr>
      </w:pPr>
      <w:r>
        <w:rPr>
          <w:rFonts w:hint="eastAsia" w:ascii="宋体" w:hAnsi="宋体" w:eastAsia="宋体" w:cs="宋体"/>
          <w:b/>
          <w:color w:val="auto"/>
          <w:sz w:val="24"/>
          <w:highlight w:val="none"/>
        </w:rPr>
        <w:t>1.电子备份响应文件</w:t>
      </w:r>
      <w:r>
        <w:rPr>
          <w:rFonts w:hint="eastAsia" w:ascii="宋体" w:hAnsi="宋体" w:eastAsia="宋体" w:cs="宋体"/>
          <w:b/>
          <w:bCs/>
          <w:color w:val="auto"/>
          <w:sz w:val="24"/>
          <w:highlight w:val="none"/>
        </w:rPr>
        <w:t>的外包装封面格式</w:t>
      </w:r>
    </w:p>
    <w:p w14:paraId="1D8DED27">
      <w:pPr>
        <w:snapToGrid w:val="0"/>
        <w:spacing w:before="120" w:beforeLines="50" w:after="50" w:line="360" w:lineRule="auto"/>
        <w:rPr>
          <w:rFonts w:hint="eastAsia" w:ascii="宋体" w:hAnsi="宋体" w:eastAsia="宋体" w:cs="宋体"/>
          <w:b/>
          <w:color w:val="auto"/>
          <w:sz w:val="24"/>
          <w:highlight w:val="none"/>
        </w:rPr>
      </w:pPr>
    </w:p>
    <w:p w14:paraId="4D345F91">
      <w:pPr>
        <w:snapToGrid w:val="0"/>
        <w:spacing w:before="120" w:beforeLines="50" w:after="50"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电子备份响应文件</w:t>
      </w:r>
    </w:p>
    <w:p w14:paraId="50580342">
      <w:pPr>
        <w:snapToGrid w:val="0"/>
        <w:spacing w:before="120" w:beforeLines="50" w:after="50" w:line="360" w:lineRule="auto"/>
        <w:rPr>
          <w:rFonts w:hint="eastAsia" w:ascii="宋体" w:hAnsi="宋体" w:eastAsia="宋体" w:cs="宋体"/>
          <w:bCs/>
          <w:color w:val="auto"/>
          <w:sz w:val="24"/>
          <w:szCs w:val="20"/>
          <w:highlight w:val="none"/>
        </w:rPr>
      </w:pPr>
    </w:p>
    <w:p w14:paraId="633FCF53">
      <w:pPr>
        <w:snapToGrid w:val="0"/>
        <w:spacing w:before="120" w:beforeLines="50" w:after="50" w:line="360" w:lineRule="auto"/>
        <w:ind w:firstLine="1246" w:firstLineChars="445"/>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rPr>
        <w:t>项目名称：</w:t>
      </w:r>
      <w:r>
        <w:rPr>
          <w:rFonts w:hint="eastAsia" w:ascii="宋体" w:hAnsi="宋体" w:eastAsia="宋体" w:cs="宋体"/>
          <w:bCs/>
          <w:color w:val="auto"/>
          <w:sz w:val="28"/>
          <w:szCs w:val="28"/>
          <w:highlight w:val="none"/>
          <w:lang w:eastAsia="zh-CN"/>
        </w:rPr>
        <w:t>浙江省公安特警训练基地2025年度保障性基建维修项目</w:t>
      </w:r>
    </w:p>
    <w:p w14:paraId="3BBBA4CD">
      <w:pPr>
        <w:snapToGrid w:val="0"/>
        <w:spacing w:before="120" w:beforeLines="50" w:after="50" w:line="360" w:lineRule="auto"/>
        <w:ind w:firstLine="560" w:firstLineChars="200"/>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rPr>
        <w:t xml:space="preserve">     项目编号：</w:t>
      </w:r>
      <w:r>
        <w:rPr>
          <w:rFonts w:hint="eastAsia" w:ascii="宋体" w:hAnsi="宋体" w:eastAsia="宋体" w:cs="宋体"/>
          <w:bCs/>
          <w:color w:val="auto"/>
          <w:sz w:val="28"/>
          <w:szCs w:val="28"/>
          <w:highlight w:val="none"/>
          <w:lang w:eastAsia="zh-CN"/>
        </w:rPr>
        <w:t>YHQT25-01044</w:t>
      </w:r>
    </w:p>
    <w:p w14:paraId="677F5F3C">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27CA377A">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45611F0D">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3341169D">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供应商名称：</w:t>
      </w:r>
    </w:p>
    <w:p w14:paraId="6C1569DB">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供应商地址：</w:t>
      </w:r>
    </w:p>
    <w:p w14:paraId="17D54E2F">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在  年  月  日  时  分之前不得启封</w:t>
      </w:r>
    </w:p>
    <w:p w14:paraId="3E1337EE">
      <w:pPr>
        <w:pStyle w:val="4"/>
        <w:snapToGrid w:val="0"/>
        <w:spacing w:before="50" w:after="50" w:line="360" w:lineRule="auto"/>
        <w:ind w:firstLine="1164" w:firstLineChars="416"/>
        <w:rPr>
          <w:rFonts w:hint="eastAsia" w:ascii="宋体" w:hAnsi="宋体" w:eastAsia="宋体" w:cs="宋体"/>
          <w:color w:val="auto"/>
          <w:sz w:val="28"/>
          <w:szCs w:val="28"/>
          <w:highlight w:val="none"/>
        </w:rPr>
      </w:pPr>
    </w:p>
    <w:p w14:paraId="06507BE2">
      <w:pPr>
        <w:snapToGrid w:val="0"/>
        <w:spacing w:before="120" w:beforeLines="50" w:after="50" w:line="360" w:lineRule="auto"/>
        <w:ind w:firstLine="645"/>
        <w:rPr>
          <w:rFonts w:hint="eastAsia" w:ascii="宋体" w:hAnsi="宋体" w:eastAsia="宋体" w:cs="宋体"/>
          <w:color w:val="auto"/>
          <w:sz w:val="24"/>
          <w:szCs w:val="20"/>
          <w:highlight w:val="none"/>
        </w:rPr>
      </w:pPr>
      <w:r>
        <w:rPr>
          <w:rFonts w:hint="eastAsia" w:ascii="宋体" w:hAnsi="宋体" w:eastAsia="宋体" w:cs="宋体"/>
          <w:color w:val="auto"/>
          <w:sz w:val="28"/>
          <w:szCs w:val="28"/>
          <w:highlight w:val="none"/>
        </w:rPr>
        <w:t xml:space="preserve">                        年  月  日</w:t>
      </w:r>
    </w:p>
    <w:p w14:paraId="1621402F">
      <w:pPr>
        <w:snapToGrid w:val="0"/>
        <w:spacing w:before="120" w:beforeLines="50" w:after="50" w:line="360" w:lineRule="auto"/>
        <w:rPr>
          <w:rFonts w:hint="eastAsia" w:ascii="宋体" w:hAnsi="宋体" w:eastAsia="宋体" w:cs="宋体"/>
          <w:b/>
          <w:color w:val="auto"/>
          <w:sz w:val="24"/>
          <w:highlight w:val="none"/>
        </w:rPr>
      </w:pPr>
      <w:r>
        <w:rPr>
          <w:rFonts w:hint="eastAsia" w:ascii="宋体" w:hAnsi="宋体" w:eastAsia="宋体" w:cs="宋体"/>
          <w:color w:val="auto"/>
          <w:sz w:val="24"/>
          <w:szCs w:val="20"/>
          <w:highlight w:val="none"/>
        </w:rPr>
        <w:br w:type="page"/>
      </w:r>
      <w:r>
        <w:rPr>
          <w:rFonts w:hint="eastAsia" w:ascii="宋体" w:hAnsi="宋体" w:eastAsia="宋体" w:cs="宋体"/>
          <w:b/>
          <w:color w:val="auto"/>
          <w:sz w:val="24"/>
          <w:highlight w:val="none"/>
        </w:rPr>
        <w:t>2.响应文件封面格式</w:t>
      </w:r>
    </w:p>
    <w:p w14:paraId="70C9E9B6">
      <w:pPr>
        <w:snapToGrid w:val="0"/>
        <w:spacing w:before="120" w:beforeLines="50" w:after="50" w:line="360" w:lineRule="auto"/>
        <w:rPr>
          <w:rFonts w:hint="eastAsia" w:ascii="宋体" w:hAnsi="宋体" w:eastAsia="宋体" w:cs="宋体"/>
          <w:b/>
          <w:color w:val="auto"/>
          <w:sz w:val="24"/>
          <w:highlight w:val="none"/>
        </w:rPr>
      </w:pPr>
    </w:p>
    <w:p w14:paraId="7985030A">
      <w:pPr>
        <w:snapToGrid w:val="0"/>
        <w:spacing w:before="120" w:beforeLines="50" w:after="50" w:line="360" w:lineRule="auto"/>
        <w:rPr>
          <w:rFonts w:hint="eastAsia" w:ascii="宋体" w:hAnsi="宋体" w:eastAsia="宋体" w:cs="宋体"/>
          <w:b/>
          <w:bCs/>
          <w:color w:val="auto"/>
          <w:sz w:val="32"/>
          <w:szCs w:val="20"/>
          <w:highlight w:val="none"/>
        </w:rPr>
      </w:pPr>
      <w:r>
        <w:rPr>
          <w:rFonts w:hint="eastAsia" w:ascii="宋体" w:hAnsi="宋体" w:eastAsia="宋体" w:cs="宋体"/>
          <w:color w:val="auto"/>
          <w:sz w:val="24"/>
          <w:highlight w:val="none"/>
        </w:rPr>
        <w:t xml:space="preserve">                                                    </w:t>
      </w:r>
    </w:p>
    <w:p w14:paraId="19661C1C">
      <w:pPr>
        <w:snapToGrid w:val="0"/>
        <w:spacing w:before="120" w:beforeLines="50" w:after="50" w:line="360" w:lineRule="auto"/>
        <w:jc w:val="center"/>
        <w:rPr>
          <w:rFonts w:hint="eastAsia" w:ascii="宋体" w:hAnsi="宋体" w:eastAsia="宋体" w:cs="宋体"/>
          <w:bCs/>
          <w:color w:val="auto"/>
          <w:sz w:val="24"/>
          <w:szCs w:val="20"/>
          <w:highlight w:val="none"/>
        </w:rPr>
      </w:pPr>
    </w:p>
    <w:p w14:paraId="1D6F526C">
      <w:pPr>
        <w:snapToGrid w:val="0"/>
        <w:spacing w:before="120" w:beforeLines="50" w:after="50"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竞争性磋商采购响应文件</w:t>
      </w:r>
    </w:p>
    <w:p w14:paraId="7442BD69">
      <w:pPr>
        <w:snapToGrid w:val="0"/>
        <w:spacing w:before="120" w:beforeLines="50" w:after="50" w:line="360" w:lineRule="auto"/>
        <w:rPr>
          <w:rFonts w:hint="eastAsia" w:ascii="宋体" w:hAnsi="宋体" w:eastAsia="宋体" w:cs="宋体"/>
          <w:bCs/>
          <w:color w:val="auto"/>
          <w:sz w:val="24"/>
          <w:szCs w:val="20"/>
          <w:highlight w:val="none"/>
        </w:rPr>
      </w:pPr>
    </w:p>
    <w:p w14:paraId="7350C967">
      <w:pPr>
        <w:snapToGrid w:val="0"/>
        <w:spacing w:before="120" w:beforeLines="50" w:after="50" w:line="360" w:lineRule="auto"/>
        <w:ind w:firstLine="1246" w:firstLineChars="445"/>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rPr>
        <w:t>项目名称：</w:t>
      </w:r>
      <w:r>
        <w:rPr>
          <w:rFonts w:hint="eastAsia" w:ascii="宋体" w:hAnsi="宋体" w:eastAsia="宋体" w:cs="宋体"/>
          <w:bCs/>
          <w:color w:val="auto"/>
          <w:sz w:val="28"/>
          <w:szCs w:val="28"/>
          <w:highlight w:val="none"/>
          <w:lang w:eastAsia="zh-CN"/>
        </w:rPr>
        <w:t>浙江省公安特警训练基地2025年度保障性基建维修项目</w:t>
      </w:r>
    </w:p>
    <w:p w14:paraId="6D583198">
      <w:pPr>
        <w:snapToGrid w:val="0"/>
        <w:spacing w:before="120" w:beforeLines="50" w:after="50" w:line="360" w:lineRule="auto"/>
        <w:ind w:firstLine="560" w:firstLineChars="200"/>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rPr>
        <w:t xml:space="preserve">     项目编号：</w:t>
      </w:r>
      <w:r>
        <w:rPr>
          <w:rFonts w:hint="eastAsia" w:ascii="宋体" w:hAnsi="宋体" w:eastAsia="宋体" w:cs="宋体"/>
          <w:bCs/>
          <w:color w:val="auto"/>
          <w:sz w:val="28"/>
          <w:szCs w:val="28"/>
          <w:highlight w:val="none"/>
          <w:lang w:eastAsia="zh-CN"/>
        </w:rPr>
        <w:t>YHQT25-01044</w:t>
      </w:r>
    </w:p>
    <w:p w14:paraId="172F4E4F">
      <w:pPr>
        <w:snapToGrid w:val="0"/>
        <w:spacing w:before="120" w:beforeLines="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    </w:t>
      </w:r>
    </w:p>
    <w:p w14:paraId="5929C3BF">
      <w:pPr>
        <w:pStyle w:val="4"/>
        <w:snapToGrid w:val="0"/>
        <w:spacing w:before="50" w:after="50" w:line="360" w:lineRule="auto"/>
        <w:jc w:val="center"/>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t>（</w:t>
      </w:r>
      <w:r>
        <w:rPr>
          <w:rFonts w:hint="eastAsia" w:ascii="宋体" w:hAnsi="宋体" w:eastAsia="宋体" w:cs="宋体"/>
          <w:bCs/>
          <w:color w:val="auto"/>
          <w:sz w:val="36"/>
          <w:szCs w:val="36"/>
          <w:highlight w:val="none"/>
        </w:rPr>
        <w:t>资格文件</w:t>
      </w:r>
      <w:r>
        <w:rPr>
          <w:rFonts w:hint="eastAsia" w:ascii="宋体" w:hAnsi="宋体" w:eastAsia="宋体" w:cs="宋体"/>
          <w:bCs/>
          <w:color w:val="auto"/>
          <w:sz w:val="36"/>
          <w:szCs w:val="36"/>
          <w:highlight w:val="none"/>
          <w:lang w:val="en-US" w:eastAsia="zh-CN"/>
        </w:rPr>
        <w:t>/</w:t>
      </w:r>
      <w:r>
        <w:rPr>
          <w:rFonts w:hint="eastAsia" w:ascii="宋体" w:hAnsi="宋体" w:eastAsia="宋体" w:cs="宋体"/>
          <w:bCs/>
          <w:color w:val="auto"/>
          <w:sz w:val="36"/>
          <w:szCs w:val="36"/>
          <w:highlight w:val="none"/>
        </w:rPr>
        <w:t>商务技术文件</w:t>
      </w:r>
      <w:r>
        <w:rPr>
          <w:rFonts w:hint="eastAsia" w:ascii="宋体" w:hAnsi="宋体" w:eastAsia="宋体" w:cs="宋体"/>
          <w:bCs/>
          <w:color w:val="auto"/>
          <w:sz w:val="36"/>
          <w:szCs w:val="36"/>
          <w:highlight w:val="none"/>
          <w:lang w:val="en-US" w:eastAsia="zh-CN"/>
        </w:rPr>
        <w:t>/</w:t>
      </w:r>
      <w:r>
        <w:rPr>
          <w:rFonts w:hint="eastAsia" w:ascii="宋体" w:hAnsi="宋体" w:eastAsia="宋体" w:cs="宋体"/>
          <w:bCs/>
          <w:color w:val="auto"/>
          <w:sz w:val="36"/>
          <w:szCs w:val="36"/>
          <w:highlight w:val="none"/>
        </w:rPr>
        <w:t>报价文件</w:t>
      </w:r>
      <w:r>
        <w:rPr>
          <w:rFonts w:hint="eastAsia" w:ascii="宋体" w:hAnsi="宋体" w:eastAsia="宋体" w:cs="宋体"/>
          <w:bCs/>
          <w:color w:val="auto"/>
          <w:sz w:val="36"/>
          <w:szCs w:val="36"/>
          <w:highlight w:val="none"/>
          <w:lang w:eastAsia="zh-CN"/>
        </w:rPr>
        <w:t>）</w:t>
      </w:r>
    </w:p>
    <w:p w14:paraId="2142AD9F">
      <w:pPr>
        <w:pStyle w:val="4"/>
        <w:snapToGrid w:val="0"/>
        <w:spacing w:before="50" w:after="50" w:line="360" w:lineRule="auto"/>
        <w:ind w:firstLine="1260" w:firstLineChars="450"/>
        <w:rPr>
          <w:rFonts w:hint="eastAsia" w:ascii="宋体" w:hAnsi="宋体" w:eastAsia="宋体" w:cs="宋体"/>
          <w:bCs/>
          <w:color w:val="auto"/>
          <w:sz w:val="28"/>
          <w:szCs w:val="28"/>
          <w:highlight w:val="none"/>
          <w:lang w:eastAsia="zh-CN"/>
        </w:rPr>
      </w:pPr>
    </w:p>
    <w:p w14:paraId="5BB54FCA">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1808CE34">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39F35DFD">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p>
    <w:p w14:paraId="2FAB94A8">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供应商名称：</w:t>
      </w:r>
    </w:p>
    <w:p w14:paraId="6E31462E">
      <w:pPr>
        <w:pStyle w:val="4"/>
        <w:snapToGrid w:val="0"/>
        <w:spacing w:before="50" w:after="50" w:line="360" w:lineRule="auto"/>
        <w:ind w:firstLine="1260" w:firstLineChars="45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供应商地址：</w:t>
      </w:r>
    </w:p>
    <w:p w14:paraId="60F9E751">
      <w:pPr>
        <w:snapToGrid w:val="0"/>
        <w:spacing w:before="120" w:beforeLines="50" w:after="50" w:line="360" w:lineRule="auto"/>
        <w:ind w:firstLine="64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102E0866">
      <w:pPr>
        <w:snapToGrid w:val="0"/>
        <w:spacing w:before="120" w:beforeLines="50" w:after="50" w:line="360" w:lineRule="auto"/>
        <w:ind w:firstLine="645"/>
        <w:jc w:val="center"/>
        <w:rPr>
          <w:rFonts w:hint="eastAsia" w:ascii="宋体" w:hAnsi="宋体" w:eastAsia="宋体" w:cs="宋体"/>
          <w:color w:val="auto"/>
          <w:sz w:val="24"/>
          <w:szCs w:val="20"/>
          <w:highlight w:val="none"/>
        </w:rPr>
      </w:pPr>
      <w:r>
        <w:rPr>
          <w:rFonts w:hint="eastAsia" w:ascii="宋体" w:hAnsi="宋体" w:eastAsia="宋体" w:cs="宋体"/>
          <w:color w:val="auto"/>
          <w:sz w:val="28"/>
          <w:szCs w:val="28"/>
          <w:highlight w:val="none"/>
        </w:rPr>
        <w:t>年  月  日</w:t>
      </w:r>
    </w:p>
    <w:p w14:paraId="456AE439">
      <w:pPr>
        <w:snapToGrid w:val="0"/>
        <w:spacing w:before="120" w:beforeLines="50" w:after="50" w:line="360" w:lineRule="auto"/>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3.资格证明文件目录</w:t>
      </w:r>
    </w:p>
    <w:p w14:paraId="369D1CE9">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（1）资格承诺函……………………………………………………………（页码）</w:t>
      </w:r>
    </w:p>
    <w:p w14:paraId="78F9EEB2">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（2）法人或者其他组织的营业执照等证明文件，自然人的身份证明…（页码）</w:t>
      </w:r>
    </w:p>
    <w:p w14:paraId="0D71F41B">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（3）联合协议………………………………………………………………（页码）</w:t>
      </w:r>
    </w:p>
    <w:p w14:paraId="296968F8">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（4）落实政府采购政策需满足的资格要求………………………………（页码）</w:t>
      </w:r>
    </w:p>
    <w:p w14:paraId="0A017173">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（5）本项目的特定资格要求………………………………………………（页码）</w:t>
      </w:r>
    </w:p>
    <w:p w14:paraId="62278834">
      <w:pPr>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4.</w:t>
      </w:r>
      <w:r>
        <w:rPr>
          <w:rFonts w:hint="eastAsia" w:ascii="宋体" w:hAnsi="宋体" w:eastAsia="宋体" w:cs="宋体"/>
          <w:color w:val="auto"/>
          <w:kern w:val="0"/>
          <w:sz w:val="24"/>
          <w:highlight w:val="none"/>
        </w:rPr>
        <w:t xml:space="preserve"> </w:t>
      </w:r>
      <w:r>
        <w:rPr>
          <w:rFonts w:hint="eastAsia" w:ascii="宋体" w:hAnsi="宋体" w:eastAsia="宋体" w:cs="宋体"/>
          <w:b/>
          <w:color w:val="auto"/>
          <w:sz w:val="24"/>
          <w:highlight w:val="none"/>
        </w:rPr>
        <w:t>供应商资格承诺函</w:t>
      </w:r>
    </w:p>
    <w:p w14:paraId="0AABDB49">
      <w:pPr>
        <w:rPr>
          <w:rFonts w:hint="eastAsia" w:ascii="宋体" w:hAnsi="宋体" w:eastAsia="宋体" w:cs="宋体"/>
          <w:color w:val="auto"/>
          <w:kern w:val="0"/>
          <w:sz w:val="24"/>
          <w:highlight w:val="none"/>
        </w:rPr>
      </w:pPr>
    </w:p>
    <w:p w14:paraId="71163887">
      <w:pPr>
        <w:snapToGrid w:val="0"/>
        <w:spacing w:before="120" w:beforeLines="50" w:after="50" w:line="360" w:lineRule="auto"/>
        <w:jc w:val="center"/>
        <w:rPr>
          <w:rFonts w:hint="eastAsia" w:ascii="宋体" w:hAnsi="宋体" w:eastAsia="宋体" w:cs="宋体"/>
          <w:color w:val="auto"/>
          <w:sz w:val="30"/>
          <w:szCs w:val="30"/>
          <w:highlight w:val="none"/>
        </w:rPr>
      </w:pPr>
      <w:r>
        <w:rPr>
          <w:rFonts w:hint="eastAsia" w:ascii="宋体" w:hAnsi="宋体" w:eastAsia="宋体" w:cs="宋体"/>
          <w:b/>
          <w:color w:val="auto"/>
          <w:sz w:val="30"/>
          <w:szCs w:val="30"/>
          <w:highlight w:val="none"/>
        </w:rPr>
        <w:t>磋商响应人资格承诺函</w:t>
      </w:r>
    </w:p>
    <w:p w14:paraId="00F23ABA">
      <w:pPr>
        <w:adjustRightInd w:val="0"/>
        <w:snapToGrid w:val="0"/>
        <w:spacing w:line="360" w:lineRule="auto"/>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浙江警察学院</w:t>
      </w:r>
      <w:r>
        <w:rPr>
          <w:rFonts w:hint="eastAsia" w:ascii="宋体" w:hAnsi="宋体" w:eastAsia="宋体" w:cs="宋体"/>
          <w:color w:val="auto"/>
          <w:sz w:val="24"/>
          <w:highlight w:val="none"/>
          <w:u w:val="single"/>
        </w:rPr>
        <w:t xml:space="preserve">、耀华建设管理有限公司     </w:t>
      </w:r>
      <w:r>
        <w:rPr>
          <w:rFonts w:hint="eastAsia" w:ascii="宋体" w:hAnsi="宋体" w:eastAsia="宋体" w:cs="宋体"/>
          <w:color w:val="auto"/>
          <w:sz w:val="24"/>
          <w:highlight w:val="none"/>
        </w:rPr>
        <w:t>：</w:t>
      </w:r>
    </w:p>
    <w:p w14:paraId="01235D38">
      <w:pPr>
        <w:adjustRightInd w:val="0"/>
        <w:snapToGrid w:val="0"/>
        <w:spacing w:line="360" w:lineRule="auto"/>
        <w:ind w:firstLine="720" w:firstLineChars="300"/>
        <w:rPr>
          <w:rFonts w:hint="eastAsia" w:ascii="宋体" w:hAnsi="宋体" w:eastAsia="宋体" w:cs="宋体"/>
          <w:color w:val="auto"/>
          <w:sz w:val="24"/>
          <w:szCs w:val="20"/>
          <w:highlight w:val="none"/>
        </w:rPr>
      </w:pPr>
      <w:r>
        <w:rPr>
          <w:rFonts w:hint="eastAsia" w:ascii="宋体" w:hAnsi="宋体" w:eastAsia="宋体" w:cs="宋体"/>
          <w:color w:val="auto"/>
          <w:sz w:val="24"/>
          <w:highlight w:val="none"/>
        </w:rPr>
        <w:t>我方参与</w:t>
      </w:r>
      <w:r>
        <w:rPr>
          <w:rFonts w:hint="eastAsia" w:ascii="宋体" w:hAnsi="宋体" w:eastAsia="宋体" w:cs="宋体"/>
          <w:color w:val="auto"/>
          <w:sz w:val="24"/>
          <w:highlight w:val="none"/>
          <w:lang w:eastAsia="zh-CN"/>
        </w:rPr>
        <w:t>浙江省公安特警训练基地2025年度保障性基建维修项目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YHQT25-01044</w:t>
      </w:r>
      <w:r>
        <w:rPr>
          <w:rFonts w:hint="eastAsia" w:ascii="宋体" w:hAnsi="宋体" w:eastAsia="宋体" w:cs="宋体"/>
          <w:color w:val="auto"/>
          <w:sz w:val="24"/>
          <w:highlight w:val="none"/>
        </w:rPr>
        <w:t>】采购活动，郑重承诺：</w:t>
      </w:r>
    </w:p>
    <w:p w14:paraId="39C6800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w:t>
      </w:r>
    </w:p>
    <w:p w14:paraId="62AE67CC">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1、具有独立承担民事责任的能力；</w:t>
      </w:r>
    </w:p>
    <w:p w14:paraId="2D027F41">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2、具有良好的商业信誉和健全的财务会计制度；</w:t>
      </w:r>
    </w:p>
    <w:p w14:paraId="1067A248">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3、具有履行合同所必需的设备和专业技术能力；</w:t>
      </w:r>
    </w:p>
    <w:p w14:paraId="05887801">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4、有依法缴纳税收和社会保障资金的良好记录；</w:t>
      </w:r>
    </w:p>
    <w:p w14:paraId="1E3F3F75">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5、参加政府采购活动前三年内，在经营活动中没有重大违法记录；</w:t>
      </w:r>
    </w:p>
    <w:p w14:paraId="4FEFFC41">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二、未被“信用中国”（www.creditchina.gov.cn)、中国政府采购网（www.ccgp.gov.cn）列入失信被执行人、重大税收违法案件当事人名单、政府采购严重违法失信行为记录名单。</w:t>
      </w:r>
    </w:p>
    <w:p w14:paraId="2C096C5A">
      <w:pPr>
        <w:adjustRightInd w:val="0"/>
        <w:snapToGrid w:val="0"/>
        <w:spacing w:line="360" w:lineRule="auto"/>
        <w:ind w:firstLine="480" w:firstLineChars="200"/>
        <w:rPr>
          <w:rFonts w:hint="eastAsia" w:ascii="宋体" w:hAnsi="宋体" w:eastAsia="宋体" w:cs="宋体"/>
          <w:i/>
          <w:color w:val="auto"/>
          <w:kern w:val="0"/>
          <w:sz w:val="24"/>
          <w:highlight w:val="none"/>
        </w:rPr>
      </w:pPr>
    </w:p>
    <w:p w14:paraId="4D025D28">
      <w:pPr>
        <w:adjustRightInd w:val="0"/>
        <w:snapToGrid w:val="0"/>
        <w:spacing w:line="360" w:lineRule="auto"/>
        <w:ind w:firstLine="5520" w:firstLineChars="2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供应商名称(电子签名)：</w:t>
      </w:r>
    </w:p>
    <w:p w14:paraId="22D817B5">
      <w:pPr>
        <w:adjustRightInd w:val="0"/>
        <w:snapToGrid w:val="0"/>
        <w:spacing w:line="360" w:lineRule="auto"/>
        <w:rPr>
          <w:rFonts w:hint="eastAsia" w:ascii="宋体" w:hAnsi="宋体" w:eastAsia="宋体" w:cs="宋体"/>
          <w:b/>
          <w:color w:val="auto"/>
          <w:kern w:val="0"/>
          <w:sz w:val="32"/>
          <w:szCs w:val="32"/>
          <w:highlight w:val="none"/>
        </w:rPr>
      </w:pP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14:paraId="26F1FE7E">
      <w:pPr>
        <w:adjustRightInd w:val="0"/>
        <w:snapToGrid w:val="0"/>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注：1.根据《关于规范政府采购供应商资格设定及资格审查的通知》（浙财采监[2013]24号）的相关规定，金融、保险、通讯等特定行业的全国性企业所设立的区域性分支机构，以及个体工商户、个人独资企业、合伙企业，参与政府采购活动，如果已经依法办理了工商、税务和社保登记手续，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68D5BDFA">
      <w:pPr>
        <w:pStyle w:val="8"/>
        <w:adjustRightInd w:val="0"/>
        <w:snapToGrid w:val="0"/>
        <w:spacing w:before="0" w:beforeLines="0" w:after="0" w:afterLines="0" w:line="360" w:lineRule="auto"/>
        <w:rPr>
          <w:rFonts w:hint="eastAsia" w:ascii="宋体" w:hAnsi="宋体" w:eastAsia="宋体" w:cs="宋体"/>
          <w:color w:val="auto"/>
          <w:highlight w:val="none"/>
        </w:rPr>
        <w:sectPr>
          <w:headerReference r:id="rId9" w:type="first"/>
          <w:footerReference r:id="rId12" w:type="first"/>
          <w:headerReference r:id="rId8" w:type="default"/>
          <w:footerReference r:id="rId10" w:type="default"/>
          <w:footerReference r:id="rId11" w:type="even"/>
          <w:pgSz w:w="11906" w:h="16838"/>
          <w:pgMar w:top="1440" w:right="1263" w:bottom="1440" w:left="1603" w:header="794" w:footer="794" w:gutter="0"/>
          <w:cols w:space="720" w:num="1"/>
          <w:docGrid w:linePitch="312" w:charSpace="0"/>
        </w:sectPr>
      </w:pPr>
      <w:r>
        <w:rPr>
          <w:rFonts w:hint="eastAsia" w:ascii="宋体" w:hAnsi="宋体" w:eastAsia="宋体" w:cs="宋体"/>
          <w:b/>
          <w:bCs/>
          <w:i/>
          <w:iCs/>
          <w:color w:val="auto"/>
          <w:highlight w:val="none"/>
        </w:rPr>
        <w:t>2.▲供应商为联合体的，联合体各方均须签署并提供本承诺函，否则投标无效。</w:t>
      </w:r>
      <w:r>
        <w:rPr>
          <w:rFonts w:hint="eastAsia" w:ascii="宋体" w:hAnsi="宋体" w:eastAsia="宋体" w:cs="宋体"/>
          <w:color w:val="auto"/>
          <w:highlight w:val="none"/>
        </w:rPr>
        <w:br w:type="page"/>
      </w:r>
      <w:r>
        <w:rPr>
          <w:rFonts w:hint="eastAsia" w:ascii="宋体" w:hAnsi="宋体" w:eastAsia="宋体" w:cs="宋体"/>
          <w:b/>
          <w:bCs/>
          <w:color w:val="auto"/>
          <w:highlight w:val="none"/>
        </w:rPr>
        <w:t>5.法人或者其他组织的营业执照等证明文件，自然人的身份证明；</w:t>
      </w:r>
    </w:p>
    <w:p w14:paraId="1E1228E3">
      <w:pPr>
        <w:pStyle w:val="8"/>
        <w:adjustRightInd w:val="0"/>
        <w:snapToGrid w:val="0"/>
        <w:spacing w:before="0" w:beforeLines="0" w:after="0" w:afterLines="0"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6.联合协议（如果有）</w:t>
      </w:r>
    </w:p>
    <w:p w14:paraId="3AFD8DF0">
      <w:pPr>
        <w:adjustRightInd w:val="0"/>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联合协议（如果有）</w:t>
      </w:r>
    </w:p>
    <w:p w14:paraId="6F1B386A">
      <w:pPr>
        <w:widowControl/>
        <w:adjustRightInd w:val="0"/>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（以联合体形式响应的，提供联合协议；本项目不接受联合体响应或者供应商不以联合体形式响应的，则不需要提供）</w:t>
      </w:r>
    </w:p>
    <w:p w14:paraId="7785A44C">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（联合体所有成员名称）</w:t>
      </w:r>
      <w:r>
        <w:rPr>
          <w:rFonts w:hint="eastAsia" w:ascii="宋体" w:hAnsi="宋体" w:eastAsia="宋体" w:cs="宋体"/>
          <w:color w:val="auto"/>
          <w:kern w:val="0"/>
          <w:sz w:val="24"/>
          <w:highlight w:val="none"/>
        </w:rPr>
        <w:t>自愿</w:t>
      </w:r>
      <w:r>
        <w:rPr>
          <w:rFonts w:hint="eastAsia" w:ascii="宋体" w:hAnsi="宋体" w:eastAsia="宋体" w:cs="宋体"/>
          <w:color w:val="auto"/>
          <w:kern w:val="0"/>
          <w:sz w:val="24"/>
          <w:highlight w:val="none"/>
          <w:lang w:val="zh-CN"/>
        </w:rPr>
        <w:t>组成一个联合体，以一个供应商的身份</w:t>
      </w:r>
      <w:r>
        <w:rPr>
          <w:rFonts w:hint="eastAsia" w:ascii="宋体" w:hAnsi="宋体" w:eastAsia="宋体" w:cs="宋体"/>
          <w:color w:val="auto"/>
          <w:kern w:val="0"/>
          <w:sz w:val="24"/>
          <w:highlight w:val="none"/>
        </w:rPr>
        <w:t>参加</w:t>
      </w:r>
      <w:r>
        <w:rPr>
          <w:rFonts w:hint="eastAsia" w:ascii="宋体" w:hAnsi="宋体" w:eastAsia="宋体" w:cs="宋体"/>
          <w:color w:val="auto"/>
          <w:sz w:val="24"/>
          <w:highlight w:val="none"/>
          <w:lang w:eastAsia="zh-CN"/>
        </w:rPr>
        <w:t>浙江省公安特警训练基地2025年度保障性基建维修项目</w:t>
      </w:r>
      <w:r>
        <w:rPr>
          <w:rFonts w:hint="eastAsia" w:ascii="宋体" w:hAnsi="宋体" w:eastAsia="宋体" w:cs="宋体"/>
          <w:color w:val="auto"/>
          <w:kern w:val="0"/>
          <w:sz w:val="24"/>
          <w:highlight w:val="none"/>
          <w:lang w:val="zh-CN"/>
        </w:rPr>
        <w:t xml:space="preserve">【项目编号：YHQT25-01044】响应。 </w:t>
      </w:r>
    </w:p>
    <w:p w14:paraId="69EAF7C5">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一、各方一致决定，</w:t>
      </w:r>
      <w:r>
        <w:rPr>
          <w:rFonts w:hint="eastAsia" w:ascii="宋体" w:hAnsi="宋体" w:eastAsia="宋体" w:cs="宋体"/>
          <w:color w:val="auto"/>
          <w:kern w:val="0"/>
          <w:sz w:val="24"/>
          <w:highlight w:val="none"/>
          <w:u w:val="single"/>
        </w:rPr>
        <w:t>（某联合体成员名称）</w:t>
      </w:r>
      <w:r>
        <w:rPr>
          <w:rFonts w:hint="eastAsia" w:ascii="宋体" w:hAnsi="宋体" w:eastAsia="宋体" w:cs="宋体"/>
          <w:color w:val="auto"/>
          <w:kern w:val="0"/>
          <w:sz w:val="24"/>
          <w:highlight w:val="none"/>
        </w:rPr>
        <w:t>为联合体</w:t>
      </w:r>
      <w:r>
        <w:rPr>
          <w:rFonts w:hint="eastAsia" w:ascii="宋体" w:hAnsi="宋体" w:eastAsia="宋体" w:cs="宋体"/>
          <w:color w:val="auto"/>
          <w:kern w:val="0"/>
          <w:sz w:val="24"/>
          <w:highlight w:val="none"/>
          <w:lang w:val="zh-CN"/>
        </w:rPr>
        <w:t>牵头人</w:t>
      </w:r>
      <w:r>
        <w:rPr>
          <w:rFonts w:hint="eastAsia" w:ascii="宋体" w:hAnsi="宋体" w:eastAsia="宋体" w:cs="宋体"/>
          <w:color w:val="auto"/>
          <w:sz w:val="24"/>
          <w:highlight w:val="none"/>
        </w:rPr>
        <w:t>，代表所有联合体成员负责响应和合同实施阶段的主办、协调工作</w:t>
      </w:r>
      <w:r>
        <w:rPr>
          <w:rFonts w:hint="eastAsia" w:ascii="宋体" w:hAnsi="宋体" w:eastAsia="宋体" w:cs="宋体"/>
          <w:color w:val="auto"/>
          <w:kern w:val="0"/>
          <w:sz w:val="24"/>
          <w:highlight w:val="none"/>
          <w:lang w:val="zh-CN"/>
        </w:rPr>
        <w:t>。</w:t>
      </w:r>
    </w:p>
    <w:p w14:paraId="4F3EADF0">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w:t>
      </w:r>
      <w:r>
        <w:rPr>
          <w:rFonts w:hint="eastAsia" w:ascii="宋体" w:hAnsi="宋体" w:eastAsia="宋体" w:cs="宋体"/>
          <w:color w:val="auto"/>
          <w:sz w:val="24"/>
          <w:highlight w:val="none"/>
        </w:rPr>
        <w:t>所有联合体成员各方签署授权书，授权书载明的</w:t>
      </w:r>
      <w:r>
        <w:rPr>
          <w:rFonts w:hint="eastAsia" w:ascii="宋体" w:hAnsi="宋体" w:eastAsia="宋体" w:cs="宋体"/>
          <w:color w:val="auto"/>
          <w:kern w:val="0"/>
          <w:sz w:val="24"/>
          <w:highlight w:val="none"/>
          <w:lang w:val="zh-CN"/>
        </w:rPr>
        <w:t>授权代表根据磋商文件规定及采购内容而对采购人、采购代理机构所作的任何合法承诺，包括书面澄清及相应等均对联合体各方产生约束力。</w:t>
      </w:r>
    </w:p>
    <w:p w14:paraId="4D0DE4ED">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三、本次联合响应中，分工如下：</w:t>
      </w:r>
    </w:p>
    <w:p w14:paraId="2FCFF025">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（联合体成员1）</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272F95BA">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（联合体成员2）</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14:paraId="0ECF7C7E">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w:t>
      </w:r>
    </w:p>
    <w:p w14:paraId="6ACFE953">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四、联合体成员中小企业合同份额（如果有）。</w:t>
      </w:r>
    </w:p>
    <w:p w14:paraId="1F787505">
      <w:pPr>
        <w:adjustRightInd w:val="0"/>
        <w:snapToGrid w:val="0"/>
        <w:spacing w:line="360" w:lineRule="auto"/>
        <w:ind w:firstLine="576"/>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1、</w:t>
      </w:r>
      <w:r>
        <w:rPr>
          <w:rFonts w:hint="eastAsia" w:ascii="宋体" w:hAnsi="宋体" w:eastAsia="宋体" w:cs="宋体"/>
          <w:color w:val="auto"/>
          <w:kern w:val="0"/>
          <w:sz w:val="24"/>
          <w:highlight w:val="none"/>
          <w:u w:val="single"/>
        </w:rPr>
        <w:t>（</w:t>
      </w:r>
      <w:bookmarkStart w:id="571" w:name="_Hlk101131882"/>
      <w:r>
        <w:rPr>
          <w:rFonts w:hint="eastAsia" w:ascii="宋体" w:hAnsi="宋体" w:eastAsia="宋体" w:cs="宋体"/>
          <w:color w:val="auto"/>
          <w:kern w:val="0"/>
          <w:sz w:val="24"/>
          <w:highlight w:val="none"/>
          <w:u w:val="single"/>
        </w:rPr>
        <w:t>联合体成员X,……</w:t>
      </w:r>
      <w:bookmarkEnd w:id="571"/>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提供的服务由小微企业承接，其合同份额占到合同总金额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w:t>
      </w:r>
      <w:bookmarkStart w:id="572" w:name="_Hlk101133598"/>
      <w:r>
        <w:rPr>
          <w:rFonts w:hint="eastAsia" w:ascii="宋体" w:hAnsi="宋体" w:eastAsia="宋体" w:cs="宋体"/>
          <w:b/>
          <w:color w:val="auto"/>
          <w:kern w:val="0"/>
          <w:sz w:val="24"/>
          <w:highlight w:val="none"/>
          <w:lang w:val="zh-CN"/>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宋体" w:hAnsi="宋体" w:eastAsia="宋体" w:cs="宋体"/>
          <w:b/>
          <w:color w:val="auto"/>
          <w:sz w:val="24"/>
          <w:highlight w:val="none"/>
        </w:rPr>
        <w:t>拟享受以上价格扣除政策的，填写有关内容。</w:t>
      </w:r>
      <w:bookmarkEnd w:id="572"/>
      <w:r>
        <w:rPr>
          <w:rFonts w:hint="eastAsia" w:ascii="宋体" w:hAnsi="宋体" w:eastAsia="宋体" w:cs="宋体"/>
          <w:b/>
          <w:color w:val="auto"/>
          <w:kern w:val="0"/>
          <w:sz w:val="24"/>
          <w:highlight w:val="none"/>
          <w:lang w:val="zh-CN"/>
        </w:rPr>
        <w:t>）</w:t>
      </w:r>
    </w:p>
    <w:p w14:paraId="04B24CDE">
      <w:pPr>
        <w:adjustRightInd w:val="0"/>
        <w:spacing w:line="360" w:lineRule="auto"/>
        <w:ind w:firstLine="480" w:firstLineChars="200"/>
        <w:rPr>
          <w:rFonts w:hint="eastAsia" w:ascii="宋体" w:hAnsi="宋体" w:eastAsia="宋体" w:cs="宋体"/>
          <w:b/>
          <w:bCs/>
          <w:color w:val="auto"/>
          <w:kern w:val="0"/>
          <w:sz w:val="24"/>
          <w:highlight w:val="none"/>
          <w:lang w:val="zh-CN"/>
        </w:rPr>
      </w:pPr>
      <w:r>
        <w:rPr>
          <w:rFonts w:hint="eastAsia" w:ascii="宋体" w:hAnsi="宋体" w:eastAsia="宋体" w:cs="宋体"/>
          <w:color w:val="auto"/>
          <w:sz w:val="24"/>
          <w:highlight w:val="none"/>
        </w:rPr>
        <w:t>2、</w:t>
      </w:r>
      <w:bookmarkStart w:id="573" w:name="_Hlk101133173"/>
      <w:r>
        <w:rPr>
          <w:rFonts w:hint="eastAsia" w:ascii="宋体" w:hAnsi="宋体" w:eastAsia="宋体" w:cs="宋体"/>
          <w:color w:val="auto"/>
          <w:sz w:val="24"/>
          <w:highlight w:val="none"/>
        </w:rPr>
        <w:t>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要求以联合体形式参加的项目或采购包，供应商按磋商文件第一部分竞争性磋商公告申请人的资格要求中规定的联合协议中中小企业、小微企业合同金额应当达到的比例要求填写。</w:t>
      </w:r>
      <w:r>
        <w:rPr>
          <w:rFonts w:hint="eastAsia" w:ascii="宋体" w:hAnsi="宋体" w:eastAsia="宋体" w:cs="宋体"/>
          <w:b/>
          <w:bCs/>
          <w:color w:val="auto"/>
          <w:kern w:val="0"/>
          <w:sz w:val="24"/>
          <w:highlight w:val="none"/>
          <w:lang w:val="zh-CN"/>
        </w:rPr>
        <w:t>）</w:t>
      </w:r>
      <w:bookmarkEnd w:id="573"/>
    </w:p>
    <w:p w14:paraId="577332FC">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五、如果成交，</w:t>
      </w:r>
      <w:r>
        <w:rPr>
          <w:rFonts w:hint="eastAsia" w:ascii="宋体" w:hAnsi="宋体" w:eastAsia="宋体" w:cs="宋体"/>
          <w:color w:val="auto"/>
          <w:sz w:val="24"/>
          <w:highlight w:val="none"/>
        </w:rPr>
        <w:t>联合体各成员方共同与采购人签订合同，并就采购合同约定的事项对采购人承担连带责任。</w:t>
      </w:r>
    </w:p>
    <w:p w14:paraId="20A9D4B2">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六、有关本次联合响应的其他事宜：</w:t>
      </w:r>
    </w:p>
    <w:p w14:paraId="5BDAAC92">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1、联合体各方不再单独参加或者与其他供应商另外组成联合体参加同一合同项下的政府采购活动。</w:t>
      </w:r>
    </w:p>
    <w:p w14:paraId="33B419B9">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2、联合体中有同类资质的各方按照联合体分工承担相同工作的，按照资质等级较低的供应商确定资质等级。</w:t>
      </w:r>
    </w:p>
    <w:p w14:paraId="3D0064A6">
      <w:pPr>
        <w:adjustRightInd w:val="0"/>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3、本协议提交采购人、采购代理机构后，联合体各方不得以任何形式对上述内容进行修改或撤销。</w:t>
      </w:r>
    </w:p>
    <w:p w14:paraId="197BCAD4">
      <w:pPr>
        <w:adjustRightInd w:val="0"/>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2B802C01">
      <w:pPr>
        <w:adjustRightInd w:val="0"/>
        <w:snapToGrid w:val="0"/>
        <w:spacing w:line="360" w:lineRule="auto"/>
        <w:ind w:firstLine="5040" w:firstLineChars="21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5297AD3C">
      <w:pPr>
        <w:adjustRightInd w:val="0"/>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14:paraId="12ABC51E">
      <w:pPr>
        <w:adjustRightInd w:val="0"/>
        <w:snapToGrid w:val="0"/>
        <w:spacing w:line="360" w:lineRule="auto"/>
        <w:jc w:val="righ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07A3700A">
      <w:pPr>
        <w:adjustRightInd w:val="0"/>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14:paraId="2EC1076C">
      <w:pPr>
        <w:pStyle w:val="8"/>
        <w:adjustRightInd w:val="0"/>
        <w:snapToGrid w:val="0"/>
        <w:spacing w:before="0" w:beforeLines="0" w:after="0" w:afterLines="0" w:line="360" w:lineRule="auto"/>
        <w:rPr>
          <w:rFonts w:hint="eastAsia" w:ascii="宋体" w:hAnsi="宋体" w:eastAsia="宋体" w:cs="宋体"/>
          <w:b/>
          <w:color w:val="auto"/>
          <w:highlight w:val="none"/>
        </w:rPr>
        <w:sectPr>
          <w:pgSz w:w="11906" w:h="16838"/>
          <w:pgMar w:top="1174" w:right="1417" w:bottom="1151" w:left="1417" w:header="851" w:footer="992" w:gutter="0"/>
          <w:cols w:space="720" w:num="1"/>
          <w:titlePg/>
          <w:docGrid w:linePitch="312" w:charSpace="0"/>
        </w:sectPr>
      </w:pPr>
    </w:p>
    <w:p w14:paraId="7BE02122">
      <w:pPr>
        <w:pStyle w:val="8"/>
        <w:adjustRightInd w:val="0"/>
        <w:snapToGrid w:val="0"/>
        <w:spacing w:before="0" w:beforeLines="0" w:after="0" w:afterLines="0"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7. 落实政府采购政策需满足的资格要求</w:t>
      </w:r>
    </w:p>
    <w:p w14:paraId="326E59C6">
      <w:pPr>
        <w:adjustRightInd w:val="0"/>
        <w:snapToGrid w:val="0"/>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中小企业声明函（工程、服务）</w:t>
      </w:r>
    </w:p>
    <w:p w14:paraId="45E3003A">
      <w:pPr>
        <w:adjustRightInd w:val="0"/>
        <w:snapToGrid w:val="0"/>
        <w:spacing w:line="360" w:lineRule="auto"/>
        <w:rPr>
          <w:rFonts w:hint="eastAsia" w:ascii="宋体" w:hAnsi="宋体" w:eastAsia="宋体" w:cs="宋体"/>
          <w:color w:val="auto"/>
          <w:sz w:val="24"/>
          <w:highlight w:val="none"/>
        </w:rPr>
      </w:pPr>
    </w:p>
    <w:p w14:paraId="3D094806">
      <w:pPr>
        <w:autoSpaceDE w:val="0"/>
        <w:autoSpaceDN w:val="0"/>
        <w:adjustRightInd w:val="0"/>
        <w:snapToGrid w:val="0"/>
        <w:spacing w:line="360" w:lineRule="auto"/>
        <w:ind w:firstLine="642"/>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本公司郑重声明，根据《政府采购促进中小企业发展管理办法》（财库 ﹝2020﹞46号）的规定，本公司参加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0D3A661C">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（采购文件中明确的所属行业）</w:t>
      </w:r>
      <w:r>
        <w:rPr>
          <w:rFonts w:hint="eastAsia" w:ascii="宋体" w:hAnsi="宋体" w:eastAsia="宋体" w:cs="宋体"/>
          <w:color w:val="auto"/>
          <w:kern w:val="0"/>
          <w:sz w:val="24"/>
          <w:highlight w:val="none"/>
        </w:rPr>
        <w:t>；承建（承接）企业为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w:t>
      </w:r>
      <w:r>
        <w:rPr>
          <w:rFonts w:hint="eastAsia" w:ascii="宋体" w:hAnsi="宋体" w:eastAsia="宋体" w:cs="宋体"/>
          <w:color w:val="auto"/>
          <w:kern w:val="0"/>
          <w:sz w:val="24"/>
          <w:highlight w:val="none"/>
          <w:vertAlign w:val="superscript"/>
        </w:rPr>
        <w:footnoteReference w:id="0"/>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 xml:space="preserve">； </w:t>
      </w:r>
    </w:p>
    <w:p w14:paraId="2D6DEE51">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（采购文件中明确的所属行业）</w:t>
      </w:r>
      <w:r>
        <w:rPr>
          <w:rFonts w:hint="eastAsia" w:ascii="宋体" w:hAnsi="宋体" w:eastAsia="宋体" w:cs="宋体"/>
          <w:color w:val="auto"/>
          <w:kern w:val="0"/>
          <w:sz w:val="24"/>
          <w:highlight w:val="none"/>
        </w:rPr>
        <w:t>；承建（承接）企业为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 xml:space="preserve">； </w:t>
      </w:r>
    </w:p>
    <w:p w14:paraId="08CA144A">
      <w:pPr>
        <w:autoSpaceDE w:val="0"/>
        <w:autoSpaceDN w:val="0"/>
        <w:adjustRightInd w:val="0"/>
        <w:snapToGri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526FFAA2">
      <w:pPr>
        <w:autoSpaceDE w:val="0"/>
        <w:autoSpaceDN w:val="0"/>
        <w:adjustRightInd w:val="0"/>
        <w:snapToGrid w:val="0"/>
        <w:spacing w:line="360" w:lineRule="auto"/>
        <w:ind w:firstLine="642"/>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01BE99AF">
      <w:pPr>
        <w:adjustRightIn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14:paraId="6CB656DD">
      <w:pPr>
        <w:adjustRightInd w:val="0"/>
        <w:spacing w:line="360" w:lineRule="auto"/>
        <w:ind w:right="176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供应商名称（电子签名）：</w:t>
      </w:r>
    </w:p>
    <w:p w14:paraId="0804D9C0">
      <w:pPr>
        <w:adjustRightInd w:val="0"/>
        <w:spacing w:line="360" w:lineRule="auto"/>
        <w:ind w:right="1120"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6698ECDF">
      <w:pPr>
        <w:adjustRightInd w:val="0"/>
        <w:spacing w:line="360" w:lineRule="auto"/>
        <w:ind w:firstLine="310" w:firstLineChars="147"/>
        <w:jc w:val="left"/>
        <w:rPr>
          <w:rFonts w:hint="eastAsia" w:ascii="宋体" w:hAnsi="宋体" w:eastAsia="宋体" w:cs="宋体"/>
          <w:b/>
          <w:color w:val="auto"/>
          <w:szCs w:val="21"/>
          <w:highlight w:val="none"/>
        </w:rPr>
      </w:pPr>
    </w:p>
    <w:p w14:paraId="7D3F5EAF">
      <w:pPr>
        <w:adjustRightInd w:val="0"/>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注：</w:t>
      </w:r>
      <w:r>
        <w:rPr>
          <w:rFonts w:hint="eastAsia" w:ascii="宋体" w:hAnsi="宋体" w:eastAsia="宋体" w:cs="宋体"/>
          <w:b/>
          <w:bCs/>
          <w:color w:val="auto"/>
          <w:sz w:val="24"/>
          <w:highlight w:val="none"/>
        </w:rPr>
        <w:t>1.填写要求：①“标的名称”、“磋商文件中明确的所属行业”依据磋商文件供应商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w:t>
      </w:r>
    </w:p>
    <w:p w14:paraId="12D45542">
      <w:pPr>
        <w:spacing w:line="360" w:lineRule="auto"/>
        <w:ind w:right="420" w:firstLine="480" w:firstLineChars="200"/>
        <w:rPr>
          <w:rFonts w:hint="eastAsia" w:ascii="宋体" w:hAnsi="宋体" w:eastAsia="宋体" w:cs="宋体"/>
          <w:color w:val="auto"/>
          <w:sz w:val="24"/>
          <w:highlight w:val="none"/>
        </w:rPr>
        <w:sectPr>
          <w:pgSz w:w="11906" w:h="16838"/>
          <w:pgMar w:top="1174" w:right="1417" w:bottom="1151" w:left="1417" w:header="851" w:footer="992" w:gutter="0"/>
          <w:cols w:space="720" w:num="1"/>
          <w:titlePg/>
          <w:docGrid w:linePitch="312" w:charSpace="0"/>
        </w:sectPr>
      </w:pPr>
      <w:r>
        <w:rPr>
          <w:rFonts w:hint="eastAsia" w:ascii="宋体" w:hAnsi="宋体" w:eastAsia="宋体" w:cs="宋体"/>
          <w:color w:val="auto"/>
          <w:sz w:val="24"/>
          <w:highlight w:val="none"/>
        </w:rPr>
        <w:t>2.符合《关于促进残疾人就业政府采购政策的通知》（财库〔2017〕141号）规定的条件并提供《残疾人福利性单位声明函》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333C8E70">
      <w:pPr>
        <w:adjustRightInd w:val="0"/>
        <w:snapToGrid w:val="0"/>
        <w:spacing w:line="360" w:lineRule="auto"/>
        <w:rPr>
          <w:rFonts w:hint="eastAsia" w:ascii="宋体" w:hAnsi="宋体" w:eastAsia="宋体" w:cs="宋体"/>
          <w:color w:val="auto"/>
          <w:spacing w:val="20"/>
          <w:sz w:val="24"/>
          <w:highlight w:val="none"/>
          <w:u w:val="single"/>
        </w:rPr>
      </w:pPr>
    </w:p>
    <w:p w14:paraId="216B04CE">
      <w:pPr>
        <w:adjustRightInd w:val="0"/>
        <w:spacing w:line="360" w:lineRule="auto"/>
        <w:jc w:val="center"/>
        <w:rPr>
          <w:rFonts w:hint="eastAsia" w:ascii="宋体" w:hAnsi="宋体" w:eastAsia="宋体" w:cs="宋体"/>
          <w:b/>
          <w:color w:val="auto"/>
          <w:spacing w:val="6"/>
          <w:sz w:val="32"/>
          <w:szCs w:val="32"/>
          <w:highlight w:val="none"/>
        </w:rPr>
      </w:pPr>
      <w:bookmarkStart w:id="574" w:name="OLE_LINK13"/>
      <w:bookmarkStart w:id="575" w:name="OLE_LINK14"/>
      <w:r>
        <w:rPr>
          <w:rFonts w:hint="eastAsia" w:ascii="宋体" w:hAnsi="宋体" w:eastAsia="宋体" w:cs="宋体"/>
          <w:b/>
          <w:color w:val="auto"/>
          <w:spacing w:val="6"/>
          <w:sz w:val="32"/>
          <w:szCs w:val="32"/>
          <w:highlight w:val="none"/>
        </w:rPr>
        <w:t>残疾人福利性单位声明函</w:t>
      </w:r>
    </w:p>
    <w:bookmarkEnd w:id="574"/>
    <w:bookmarkEnd w:id="575"/>
    <w:p w14:paraId="0D1FFE10">
      <w:pPr>
        <w:adjustRightInd w:val="0"/>
        <w:spacing w:line="360" w:lineRule="auto"/>
        <w:rPr>
          <w:rFonts w:hint="eastAsia" w:ascii="宋体" w:hAnsi="宋体" w:eastAsia="宋体" w:cs="宋体"/>
          <w:b/>
          <w:color w:val="auto"/>
          <w:spacing w:val="6"/>
          <w:sz w:val="30"/>
          <w:szCs w:val="30"/>
          <w:highlight w:val="none"/>
        </w:rPr>
      </w:pPr>
    </w:p>
    <w:p w14:paraId="6DC97A48">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4FC47DA">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1FF03650">
      <w:pPr>
        <w:adjustRightInd w:val="0"/>
        <w:spacing w:line="360" w:lineRule="auto"/>
        <w:ind w:firstLine="480" w:firstLineChars="200"/>
        <w:rPr>
          <w:rFonts w:hint="eastAsia" w:ascii="宋体" w:hAnsi="宋体" w:eastAsia="宋体" w:cs="宋体"/>
          <w:color w:val="auto"/>
          <w:sz w:val="24"/>
          <w:highlight w:val="none"/>
        </w:rPr>
      </w:pPr>
    </w:p>
    <w:p w14:paraId="6809DC85">
      <w:pPr>
        <w:adjustRightInd w:val="0"/>
        <w:spacing w:line="360" w:lineRule="auto"/>
        <w:ind w:firstLine="480" w:firstLineChars="200"/>
        <w:rPr>
          <w:rFonts w:hint="eastAsia" w:ascii="宋体" w:hAnsi="宋体" w:eastAsia="宋体" w:cs="宋体"/>
          <w:color w:val="auto"/>
          <w:sz w:val="24"/>
          <w:highlight w:val="none"/>
        </w:rPr>
      </w:pPr>
    </w:p>
    <w:p w14:paraId="59E9A64D">
      <w:pPr>
        <w:tabs>
          <w:tab w:val="left" w:pos="4860"/>
        </w:tabs>
        <w:adjustRightInd w:val="0"/>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lang w:val="zh-CN"/>
        </w:rPr>
        <w:t>供应商名称（电子签名）</w:t>
      </w:r>
      <w:r>
        <w:rPr>
          <w:rFonts w:hint="eastAsia" w:ascii="宋体" w:hAnsi="宋体" w:eastAsia="宋体" w:cs="宋体"/>
          <w:color w:val="auto"/>
          <w:sz w:val="24"/>
          <w:highlight w:val="none"/>
        </w:rPr>
        <w:t>：</w:t>
      </w:r>
    </w:p>
    <w:p w14:paraId="63C692E6">
      <w:pPr>
        <w:tabs>
          <w:tab w:val="left" w:pos="4860"/>
        </w:tabs>
        <w:adjustRightInd w:val="0"/>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p>
    <w:p w14:paraId="589E3286">
      <w:pPr>
        <w:spacing w:before="120" w:beforeLines="50" w:after="120" w:afterLines="50" w:line="360" w:lineRule="auto"/>
        <w:rPr>
          <w:rFonts w:hint="eastAsia" w:ascii="宋体" w:hAnsi="宋体" w:eastAsia="宋体" w:cs="宋体"/>
          <w:color w:val="auto"/>
          <w:spacing w:val="20"/>
          <w:sz w:val="24"/>
          <w:highlight w:val="none"/>
          <w:u w:val="single"/>
        </w:rPr>
      </w:pPr>
    </w:p>
    <w:p w14:paraId="644F8468">
      <w:pPr>
        <w:adjustRightInd w:val="0"/>
        <w:snapToGrid w:val="0"/>
        <w:spacing w:line="360" w:lineRule="auto"/>
        <w:rPr>
          <w:rFonts w:hint="eastAsia" w:ascii="宋体" w:hAnsi="宋体" w:eastAsia="宋体" w:cs="宋体"/>
          <w:color w:val="auto"/>
          <w:spacing w:val="20"/>
          <w:sz w:val="24"/>
          <w:highlight w:val="none"/>
          <w:u w:val="single"/>
        </w:rPr>
      </w:pPr>
    </w:p>
    <w:p w14:paraId="4334B20C">
      <w:pPr>
        <w:widowControl/>
        <w:adjustRightInd w:val="0"/>
        <w:snapToGrid w:val="0"/>
        <w:spacing w:line="360" w:lineRule="auto"/>
        <w:jc w:val="left"/>
        <w:rPr>
          <w:rFonts w:hint="eastAsia" w:ascii="宋体" w:hAnsi="宋体" w:eastAsia="宋体" w:cs="宋体"/>
          <w:color w:val="auto"/>
          <w:kern w:val="0"/>
          <w:sz w:val="24"/>
          <w:highlight w:val="none"/>
        </w:rPr>
      </w:pPr>
    </w:p>
    <w:p w14:paraId="19A7B137">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8.商务技术文件目录</w:t>
      </w:r>
    </w:p>
    <w:p w14:paraId="736281FB">
      <w:pPr>
        <w:numPr>
          <w:ilvl w:val="0"/>
          <w:numId w:val="4"/>
        </w:numPr>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响应函……………………………………………………………………（页码）</w:t>
      </w:r>
    </w:p>
    <w:p w14:paraId="5B18E0E5">
      <w:pPr>
        <w:numPr>
          <w:ilvl w:val="0"/>
          <w:numId w:val="4"/>
        </w:numPr>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授权委托书或法定代表人（单位负责人、自然人本人）身份证明…………（页码）</w:t>
      </w:r>
    </w:p>
    <w:p w14:paraId="54130B6D">
      <w:pPr>
        <w:numPr>
          <w:ilvl w:val="0"/>
          <w:numId w:val="4"/>
        </w:numPr>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评标标准相应的商务技术资料…………………………………………（页码）</w:t>
      </w:r>
    </w:p>
    <w:p w14:paraId="4808BEC4">
      <w:pPr>
        <w:numPr>
          <w:ilvl w:val="0"/>
          <w:numId w:val="4"/>
        </w:numPr>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商务技术偏离表………………………………………………………………（页码）</w:t>
      </w:r>
    </w:p>
    <w:p w14:paraId="490D97F2">
      <w:pPr>
        <w:numPr>
          <w:ilvl w:val="0"/>
          <w:numId w:val="4"/>
        </w:numPr>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政府采购供应商廉洁自律承诺书</w:t>
      </w:r>
      <w:r>
        <w:rPr>
          <w:rFonts w:hint="eastAsia" w:ascii="宋体" w:hAnsi="宋体" w:eastAsia="宋体" w:cs="宋体"/>
          <w:color w:val="auto"/>
          <w:sz w:val="24"/>
          <w:highlight w:val="none"/>
        </w:rPr>
        <w:t>……………………………………………（页码）</w:t>
      </w:r>
    </w:p>
    <w:p w14:paraId="39F716A3">
      <w:pPr>
        <w:adjustRightInd w:val="0"/>
        <w:snapToGrid w:val="0"/>
        <w:spacing w:line="360" w:lineRule="auto"/>
        <w:ind w:firstLine="480" w:firstLineChars="200"/>
        <w:jc w:val="left"/>
        <w:rPr>
          <w:rFonts w:hint="eastAsia" w:ascii="宋体" w:hAnsi="宋体" w:eastAsia="宋体" w:cs="宋体"/>
          <w:color w:val="auto"/>
          <w:sz w:val="24"/>
          <w:highlight w:val="none"/>
        </w:rPr>
      </w:pPr>
    </w:p>
    <w:p w14:paraId="4F785D27">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9.磋商响应函格式</w:t>
      </w:r>
    </w:p>
    <w:p w14:paraId="4E0C349E">
      <w:pPr>
        <w:adjustRightInd w:val="0"/>
        <w:snapToGrid w:val="0"/>
        <w:spacing w:line="360" w:lineRule="auto"/>
        <w:rPr>
          <w:rFonts w:hint="eastAsia" w:ascii="宋体" w:hAnsi="宋体" w:eastAsia="宋体" w:cs="宋体"/>
          <w:b/>
          <w:color w:val="auto"/>
          <w:sz w:val="24"/>
          <w:highlight w:val="none"/>
        </w:rPr>
      </w:pPr>
    </w:p>
    <w:p w14:paraId="49D2796F">
      <w:pPr>
        <w:adjustRightInd w:val="0"/>
        <w:snapToGrid w:val="0"/>
        <w:spacing w:line="360" w:lineRule="auto"/>
        <w:jc w:val="cente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响应函</w:t>
      </w:r>
    </w:p>
    <w:p w14:paraId="2394BFD7">
      <w:pPr>
        <w:adjustRightInd w:val="0"/>
        <w:snapToGrid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eastAsia="zh-CN"/>
        </w:rPr>
        <w:t>浙江警察学院</w:t>
      </w:r>
      <w:r>
        <w:rPr>
          <w:rFonts w:hint="eastAsia" w:ascii="宋体" w:hAnsi="宋体" w:eastAsia="宋体" w:cs="宋体"/>
          <w:color w:val="auto"/>
          <w:sz w:val="24"/>
          <w:highlight w:val="none"/>
          <w:u w:val="single"/>
        </w:rPr>
        <w:t xml:space="preserve"> 、耀华建设管理有限公司</w:t>
      </w:r>
      <w:r>
        <w:rPr>
          <w:rFonts w:hint="eastAsia" w:ascii="宋体" w:hAnsi="宋体" w:eastAsia="宋体" w:cs="宋体"/>
          <w:color w:val="auto"/>
          <w:sz w:val="24"/>
          <w:highlight w:val="none"/>
        </w:rPr>
        <w:t>：</w:t>
      </w:r>
    </w:p>
    <w:p w14:paraId="63A4BF13">
      <w:pPr>
        <w:adjustRightInd w:val="0"/>
        <w:snapToGrid w:val="0"/>
        <w:spacing w:line="3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我方参加你方组织的</w:t>
      </w:r>
      <w:r>
        <w:rPr>
          <w:rFonts w:hint="eastAsia" w:ascii="宋体" w:hAnsi="宋体" w:eastAsia="宋体" w:cs="宋体"/>
          <w:color w:val="auto"/>
          <w:sz w:val="24"/>
          <w:highlight w:val="none"/>
          <w:u w:val="single"/>
          <w:lang w:eastAsia="zh-CN"/>
        </w:rPr>
        <w:t>浙江省公安特警训练基地2025年度保障性基建维修项目</w:t>
      </w:r>
      <w:r>
        <w:rPr>
          <w:rFonts w:hint="eastAsia" w:ascii="宋体" w:hAnsi="宋体" w:eastAsia="宋体" w:cs="宋体"/>
          <w:color w:val="auto"/>
          <w:sz w:val="24"/>
          <w:highlight w:val="none"/>
          <w:u w:val="single"/>
        </w:rPr>
        <w:t>【编号：</w:t>
      </w:r>
      <w:r>
        <w:rPr>
          <w:rFonts w:hint="eastAsia" w:ascii="宋体" w:hAnsi="宋体" w:eastAsia="宋体" w:cs="宋体"/>
          <w:color w:val="auto"/>
          <w:sz w:val="24"/>
          <w:highlight w:val="none"/>
          <w:u w:val="single"/>
          <w:lang w:eastAsia="zh-CN"/>
        </w:rPr>
        <w:t>YHQT25-01044</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竞争性磋商的有关活动，并对此项目进行响应。为此：</w:t>
      </w:r>
    </w:p>
    <w:p w14:paraId="215BD482">
      <w:pPr>
        <w:numPr>
          <w:ilvl w:val="0"/>
          <w:numId w:val="5"/>
        </w:numPr>
        <w:adjustRightInd w:val="0"/>
        <w:snapToGrid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我方承诺响应有效期从提交响应文件的截止之日起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天（不少于90天）</w:t>
      </w:r>
      <w:r>
        <w:rPr>
          <w:rFonts w:hint="eastAsia" w:ascii="宋体" w:hAnsi="宋体" w:eastAsia="宋体" w:cs="宋体"/>
          <w:color w:val="auto"/>
          <w:highlight w:val="none"/>
        </w:rPr>
        <w:t>，</w:t>
      </w:r>
      <w:r>
        <w:rPr>
          <w:rFonts w:hint="eastAsia" w:ascii="宋体" w:hAnsi="宋体" w:eastAsia="宋体" w:cs="宋体"/>
          <w:color w:val="auto"/>
          <w:sz w:val="24"/>
          <w:highlight w:val="none"/>
        </w:rPr>
        <w:t>本响应文件在响应有效期满之前均具有约束力。</w:t>
      </w:r>
    </w:p>
    <w:p w14:paraId="58767F7B">
      <w:pPr>
        <w:numPr>
          <w:ilvl w:val="0"/>
          <w:numId w:val="5"/>
        </w:numPr>
        <w:adjustRightInd w:val="0"/>
        <w:snapToGrid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我方的响应文件包括以下内容：</w:t>
      </w:r>
    </w:p>
    <w:p w14:paraId="3B61E0CB">
      <w:pPr>
        <w:numPr>
          <w:ilvl w:val="1"/>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资格文件：</w:t>
      </w:r>
    </w:p>
    <w:p w14:paraId="6B3D289B">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供应商资格承诺函；</w:t>
      </w:r>
    </w:p>
    <w:p w14:paraId="3C831BBD">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法人或者其他组织的营业执照等证明文件，自然人的身份证明；</w:t>
      </w:r>
    </w:p>
    <w:p w14:paraId="52986C05">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联合协议（如果有）；</w:t>
      </w:r>
    </w:p>
    <w:p w14:paraId="4E5DEDD5">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落实政府采购政策需满足的资格要求；</w:t>
      </w:r>
    </w:p>
    <w:p w14:paraId="52DC37C8">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本项目的特定资格要求。</w:t>
      </w:r>
    </w:p>
    <w:p w14:paraId="2EF6534A">
      <w:pPr>
        <w:numPr>
          <w:ilvl w:val="1"/>
          <w:numId w:val="6"/>
        </w:numPr>
        <w:adjustRightInd w:val="0"/>
        <w:snapToGrid w:val="0"/>
        <w:spacing w:line="360" w:lineRule="exac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rPr>
        <w:t>商务技术</w:t>
      </w:r>
      <w:r>
        <w:rPr>
          <w:rFonts w:hint="eastAsia" w:ascii="宋体" w:hAnsi="宋体" w:eastAsia="宋体" w:cs="宋体"/>
          <w:bCs/>
          <w:color w:val="auto"/>
          <w:sz w:val="24"/>
          <w:highlight w:val="none"/>
          <w:lang w:val="zh-CN"/>
        </w:rPr>
        <w:t>文件：</w:t>
      </w:r>
    </w:p>
    <w:p w14:paraId="72E6B03A">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响应函；</w:t>
      </w:r>
      <w:r>
        <w:rPr>
          <w:rFonts w:hint="eastAsia" w:ascii="宋体" w:hAnsi="宋体" w:eastAsia="宋体" w:cs="宋体"/>
          <w:bCs/>
          <w:color w:val="auto"/>
          <w:sz w:val="24"/>
          <w:highlight w:val="none"/>
          <w:lang w:val="zh-CN"/>
        </w:rPr>
        <w:t xml:space="preserve"> </w:t>
      </w:r>
    </w:p>
    <w:p w14:paraId="7A239BBD">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授权委托书或法定代表人（单位负责人、自然人本人）身份证明；</w:t>
      </w:r>
    </w:p>
    <w:p w14:paraId="55D6686A">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评标标准相应的商务技术资料；</w:t>
      </w:r>
    </w:p>
    <w:p w14:paraId="0A92A1F4">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商务技术偏离表；</w:t>
      </w:r>
    </w:p>
    <w:p w14:paraId="2A88C449">
      <w:pPr>
        <w:numPr>
          <w:ilvl w:val="2"/>
          <w:numId w:val="6"/>
        </w:numPr>
        <w:adjustRightInd w:val="0"/>
        <w:snapToGrid w:val="0"/>
        <w:spacing w:line="360" w:lineRule="exac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政府采购供应商廉洁自律承诺书。</w:t>
      </w:r>
    </w:p>
    <w:p w14:paraId="24B69AB0">
      <w:pPr>
        <w:numPr>
          <w:ilvl w:val="1"/>
          <w:numId w:val="6"/>
        </w:numPr>
        <w:adjustRightInd w:val="0"/>
        <w:snapToGrid w:val="0"/>
        <w:spacing w:line="360" w:lineRule="exac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 xml:space="preserve">报价文件： </w:t>
      </w:r>
    </w:p>
    <w:p w14:paraId="1D5CA7C0">
      <w:pPr>
        <w:numPr>
          <w:ilvl w:val="2"/>
          <w:numId w:val="6"/>
        </w:numPr>
        <w:adjustRightInd w:val="0"/>
        <w:snapToGrid w:val="0"/>
        <w:spacing w:line="360" w:lineRule="exac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初始报价一览表；</w:t>
      </w:r>
    </w:p>
    <w:p w14:paraId="30A23E46">
      <w:pPr>
        <w:numPr>
          <w:ilvl w:val="2"/>
          <w:numId w:val="6"/>
        </w:numPr>
        <w:adjustRightInd w:val="0"/>
        <w:snapToGrid w:val="0"/>
        <w:spacing w:line="36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报价清单；</w:t>
      </w:r>
    </w:p>
    <w:p w14:paraId="2D8875CC">
      <w:pPr>
        <w:numPr>
          <w:ilvl w:val="2"/>
          <w:numId w:val="6"/>
        </w:numPr>
        <w:adjustRightInd w:val="0"/>
        <w:snapToGrid w:val="0"/>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报价情况说明（如供应商报价低于项目预算50%的，应当提交本文档，详细阐述不影响产品质量或者诚信履约的具体原因）。</w:t>
      </w:r>
    </w:p>
    <w:p w14:paraId="630018A0">
      <w:pPr>
        <w:adjustRightInd w:val="0"/>
        <w:snapToGrid w:val="0"/>
        <w:spacing w:line="360" w:lineRule="exact"/>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我方承诺除商务技术偏离表列出的偏离外，我方响应磋商文件的全部要求。</w:t>
      </w:r>
    </w:p>
    <w:p w14:paraId="13F32888">
      <w:pPr>
        <w:numPr>
          <w:ilvl w:val="0"/>
          <w:numId w:val="5"/>
        </w:numPr>
        <w:adjustRightInd w:val="0"/>
        <w:snapToGrid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如我方成交，我方承诺：</w:t>
      </w:r>
    </w:p>
    <w:p w14:paraId="4D4DD92C">
      <w:pPr>
        <w:numPr>
          <w:ilvl w:val="1"/>
          <w:numId w:val="7"/>
        </w:numPr>
        <w:adjustRightInd w:val="0"/>
        <w:snapToGrid w:val="0"/>
        <w:spacing w:line="360" w:lineRule="exact"/>
        <w:ind w:hanging="430"/>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 xml:space="preserve">在收到成交通知书后，在成交通知书规定的期限内与你方签订合同； </w:t>
      </w:r>
    </w:p>
    <w:p w14:paraId="3123B7A9">
      <w:pPr>
        <w:numPr>
          <w:ilvl w:val="1"/>
          <w:numId w:val="7"/>
        </w:numPr>
        <w:adjustRightInd w:val="0"/>
        <w:snapToGrid w:val="0"/>
        <w:spacing w:line="360" w:lineRule="exact"/>
        <w:ind w:hanging="430"/>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 xml:space="preserve">在签订合同时不向你方提出附加条件； </w:t>
      </w:r>
    </w:p>
    <w:p w14:paraId="4D63411D">
      <w:pPr>
        <w:numPr>
          <w:ilvl w:val="1"/>
          <w:numId w:val="7"/>
        </w:numPr>
        <w:adjustRightInd w:val="0"/>
        <w:snapToGrid w:val="0"/>
        <w:spacing w:line="360" w:lineRule="exact"/>
        <w:ind w:hanging="430"/>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 xml:space="preserve">按照磋商文件要求提交履约保证金； </w:t>
      </w:r>
    </w:p>
    <w:p w14:paraId="0032E5DC">
      <w:pPr>
        <w:numPr>
          <w:ilvl w:val="1"/>
          <w:numId w:val="7"/>
        </w:numPr>
        <w:adjustRightInd w:val="0"/>
        <w:snapToGrid w:val="0"/>
        <w:spacing w:line="360" w:lineRule="exact"/>
        <w:ind w:hanging="430"/>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 xml:space="preserve">在合同约定的期限内完成合同规定的全部义务。 </w:t>
      </w:r>
    </w:p>
    <w:p w14:paraId="6FC9D835">
      <w:pPr>
        <w:numPr>
          <w:ilvl w:val="0"/>
          <w:numId w:val="5"/>
        </w:numPr>
        <w:adjustRightInd w:val="0"/>
        <w:snapToGrid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其他补充说明: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C5C26DA">
      <w:pPr>
        <w:autoSpaceDE w:val="0"/>
        <w:autoSpaceDN w:val="0"/>
        <w:adjustRightInd w:val="0"/>
        <w:snapToGrid w:val="0"/>
        <w:spacing w:line="360" w:lineRule="exact"/>
        <w:ind w:firstLine="3960" w:firstLineChars="1650"/>
        <w:rPr>
          <w:rFonts w:hint="eastAsia" w:ascii="宋体" w:hAnsi="宋体" w:eastAsia="宋体" w:cs="宋体"/>
          <w:color w:val="auto"/>
          <w:kern w:val="0"/>
          <w:sz w:val="24"/>
          <w:highlight w:val="none"/>
          <w:lang w:val="zh-CN"/>
        </w:rPr>
      </w:pPr>
    </w:p>
    <w:p w14:paraId="3766FADA">
      <w:pPr>
        <w:spacing w:after="120"/>
        <w:ind w:left="420" w:leftChars="200" w:firstLine="420" w:firstLineChars="200"/>
        <w:rPr>
          <w:rFonts w:hint="eastAsia" w:ascii="宋体" w:hAnsi="宋体" w:eastAsia="宋体" w:cs="宋体"/>
          <w:color w:val="auto"/>
          <w:highlight w:val="none"/>
          <w:lang w:val="zh-CN"/>
        </w:rPr>
      </w:pPr>
    </w:p>
    <w:p w14:paraId="370C8644">
      <w:pPr>
        <w:adjustRightInd w:val="0"/>
        <w:snapToGrid w:val="0"/>
        <w:spacing w:line="36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供应商名称（电子签名）：                          </w:t>
      </w:r>
    </w:p>
    <w:p w14:paraId="46F51359">
      <w:pPr>
        <w:adjustRightInd w:val="0"/>
        <w:snapToGrid w:val="0"/>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15F31BA6">
      <w:pPr>
        <w:pStyle w:val="8"/>
        <w:adjustRightInd w:val="0"/>
        <w:snapToGrid w:val="0"/>
        <w:spacing w:before="0" w:beforeLines="0" w:after="0" w:afterLines="0" w:line="360" w:lineRule="auto"/>
        <w:rPr>
          <w:rFonts w:hint="eastAsia" w:ascii="宋体" w:hAnsi="宋体" w:eastAsia="宋体" w:cs="宋体"/>
          <w:color w:val="auto"/>
          <w:spacing w:val="20"/>
          <w:highlight w:val="none"/>
          <w:u w:val="single"/>
        </w:rPr>
      </w:pPr>
    </w:p>
    <w:p w14:paraId="4D3D45F8">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10.授权委托书或法定代表人（单位负责人、自然人本人）身份证明</w:t>
      </w:r>
    </w:p>
    <w:p w14:paraId="28BAB849">
      <w:pPr>
        <w:adjustRightInd w:val="0"/>
        <w:snapToGrid w:val="0"/>
        <w:spacing w:line="360" w:lineRule="auto"/>
        <w:rPr>
          <w:rFonts w:hint="eastAsia" w:ascii="宋体" w:hAnsi="宋体" w:eastAsia="宋体" w:cs="宋体"/>
          <w:b/>
          <w:color w:val="auto"/>
          <w:sz w:val="24"/>
          <w:highlight w:val="none"/>
        </w:rPr>
      </w:pPr>
    </w:p>
    <w:p w14:paraId="3047C756">
      <w:pPr>
        <w:adjustRightInd w:val="0"/>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b/>
          <w:color w:val="auto"/>
          <w:kern w:val="0"/>
          <w:sz w:val="32"/>
          <w:szCs w:val="32"/>
          <w:highlight w:val="none"/>
          <w:lang w:val="zh-CN"/>
        </w:rPr>
        <w:t>授权委托书（适用于非联合体响应）</w:t>
      </w:r>
    </w:p>
    <w:p w14:paraId="00D2DBAA">
      <w:pPr>
        <w:adjustRightInd w:val="0"/>
        <w:snapToGrid w:val="0"/>
        <w:spacing w:line="360" w:lineRule="auto"/>
        <w:rPr>
          <w:rFonts w:hint="eastAsia" w:ascii="宋体" w:hAnsi="宋体" w:eastAsia="宋体" w:cs="宋体"/>
          <w:color w:val="auto"/>
          <w:sz w:val="24"/>
          <w:highlight w:val="none"/>
        </w:rPr>
      </w:pPr>
    </w:p>
    <w:p w14:paraId="0BDEBEDD">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eastAsia="zh-CN"/>
        </w:rPr>
        <w:t>浙江警察学院</w:t>
      </w:r>
      <w:r>
        <w:rPr>
          <w:rFonts w:hint="eastAsia" w:ascii="宋体" w:hAnsi="宋体" w:eastAsia="宋体" w:cs="宋体"/>
          <w:color w:val="auto"/>
          <w:sz w:val="24"/>
          <w:highlight w:val="none"/>
        </w:rPr>
        <w:t xml:space="preserve"> 、耀华建设管理有限公司</w:t>
      </w:r>
      <w:r>
        <w:rPr>
          <w:rFonts w:hint="eastAsia" w:ascii="宋体" w:hAnsi="宋体" w:eastAsia="宋体" w:cs="宋体"/>
          <w:color w:val="auto"/>
          <w:kern w:val="0"/>
          <w:sz w:val="24"/>
          <w:highlight w:val="none"/>
          <w:lang w:val="zh-CN"/>
        </w:rPr>
        <w:t>：</w:t>
      </w:r>
    </w:p>
    <w:p w14:paraId="76E42078">
      <w:pPr>
        <w:adjustRightInd w:val="0"/>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u w:val="single"/>
          <w:lang w:eastAsia="zh-CN"/>
        </w:rPr>
        <w:t>浙江省公安特警训练基地2025年度保障性基建维修项目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YHQT25-01044</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政府采购响应的一切事项，其法律后果由我方承担。</w:t>
      </w:r>
    </w:p>
    <w:p w14:paraId="18CAAE1E">
      <w:pPr>
        <w:adjustRightInd w:val="0"/>
        <w:snapToGrid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日止。</w:t>
      </w:r>
    </w:p>
    <w:p w14:paraId="2AE88C34">
      <w:pPr>
        <w:adjustRightInd w:val="0"/>
        <w:snapToGrid w:val="0"/>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特此告知。</w:t>
      </w:r>
    </w:p>
    <w:p w14:paraId="64516F43">
      <w:pPr>
        <w:autoSpaceDE w:val="0"/>
        <w:autoSpaceDN w:val="0"/>
        <w:adjustRightInd w:val="0"/>
        <w:spacing w:line="360" w:lineRule="auto"/>
        <w:rPr>
          <w:rFonts w:hint="eastAsia" w:ascii="宋体" w:hAnsi="宋体" w:eastAsia="宋体" w:cs="宋体"/>
          <w:color w:val="auto"/>
          <w:sz w:val="24"/>
          <w:szCs w:val="21"/>
          <w:highlight w:val="none"/>
          <w:lang w:val="zh-CN"/>
        </w:rPr>
      </w:pPr>
    </w:p>
    <w:p w14:paraId="2FA21C1E">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供应商名称(电子签名)：</w:t>
      </w:r>
    </w:p>
    <w:p w14:paraId="5745A08C">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签发日期：  年  月   日</w:t>
      </w:r>
    </w:p>
    <w:p w14:paraId="2FD54FD5">
      <w:pPr>
        <w:adjustRightInd w:val="0"/>
        <w:snapToGrid w:val="0"/>
        <w:spacing w:line="360" w:lineRule="auto"/>
        <w:rPr>
          <w:rFonts w:hint="eastAsia" w:ascii="宋体" w:hAnsi="宋体" w:eastAsia="宋体" w:cs="宋体"/>
          <w:color w:val="auto"/>
          <w:kern w:val="0"/>
          <w:sz w:val="24"/>
          <w:highlight w:val="none"/>
          <w:lang w:val="zh-CN"/>
        </w:rPr>
      </w:pPr>
    </w:p>
    <w:p w14:paraId="7D9D3D55">
      <w:pPr>
        <w:widowControl/>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zh-CN"/>
        </w:rPr>
        <w:t>授权委托书（适用于联合体响应）</w:t>
      </w:r>
    </w:p>
    <w:p w14:paraId="51C2F3E9">
      <w:pPr>
        <w:adjustRightInd w:val="0"/>
        <w:snapToGrid w:val="0"/>
        <w:spacing w:line="360" w:lineRule="auto"/>
        <w:rPr>
          <w:rFonts w:hint="eastAsia" w:ascii="宋体" w:hAnsi="宋体" w:eastAsia="宋体" w:cs="宋体"/>
          <w:color w:val="auto"/>
          <w:sz w:val="24"/>
          <w:highlight w:val="none"/>
        </w:rPr>
      </w:pPr>
    </w:p>
    <w:p w14:paraId="671B4E84">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eastAsia="zh-CN"/>
        </w:rPr>
        <w:t>浙江警察学院</w:t>
      </w:r>
      <w:r>
        <w:rPr>
          <w:rFonts w:hint="eastAsia" w:ascii="宋体" w:hAnsi="宋体" w:eastAsia="宋体" w:cs="宋体"/>
          <w:color w:val="auto"/>
          <w:sz w:val="24"/>
          <w:highlight w:val="none"/>
        </w:rPr>
        <w:t xml:space="preserve"> 、耀华建设管理有限公司</w:t>
      </w:r>
      <w:r>
        <w:rPr>
          <w:rFonts w:hint="eastAsia" w:ascii="宋体" w:hAnsi="宋体" w:eastAsia="宋体" w:cs="宋体"/>
          <w:color w:val="auto"/>
          <w:kern w:val="0"/>
          <w:sz w:val="24"/>
          <w:highlight w:val="none"/>
          <w:lang w:val="zh-CN"/>
        </w:rPr>
        <w:t>：</w:t>
      </w:r>
    </w:p>
    <w:p w14:paraId="537B547C">
      <w:pPr>
        <w:adjustRightInd w:val="0"/>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lang w:eastAsia="zh-CN"/>
        </w:rPr>
        <w:t>浙江省公安特警训练基地2025年度保障性基建维修项目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YHQT25-01044</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政府采购响应的一切事项，其法律后果由我方承担。</w:t>
      </w:r>
    </w:p>
    <w:p w14:paraId="5F4EFB5C">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lang w:val="zh-CN"/>
        </w:rPr>
        <w:t>日止。</w:t>
      </w:r>
    </w:p>
    <w:p w14:paraId="2FFE07C8">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14:paraId="1A0C35A1">
      <w:pPr>
        <w:adjustRightInd w:val="0"/>
        <w:jc w:val="center"/>
        <w:rPr>
          <w:rFonts w:hint="eastAsia" w:ascii="宋体" w:hAnsi="宋体" w:eastAsia="宋体" w:cs="宋体"/>
          <w:b/>
          <w:color w:val="auto"/>
          <w:kern w:val="0"/>
          <w:sz w:val="32"/>
          <w:szCs w:val="32"/>
          <w:highlight w:val="none"/>
        </w:rPr>
      </w:pPr>
    </w:p>
    <w:p w14:paraId="1067E96A">
      <w:pPr>
        <w:adjustRightInd w:val="0"/>
        <w:rPr>
          <w:rFonts w:hint="eastAsia" w:ascii="宋体" w:hAnsi="宋体" w:eastAsia="宋体" w:cs="宋体"/>
          <w:color w:val="auto"/>
          <w:highlight w:val="none"/>
        </w:rPr>
      </w:pPr>
    </w:p>
    <w:p w14:paraId="5A479619">
      <w:pPr>
        <w:adjustRightInd w:val="0"/>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0294965A">
      <w:pPr>
        <w:adjustRightInd w:val="0"/>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14:paraId="5F6BA048">
      <w:pPr>
        <w:adjustRightInd w:val="0"/>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14:paraId="28278354">
      <w:pPr>
        <w:adjustRightInd w:val="0"/>
        <w:snapToGrid w:val="0"/>
        <w:spacing w:line="360" w:lineRule="auto"/>
        <w:jc w:val="center"/>
        <w:rPr>
          <w:rFonts w:hint="eastAsia" w:ascii="宋体" w:hAnsi="宋体" w:eastAsia="宋体" w:cs="宋体"/>
          <w:b/>
          <w:color w:val="auto"/>
          <w:kern w:val="0"/>
          <w:sz w:val="32"/>
          <w:szCs w:val="32"/>
          <w:highlight w:val="none"/>
          <w:lang w:val="zh-CN"/>
        </w:rPr>
      </w:pPr>
      <w:r>
        <w:rPr>
          <w:rFonts w:hint="eastAsia" w:ascii="宋体" w:hAnsi="宋体" w:eastAsia="宋体" w:cs="宋体"/>
          <w:color w:val="auto"/>
          <w:kern w:val="0"/>
          <w:sz w:val="24"/>
          <w:highlight w:val="none"/>
          <w:lang w:val="zh-CN"/>
        </w:rPr>
        <w:t xml:space="preserve">                                               日期：  年  月   日</w:t>
      </w:r>
    </w:p>
    <w:p w14:paraId="5588261E">
      <w:pPr>
        <w:adjustRightInd w:val="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675FAED3">
      <w:pPr>
        <w:autoSpaceDE w:val="0"/>
        <w:autoSpaceDN w:val="0"/>
        <w:adjustRightIn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kern w:val="0"/>
          <w:sz w:val="32"/>
          <w:szCs w:val="32"/>
          <w:highlight w:val="none"/>
          <w:lang w:val="zh-CN"/>
        </w:rPr>
        <w:t>法定代表人、单位负责人或自然人本人</w:t>
      </w:r>
      <w:r>
        <w:rPr>
          <w:rFonts w:hint="eastAsia" w:ascii="宋体" w:hAnsi="宋体" w:eastAsia="宋体" w:cs="宋体"/>
          <w:b/>
          <w:color w:val="auto"/>
          <w:sz w:val="30"/>
          <w:szCs w:val="30"/>
          <w:highlight w:val="none"/>
        </w:rPr>
        <w:t>的身份证明（适用于法定代表人、单位负责人或者自然人本人代表供应商参加响应）</w:t>
      </w:r>
    </w:p>
    <w:p w14:paraId="0D69DC01">
      <w:pPr>
        <w:pStyle w:val="28"/>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身份证件扫描件：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0"/>
      </w:tblGrid>
      <w:tr w14:paraId="0FBB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2" w:hRule="atLeast"/>
          <w:jc w:val="center"/>
        </w:trPr>
        <w:tc>
          <w:tcPr>
            <w:tcW w:w="9080" w:type="dxa"/>
            <w:noWrap w:val="0"/>
            <w:vAlign w:val="top"/>
          </w:tcPr>
          <w:p w14:paraId="174216F1">
            <w:pPr>
              <w:pStyle w:val="28"/>
              <w:adjustRightIn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正面：                                 反面：</w:t>
            </w:r>
          </w:p>
          <w:p w14:paraId="55D89295">
            <w:pPr>
              <w:pStyle w:val="28"/>
              <w:adjustRightInd w:val="0"/>
              <w:spacing w:line="360" w:lineRule="auto"/>
              <w:rPr>
                <w:rFonts w:hint="eastAsia" w:ascii="宋体" w:hAnsi="宋体" w:eastAsia="宋体" w:cs="宋体"/>
                <w:bCs/>
                <w:color w:val="auto"/>
                <w:sz w:val="24"/>
                <w:highlight w:val="none"/>
              </w:rPr>
            </w:pPr>
          </w:p>
        </w:tc>
      </w:tr>
    </w:tbl>
    <w:p w14:paraId="5293B9F1">
      <w:pPr>
        <w:adjustRightInd w:val="0"/>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p>
    <w:p w14:paraId="2F3159E0">
      <w:pPr>
        <w:adjustRightInd w:val="0"/>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供应商名称(电子签名)：                              </w:t>
      </w:r>
    </w:p>
    <w:p w14:paraId="1B12B985">
      <w:pPr>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 xml:space="preserve">                   日期：  年  月  日</w:t>
      </w:r>
    </w:p>
    <w:p w14:paraId="6A2A9112">
      <w:pPr>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b/>
          <w:color w:val="auto"/>
          <w:sz w:val="30"/>
          <w:szCs w:val="30"/>
          <w:highlight w:val="none"/>
        </w:rPr>
        <w:t>授权代表的身份证（复印件）</w:t>
      </w:r>
    </w:p>
    <w:p w14:paraId="6E109371">
      <w:pPr>
        <w:pStyle w:val="28"/>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授权代表身份证件扫描件：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42B0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noWrap w:val="0"/>
            <w:vAlign w:val="top"/>
          </w:tcPr>
          <w:p w14:paraId="0C80DC63">
            <w:pPr>
              <w:pStyle w:val="28"/>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正面：                                 反面：</w:t>
            </w:r>
          </w:p>
          <w:p w14:paraId="1C0C8A4E">
            <w:pPr>
              <w:pStyle w:val="28"/>
              <w:spacing w:line="360" w:lineRule="auto"/>
              <w:rPr>
                <w:rFonts w:hint="eastAsia" w:ascii="宋体" w:hAnsi="宋体" w:eastAsia="宋体" w:cs="宋体"/>
                <w:bCs/>
                <w:color w:val="auto"/>
                <w:sz w:val="24"/>
                <w:highlight w:val="none"/>
              </w:rPr>
            </w:pPr>
          </w:p>
        </w:tc>
      </w:tr>
    </w:tbl>
    <w:p w14:paraId="389439C5">
      <w:pPr>
        <w:adjustRightInd w:val="0"/>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供应商名称(电子签名)：                              </w:t>
      </w:r>
    </w:p>
    <w:p w14:paraId="442FED5C">
      <w:pPr>
        <w:adjustRightIn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4"/>
          <w:highlight w:val="none"/>
          <w:lang w:val="zh-CN"/>
        </w:rPr>
        <w:t xml:space="preserve">                   日期：  年  月</w:t>
      </w:r>
    </w:p>
    <w:p w14:paraId="37F43C09">
      <w:pPr>
        <w:adjustRightInd w:val="0"/>
        <w:snapToGrid w:val="0"/>
        <w:spacing w:line="360" w:lineRule="auto"/>
        <w:jc w:val="center"/>
        <w:rPr>
          <w:rFonts w:hint="eastAsia" w:ascii="宋体" w:hAnsi="宋体" w:eastAsia="宋体" w:cs="宋体"/>
          <w:b/>
          <w:color w:val="auto"/>
          <w:kern w:val="0"/>
          <w:sz w:val="32"/>
          <w:szCs w:val="32"/>
          <w:highlight w:val="none"/>
          <w:lang w:val="zh-CN"/>
        </w:rPr>
      </w:pPr>
      <w:r>
        <w:rPr>
          <w:rFonts w:hint="eastAsia" w:ascii="宋体" w:hAnsi="宋体" w:eastAsia="宋体" w:cs="宋体"/>
          <w:color w:val="auto"/>
          <w:spacing w:val="20"/>
          <w:highlight w:val="none"/>
          <w:u w:val="single"/>
        </w:rPr>
        <w:br w:type="page"/>
      </w:r>
      <w:r>
        <w:rPr>
          <w:rFonts w:hint="eastAsia" w:ascii="宋体" w:hAnsi="宋体" w:eastAsia="宋体" w:cs="宋体"/>
          <w:b/>
          <w:color w:val="auto"/>
          <w:kern w:val="0"/>
          <w:sz w:val="32"/>
          <w:szCs w:val="32"/>
          <w:highlight w:val="none"/>
        </w:rPr>
        <w:t>11.</w:t>
      </w:r>
      <w:r>
        <w:rPr>
          <w:rFonts w:hint="eastAsia" w:ascii="宋体" w:hAnsi="宋体" w:eastAsia="宋体" w:cs="宋体"/>
          <w:b/>
          <w:color w:val="auto"/>
          <w:kern w:val="0"/>
          <w:sz w:val="32"/>
          <w:szCs w:val="32"/>
          <w:highlight w:val="none"/>
          <w:lang w:val="zh-CN"/>
        </w:rPr>
        <w:t>评标标准相应的商务技术资料</w:t>
      </w:r>
    </w:p>
    <w:p w14:paraId="5AFDD0D4">
      <w:pPr>
        <w:adjustRightInd w:val="0"/>
        <w:snapToGrid w:val="0"/>
        <w:spacing w:line="360" w:lineRule="auto"/>
        <w:jc w:val="left"/>
        <w:rPr>
          <w:rFonts w:hint="eastAsia" w:ascii="宋体" w:hAnsi="宋体" w:eastAsia="宋体" w:cs="宋体"/>
          <w:b/>
          <w:color w:val="auto"/>
          <w:sz w:val="24"/>
          <w:highlight w:val="none"/>
        </w:rPr>
      </w:pPr>
    </w:p>
    <w:p w14:paraId="6D649380">
      <w:pPr>
        <w:adjustRightInd w:val="0"/>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（按磋商文件评标办法提供资料）</w:t>
      </w:r>
    </w:p>
    <w:p w14:paraId="730CCD07">
      <w:pPr>
        <w:snapToGrid w:val="0"/>
        <w:spacing w:line="360" w:lineRule="auto"/>
        <w:rPr>
          <w:rFonts w:hint="eastAsia" w:ascii="宋体" w:hAnsi="宋体" w:eastAsia="宋体" w:cs="宋体"/>
          <w:color w:val="auto"/>
          <w:sz w:val="24"/>
          <w:highlight w:val="none"/>
        </w:rPr>
      </w:pPr>
    </w:p>
    <w:p w14:paraId="3DB4130B">
      <w:pPr>
        <w:snapToGrid w:val="0"/>
        <w:spacing w:line="360" w:lineRule="auto"/>
        <w:jc w:val="left"/>
        <w:rPr>
          <w:rFonts w:hint="eastAsia" w:ascii="宋体" w:hAnsi="宋体" w:eastAsia="宋体" w:cs="宋体"/>
          <w:color w:val="auto"/>
          <w:sz w:val="24"/>
          <w:highlight w:val="none"/>
        </w:rPr>
      </w:pPr>
    </w:p>
    <w:p w14:paraId="3E6CF6D2">
      <w:pPr>
        <w:pStyle w:val="8"/>
        <w:snapToGrid w:val="0"/>
        <w:spacing w:before="0" w:beforeLines="0" w:after="0" w:afterLines="0" w:line="360" w:lineRule="auto"/>
        <w:ind w:firstLine="420"/>
        <w:rPr>
          <w:rFonts w:hint="eastAsia" w:ascii="宋体" w:hAnsi="宋体" w:eastAsia="宋体" w:cs="宋体"/>
          <w:color w:val="auto"/>
          <w:highlight w:val="none"/>
        </w:rPr>
      </w:pPr>
    </w:p>
    <w:p w14:paraId="1F85F7FE">
      <w:pPr>
        <w:pStyle w:val="8"/>
        <w:snapToGrid w:val="0"/>
        <w:spacing w:before="0" w:beforeLines="0" w:after="0" w:afterLines="0" w:line="360" w:lineRule="auto"/>
        <w:rPr>
          <w:rFonts w:hint="eastAsia" w:ascii="宋体" w:hAnsi="宋体" w:eastAsia="宋体" w:cs="宋体"/>
          <w:color w:val="auto"/>
          <w:highlight w:val="none"/>
        </w:rPr>
      </w:pPr>
    </w:p>
    <w:p w14:paraId="2CBB419B">
      <w:pPr>
        <w:snapToGrid w:val="0"/>
        <w:spacing w:before="50" w:after="50" w:line="360" w:lineRule="auto"/>
        <w:rPr>
          <w:rFonts w:hint="eastAsia" w:ascii="宋体" w:hAnsi="宋体" w:eastAsia="宋体" w:cs="宋体"/>
          <w:b/>
          <w:color w:val="auto"/>
          <w:sz w:val="24"/>
          <w:highlight w:val="none"/>
        </w:rPr>
      </w:pPr>
      <w:r>
        <w:rPr>
          <w:rFonts w:hint="eastAsia" w:ascii="宋体" w:hAnsi="宋体" w:eastAsia="宋体" w:cs="宋体"/>
          <w:color w:val="auto"/>
          <w:sz w:val="30"/>
          <w:highlight w:val="none"/>
        </w:rPr>
        <w:br w:type="page"/>
      </w:r>
      <w:r>
        <w:rPr>
          <w:rFonts w:hint="eastAsia" w:ascii="宋体" w:hAnsi="宋体" w:eastAsia="宋体" w:cs="宋体"/>
          <w:b/>
          <w:color w:val="auto"/>
          <w:sz w:val="24"/>
          <w:highlight w:val="none"/>
        </w:rPr>
        <w:t>12.商务技术偏离表</w:t>
      </w:r>
    </w:p>
    <w:p w14:paraId="1EA17ECD">
      <w:pPr>
        <w:pStyle w:val="8"/>
        <w:spacing w:before="120" w:after="120" w:line="360" w:lineRule="auto"/>
        <w:rPr>
          <w:rFonts w:hint="eastAsia" w:ascii="宋体" w:hAnsi="宋体" w:eastAsia="宋体" w:cs="宋体"/>
          <w:b/>
          <w:color w:val="auto"/>
          <w:highlight w:val="none"/>
        </w:rPr>
      </w:pPr>
    </w:p>
    <w:p w14:paraId="74E0C9F9">
      <w:pPr>
        <w:adjustRightInd w:val="0"/>
        <w:snapToGrid w:val="0"/>
        <w:spacing w:line="360" w:lineRule="auto"/>
        <w:jc w:val="cente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商务技术偏离表</w:t>
      </w:r>
    </w:p>
    <w:p w14:paraId="00CF5F40">
      <w:pPr>
        <w:adjustRightInd w:val="0"/>
        <w:jc w:val="center"/>
        <w:rPr>
          <w:rFonts w:hint="eastAsia" w:ascii="宋体" w:hAnsi="宋体" w:eastAsia="宋体" w:cs="宋体"/>
          <w:b/>
          <w:bCs/>
          <w:color w:val="auto"/>
          <w:sz w:val="24"/>
          <w:highlight w:val="none"/>
        </w:rPr>
      </w:pPr>
    </w:p>
    <w:p w14:paraId="4FFE12B7">
      <w:pPr>
        <w:adjustRightInd w:val="0"/>
        <w:jc w:val="center"/>
        <w:rPr>
          <w:rFonts w:hint="eastAsia" w:ascii="宋体" w:hAnsi="宋体" w:eastAsia="宋体" w:cs="宋体"/>
          <w:b/>
          <w:bCs/>
          <w:color w:val="auto"/>
          <w:sz w:val="24"/>
          <w:highlight w:val="none"/>
        </w:rPr>
      </w:pPr>
    </w:p>
    <w:tbl>
      <w:tblPr>
        <w:tblStyle w:val="1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140E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noWrap w:val="0"/>
            <w:vAlign w:val="center"/>
          </w:tcPr>
          <w:p w14:paraId="161D5CBA">
            <w:pPr>
              <w:adjustRightInd w:val="0"/>
              <w:snapToGrid w:val="0"/>
              <w:spacing w:line="40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序号</w:t>
            </w:r>
          </w:p>
        </w:tc>
        <w:tc>
          <w:tcPr>
            <w:tcW w:w="3683" w:type="dxa"/>
            <w:noWrap w:val="0"/>
            <w:vAlign w:val="center"/>
          </w:tcPr>
          <w:p w14:paraId="3C6C0D55">
            <w:pPr>
              <w:adjustRightInd w:val="0"/>
              <w:snapToGrid w:val="0"/>
              <w:spacing w:line="40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磋商文件章节及具体内容</w:t>
            </w:r>
          </w:p>
        </w:tc>
        <w:tc>
          <w:tcPr>
            <w:tcW w:w="3546" w:type="dxa"/>
            <w:noWrap w:val="0"/>
            <w:vAlign w:val="center"/>
          </w:tcPr>
          <w:p w14:paraId="43AFA627">
            <w:pPr>
              <w:adjustRightInd w:val="0"/>
              <w:snapToGrid w:val="0"/>
              <w:spacing w:line="40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响应文件章节及具体内容</w:t>
            </w:r>
          </w:p>
        </w:tc>
        <w:tc>
          <w:tcPr>
            <w:tcW w:w="1276" w:type="dxa"/>
            <w:noWrap w:val="0"/>
            <w:vAlign w:val="center"/>
          </w:tcPr>
          <w:p w14:paraId="545F84CA">
            <w:pPr>
              <w:adjustRightInd w:val="0"/>
              <w:snapToGrid w:val="0"/>
              <w:spacing w:line="40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偏离说明</w:t>
            </w:r>
          </w:p>
        </w:tc>
      </w:tr>
      <w:tr w14:paraId="1DF9C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noWrap w:val="0"/>
            <w:vAlign w:val="center"/>
          </w:tcPr>
          <w:p w14:paraId="58321AF8">
            <w:pPr>
              <w:adjustRightInd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3683" w:type="dxa"/>
            <w:noWrap w:val="0"/>
            <w:vAlign w:val="center"/>
          </w:tcPr>
          <w:p w14:paraId="3A9888FB">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3546" w:type="dxa"/>
            <w:noWrap w:val="0"/>
            <w:vAlign w:val="center"/>
          </w:tcPr>
          <w:p w14:paraId="0D1DF82E">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1276" w:type="dxa"/>
            <w:noWrap w:val="0"/>
            <w:vAlign w:val="center"/>
          </w:tcPr>
          <w:p w14:paraId="06048FBE">
            <w:pPr>
              <w:adjustRightInd w:val="0"/>
              <w:snapToGrid w:val="0"/>
              <w:spacing w:line="400" w:lineRule="exact"/>
              <w:jc w:val="center"/>
              <w:rPr>
                <w:rFonts w:hint="eastAsia" w:ascii="宋体" w:hAnsi="宋体" w:eastAsia="宋体" w:cs="宋体"/>
                <w:b/>
                <w:color w:val="auto"/>
                <w:kern w:val="0"/>
                <w:sz w:val="32"/>
                <w:szCs w:val="32"/>
                <w:highlight w:val="none"/>
              </w:rPr>
            </w:pPr>
          </w:p>
        </w:tc>
      </w:tr>
      <w:tr w14:paraId="3506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noWrap w:val="0"/>
            <w:vAlign w:val="center"/>
          </w:tcPr>
          <w:p w14:paraId="3DC2C471">
            <w:pPr>
              <w:adjustRightInd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3683" w:type="dxa"/>
            <w:noWrap w:val="0"/>
            <w:vAlign w:val="center"/>
          </w:tcPr>
          <w:p w14:paraId="2B87B126">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3546" w:type="dxa"/>
            <w:noWrap w:val="0"/>
            <w:vAlign w:val="center"/>
          </w:tcPr>
          <w:p w14:paraId="113F8ABE">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1276" w:type="dxa"/>
            <w:noWrap w:val="0"/>
            <w:vAlign w:val="center"/>
          </w:tcPr>
          <w:p w14:paraId="3876D7D8">
            <w:pPr>
              <w:adjustRightInd w:val="0"/>
              <w:snapToGrid w:val="0"/>
              <w:spacing w:line="400" w:lineRule="exact"/>
              <w:jc w:val="center"/>
              <w:rPr>
                <w:rFonts w:hint="eastAsia" w:ascii="宋体" w:hAnsi="宋体" w:eastAsia="宋体" w:cs="宋体"/>
                <w:b/>
                <w:color w:val="auto"/>
                <w:kern w:val="0"/>
                <w:sz w:val="32"/>
                <w:szCs w:val="32"/>
                <w:highlight w:val="none"/>
              </w:rPr>
            </w:pPr>
          </w:p>
        </w:tc>
      </w:tr>
      <w:tr w14:paraId="4E7F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noWrap w:val="0"/>
            <w:vAlign w:val="center"/>
          </w:tcPr>
          <w:p w14:paraId="37CCE6CA">
            <w:pPr>
              <w:adjustRightInd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3683" w:type="dxa"/>
            <w:noWrap w:val="0"/>
            <w:vAlign w:val="center"/>
          </w:tcPr>
          <w:p w14:paraId="13132EEF">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3546" w:type="dxa"/>
            <w:noWrap w:val="0"/>
            <w:vAlign w:val="center"/>
          </w:tcPr>
          <w:p w14:paraId="6A1B8938">
            <w:pPr>
              <w:adjustRightInd w:val="0"/>
              <w:snapToGrid w:val="0"/>
              <w:spacing w:line="400" w:lineRule="exact"/>
              <w:jc w:val="center"/>
              <w:rPr>
                <w:rFonts w:hint="eastAsia" w:ascii="宋体" w:hAnsi="宋体" w:eastAsia="宋体" w:cs="宋体"/>
                <w:b/>
                <w:color w:val="auto"/>
                <w:kern w:val="0"/>
                <w:sz w:val="32"/>
                <w:szCs w:val="32"/>
                <w:highlight w:val="none"/>
              </w:rPr>
            </w:pPr>
          </w:p>
        </w:tc>
        <w:tc>
          <w:tcPr>
            <w:tcW w:w="1276" w:type="dxa"/>
            <w:noWrap w:val="0"/>
            <w:vAlign w:val="center"/>
          </w:tcPr>
          <w:p w14:paraId="24CE91CA">
            <w:pPr>
              <w:adjustRightInd w:val="0"/>
              <w:snapToGrid w:val="0"/>
              <w:spacing w:line="400" w:lineRule="exact"/>
              <w:jc w:val="center"/>
              <w:rPr>
                <w:rFonts w:hint="eastAsia" w:ascii="宋体" w:hAnsi="宋体" w:eastAsia="宋体" w:cs="宋体"/>
                <w:b/>
                <w:color w:val="auto"/>
                <w:kern w:val="0"/>
                <w:sz w:val="32"/>
                <w:szCs w:val="32"/>
                <w:highlight w:val="none"/>
              </w:rPr>
            </w:pPr>
          </w:p>
        </w:tc>
      </w:tr>
    </w:tbl>
    <w:p w14:paraId="11AC0FB3">
      <w:pPr>
        <w:adjustRightInd w:val="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供应商保证：除商务技术偏离表列出的偏离外，供应商响应磋商文件的全部要求</w:t>
      </w:r>
    </w:p>
    <w:p w14:paraId="2A0194AC">
      <w:pPr>
        <w:autoSpaceDE w:val="0"/>
        <w:autoSpaceDN w:val="0"/>
        <w:adjustRightInd w:val="0"/>
        <w:spacing w:line="360" w:lineRule="auto"/>
        <w:rPr>
          <w:rFonts w:hint="eastAsia" w:ascii="宋体" w:hAnsi="宋体" w:eastAsia="宋体" w:cs="宋体"/>
          <w:color w:val="auto"/>
          <w:kern w:val="0"/>
          <w:sz w:val="24"/>
          <w:highlight w:val="none"/>
        </w:rPr>
      </w:pPr>
    </w:p>
    <w:p w14:paraId="7491F3BA">
      <w:pPr>
        <w:autoSpaceDE w:val="0"/>
        <w:autoSpaceDN w:val="0"/>
        <w:adjustRightInd w:val="0"/>
        <w:spacing w:line="360" w:lineRule="auto"/>
        <w:ind w:firstLine="4560" w:firstLineChars="19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val="zh-CN"/>
        </w:rPr>
        <w:t>电子签名</w:t>
      </w:r>
      <w:r>
        <w:rPr>
          <w:rFonts w:hint="eastAsia" w:ascii="宋体" w:hAnsi="宋体" w:eastAsia="宋体" w:cs="宋体"/>
          <w:color w:val="auto"/>
          <w:kern w:val="0"/>
          <w:sz w:val="24"/>
          <w:highlight w:val="none"/>
        </w:rPr>
        <w:t xml:space="preserve">）：                       </w:t>
      </w:r>
    </w:p>
    <w:p w14:paraId="086F0CA4">
      <w:pPr>
        <w:spacing w:line="360" w:lineRule="auto"/>
        <w:rPr>
          <w:rFonts w:hint="eastAsia" w:ascii="宋体" w:hAnsi="宋体" w:eastAsia="宋体" w:cs="宋体"/>
          <w:color w:val="auto"/>
          <w:kern w:val="0"/>
          <w:sz w:val="24"/>
          <w:highlight w:val="none"/>
        </w:rPr>
        <w:sectPr>
          <w:pgSz w:w="11906" w:h="16838"/>
          <w:pgMar w:top="1174" w:right="1417" w:bottom="1151" w:left="1417" w:header="851" w:footer="992" w:gutter="0"/>
          <w:cols w:space="720" w:num="1"/>
          <w:titlePg/>
          <w:docGrid w:linePitch="312" w:charSpace="0"/>
        </w:sectPr>
      </w:pPr>
      <w:r>
        <w:rPr>
          <w:rFonts w:hint="eastAsia" w:ascii="宋体" w:hAnsi="宋体" w:eastAsia="宋体" w:cs="宋体"/>
          <w:color w:val="auto"/>
          <w:kern w:val="0"/>
          <w:sz w:val="24"/>
          <w:highlight w:val="none"/>
        </w:rPr>
        <w:t xml:space="preserve">                                      日期：  年  月   日</w:t>
      </w:r>
    </w:p>
    <w:p w14:paraId="73408197">
      <w:pPr>
        <w:numPr>
          <w:ilvl w:val="0"/>
          <w:numId w:val="8"/>
        </w:numPr>
        <w:snapToGrid w:val="0"/>
        <w:spacing w:before="50" w:after="120" w:afterLines="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政府采购供应商廉洁自律承诺书</w:t>
      </w:r>
    </w:p>
    <w:p w14:paraId="2DD6A0EB">
      <w:pPr>
        <w:adjustRightInd w:val="0"/>
        <w:snapToGrid w:val="0"/>
        <w:spacing w:line="360" w:lineRule="auto"/>
        <w:jc w:val="cente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政府采购供应商廉洁自律承诺书</w:t>
      </w:r>
    </w:p>
    <w:p w14:paraId="1A86BF00">
      <w:pPr>
        <w:adjustRightInd w:val="0"/>
        <w:snapToGrid w:val="0"/>
        <w:spacing w:line="360" w:lineRule="auto"/>
        <w:rPr>
          <w:rFonts w:hint="eastAsia" w:ascii="宋体" w:hAnsi="宋体" w:eastAsia="宋体" w:cs="宋体"/>
          <w:color w:val="auto"/>
          <w:sz w:val="24"/>
          <w:highlight w:val="none"/>
        </w:rPr>
      </w:pPr>
    </w:p>
    <w:p w14:paraId="2D26C69E">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u w:val="single"/>
          <w:lang w:eastAsia="zh-CN"/>
        </w:rPr>
        <w:t>浙江警察学院</w:t>
      </w:r>
      <w:r>
        <w:rPr>
          <w:rFonts w:hint="eastAsia" w:ascii="宋体" w:hAnsi="宋体" w:eastAsia="宋体" w:cs="宋体"/>
          <w:color w:val="auto"/>
          <w:sz w:val="24"/>
          <w:highlight w:val="none"/>
          <w:u w:val="single"/>
        </w:rPr>
        <w:t xml:space="preserve"> 、耀华建设管理有限公司</w:t>
      </w:r>
      <w:r>
        <w:rPr>
          <w:rFonts w:hint="eastAsia" w:ascii="宋体" w:hAnsi="宋体" w:eastAsia="宋体" w:cs="宋体"/>
          <w:color w:val="auto"/>
          <w:kern w:val="0"/>
          <w:sz w:val="24"/>
          <w:highlight w:val="none"/>
          <w:lang w:val="zh-CN"/>
        </w:rPr>
        <w:t>：</w:t>
      </w:r>
    </w:p>
    <w:p w14:paraId="68C8E87C">
      <w:pPr>
        <w:autoSpaceDE w:val="0"/>
        <w:autoSpaceDN w:val="0"/>
        <w:adjustRightInd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我单位响应你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项目采购要求参加响应。在这次响应过程中和成交后，我们将严格遵守国家法律法规要求，并郑重承诺：</w:t>
      </w:r>
    </w:p>
    <w:p w14:paraId="30E9BDA1">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一、不向项目有关人员及部门赠送礼金礼物、有价证券、回扣以及中介费、介绍费、咨询费等好处费； </w:t>
      </w:r>
    </w:p>
    <w:p w14:paraId="38807BD8">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二、不为项目有关人员及部门报销应由你方单位或个人支付的费用； </w:t>
      </w:r>
    </w:p>
    <w:p w14:paraId="0D5DFA13">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三、不向项目有关人员及部门提供有可能影响公正的宴请和健身娱乐等活动； </w:t>
      </w:r>
    </w:p>
    <w:p w14:paraId="04C42D61">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四、不为项目有关人员及部门出国（境）、旅游等提供方便；</w:t>
      </w:r>
    </w:p>
    <w:p w14:paraId="238F08A5">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五、不为项目有关人员个人装修住房、婚丧嫁娶、配偶子女工作安排等提供好处；</w:t>
      </w:r>
    </w:p>
    <w:p w14:paraId="2D5ED678">
      <w:pPr>
        <w:autoSpaceDE w:val="0"/>
        <w:autoSpaceDN w:val="0"/>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六、严格遵守《中华人民共和国政府采购法》、《中华人民共和国民法典》等法律法规，诚实守信，合法经营，坚决抵制各种违法违纪行为。 </w:t>
      </w:r>
    </w:p>
    <w:p w14:paraId="36633278">
      <w:pPr>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如违反上述承诺，你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有权立即取消我单位响应、成交或在建项目的建设资格，有权拒绝我单位在一定时期内进入你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进行项目建设或其他经营活动，并通报浙江省财政厅。由此引起的相应损失均由我单位承担。</w:t>
      </w:r>
    </w:p>
    <w:p w14:paraId="1368AFF7">
      <w:pPr>
        <w:autoSpaceDE w:val="0"/>
        <w:autoSpaceDN w:val="0"/>
        <w:adjustRightInd w:val="0"/>
        <w:spacing w:line="360" w:lineRule="auto"/>
        <w:ind w:left="2"/>
        <w:jc w:val="left"/>
        <w:rPr>
          <w:rFonts w:hint="eastAsia" w:ascii="宋体" w:hAnsi="宋体" w:eastAsia="宋体" w:cs="宋体"/>
          <w:color w:val="auto"/>
          <w:kern w:val="0"/>
          <w:sz w:val="24"/>
          <w:highlight w:val="none"/>
          <w:lang w:val="zh-CN"/>
        </w:rPr>
      </w:pPr>
    </w:p>
    <w:p w14:paraId="27F935DA">
      <w:pPr>
        <w:autoSpaceDE w:val="0"/>
        <w:autoSpaceDN w:val="0"/>
        <w:adjustRightInd w:val="0"/>
        <w:spacing w:line="360" w:lineRule="auto"/>
        <w:ind w:left="2"/>
        <w:jc w:val="left"/>
        <w:rPr>
          <w:rFonts w:hint="eastAsia" w:ascii="宋体" w:hAnsi="宋体" w:eastAsia="宋体" w:cs="宋体"/>
          <w:color w:val="auto"/>
          <w:kern w:val="0"/>
          <w:sz w:val="24"/>
          <w:highlight w:val="none"/>
          <w:lang w:val="zh-CN"/>
        </w:rPr>
      </w:pPr>
    </w:p>
    <w:p w14:paraId="14448019">
      <w:pPr>
        <w:autoSpaceDE w:val="0"/>
        <w:autoSpaceDN w:val="0"/>
        <w:adjustRightInd w:val="0"/>
        <w:spacing w:line="360" w:lineRule="auto"/>
        <w:ind w:firstLine="5040" w:firstLineChars="2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w:t>
      </w:r>
      <w:r>
        <w:rPr>
          <w:rFonts w:hint="eastAsia" w:ascii="宋体" w:hAnsi="宋体" w:eastAsia="宋体" w:cs="宋体"/>
          <w:color w:val="auto"/>
          <w:kern w:val="0"/>
          <w:sz w:val="24"/>
          <w:highlight w:val="none"/>
          <w:lang w:val="zh-CN"/>
        </w:rPr>
        <w:t>名称（电子签名）：</w:t>
      </w:r>
    </w:p>
    <w:p w14:paraId="21AA13A8">
      <w:pPr>
        <w:autoSpaceDE w:val="0"/>
        <w:autoSpaceDN w:val="0"/>
        <w:adjustRightInd w:val="0"/>
        <w:spacing w:line="360" w:lineRule="auto"/>
        <w:ind w:right="960"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14:paraId="2813A7BF">
      <w:pPr>
        <w:snapToGrid w:val="0"/>
        <w:spacing w:before="50" w:after="120" w:afterLines="50" w:line="360" w:lineRule="auto"/>
        <w:jc w:val="left"/>
        <w:rPr>
          <w:rFonts w:hint="eastAsia" w:ascii="宋体" w:hAnsi="宋体" w:eastAsia="宋体" w:cs="宋体"/>
          <w:b/>
          <w:color w:val="auto"/>
          <w:sz w:val="24"/>
          <w:highlight w:val="none"/>
        </w:rPr>
      </w:pPr>
    </w:p>
    <w:p w14:paraId="1C679891">
      <w:pPr>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14.报价文件目录</w:t>
      </w:r>
    </w:p>
    <w:p w14:paraId="010A3F9A">
      <w:pPr>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(1)初始报价一览表………………………………………………………………（页码）</w:t>
      </w:r>
    </w:p>
    <w:p w14:paraId="43C12047">
      <w:pPr>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(2)报价清单………………………………………………………………………（页码）</w:t>
      </w:r>
    </w:p>
    <w:p w14:paraId="645385BB">
      <w:pPr>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)报价情况说明（如供应商报价低于项目预算50%的，应当提交本文档，详细阐述不影响产品质量或者诚信履约的具体原因）。</w:t>
      </w:r>
    </w:p>
    <w:p w14:paraId="34F7275F">
      <w:pPr>
        <w:snapToGrid w:val="0"/>
        <w:spacing w:line="360" w:lineRule="auto"/>
        <w:ind w:firstLine="960" w:firstLineChars="400"/>
        <w:jc w:val="left"/>
        <w:rPr>
          <w:rFonts w:hint="eastAsia" w:ascii="宋体" w:hAnsi="宋体" w:eastAsia="宋体" w:cs="宋体"/>
          <w:color w:val="auto"/>
          <w:sz w:val="24"/>
          <w:highlight w:val="none"/>
        </w:rPr>
      </w:pPr>
    </w:p>
    <w:p w14:paraId="071C7579">
      <w:pPr>
        <w:adjustRightInd w:val="0"/>
        <w:snapToGrid w:val="0"/>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kern w:val="0"/>
          <w:sz w:val="32"/>
          <w:szCs w:val="32"/>
          <w:highlight w:val="none"/>
        </w:rPr>
        <w:t>一、初始报价一览表</w:t>
      </w:r>
    </w:p>
    <w:p w14:paraId="58337F31">
      <w:pPr>
        <w:adjustRightInd w:val="0"/>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u w:val="single"/>
          <w:lang w:eastAsia="zh-CN"/>
        </w:rPr>
        <w:t>浙江警察学院</w:t>
      </w:r>
      <w:r>
        <w:rPr>
          <w:rFonts w:hint="eastAsia" w:ascii="宋体" w:hAnsi="宋体" w:eastAsia="宋体" w:cs="宋体"/>
          <w:color w:val="auto"/>
          <w:sz w:val="24"/>
          <w:highlight w:val="none"/>
          <w:u w:val="single"/>
        </w:rPr>
        <w:t xml:space="preserve"> 、耀华建设管理有限公司</w:t>
      </w:r>
      <w:r>
        <w:rPr>
          <w:rFonts w:hint="eastAsia" w:ascii="宋体" w:hAnsi="宋体" w:eastAsia="宋体" w:cs="宋体"/>
          <w:color w:val="auto"/>
          <w:kern w:val="0"/>
          <w:sz w:val="24"/>
          <w:highlight w:val="none"/>
          <w:lang w:val="zh-CN"/>
        </w:rPr>
        <w:t>：</w:t>
      </w:r>
    </w:p>
    <w:p w14:paraId="051C8DA1">
      <w:pPr>
        <w:adjustRightInd w:val="0"/>
        <w:snapToGrid w:val="0"/>
        <w:spacing w:line="360" w:lineRule="auto"/>
        <w:ind w:firstLine="482"/>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按你方磋商文件要求，我们，本响应文件签字方，谨此向你方发出要约如下：如你方接受本响应，我方承诺按照如下初始报价一览表的价格完成</w:t>
      </w:r>
      <w:r>
        <w:rPr>
          <w:rFonts w:hint="eastAsia" w:ascii="宋体" w:hAnsi="宋体" w:eastAsia="宋体" w:cs="宋体"/>
          <w:color w:val="auto"/>
          <w:sz w:val="24"/>
          <w:highlight w:val="none"/>
          <w:lang w:eastAsia="zh-CN"/>
        </w:rPr>
        <w:t>浙江省公安特警训练基地2025年度保障性基建维修项目</w:t>
      </w:r>
      <w:r>
        <w:rPr>
          <w:rFonts w:hint="eastAsia" w:ascii="宋体" w:hAnsi="宋体" w:eastAsia="宋体" w:cs="宋体"/>
          <w:color w:val="auto"/>
          <w:kern w:val="0"/>
          <w:sz w:val="24"/>
          <w:highlight w:val="none"/>
          <w:lang w:val="zh-CN"/>
        </w:rPr>
        <w:t>【编号：</w:t>
      </w:r>
      <w:r>
        <w:rPr>
          <w:rFonts w:hint="eastAsia" w:ascii="宋体" w:hAnsi="宋体" w:eastAsia="宋体" w:cs="宋体"/>
          <w:color w:val="auto"/>
          <w:sz w:val="24"/>
          <w:highlight w:val="none"/>
          <w:lang w:eastAsia="zh-CN"/>
        </w:rPr>
        <w:t>YHQT25-01044</w:t>
      </w:r>
      <w:r>
        <w:rPr>
          <w:rFonts w:hint="eastAsia" w:ascii="宋体" w:hAnsi="宋体" w:eastAsia="宋体" w:cs="宋体"/>
          <w:color w:val="auto"/>
          <w:sz w:val="24"/>
          <w:highlight w:val="none"/>
        </w:rPr>
        <w:t>】的实施</w:t>
      </w:r>
      <w:r>
        <w:rPr>
          <w:rFonts w:hint="eastAsia" w:ascii="宋体" w:hAnsi="宋体" w:eastAsia="宋体" w:cs="宋体"/>
          <w:color w:val="auto"/>
          <w:kern w:val="0"/>
          <w:sz w:val="24"/>
          <w:highlight w:val="none"/>
          <w:lang w:val="zh-CN"/>
        </w:rPr>
        <w:t>。</w:t>
      </w:r>
    </w:p>
    <w:p w14:paraId="75BBA980">
      <w:pPr>
        <w:adjustRightInd w:val="0"/>
        <w:spacing w:line="360" w:lineRule="auto"/>
        <w:jc w:val="center"/>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初始报价一览表(单位均为人民币元)</w:t>
      </w:r>
    </w:p>
    <w:tbl>
      <w:tblPr>
        <w:tblStyle w:val="16"/>
        <w:tblpPr w:leftFromText="180" w:rightFromText="180" w:vertAnchor="text" w:horzAnchor="page" w:tblpXSpec="center" w:tblpY="261"/>
        <w:tblOverlap w:val="never"/>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754"/>
        <w:gridCol w:w="3644"/>
      </w:tblGrid>
      <w:tr w14:paraId="6D80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blHeader/>
          <w:jc w:val="center"/>
        </w:trPr>
        <w:tc>
          <w:tcPr>
            <w:tcW w:w="1161" w:type="dxa"/>
            <w:noWrap/>
            <w:vAlign w:val="center"/>
          </w:tcPr>
          <w:p w14:paraId="0B6B9B97">
            <w:pPr>
              <w:adjustRightInd w:val="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398" w:type="dxa"/>
            <w:gridSpan w:val="2"/>
            <w:noWrap/>
            <w:vAlign w:val="center"/>
          </w:tcPr>
          <w:p w14:paraId="0D7E088A">
            <w:pPr>
              <w:adjustRightInd w:val="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r>
      <w:tr w14:paraId="0DC3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blHeader/>
          <w:jc w:val="center"/>
        </w:trPr>
        <w:tc>
          <w:tcPr>
            <w:tcW w:w="1161" w:type="dxa"/>
            <w:noWrap/>
            <w:vAlign w:val="center"/>
          </w:tcPr>
          <w:p w14:paraId="2CC75CD9">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4754" w:type="dxa"/>
            <w:noWrap/>
            <w:vAlign w:val="center"/>
          </w:tcPr>
          <w:p w14:paraId="2DC12E49">
            <w:pPr>
              <w:widowControl/>
              <w:snapToGrid w:val="0"/>
              <w:ind w:right="238"/>
              <w:jc w:val="center"/>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lang w:eastAsia="zh-CN"/>
              </w:rPr>
              <w:t>浙江省公安特警训练基地2025年度保障性基建维修项目</w:t>
            </w:r>
          </w:p>
          <w:p w14:paraId="378A88C0">
            <w:pPr>
              <w:widowControl/>
              <w:snapToGrid w:val="0"/>
              <w:ind w:right="238"/>
              <w:jc w:val="center"/>
              <w:rPr>
                <w:rFonts w:hint="eastAsia" w:ascii="宋体" w:hAnsi="宋体" w:eastAsia="宋体" w:cs="宋体"/>
                <w:color w:val="auto"/>
                <w:sz w:val="24"/>
                <w:highlight w:val="none"/>
              </w:rPr>
            </w:pPr>
            <w:r>
              <w:rPr>
                <w:rFonts w:hint="eastAsia" w:ascii="宋体" w:hAnsi="宋体" w:eastAsia="宋体" w:cs="宋体"/>
                <w:color w:val="auto"/>
                <w:sz w:val="24"/>
                <w:szCs w:val="22"/>
                <w:highlight w:val="none"/>
              </w:rPr>
              <w:t>响应总报价</w:t>
            </w:r>
          </w:p>
        </w:tc>
        <w:tc>
          <w:tcPr>
            <w:tcW w:w="3644" w:type="dxa"/>
            <w:noWrap/>
            <w:vAlign w:val="center"/>
          </w:tcPr>
          <w:p w14:paraId="23224F8E">
            <w:pPr>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大写：   元，小写 ：  元</w:t>
            </w:r>
          </w:p>
        </w:tc>
      </w:tr>
      <w:tr w14:paraId="3D51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blHeader/>
          <w:jc w:val="center"/>
        </w:trPr>
        <w:tc>
          <w:tcPr>
            <w:tcW w:w="1161" w:type="dxa"/>
            <w:noWrap/>
            <w:vAlign w:val="center"/>
          </w:tcPr>
          <w:p w14:paraId="583CA209">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4754" w:type="dxa"/>
            <w:noWrap/>
            <w:vAlign w:val="center"/>
          </w:tcPr>
          <w:p w14:paraId="6A3CD157">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c>
          <w:tcPr>
            <w:tcW w:w="3644" w:type="dxa"/>
            <w:noWrap/>
            <w:vAlign w:val="center"/>
          </w:tcPr>
          <w:p w14:paraId="28E82628">
            <w:pPr>
              <w:adjustRightInd w:val="0"/>
              <w:jc w:val="center"/>
              <w:rPr>
                <w:rFonts w:hint="eastAsia" w:ascii="宋体" w:hAnsi="宋体" w:eastAsia="宋体" w:cs="宋体"/>
                <w:color w:val="auto"/>
                <w:sz w:val="24"/>
                <w:highlight w:val="none"/>
              </w:rPr>
            </w:pPr>
          </w:p>
        </w:tc>
      </w:tr>
      <w:tr w14:paraId="1230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blHeader/>
          <w:jc w:val="center"/>
        </w:trPr>
        <w:tc>
          <w:tcPr>
            <w:tcW w:w="1161" w:type="dxa"/>
            <w:noWrap/>
            <w:vAlign w:val="center"/>
          </w:tcPr>
          <w:p w14:paraId="63E70D62">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4754" w:type="dxa"/>
            <w:noWrap/>
            <w:vAlign w:val="center"/>
          </w:tcPr>
          <w:p w14:paraId="69FAE123">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3644" w:type="dxa"/>
            <w:noWrap/>
            <w:vAlign w:val="center"/>
          </w:tcPr>
          <w:p w14:paraId="61C59EAB">
            <w:pPr>
              <w:keepNext/>
              <w:keepLines/>
              <w:adjustRightInd w:val="0"/>
              <w:spacing w:before="340" w:after="330"/>
              <w:jc w:val="center"/>
              <w:outlineLvl w:val="0"/>
              <w:rPr>
                <w:rFonts w:hint="eastAsia" w:ascii="宋体" w:hAnsi="宋体" w:eastAsia="宋体" w:cs="宋体"/>
                <w:color w:val="auto"/>
                <w:sz w:val="24"/>
                <w:highlight w:val="none"/>
              </w:rPr>
            </w:pPr>
          </w:p>
        </w:tc>
      </w:tr>
      <w:tr w14:paraId="2DE0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blHeader/>
          <w:jc w:val="center"/>
        </w:trPr>
        <w:tc>
          <w:tcPr>
            <w:tcW w:w="1161" w:type="dxa"/>
            <w:noWrap/>
            <w:vAlign w:val="center"/>
          </w:tcPr>
          <w:p w14:paraId="02200569">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4754" w:type="dxa"/>
            <w:noWrap/>
            <w:vAlign w:val="center"/>
          </w:tcPr>
          <w:p w14:paraId="4C22289A">
            <w:pPr>
              <w:adjustRightInd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施工质量标准</w:t>
            </w:r>
          </w:p>
        </w:tc>
        <w:tc>
          <w:tcPr>
            <w:tcW w:w="3644" w:type="dxa"/>
            <w:noWrap/>
            <w:vAlign w:val="center"/>
          </w:tcPr>
          <w:p w14:paraId="4FBEC480">
            <w:pPr>
              <w:keepNext/>
              <w:keepLines/>
              <w:adjustRightInd w:val="0"/>
              <w:spacing w:before="340" w:after="330"/>
              <w:jc w:val="center"/>
              <w:outlineLvl w:val="0"/>
              <w:rPr>
                <w:rFonts w:hint="eastAsia" w:ascii="宋体" w:hAnsi="宋体" w:eastAsia="宋体" w:cs="宋体"/>
                <w:color w:val="auto"/>
                <w:sz w:val="24"/>
                <w:highlight w:val="none"/>
              </w:rPr>
            </w:pPr>
          </w:p>
        </w:tc>
      </w:tr>
    </w:tbl>
    <w:p w14:paraId="57B4E601">
      <w:pPr>
        <w:adjustRightInd w:val="0"/>
        <w:snapToGrid w:val="0"/>
        <w:spacing w:line="360" w:lineRule="auto"/>
        <w:ind w:left="480"/>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注：</w:t>
      </w:r>
    </w:p>
    <w:p w14:paraId="378E1C02">
      <w:pPr>
        <w:adjustRightInd w:val="0"/>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1、供应商需按本表格式填写，不得自行更改。</w:t>
      </w:r>
    </w:p>
    <w:p w14:paraId="7AA3202D">
      <w:pPr>
        <w:adjustRightInd w:val="0"/>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2、有关本项目实施所涉及的一切费用均计入报价。</w:t>
      </w:r>
      <w:r>
        <w:rPr>
          <w:rFonts w:hint="eastAsia" w:ascii="宋体" w:hAnsi="宋体" w:eastAsia="宋体" w:cs="宋体"/>
          <w:b/>
          <w:color w:val="auto"/>
          <w:kern w:val="0"/>
          <w:sz w:val="24"/>
          <w:highlight w:val="none"/>
          <w:lang w:val="zh-CN"/>
        </w:rPr>
        <w:t>采购人将以合同形式有偿取得货物或服务，不接受供应商给予的赠品、回扣或者与采购无关的其他商品、服务</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不得出现“0元”“免费赠送”等形式的无偿报价，</w:t>
      </w:r>
      <w:r>
        <w:rPr>
          <w:rFonts w:hint="eastAsia" w:ascii="宋体" w:hAnsi="宋体" w:eastAsia="宋体" w:cs="宋体"/>
          <w:b/>
          <w:color w:val="auto"/>
          <w:kern w:val="0"/>
          <w:sz w:val="24"/>
          <w:highlight w:val="none"/>
        </w:rPr>
        <w:t>否则视为</w:t>
      </w:r>
      <w:r>
        <w:rPr>
          <w:rFonts w:hint="eastAsia" w:ascii="宋体" w:hAnsi="宋体" w:eastAsia="宋体" w:cs="宋体"/>
          <w:b/>
          <w:color w:val="auto"/>
          <w:sz w:val="24"/>
          <w:highlight w:val="none"/>
        </w:rPr>
        <w:t>响应文件含有采购人不能接受的附加条件的，投标无效</w:t>
      </w:r>
      <w:r>
        <w:rPr>
          <w:rFonts w:hint="eastAsia" w:ascii="宋体" w:hAnsi="宋体" w:eastAsia="宋体" w:cs="宋体"/>
          <w:b/>
          <w:color w:val="auto"/>
          <w:kern w:val="0"/>
          <w:sz w:val="24"/>
          <w:highlight w:val="none"/>
          <w:lang w:val="zh-CN"/>
        </w:rPr>
        <w:t>。</w:t>
      </w:r>
    </w:p>
    <w:p w14:paraId="6F29C825">
      <w:pPr>
        <w:adjustRightInd w:val="0"/>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val="zh-CN"/>
        </w:rPr>
        <w:t>、特别提示：采购机构将对项目名称和项目编号，中标供应商名称、地址和中标金额，主要中标标的的名称、规格型号、数量、单价、服务要求等予以公示。</w:t>
      </w:r>
    </w:p>
    <w:p w14:paraId="6EE19E2E">
      <w:pPr>
        <w:adjustRightInd w:val="0"/>
        <w:snapToGrid w:val="0"/>
        <w:spacing w:line="360" w:lineRule="auto"/>
        <w:ind w:firstLine="480" w:firstLineChars="200"/>
        <w:rPr>
          <w:rFonts w:hint="eastAsia" w:ascii="宋体" w:hAnsi="宋体" w:eastAsia="宋体" w:cs="宋体"/>
          <w:b/>
          <w:bCs/>
          <w:color w:val="auto"/>
          <w:kern w:val="0"/>
          <w:sz w:val="24"/>
          <w:highlight w:val="none"/>
        </w:rPr>
      </w:pPr>
      <w:r>
        <w:rPr>
          <w:rFonts w:hint="eastAsia" w:ascii="宋体" w:hAnsi="宋体" w:eastAsia="宋体" w:cs="宋体"/>
          <w:color w:val="auto"/>
          <w:kern w:val="0"/>
          <w:sz w:val="24"/>
          <w:szCs w:val="22"/>
          <w:highlight w:val="none"/>
        </w:rPr>
        <w:t>4</w:t>
      </w:r>
      <w:r>
        <w:rPr>
          <w:rFonts w:hint="eastAsia" w:ascii="宋体" w:hAnsi="宋体" w:eastAsia="宋体" w:cs="宋体"/>
          <w:color w:val="auto"/>
          <w:kern w:val="0"/>
          <w:sz w:val="24"/>
          <w:szCs w:val="22"/>
          <w:highlight w:val="none"/>
          <w:lang w:val="zh-CN"/>
        </w:rPr>
        <w:t>、</w:t>
      </w:r>
      <w:r>
        <w:rPr>
          <w:rFonts w:hint="eastAsia" w:ascii="宋体" w:hAnsi="宋体" w:eastAsia="宋体"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54D67486">
      <w:pPr>
        <w:spacing w:after="120"/>
        <w:ind w:left="420" w:leftChars="200" w:firstLine="420" w:firstLineChars="200"/>
        <w:rPr>
          <w:rFonts w:hint="eastAsia" w:ascii="宋体" w:hAnsi="宋体" w:eastAsia="宋体" w:cs="宋体"/>
          <w:color w:val="auto"/>
          <w:highlight w:val="none"/>
          <w:lang w:val="zh-CN"/>
        </w:rPr>
      </w:pPr>
    </w:p>
    <w:p w14:paraId="79D09DA3">
      <w:pPr>
        <w:adjustRightInd w:val="0"/>
        <w:spacing w:line="360" w:lineRule="auto"/>
        <w:ind w:right="-874" w:rightChars="-416" w:firstLine="5280" w:firstLineChars="2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供应商名称（电子签名）：</w:t>
      </w:r>
    </w:p>
    <w:p w14:paraId="0B5B10FC">
      <w:pPr>
        <w:autoSpaceDE w:val="0"/>
        <w:autoSpaceDN w:val="0"/>
        <w:adjustRightInd w:val="0"/>
        <w:spacing w:line="360" w:lineRule="auto"/>
        <w:ind w:left="5040" w:hanging="5040" w:hangingChars="2100"/>
        <w:rPr>
          <w:rFonts w:hint="eastAsia" w:ascii="宋体" w:hAnsi="宋体" w:eastAsia="宋体" w:cs="宋体"/>
          <w:color w:val="auto"/>
          <w:highlight w:val="none"/>
        </w:rPr>
        <w:sectPr>
          <w:pgSz w:w="11906" w:h="16838"/>
          <w:pgMar w:top="1174" w:right="1417" w:bottom="1151" w:left="1417" w:header="851" w:footer="992" w:gutter="0"/>
          <w:cols w:space="720" w:num="1"/>
          <w:titlePg/>
          <w:docGrid w:linePitch="312" w:charSpace="0"/>
        </w:sectPr>
      </w:pPr>
      <w:r>
        <w:rPr>
          <w:rFonts w:hint="eastAsia" w:ascii="宋体" w:hAnsi="宋体" w:eastAsia="宋体" w:cs="宋体"/>
          <w:color w:val="auto"/>
          <w:kern w:val="0"/>
          <w:sz w:val="24"/>
          <w:highlight w:val="none"/>
          <w:lang w:val="zh-CN"/>
        </w:rPr>
        <w:t xml:space="preserve">                                            日期：    年  月  </w:t>
      </w:r>
    </w:p>
    <w:p w14:paraId="5AF3961B">
      <w:pPr>
        <w:numPr>
          <w:ilvl w:val="0"/>
          <w:numId w:val="9"/>
        </w:numPr>
        <w:autoSpaceDE w:val="0"/>
        <w:autoSpaceDN w:val="0"/>
        <w:adjustRightInd w:val="0"/>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报价清单</w:t>
      </w:r>
    </w:p>
    <w:p w14:paraId="4211A89E">
      <w:pPr>
        <w:autoSpaceDE w:val="0"/>
        <w:autoSpaceDN w:val="0"/>
        <w:adjustRightInd w:val="0"/>
        <w:spacing w:line="360" w:lineRule="auto"/>
        <w:rPr>
          <w:rFonts w:hint="eastAsia" w:ascii="宋体" w:hAnsi="宋体" w:eastAsia="宋体" w:cs="宋体"/>
          <w:b/>
          <w:color w:val="auto"/>
          <w:sz w:val="32"/>
          <w:szCs w:val="32"/>
          <w:highlight w:val="none"/>
        </w:rPr>
      </w:pPr>
    </w:p>
    <w:p w14:paraId="6CBFA422">
      <w:pPr>
        <w:adjustRightInd w:val="0"/>
        <w:jc w:val="center"/>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响 应 报 价</w:t>
      </w:r>
    </w:p>
    <w:p w14:paraId="5E88981F">
      <w:pPr>
        <w:adjustRightInd w:val="0"/>
        <w:rPr>
          <w:rFonts w:hint="eastAsia" w:ascii="宋体" w:hAnsi="宋体" w:eastAsia="宋体" w:cs="宋体"/>
          <w:color w:val="auto"/>
          <w:highlight w:val="none"/>
        </w:rPr>
      </w:pPr>
    </w:p>
    <w:p w14:paraId="3708FF81">
      <w:pPr>
        <w:adjustRightInd w:val="0"/>
        <w:rPr>
          <w:rFonts w:hint="eastAsia" w:ascii="宋体" w:hAnsi="宋体" w:eastAsia="宋体" w:cs="宋体"/>
          <w:color w:val="auto"/>
          <w:highlight w:val="none"/>
        </w:rPr>
      </w:pPr>
    </w:p>
    <w:p w14:paraId="6F105D96">
      <w:pPr>
        <w:adjustRightInd w:val="0"/>
        <w:rPr>
          <w:rFonts w:hint="eastAsia" w:ascii="宋体" w:hAnsi="宋体" w:eastAsia="宋体" w:cs="宋体"/>
          <w:color w:val="auto"/>
          <w:highlight w:val="none"/>
        </w:rPr>
      </w:pPr>
    </w:p>
    <w:p w14:paraId="4185366A">
      <w:pPr>
        <w:adjustRightInd w:val="0"/>
        <w:rPr>
          <w:rFonts w:hint="eastAsia" w:ascii="宋体" w:hAnsi="宋体" w:eastAsia="宋体" w:cs="宋体"/>
          <w:color w:val="auto"/>
          <w:highlight w:val="none"/>
        </w:rPr>
      </w:pPr>
    </w:p>
    <w:p w14:paraId="1B83AE6B">
      <w:pPr>
        <w:adjustRightInd w:val="0"/>
        <w:jc w:val="center"/>
        <w:rPr>
          <w:rFonts w:hint="eastAsia" w:ascii="宋体" w:hAnsi="宋体" w:eastAsia="宋体" w:cs="宋体"/>
          <w:color w:val="auto"/>
          <w:highlight w:val="none"/>
        </w:rPr>
      </w:pPr>
    </w:p>
    <w:p w14:paraId="3343ED88">
      <w:pPr>
        <w:adjustRightInd w:val="0"/>
        <w:spacing w:line="480" w:lineRule="auto"/>
        <w:ind w:firstLine="1575" w:firstLineChars="750"/>
        <w:rPr>
          <w:rFonts w:hint="eastAsia" w:ascii="宋体" w:hAnsi="宋体" w:eastAsia="宋体" w:cs="宋体"/>
          <w:color w:val="auto"/>
          <w:highlight w:val="none"/>
        </w:rPr>
      </w:pPr>
      <w:r>
        <w:rPr>
          <w:rFonts w:hint="eastAsia" w:ascii="宋体" w:hAnsi="宋体" w:eastAsia="宋体" w:cs="宋体"/>
          <w:color w:val="auto"/>
          <w:highlight w:val="none"/>
        </w:rPr>
        <w:t>采   购   人：</w:t>
      </w:r>
    </w:p>
    <w:p w14:paraId="5302F43C">
      <w:pPr>
        <w:adjustRightInd w:val="0"/>
        <w:spacing w:line="480" w:lineRule="auto"/>
        <w:jc w:val="center"/>
        <w:rPr>
          <w:rFonts w:hint="eastAsia" w:ascii="宋体" w:hAnsi="宋体" w:eastAsia="宋体" w:cs="宋体"/>
          <w:color w:val="auto"/>
          <w:sz w:val="24"/>
          <w:highlight w:val="none"/>
        </w:rPr>
      </w:pPr>
    </w:p>
    <w:p w14:paraId="6E053C15">
      <w:pPr>
        <w:adjustRightInd w:val="0"/>
        <w:spacing w:line="480" w:lineRule="auto"/>
        <w:ind w:firstLine="1575" w:firstLineChars="750"/>
        <w:rPr>
          <w:rFonts w:hint="eastAsia" w:ascii="宋体" w:hAnsi="宋体" w:eastAsia="宋体" w:cs="宋体"/>
          <w:color w:val="auto"/>
          <w:highlight w:val="none"/>
        </w:rPr>
      </w:pPr>
      <w:r>
        <w:rPr>
          <w:rFonts w:hint="eastAsia" w:ascii="宋体" w:hAnsi="宋体" w:eastAsia="宋体" w:cs="宋体"/>
          <w:color w:val="auto"/>
          <w:highlight w:val="none"/>
        </w:rPr>
        <w:t>工 程 名 称：</w:t>
      </w:r>
    </w:p>
    <w:p w14:paraId="643B9B0A">
      <w:pPr>
        <w:adjustRightInd w:val="0"/>
        <w:spacing w:line="480" w:lineRule="auto"/>
        <w:rPr>
          <w:rFonts w:hint="eastAsia" w:ascii="宋体" w:hAnsi="宋体" w:eastAsia="宋体" w:cs="宋体"/>
          <w:color w:val="auto"/>
          <w:highlight w:val="none"/>
        </w:rPr>
      </w:pPr>
    </w:p>
    <w:p w14:paraId="194E089B">
      <w:pPr>
        <w:adjustRightInd w:val="0"/>
        <w:spacing w:line="480" w:lineRule="auto"/>
        <w:ind w:firstLine="1575" w:firstLineChars="750"/>
        <w:rPr>
          <w:rFonts w:hint="eastAsia" w:ascii="宋体" w:hAnsi="宋体" w:eastAsia="宋体" w:cs="宋体"/>
          <w:color w:val="auto"/>
          <w:highlight w:val="none"/>
        </w:rPr>
      </w:pPr>
      <w:r>
        <w:rPr>
          <w:rFonts w:hint="eastAsia" w:ascii="宋体" w:hAnsi="宋体" w:eastAsia="宋体" w:cs="宋体"/>
          <w:color w:val="auto"/>
          <w:highlight w:val="none"/>
        </w:rPr>
        <w:t>响应总价（小写）：</w:t>
      </w:r>
    </w:p>
    <w:p w14:paraId="77BCA495">
      <w:pPr>
        <w:adjustRightInd w:val="0"/>
        <w:spacing w:line="480" w:lineRule="auto"/>
        <w:jc w:val="center"/>
        <w:rPr>
          <w:rFonts w:hint="eastAsia" w:ascii="宋体" w:hAnsi="宋体" w:eastAsia="宋体" w:cs="宋体"/>
          <w:color w:val="auto"/>
          <w:sz w:val="24"/>
          <w:highlight w:val="none"/>
        </w:rPr>
      </w:pPr>
    </w:p>
    <w:p w14:paraId="3E43B252">
      <w:pPr>
        <w:adjustRightInd w:val="0"/>
        <w:spacing w:line="480" w:lineRule="auto"/>
        <w:ind w:firstLine="2415" w:firstLineChars="1150"/>
        <w:rPr>
          <w:rFonts w:hint="eastAsia" w:ascii="宋体" w:hAnsi="宋体" w:eastAsia="宋体" w:cs="宋体"/>
          <w:color w:val="auto"/>
          <w:sz w:val="24"/>
          <w:highlight w:val="none"/>
        </w:rPr>
      </w:pPr>
      <w:r>
        <w:rPr>
          <w:rFonts w:hint="eastAsia" w:ascii="宋体" w:hAnsi="宋体" w:eastAsia="宋体" w:cs="宋体"/>
          <w:color w:val="auto"/>
          <w:highlight w:val="none"/>
        </w:rPr>
        <w:t>（大写）：</w:t>
      </w:r>
    </w:p>
    <w:p w14:paraId="5C515D13">
      <w:pPr>
        <w:adjustRightInd w:val="0"/>
        <w:spacing w:line="480" w:lineRule="auto"/>
        <w:rPr>
          <w:rFonts w:hint="eastAsia" w:ascii="宋体" w:hAnsi="宋体" w:eastAsia="宋体" w:cs="宋体"/>
          <w:color w:val="auto"/>
          <w:highlight w:val="none"/>
        </w:rPr>
      </w:pPr>
    </w:p>
    <w:p w14:paraId="2317047B">
      <w:pPr>
        <w:adjustRightInd w:val="0"/>
        <w:spacing w:line="480" w:lineRule="auto"/>
        <w:ind w:firstLine="1575" w:firstLineChars="750"/>
        <w:rPr>
          <w:rFonts w:hint="eastAsia" w:ascii="宋体" w:hAnsi="宋体" w:eastAsia="宋体" w:cs="宋体"/>
          <w:color w:val="auto"/>
          <w:highlight w:val="none"/>
        </w:rPr>
      </w:pPr>
      <w:r>
        <w:rPr>
          <w:rFonts w:hint="eastAsia" w:ascii="宋体" w:hAnsi="宋体" w:eastAsia="宋体" w:cs="宋体"/>
          <w:color w:val="auto"/>
          <w:highlight w:val="none"/>
        </w:rPr>
        <w:t>响   应  人：（单位电子签章）</w:t>
      </w:r>
    </w:p>
    <w:p w14:paraId="7909D259">
      <w:pPr>
        <w:adjustRightInd w:val="0"/>
        <w:spacing w:line="480" w:lineRule="auto"/>
        <w:jc w:val="center"/>
        <w:rPr>
          <w:rFonts w:hint="eastAsia" w:ascii="宋体" w:hAnsi="宋体" w:eastAsia="宋体" w:cs="宋体"/>
          <w:color w:val="auto"/>
          <w:highlight w:val="none"/>
        </w:rPr>
      </w:pPr>
    </w:p>
    <w:p w14:paraId="081A36B4">
      <w:pPr>
        <w:adjustRightInd w:val="0"/>
        <w:spacing w:line="480" w:lineRule="auto"/>
        <w:ind w:firstLine="1575" w:firstLineChars="750"/>
        <w:rPr>
          <w:rFonts w:hint="eastAsia" w:ascii="宋体" w:hAnsi="宋体" w:eastAsia="宋体" w:cs="宋体"/>
          <w:color w:val="auto"/>
          <w:sz w:val="24"/>
          <w:highlight w:val="none"/>
        </w:rPr>
      </w:pPr>
      <w:r>
        <w:rPr>
          <w:rFonts w:hint="eastAsia" w:ascii="宋体" w:hAnsi="宋体" w:eastAsia="宋体" w:cs="宋体"/>
          <w:color w:val="auto"/>
          <w:highlight w:val="none"/>
        </w:rPr>
        <w:t>法定代表人或其授权人</w:t>
      </w:r>
      <w:r>
        <w:rPr>
          <w:rFonts w:hint="eastAsia" w:ascii="宋体" w:hAnsi="宋体" w:eastAsia="宋体" w:cs="宋体"/>
          <w:color w:val="auto"/>
          <w:sz w:val="24"/>
          <w:highlight w:val="none"/>
        </w:rPr>
        <w:t>：（</w:t>
      </w:r>
      <w:r>
        <w:rPr>
          <w:rFonts w:hint="eastAsia" w:ascii="宋体" w:hAnsi="宋体" w:eastAsia="宋体" w:cs="宋体"/>
          <w:color w:val="auto"/>
          <w:highlight w:val="none"/>
        </w:rPr>
        <w:t>电子签章</w:t>
      </w:r>
      <w:r>
        <w:rPr>
          <w:rFonts w:hint="eastAsia" w:ascii="宋体" w:hAnsi="宋体" w:eastAsia="宋体" w:cs="宋体"/>
          <w:color w:val="auto"/>
          <w:sz w:val="24"/>
          <w:highlight w:val="none"/>
        </w:rPr>
        <w:t>）</w:t>
      </w:r>
    </w:p>
    <w:p w14:paraId="1F7C125F">
      <w:pPr>
        <w:adjustRightInd w:val="0"/>
        <w:spacing w:line="480" w:lineRule="auto"/>
        <w:rPr>
          <w:rFonts w:hint="eastAsia" w:ascii="宋体" w:hAnsi="宋体" w:eastAsia="宋体" w:cs="宋体"/>
          <w:color w:val="auto"/>
          <w:highlight w:val="none"/>
        </w:rPr>
      </w:pPr>
    </w:p>
    <w:p w14:paraId="29526CED">
      <w:pPr>
        <w:adjustRightInd w:val="0"/>
        <w:spacing w:line="480" w:lineRule="auto"/>
        <w:rPr>
          <w:rFonts w:hint="eastAsia" w:ascii="宋体" w:hAnsi="宋体" w:eastAsia="宋体" w:cs="宋体"/>
          <w:color w:val="auto"/>
          <w:sz w:val="24"/>
          <w:highlight w:val="none"/>
        </w:rPr>
      </w:pPr>
    </w:p>
    <w:p w14:paraId="771E959D">
      <w:pPr>
        <w:adjustRightInd w:val="0"/>
        <w:spacing w:line="48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0F79A011">
      <w:pPr>
        <w:adjustRightInd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3C906825">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工程量清单报价说明</w:t>
      </w:r>
    </w:p>
    <w:p w14:paraId="0973806E">
      <w:pPr>
        <w:widowControl/>
        <w:tabs>
          <w:tab w:val="center" w:pos="4755"/>
          <w:tab w:val="right" w:pos="9070"/>
        </w:tabs>
        <w:adjustRightInd w:val="0"/>
        <w:spacing w:before="100" w:beforeAutospacing="1" w:after="100" w:afterAutospacing="1"/>
        <w:ind w:left="210" w:left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工程名称：                                                  第  页 共  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1E4B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0" w:hRule="atLeast"/>
          <w:jc w:val="center"/>
        </w:trPr>
        <w:tc>
          <w:tcPr>
            <w:tcW w:w="9286" w:type="dxa"/>
            <w:noWrap w:val="0"/>
            <w:vAlign w:val="top"/>
          </w:tcPr>
          <w:p w14:paraId="36A2B050">
            <w:pPr>
              <w:widowControl/>
              <w:tabs>
                <w:tab w:val="center" w:pos="4755"/>
                <w:tab w:val="right" w:pos="9070"/>
              </w:tabs>
              <w:adjustRightInd w:val="0"/>
              <w:spacing w:before="100" w:beforeAutospacing="1" w:after="100" w:afterAutospacing="1"/>
              <w:rPr>
                <w:rFonts w:hint="eastAsia" w:ascii="宋体" w:hAnsi="宋体" w:eastAsia="宋体" w:cs="宋体"/>
                <w:b/>
                <w:color w:val="auto"/>
                <w:szCs w:val="28"/>
                <w:highlight w:val="none"/>
              </w:rPr>
            </w:pPr>
          </w:p>
        </w:tc>
      </w:tr>
    </w:tbl>
    <w:p w14:paraId="0DD8C202">
      <w:pPr>
        <w:widowControl/>
        <w:tabs>
          <w:tab w:val="center" w:pos="4755"/>
          <w:tab w:val="right" w:pos="9070"/>
        </w:tabs>
        <w:adjustRightInd w:val="0"/>
        <w:spacing w:before="100" w:beforeAutospacing="1" w:after="100" w:afterAutospacing="1"/>
        <w:ind w:firstLine="210" w:firstLineChars="100"/>
        <w:rPr>
          <w:rFonts w:hint="eastAsia" w:ascii="宋体" w:hAnsi="宋体" w:eastAsia="宋体" w:cs="宋体"/>
          <w:b/>
          <w:color w:val="auto"/>
          <w:highlight w:val="none"/>
        </w:rPr>
      </w:pPr>
      <w:r>
        <w:rPr>
          <w:rFonts w:hint="eastAsia" w:ascii="宋体" w:hAnsi="宋体" w:eastAsia="宋体" w:cs="宋体"/>
          <w:color w:val="auto"/>
          <w:highlight w:val="none"/>
        </w:rPr>
        <w:t xml:space="preserve">供应商：（ 盖章）               法定代表人或委托代理人：（盖章或签字）  </w:t>
      </w:r>
    </w:p>
    <w:p w14:paraId="184BC618">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表1-1-1  工程项目报价汇总表</w:t>
      </w:r>
    </w:p>
    <w:p w14:paraId="726F6BC2">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工程名称：</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6439"/>
        <w:gridCol w:w="2021"/>
      </w:tblGrid>
      <w:tr w14:paraId="70E5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7D8B933E">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6439" w:type="dxa"/>
            <w:noWrap w:val="0"/>
            <w:vAlign w:val="center"/>
          </w:tcPr>
          <w:p w14:paraId="4823B786">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内容</w:t>
            </w:r>
          </w:p>
        </w:tc>
        <w:tc>
          <w:tcPr>
            <w:tcW w:w="2021" w:type="dxa"/>
            <w:noWrap w:val="0"/>
            <w:vAlign w:val="center"/>
          </w:tcPr>
          <w:p w14:paraId="5B67E6C2">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报价（元）</w:t>
            </w:r>
          </w:p>
        </w:tc>
      </w:tr>
      <w:tr w14:paraId="06C0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2A06DB85">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一</w:t>
            </w:r>
          </w:p>
        </w:tc>
        <w:tc>
          <w:tcPr>
            <w:tcW w:w="6439" w:type="dxa"/>
            <w:noWrap w:val="0"/>
            <w:vAlign w:val="top"/>
          </w:tcPr>
          <w:p w14:paraId="66DEA036">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单位工程费合计</w:t>
            </w:r>
          </w:p>
        </w:tc>
        <w:tc>
          <w:tcPr>
            <w:tcW w:w="2021" w:type="dxa"/>
            <w:noWrap w:val="0"/>
            <w:vAlign w:val="top"/>
          </w:tcPr>
          <w:p w14:paraId="20CD6776">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0FA8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5CC8F70B">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6439" w:type="dxa"/>
            <w:noWrap w:val="0"/>
            <w:vAlign w:val="top"/>
          </w:tcPr>
          <w:p w14:paraId="13350A79">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（单位工程1，如1号楼）</w:t>
            </w:r>
          </w:p>
        </w:tc>
        <w:tc>
          <w:tcPr>
            <w:tcW w:w="2021" w:type="dxa"/>
            <w:noWrap w:val="0"/>
            <w:vAlign w:val="top"/>
          </w:tcPr>
          <w:p w14:paraId="30F7A836">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1A40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1D3A211B">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6439" w:type="dxa"/>
            <w:noWrap w:val="0"/>
            <w:vAlign w:val="top"/>
          </w:tcPr>
          <w:p w14:paraId="682D352A">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（单位工程2）</w:t>
            </w:r>
          </w:p>
        </w:tc>
        <w:tc>
          <w:tcPr>
            <w:tcW w:w="2021" w:type="dxa"/>
            <w:noWrap w:val="0"/>
            <w:vAlign w:val="top"/>
          </w:tcPr>
          <w:p w14:paraId="2A1674ED">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2E83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6946F0EA">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p>
        </w:tc>
        <w:tc>
          <w:tcPr>
            <w:tcW w:w="6439" w:type="dxa"/>
            <w:noWrap w:val="0"/>
            <w:vAlign w:val="top"/>
          </w:tcPr>
          <w:p w14:paraId="27F3AF6A">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c>
          <w:tcPr>
            <w:tcW w:w="2021" w:type="dxa"/>
            <w:noWrap w:val="0"/>
            <w:vAlign w:val="top"/>
          </w:tcPr>
          <w:p w14:paraId="07048742">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258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168E2B7E">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p>
        </w:tc>
        <w:tc>
          <w:tcPr>
            <w:tcW w:w="6439" w:type="dxa"/>
            <w:noWrap w:val="0"/>
            <w:vAlign w:val="top"/>
          </w:tcPr>
          <w:p w14:paraId="019E2CB0">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c>
          <w:tcPr>
            <w:tcW w:w="2021" w:type="dxa"/>
            <w:noWrap w:val="0"/>
            <w:vAlign w:val="top"/>
          </w:tcPr>
          <w:p w14:paraId="59457126">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5812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079" w:type="dxa"/>
            <w:noWrap w:val="0"/>
            <w:vAlign w:val="center"/>
          </w:tcPr>
          <w:p w14:paraId="17D7EC08">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二</w:t>
            </w:r>
          </w:p>
        </w:tc>
        <w:tc>
          <w:tcPr>
            <w:tcW w:w="6439" w:type="dxa"/>
            <w:noWrap w:val="0"/>
            <w:vAlign w:val="top"/>
          </w:tcPr>
          <w:p w14:paraId="2DED65F5">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未纳入单位工程费的其他费用[（一）+（二）+（三）+（四）]</w:t>
            </w:r>
          </w:p>
        </w:tc>
        <w:tc>
          <w:tcPr>
            <w:tcW w:w="2021" w:type="dxa"/>
            <w:noWrap w:val="0"/>
            <w:vAlign w:val="top"/>
          </w:tcPr>
          <w:p w14:paraId="792A7ACA">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7EAD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079" w:type="dxa"/>
            <w:noWrap w:val="0"/>
            <w:vAlign w:val="center"/>
          </w:tcPr>
          <w:p w14:paraId="154F41F8">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（一）</w:t>
            </w:r>
          </w:p>
        </w:tc>
        <w:tc>
          <w:tcPr>
            <w:tcW w:w="6439" w:type="dxa"/>
            <w:noWrap w:val="0"/>
            <w:vAlign w:val="center"/>
          </w:tcPr>
          <w:p w14:paraId="56FDCD1A">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整体措施项目清单（1+2）</w:t>
            </w:r>
          </w:p>
        </w:tc>
        <w:tc>
          <w:tcPr>
            <w:tcW w:w="2021" w:type="dxa"/>
            <w:noWrap w:val="0"/>
            <w:vAlign w:val="top"/>
          </w:tcPr>
          <w:p w14:paraId="21254730">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28C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36121911">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6439" w:type="dxa"/>
            <w:noWrap w:val="0"/>
            <w:vAlign w:val="top"/>
          </w:tcPr>
          <w:p w14:paraId="3EF7A1AF">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组织措施项目清单</w:t>
            </w:r>
          </w:p>
        </w:tc>
        <w:tc>
          <w:tcPr>
            <w:tcW w:w="2021" w:type="dxa"/>
            <w:noWrap w:val="0"/>
            <w:vAlign w:val="top"/>
          </w:tcPr>
          <w:p w14:paraId="183AC49D">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6914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18EF2382">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6439" w:type="dxa"/>
            <w:noWrap w:val="0"/>
            <w:vAlign w:val="top"/>
          </w:tcPr>
          <w:p w14:paraId="27F7EC90">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技术措施项目清单</w:t>
            </w:r>
          </w:p>
        </w:tc>
        <w:tc>
          <w:tcPr>
            <w:tcW w:w="2021" w:type="dxa"/>
            <w:noWrap w:val="0"/>
            <w:vAlign w:val="top"/>
          </w:tcPr>
          <w:p w14:paraId="3670A251">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71D2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39D2723C">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（二）</w:t>
            </w:r>
          </w:p>
        </w:tc>
        <w:tc>
          <w:tcPr>
            <w:tcW w:w="6439" w:type="dxa"/>
            <w:noWrap w:val="0"/>
            <w:vAlign w:val="top"/>
          </w:tcPr>
          <w:p w14:paraId="20EF0B39">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整体其他项目清单</w:t>
            </w:r>
          </w:p>
        </w:tc>
        <w:tc>
          <w:tcPr>
            <w:tcW w:w="2021" w:type="dxa"/>
            <w:noWrap w:val="0"/>
            <w:vAlign w:val="top"/>
          </w:tcPr>
          <w:p w14:paraId="0947A8FA">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533A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2CBC92BC">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（三）</w:t>
            </w:r>
          </w:p>
        </w:tc>
        <w:tc>
          <w:tcPr>
            <w:tcW w:w="6439" w:type="dxa"/>
            <w:noWrap w:val="0"/>
            <w:vAlign w:val="top"/>
          </w:tcPr>
          <w:p w14:paraId="051DDBFA">
            <w:pPr>
              <w:widowControl/>
              <w:tabs>
                <w:tab w:val="center" w:pos="4755"/>
                <w:tab w:val="right" w:pos="9070"/>
              </w:tabs>
              <w:adjustRightInd w:val="0"/>
              <w:spacing w:before="100" w:beforeAutospacing="1" w:after="100" w:afterAutospacing="1" w:line="360" w:lineRule="auto"/>
              <w:rPr>
                <w:rFonts w:hint="eastAsia" w:ascii="宋体" w:hAnsi="宋体" w:eastAsia="宋体" w:cs="宋体"/>
                <w:strike/>
                <w:color w:val="auto"/>
                <w:highlight w:val="none"/>
              </w:rPr>
            </w:pPr>
            <w:r>
              <w:rPr>
                <w:rFonts w:hint="eastAsia" w:ascii="宋体" w:hAnsi="宋体" w:eastAsia="宋体" w:cs="宋体"/>
                <w:color w:val="auto"/>
                <w:highlight w:val="none"/>
              </w:rPr>
              <w:t>整体措施项目规费</w:t>
            </w:r>
          </w:p>
        </w:tc>
        <w:tc>
          <w:tcPr>
            <w:tcW w:w="2021" w:type="dxa"/>
            <w:noWrap w:val="0"/>
            <w:vAlign w:val="top"/>
          </w:tcPr>
          <w:p w14:paraId="293B04B6">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7A511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center"/>
          </w:tcPr>
          <w:p w14:paraId="09B28F24">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（四）</w:t>
            </w:r>
          </w:p>
        </w:tc>
        <w:tc>
          <w:tcPr>
            <w:tcW w:w="6439" w:type="dxa"/>
            <w:noWrap w:val="0"/>
            <w:vAlign w:val="top"/>
          </w:tcPr>
          <w:p w14:paraId="0B7B2D4F">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税金 {[（一）+（二）+（三）]×费率}</w:t>
            </w:r>
          </w:p>
        </w:tc>
        <w:tc>
          <w:tcPr>
            <w:tcW w:w="2021" w:type="dxa"/>
            <w:noWrap w:val="0"/>
            <w:vAlign w:val="top"/>
          </w:tcPr>
          <w:p w14:paraId="4B7189C9">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654F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079" w:type="dxa"/>
            <w:noWrap w:val="0"/>
            <w:vAlign w:val="top"/>
          </w:tcPr>
          <w:p w14:paraId="528A7029">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c>
          <w:tcPr>
            <w:tcW w:w="6439" w:type="dxa"/>
            <w:noWrap w:val="0"/>
            <w:vAlign w:val="top"/>
          </w:tcPr>
          <w:p w14:paraId="72BDB754">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总报价 [一 + 二 ]</w:t>
            </w:r>
          </w:p>
        </w:tc>
        <w:tc>
          <w:tcPr>
            <w:tcW w:w="2021" w:type="dxa"/>
            <w:noWrap w:val="0"/>
            <w:vAlign w:val="top"/>
          </w:tcPr>
          <w:p w14:paraId="6438B30B">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p>
        </w:tc>
      </w:tr>
      <w:tr w14:paraId="2F31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539" w:type="dxa"/>
            <w:gridSpan w:val="3"/>
            <w:noWrap w:val="0"/>
            <w:vAlign w:val="top"/>
          </w:tcPr>
          <w:p w14:paraId="09D50607">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总报价（大写）：</w:t>
            </w:r>
          </w:p>
        </w:tc>
      </w:tr>
    </w:tbl>
    <w:p w14:paraId="713167E3">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注：1.本表适用于：（1）有2个及以上单位工程的群体项目的总报价汇总；（2）单位工程发包且有2个及以上专业工程分部分项工程量清单的招标项目总报价汇总。本表应在表1-1-2基础上汇总。</w:t>
      </w:r>
    </w:p>
    <w:p w14:paraId="4FD345A7">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2．本表中的整体项目措施清单报价指根据招标人要求和项目特点应从招标项目整体上考虑的措施项目报价。</w:t>
      </w:r>
    </w:p>
    <w:p w14:paraId="18D9982D">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3．本表中的整体其他项目清单报价指根据招标人要求需按招标项目整体考虑的其他项目清单报价。</w:t>
      </w:r>
    </w:p>
    <w:p w14:paraId="059F1F17">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4．本表中的规费指整体措施清单项目应计取的规费。</w:t>
      </w:r>
    </w:p>
    <w:p w14:paraId="5DC5E11F">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5．本表中的税金指未纳入单位工程费的整体措施项目清单、其他项目清单以及相应规费等费用应计取的税金。</w:t>
      </w:r>
    </w:p>
    <w:p w14:paraId="23ED1BE6">
      <w:pPr>
        <w:widowControl/>
        <w:tabs>
          <w:tab w:val="center" w:pos="4755"/>
          <w:tab w:val="right" w:pos="9070"/>
        </w:tabs>
        <w:adjustRightInd w:val="0"/>
        <w:ind w:firstLine="420" w:firstLineChars="200"/>
        <w:rPr>
          <w:rFonts w:hint="eastAsia" w:ascii="宋体" w:hAnsi="宋体" w:eastAsia="宋体" w:cs="宋体"/>
          <w:color w:val="auto"/>
          <w:szCs w:val="21"/>
          <w:highlight w:val="none"/>
        </w:rPr>
      </w:pPr>
    </w:p>
    <w:p w14:paraId="22DC7F77">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供应商：（盖章）                       法定代表人或委托代理人：（盖章或签字）</w:t>
      </w:r>
    </w:p>
    <w:p w14:paraId="14038A5C">
      <w:pPr>
        <w:widowControl/>
        <w:tabs>
          <w:tab w:val="center" w:pos="4755"/>
          <w:tab w:val="right" w:pos="9070"/>
        </w:tabs>
        <w:ind w:firstLine="210" w:firstLineChars="100"/>
        <w:rPr>
          <w:rFonts w:hint="eastAsia" w:ascii="宋体" w:hAnsi="宋体" w:eastAsia="宋体" w:cs="宋体"/>
          <w:color w:val="auto"/>
          <w:szCs w:val="28"/>
          <w:highlight w:val="none"/>
        </w:rPr>
        <w:sectPr>
          <w:pgSz w:w="12240" w:h="15840"/>
          <w:pgMar w:top="1304" w:right="964" w:bottom="964" w:left="1531" w:header="720" w:footer="720" w:gutter="0"/>
          <w:cols w:space="720" w:num="1"/>
          <w:docGrid w:linePitch="312" w:charSpace="0"/>
        </w:sectPr>
      </w:pPr>
    </w:p>
    <w:p w14:paraId="75F2766A">
      <w:pPr>
        <w:widowControl/>
        <w:tabs>
          <w:tab w:val="center" w:pos="4755"/>
          <w:tab w:val="right" w:pos="9070"/>
        </w:tabs>
        <w:adjustRightInd w:val="0"/>
        <w:spacing w:before="100" w:beforeAutospacing="1" w:after="100" w:afterAutospacing="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表1-1-2 单位工程报价汇总表</w:t>
      </w:r>
    </w:p>
    <w:p w14:paraId="0A3AE2D0">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w:t>
      </w:r>
    </w:p>
    <w:p w14:paraId="1C64D7ED">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单位工程名称：</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09DB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14:paraId="04E750EE">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600" w:type="dxa"/>
            <w:vMerge w:val="restart"/>
            <w:noWrap w:val="0"/>
            <w:vAlign w:val="center"/>
          </w:tcPr>
          <w:p w14:paraId="4B59F2BE">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内容</w:t>
            </w:r>
          </w:p>
        </w:tc>
        <w:tc>
          <w:tcPr>
            <w:tcW w:w="1236" w:type="dxa"/>
            <w:vMerge w:val="restart"/>
            <w:noWrap w:val="0"/>
            <w:vAlign w:val="center"/>
          </w:tcPr>
          <w:p w14:paraId="5E714176">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报价合计</w:t>
            </w:r>
          </w:p>
          <w:p w14:paraId="041CB1F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1948" w:type="dxa"/>
            <w:noWrap w:val="0"/>
            <w:vAlign w:val="center"/>
          </w:tcPr>
          <w:p w14:paraId="1EC7E2D1">
            <w:pPr>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（清单号）</w:t>
            </w:r>
          </w:p>
        </w:tc>
        <w:tc>
          <w:tcPr>
            <w:tcW w:w="1856" w:type="dxa"/>
            <w:noWrap w:val="0"/>
            <w:vAlign w:val="center"/>
          </w:tcPr>
          <w:p w14:paraId="42C5F01D">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（清单号）</w:t>
            </w:r>
          </w:p>
        </w:tc>
      </w:tr>
      <w:tr w14:paraId="59D1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14:paraId="604C4E6C">
            <w:pPr>
              <w:keepNext/>
              <w:keepLines/>
              <w:widowControl/>
              <w:tabs>
                <w:tab w:val="center" w:pos="4755"/>
                <w:tab w:val="right" w:pos="9070"/>
              </w:tabs>
              <w:adjustRightInd w:val="0"/>
              <w:spacing w:before="100" w:beforeAutospacing="1" w:after="100" w:afterAutospacing="1" w:line="360" w:lineRule="auto"/>
              <w:jc w:val="center"/>
              <w:outlineLvl w:val="0"/>
              <w:rPr>
                <w:rFonts w:hint="eastAsia" w:ascii="宋体" w:hAnsi="宋体" w:eastAsia="宋体" w:cs="宋体"/>
                <w:color w:val="auto"/>
                <w:highlight w:val="none"/>
              </w:rPr>
            </w:pPr>
          </w:p>
        </w:tc>
        <w:tc>
          <w:tcPr>
            <w:tcW w:w="3600" w:type="dxa"/>
            <w:vMerge w:val="continue"/>
            <w:noWrap w:val="0"/>
            <w:vAlign w:val="center"/>
          </w:tcPr>
          <w:p w14:paraId="2AB19D50">
            <w:pPr>
              <w:keepNext/>
              <w:keepLines/>
              <w:widowControl/>
              <w:tabs>
                <w:tab w:val="center" w:pos="4755"/>
                <w:tab w:val="right" w:pos="9070"/>
              </w:tabs>
              <w:adjustRightInd w:val="0"/>
              <w:spacing w:before="100" w:beforeAutospacing="1" w:after="100" w:afterAutospacing="1" w:line="360" w:lineRule="auto"/>
              <w:jc w:val="center"/>
              <w:outlineLvl w:val="0"/>
              <w:rPr>
                <w:rFonts w:hint="eastAsia" w:ascii="宋体" w:hAnsi="宋体" w:eastAsia="宋体" w:cs="宋体"/>
                <w:color w:val="auto"/>
                <w:highlight w:val="none"/>
              </w:rPr>
            </w:pPr>
          </w:p>
        </w:tc>
        <w:tc>
          <w:tcPr>
            <w:tcW w:w="1236" w:type="dxa"/>
            <w:vMerge w:val="continue"/>
            <w:noWrap w:val="0"/>
            <w:vAlign w:val="center"/>
          </w:tcPr>
          <w:p w14:paraId="3F9B630C">
            <w:pPr>
              <w:keepNext/>
              <w:keepLines/>
              <w:widowControl/>
              <w:tabs>
                <w:tab w:val="center" w:pos="4755"/>
                <w:tab w:val="right" w:pos="9070"/>
              </w:tabs>
              <w:adjustRightInd w:val="0"/>
              <w:spacing w:before="340" w:after="330" w:line="360" w:lineRule="auto"/>
              <w:jc w:val="center"/>
              <w:outlineLvl w:val="0"/>
              <w:rPr>
                <w:rFonts w:hint="eastAsia" w:ascii="宋体" w:hAnsi="宋体" w:eastAsia="宋体" w:cs="宋体"/>
                <w:color w:val="auto"/>
                <w:highlight w:val="none"/>
              </w:rPr>
            </w:pPr>
          </w:p>
        </w:tc>
        <w:tc>
          <w:tcPr>
            <w:tcW w:w="1948" w:type="dxa"/>
            <w:noWrap w:val="0"/>
            <w:vAlign w:val="center"/>
          </w:tcPr>
          <w:p w14:paraId="54CCFD99">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(专业工程1)</w:t>
            </w:r>
          </w:p>
        </w:tc>
        <w:tc>
          <w:tcPr>
            <w:tcW w:w="1856" w:type="dxa"/>
            <w:noWrap w:val="0"/>
            <w:vAlign w:val="center"/>
          </w:tcPr>
          <w:p w14:paraId="1D65C2A6">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(专业工程2)</w:t>
            </w:r>
          </w:p>
        </w:tc>
      </w:tr>
      <w:tr w14:paraId="1C98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14:paraId="37574281">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一</w:t>
            </w:r>
          </w:p>
        </w:tc>
        <w:tc>
          <w:tcPr>
            <w:tcW w:w="3600" w:type="dxa"/>
            <w:noWrap w:val="0"/>
            <w:vAlign w:val="center"/>
          </w:tcPr>
          <w:p w14:paraId="07598A25">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分部分项工程量清单</w:t>
            </w:r>
          </w:p>
        </w:tc>
        <w:tc>
          <w:tcPr>
            <w:tcW w:w="1236" w:type="dxa"/>
            <w:noWrap w:val="0"/>
            <w:vAlign w:val="center"/>
          </w:tcPr>
          <w:p w14:paraId="104E8A3F">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948" w:type="dxa"/>
            <w:noWrap w:val="0"/>
            <w:vAlign w:val="center"/>
          </w:tcPr>
          <w:p w14:paraId="338743B5">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856" w:type="dxa"/>
            <w:noWrap w:val="0"/>
            <w:vAlign w:val="center"/>
          </w:tcPr>
          <w:p w14:paraId="3070A52D">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0C61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14:paraId="50396F9E">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二</w:t>
            </w:r>
          </w:p>
        </w:tc>
        <w:tc>
          <w:tcPr>
            <w:tcW w:w="3600" w:type="dxa"/>
            <w:noWrap w:val="0"/>
            <w:vAlign w:val="center"/>
          </w:tcPr>
          <w:p w14:paraId="0A0C084B">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措施项目清单（1+2）</w:t>
            </w:r>
          </w:p>
        </w:tc>
        <w:tc>
          <w:tcPr>
            <w:tcW w:w="1236" w:type="dxa"/>
            <w:noWrap w:val="0"/>
            <w:vAlign w:val="center"/>
          </w:tcPr>
          <w:p w14:paraId="7052CF81">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948" w:type="dxa"/>
            <w:noWrap w:val="0"/>
            <w:vAlign w:val="center"/>
          </w:tcPr>
          <w:p w14:paraId="167B5408">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856" w:type="dxa"/>
            <w:noWrap w:val="0"/>
            <w:vAlign w:val="center"/>
          </w:tcPr>
          <w:p w14:paraId="476A7E0B">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7CF3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14:paraId="78660136">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600" w:type="dxa"/>
            <w:noWrap w:val="0"/>
            <w:vAlign w:val="center"/>
          </w:tcPr>
          <w:p w14:paraId="6718CD2E">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组织措施项目清单</w:t>
            </w:r>
          </w:p>
        </w:tc>
        <w:tc>
          <w:tcPr>
            <w:tcW w:w="1236" w:type="dxa"/>
            <w:noWrap w:val="0"/>
            <w:vAlign w:val="center"/>
          </w:tcPr>
          <w:p w14:paraId="5F1BCBE1">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948" w:type="dxa"/>
            <w:noWrap w:val="0"/>
            <w:vAlign w:val="center"/>
          </w:tcPr>
          <w:p w14:paraId="6003EF91">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856" w:type="dxa"/>
            <w:noWrap w:val="0"/>
            <w:vAlign w:val="center"/>
          </w:tcPr>
          <w:p w14:paraId="458BA68A">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23DC6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14:paraId="1A5D0978">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3600" w:type="dxa"/>
            <w:noWrap w:val="0"/>
            <w:vAlign w:val="center"/>
          </w:tcPr>
          <w:p w14:paraId="6423FC91">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技术措施项目清单</w:t>
            </w:r>
          </w:p>
        </w:tc>
        <w:tc>
          <w:tcPr>
            <w:tcW w:w="1236" w:type="dxa"/>
            <w:noWrap w:val="0"/>
            <w:vAlign w:val="center"/>
          </w:tcPr>
          <w:p w14:paraId="7D66DAAD">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948" w:type="dxa"/>
            <w:noWrap w:val="0"/>
            <w:vAlign w:val="center"/>
          </w:tcPr>
          <w:p w14:paraId="499D3822">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856" w:type="dxa"/>
            <w:noWrap w:val="0"/>
            <w:vAlign w:val="center"/>
          </w:tcPr>
          <w:p w14:paraId="492C0978">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1D2E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center"/>
          </w:tcPr>
          <w:p w14:paraId="7FE65442">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三</w:t>
            </w:r>
          </w:p>
        </w:tc>
        <w:tc>
          <w:tcPr>
            <w:tcW w:w="3600" w:type="dxa"/>
            <w:noWrap w:val="0"/>
            <w:vAlign w:val="center"/>
          </w:tcPr>
          <w:p w14:paraId="07945553">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其他项目清单</w:t>
            </w:r>
          </w:p>
        </w:tc>
        <w:tc>
          <w:tcPr>
            <w:tcW w:w="1236" w:type="dxa"/>
            <w:noWrap w:val="0"/>
            <w:vAlign w:val="center"/>
          </w:tcPr>
          <w:p w14:paraId="38C88BEC">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3804" w:type="dxa"/>
            <w:gridSpan w:val="2"/>
            <w:noWrap w:val="0"/>
            <w:vAlign w:val="center"/>
          </w:tcPr>
          <w:p w14:paraId="1C13B602">
            <w:pPr>
              <w:widowControl/>
              <w:tabs>
                <w:tab w:val="center" w:pos="4755"/>
                <w:tab w:val="right" w:pos="9070"/>
              </w:tabs>
              <w:adjustRightIn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-54610</wp:posOffset>
                      </wp:positionH>
                      <wp:positionV relativeFrom="paragraph">
                        <wp:posOffset>8890</wp:posOffset>
                      </wp:positionV>
                      <wp:extent cx="2352675" cy="276225"/>
                      <wp:effectExtent l="635" t="4445" r="8890" b="5080"/>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59264;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SjubTVAAAABwEAAA8AAAAAAAAAAQAgAAAAIgAAAGRycy9kb3ducmV2LnhtbFBLAQIUABQA&#10;AAAIAIdO4kD/J41e8wEAAMkDAAAOAAAAAAAAAAEAIAAAACQBAABkcnMvZTJvRG9jLnhtbFBLBQYA&#10;AAAABgAGAFkBAACJBQAAAAA=&#10;">
                      <v:fill on="f" focussize="0,0"/>
                      <v:stroke color="#000000" joinstyle="round"/>
                      <v:imagedata o:title=""/>
                      <o:lock v:ext="edit" aspectratio="f"/>
                    </v:line>
                  </w:pict>
                </mc:Fallback>
              </mc:AlternateContent>
            </w:r>
          </w:p>
        </w:tc>
      </w:tr>
      <w:tr w14:paraId="39C9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14:paraId="15F9AF32">
            <w:pPr>
              <w:widowControl/>
              <w:adjustRightInd w:val="0"/>
              <w:spacing w:after="100" w:line="259" w:lineRule="auto"/>
              <w:rPr>
                <w:rFonts w:hint="eastAsia" w:ascii="宋体" w:hAnsi="宋体" w:eastAsia="宋体" w:cs="宋体"/>
                <w:color w:val="auto"/>
                <w:sz w:val="22"/>
                <w:highlight w:val="none"/>
              </w:rPr>
            </w:pPr>
            <w:r>
              <w:rPr>
                <w:rFonts w:hint="eastAsia" w:ascii="宋体" w:hAnsi="宋体" w:eastAsia="宋体" w:cs="宋体"/>
                <w:color w:val="auto"/>
                <w:sz w:val="22"/>
                <w:highlight w:val="none"/>
              </w:rPr>
              <w:t>四</w:t>
            </w:r>
          </w:p>
        </w:tc>
        <w:tc>
          <w:tcPr>
            <w:tcW w:w="3600" w:type="dxa"/>
            <w:noWrap w:val="0"/>
            <w:vAlign w:val="center"/>
          </w:tcPr>
          <w:p w14:paraId="7FEBE9D7">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规费</w:t>
            </w:r>
          </w:p>
        </w:tc>
        <w:tc>
          <w:tcPr>
            <w:tcW w:w="1236" w:type="dxa"/>
            <w:noWrap w:val="0"/>
            <w:vAlign w:val="center"/>
          </w:tcPr>
          <w:p w14:paraId="1F15D54C">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948" w:type="dxa"/>
            <w:noWrap w:val="0"/>
            <w:vAlign w:val="center"/>
          </w:tcPr>
          <w:p w14:paraId="03C3FA67">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1856" w:type="dxa"/>
            <w:noWrap w:val="0"/>
            <w:vAlign w:val="center"/>
          </w:tcPr>
          <w:p w14:paraId="31675955">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3737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14:paraId="77D98331">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五</w:t>
            </w:r>
          </w:p>
        </w:tc>
        <w:tc>
          <w:tcPr>
            <w:tcW w:w="3600" w:type="dxa"/>
            <w:noWrap w:val="0"/>
            <w:vAlign w:val="center"/>
          </w:tcPr>
          <w:p w14:paraId="1B083DCC">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税金[（一 + 二+三 + 四）×*费率]</w:t>
            </w:r>
          </w:p>
        </w:tc>
        <w:tc>
          <w:tcPr>
            <w:tcW w:w="1236" w:type="dxa"/>
            <w:noWrap w:val="0"/>
            <w:vAlign w:val="center"/>
          </w:tcPr>
          <w:p w14:paraId="192430B3">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3804" w:type="dxa"/>
            <w:gridSpan w:val="2"/>
            <w:vMerge w:val="restart"/>
            <w:noWrap w:val="0"/>
            <w:vAlign w:val="center"/>
          </w:tcPr>
          <w:p w14:paraId="03C1669A">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511B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14:paraId="260099E3">
            <w:pPr>
              <w:widowControl/>
              <w:tabs>
                <w:tab w:val="center" w:pos="4755"/>
                <w:tab w:val="right" w:pos="9070"/>
              </w:tabs>
              <w:adjustRightInd w:val="0"/>
              <w:spacing w:before="100" w:beforeAutospacing="1" w:after="100" w:afterAutospacing="1"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六</w:t>
            </w:r>
          </w:p>
        </w:tc>
        <w:tc>
          <w:tcPr>
            <w:tcW w:w="3600" w:type="dxa"/>
            <w:noWrap w:val="0"/>
            <w:vAlign w:val="center"/>
          </w:tcPr>
          <w:p w14:paraId="397CA18F">
            <w:pPr>
              <w:widowControl/>
              <w:tabs>
                <w:tab w:val="center" w:pos="4755"/>
                <w:tab w:val="right" w:pos="9070"/>
              </w:tabs>
              <w:adjustRightInd w:val="0"/>
              <w:spacing w:before="100" w:beforeAutospacing="1" w:after="100" w:afterAutospacing="1" w:line="360" w:lineRule="auto"/>
              <w:rPr>
                <w:rFonts w:hint="eastAsia" w:ascii="宋体" w:hAnsi="宋体" w:eastAsia="宋体" w:cs="宋体"/>
                <w:color w:val="auto"/>
                <w:highlight w:val="none"/>
              </w:rPr>
            </w:pPr>
            <w:r>
              <w:rPr>
                <w:rFonts w:hint="eastAsia" w:ascii="宋体" w:hAnsi="宋体" w:eastAsia="宋体" w:cs="宋体"/>
                <w:color w:val="auto"/>
                <w:highlight w:val="none"/>
              </w:rPr>
              <w:t>总报价（一+二+三+四+五）</w:t>
            </w:r>
          </w:p>
        </w:tc>
        <w:tc>
          <w:tcPr>
            <w:tcW w:w="1236" w:type="dxa"/>
            <w:noWrap w:val="0"/>
            <w:vAlign w:val="center"/>
          </w:tcPr>
          <w:p w14:paraId="53677DB8">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c>
          <w:tcPr>
            <w:tcW w:w="3804" w:type="dxa"/>
            <w:gridSpan w:val="2"/>
            <w:vMerge w:val="continue"/>
            <w:noWrap w:val="0"/>
            <w:vAlign w:val="center"/>
          </w:tcPr>
          <w:p w14:paraId="4F8F8800">
            <w:pPr>
              <w:widowControl/>
              <w:tabs>
                <w:tab w:val="center" w:pos="4755"/>
                <w:tab w:val="right" w:pos="9070"/>
              </w:tabs>
              <w:adjustRightInd w:val="0"/>
              <w:spacing w:line="360" w:lineRule="auto"/>
              <w:jc w:val="center"/>
              <w:rPr>
                <w:rFonts w:hint="eastAsia" w:ascii="宋体" w:hAnsi="宋体" w:eastAsia="宋体" w:cs="宋体"/>
                <w:color w:val="auto"/>
                <w:highlight w:val="none"/>
              </w:rPr>
            </w:pPr>
          </w:p>
        </w:tc>
      </w:tr>
      <w:tr w14:paraId="2DF1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14:paraId="4A16461B">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总报价(大写)：</w:t>
            </w:r>
          </w:p>
        </w:tc>
      </w:tr>
    </w:tbl>
    <w:p w14:paraId="64A075A7">
      <w:pPr>
        <w:widowControl/>
        <w:tabs>
          <w:tab w:val="center" w:pos="4755"/>
          <w:tab w:val="right" w:pos="9070"/>
        </w:tabs>
        <w:adjustRightInd w:val="0"/>
        <w:spacing w:line="360" w:lineRule="auto"/>
        <w:ind w:left="315" w:hanging="315" w:hangingChars="150"/>
        <w:rPr>
          <w:rFonts w:hint="eastAsia" w:ascii="宋体" w:hAnsi="宋体" w:eastAsia="宋体" w:cs="宋体"/>
          <w:color w:val="auto"/>
          <w:highlight w:val="none"/>
        </w:rPr>
      </w:pPr>
      <w:r>
        <w:rPr>
          <w:rFonts w:hint="eastAsia" w:ascii="宋体" w:hAnsi="宋体" w:eastAsia="宋体" w:cs="宋体"/>
          <w:color w:val="auto"/>
          <w:highlight w:val="none"/>
        </w:rPr>
        <w:t>注：本表适用于：</w:t>
      </w:r>
    </w:p>
    <w:p w14:paraId="18E05FE8">
      <w:pPr>
        <w:widowControl/>
        <w:tabs>
          <w:tab w:val="center" w:pos="4755"/>
          <w:tab w:val="right" w:pos="9070"/>
        </w:tabs>
        <w:adjustRightInd w:val="0"/>
        <w:ind w:left="315" w:leftChars="100" w:hanging="105" w:hangingChars="50"/>
        <w:rPr>
          <w:rFonts w:hint="eastAsia" w:ascii="宋体" w:hAnsi="宋体" w:eastAsia="宋体" w:cs="宋体"/>
          <w:color w:val="auto"/>
          <w:highlight w:val="none"/>
        </w:rPr>
      </w:pPr>
      <w:r>
        <w:rPr>
          <w:rFonts w:hint="eastAsia" w:ascii="宋体" w:hAnsi="宋体" w:eastAsia="宋体" w:cs="宋体"/>
          <w:color w:val="auto"/>
          <w:highlight w:val="none"/>
        </w:rPr>
        <w:t>（1）只有1个专业工程分部分项工程量清单的单位工程发包项目的报价汇总；</w:t>
      </w:r>
    </w:p>
    <w:p w14:paraId="22BF575E">
      <w:pPr>
        <w:widowControl/>
        <w:tabs>
          <w:tab w:val="center" w:pos="4755"/>
          <w:tab w:val="right" w:pos="9070"/>
        </w:tabs>
        <w:adjustRightInd w:val="0"/>
        <w:ind w:left="315" w:leftChars="100" w:hanging="105" w:hangingChars="50"/>
        <w:rPr>
          <w:rFonts w:hint="eastAsia" w:ascii="宋体" w:hAnsi="宋体" w:eastAsia="宋体" w:cs="宋体"/>
          <w:color w:val="auto"/>
          <w:highlight w:val="none"/>
        </w:rPr>
      </w:pPr>
      <w:r>
        <w:rPr>
          <w:rFonts w:hint="eastAsia" w:ascii="宋体" w:hAnsi="宋体" w:eastAsia="宋体" w:cs="宋体"/>
          <w:color w:val="auto"/>
          <w:highlight w:val="none"/>
        </w:rPr>
        <w:t>（2）其余招标项目的单位工程报价汇总。</w:t>
      </w:r>
    </w:p>
    <w:p w14:paraId="12B02ACC">
      <w:pPr>
        <w:widowControl/>
        <w:tabs>
          <w:tab w:val="center" w:pos="4755"/>
          <w:tab w:val="right" w:pos="9070"/>
        </w:tabs>
        <w:adjustRightInd w:val="0"/>
        <w:spacing w:line="360" w:lineRule="auto"/>
        <w:rPr>
          <w:rFonts w:hint="eastAsia" w:ascii="宋体" w:hAnsi="宋体" w:eastAsia="宋体" w:cs="宋体"/>
          <w:color w:val="auto"/>
          <w:highlight w:val="none"/>
        </w:rPr>
      </w:pPr>
    </w:p>
    <w:p w14:paraId="5FE0C6B1">
      <w:pPr>
        <w:widowControl/>
        <w:tabs>
          <w:tab w:val="center" w:pos="4755"/>
          <w:tab w:val="right" w:pos="9070"/>
        </w:tabs>
        <w:spacing w:line="360" w:lineRule="auto"/>
        <w:rPr>
          <w:rFonts w:hint="eastAsia" w:ascii="宋体" w:hAnsi="宋体" w:eastAsia="宋体" w:cs="宋体"/>
          <w:color w:val="auto"/>
          <w:szCs w:val="28"/>
          <w:highlight w:val="none"/>
        </w:rPr>
        <w:sectPr>
          <w:footerReference r:id="rId13" w:type="default"/>
          <w:footerReference r:id="rId14" w:type="even"/>
          <w:pgSz w:w="12240" w:h="15840"/>
          <w:pgMar w:top="1304" w:right="964" w:bottom="964" w:left="1531" w:header="720" w:footer="720" w:gutter="0"/>
          <w:cols w:space="720" w:num="1"/>
          <w:docGrid w:linePitch="312" w:charSpace="0"/>
        </w:sectPr>
      </w:pPr>
      <w:r>
        <w:rPr>
          <w:rFonts w:hint="eastAsia" w:ascii="宋体" w:hAnsi="宋体" w:eastAsia="宋体" w:cs="宋体"/>
          <w:color w:val="auto"/>
          <w:highlight w:val="none"/>
        </w:rPr>
        <w:t>供应商：（盖章）法定代表人或委托代理人：（盖章或签字）</w:t>
      </w:r>
    </w:p>
    <w:p w14:paraId="2C6F458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szCs w:val="28"/>
          <w:highlight w:val="none"/>
        </w:rPr>
      </w:pPr>
      <w:r>
        <w:rPr>
          <w:rFonts w:hint="eastAsia" w:ascii="宋体" w:hAnsi="宋体" w:eastAsia="宋体" w:cs="宋体"/>
          <w:b/>
          <w:color w:val="auto"/>
          <w:sz w:val="36"/>
          <w:szCs w:val="36"/>
          <w:highlight w:val="none"/>
        </w:rPr>
        <w:t>表1-2  分部分项工程量清单及计价表</w:t>
      </w:r>
      <w:r>
        <w:rPr>
          <w:rFonts w:hint="eastAsia" w:ascii="宋体" w:hAnsi="宋体" w:eastAsia="宋体" w:cs="宋体"/>
          <w:color w:val="auto"/>
          <w:highlight w:val="none"/>
        </w:rPr>
        <w:t>(      号清单)</w:t>
      </w:r>
    </w:p>
    <w:p w14:paraId="511658CE">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 xml:space="preserve">单位工程及专业工程名称：                                                                     </w:t>
      </w:r>
    </w:p>
    <w:p w14:paraId="4B1975DC">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第   页共   页</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
        <w:gridCol w:w="1080"/>
        <w:gridCol w:w="1260"/>
        <w:gridCol w:w="1440"/>
        <w:gridCol w:w="1440"/>
        <w:gridCol w:w="1260"/>
        <w:gridCol w:w="1260"/>
        <w:gridCol w:w="1026"/>
        <w:gridCol w:w="1254"/>
        <w:gridCol w:w="6"/>
        <w:gridCol w:w="1247"/>
        <w:gridCol w:w="13"/>
        <w:gridCol w:w="881"/>
        <w:gridCol w:w="19"/>
        <w:gridCol w:w="875"/>
        <w:gridCol w:w="25"/>
      </w:tblGrid>
      <w:tr w14:paraId="34AB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4" w:type="dxa"/>
            <w:vMerge w:val="restart"/>
            <w:noWrap w:val="0"/>
            <w:vAlign w:val="center"/>
          </w:tcPr>
          <w:p w14:paraId="2A079B3C">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094" w:type="dxa"/>
            <w:gridSpan w:val="2"/>
            <w:vMerge w:val="restart"/>
            <w:noWrap w:val="0"/>
            <w:vAlign w:val="center"/>
          </w:tcPr>
          <w:p w14:paraId="5867B0C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项目编码</w:t>
            </w:r>
          </w:p>
        </w:tc>
        <w:tc>
          <w:tcPr>
            <w:tcW w:w="1260" w:type="dxa"/>
            <w:vMerge w:val="restart"/>
            <w:noWrap w:val="0"/>
            <w:vAlign w:val="center"/>
          </w:tcPr>
          <w:p w14:paraId="1C642A17">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1440" w:type="dxa"/>
            <w:vMerge w:val="restart"/>
            <w:noWrap w:val="0"/>
            <w:vAlign w:val="center"/>
          </w:tcPr>
          <w:p w14:paraId="66E9094C">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项目特征</w:t>
            </w:r>
          </w:p>
          <w:p w14:paraId="27C40EE2">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描述</w:t>
            </w:r>
          </w:p>
        </w:tc>
        <w:tc>
          <w:tcPr>
            <w:tcW w:w="1440" w:type="dxa"/>
            <w:vMerge w:val="restart"/>
            <w:noWrap w:val="0"/>
            <w:vAlign w:val="center"/>
          </w:tcPr>
          <w:p w14:paraId="64C0DBD8">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260" w:type="dxa"/>
            <w:vMerge w:val="restart"/>
            <w:noWrap w:val="0"/>
            <w:vAlign w:val="center"/>
          </w:tcPr>
          <w:p w14:paraId="6BFCAA2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工程量</w:t>
            </w:r>
          </w:p>
        </w:tc>
        <w:tc>
          <w:tcPr>
            <w:tcW w:w="1260" w:type="dxa"/>
            <w:vMerge w:val="restart"/>
            <w:noWrap w:val="0"/>
            <w:vAlign w:val="center"/>
          </w:tcPr>
          <w:p w14:paraId="2339BBDB">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综合单价</w:t>
            </w:r>
          </w:p>
          <w:p w14:paraId="4C5FC15D">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1026" w:type="dxa"/>
            <w:vMerge w:val="restart"/>
            <w:noWrap w:val="0"/>
            <w:vAlign w:val="center"/>
          </w:tcPr>
          <w:p w14:paraId="3D0270C1">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  价</w:t>
            </w:r>
          </w:p>
          <w:p w14:paraId="7D3AFA31">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3420" w:type="dxa"/>
            <w:gridSpan w:val="6"/>
            <w:noWrap w:val="0"/>
            <w:vAlign w:val="center"/>
          </w:tcPr>
          <w:p w14:paraId="539CC06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其中</w:t>
            </w:r>
          </w:p>
        </w:tc>
        <w:tc>
          <w:tcPr>
            <w:tcW w:w="900" w:type="dxa"/>
            <w:gridSpan w:val="2"/>
            <w:vMerge w:val="restart"/>
            <w:noWrap w:val="0"/>
            <w:vAlign w:val="center"/>
          </w:tcPr>
          <w:p w14:paraId="660360C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59E3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14" w:type="dxa"/>
            <w:vMerge w:val="continue"/>
            <w:noWrap w:val="0"/>
            <w:vAlign w:val="center"/>
          </w:tcPr>
          <w:p w14:paraId="38919C5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94" w:type="dxa"/>
            <w:gridSpan w:val="2"/>
            <w:vMerge w:val="continue"/>
            <w:noWrap w:val="0"/>
            <w:vAlign w:val="center"/>
          </w:tcPr>
          <w:p w14:paraId="3B63791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vMerge w:val="continue"/>
            <w:noWrap w:val="0"/>
            <w:vAlign w:val="center"/>
          </w:tcPr>
          <w:p w14:paraId="4EB5FDC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vMerge w:val="continue"/>
            <w:noWrap w:val="0"/>
            <w:vAlign w:val="top"/>
          </w:tcPr>
          <w:p w14:paraId="437BFAD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440" w:type="dxa"/>
            <w:vMerge w:val="continue"/>
            <w:noWrap w:val="0"/>
            <w:vAlign w:val="top"/>
          </w:tcPr>
          <w:p w14:paraId="0BF6787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vMerge w:val="continue"/>
            <w:noWrap w:val="0"/>
            <w:vAlign w:val="center"/>
          </w:tcPr>
          <w:p w14:paraId="09E33C1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vMerge w:val="continue"/>
            <w:noWrap w:val="0"/>
            <w:vAlign w:val="center"/>
          </w:tcPr>
          <w:p w14:paraId="7A169C0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vMerge w:val="continue"/>
            <w:noWrap w:val="0"/>
            <w:vAlign w:val="top"/>
          </w:tcPr>
          <w:p w14:paraId="4A2CCCE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gridSpan w:val="2"/>
            <w:noWrap w:val="0"/>
            <w:vAlign w:val="center"/>
          </w:tcPr>
          <w:p w14:paraId="09DB2C1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人工费</w:t>
            </w:r>
          </w:p>
        </w:tc>
        <w:tc>
          <w:tcPr>
            <w:tcW w:w="1260" w:type="dxa"/>
            <w:gridSpan w:val="2"/>
            <w:noWrap w:val="0"/>
            <w:vAlign w:val="center"/>
          </w:tcPr>
          <w:p w14:paraId="043741B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机械费</w:t>
            </w:r>
          </w:p>
        </w:tc>
        <w:tc>
          <w:tcPr>
            <w:tcW w:w="900" w:type="dxa"/>
            <w:gridSpan w:val="2"/>
            <w:noWrap w:val="0"/>
            <w:vAlign w:val="center"/>
          </w:tcPr>
          <w:p w14:paraId="09D09031">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900" w:type="dxa"/>
            <w:gridSpan w:val="2"/>
            <w:vMerge w:val="continue"/>
            <w:noWrap w:val="0"/>
            <w:vAlign w:val="center"/>
          </w:tcPr>
          <w:p w14:paraId="5364821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5DCD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5C2CFFD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080" w:type="dxa"/>
            <w:noWrap w:val="0"/>
            <w:vAlign w:val="center"/>
          </w:tcPr>
          <w:p w14:paraId="4FC7F96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260" w:type="dxa"/>
            <w:noWrap w:val="0"/>
            <w:vAlign w:val="center"/>
          </w:tcPr>
          <w:p w14:paraId="0696455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1440" w:type="dxa"/>
            <w:noWrap w:val="0"/>
            <w:vAlign w:val="center"/>
          </w:tcPr>
          <w:p w14:paraId="7A30723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440" w:type="dxa"/>
            <w:noWrap w:val="0"/>
            <w:vAlign w:val="center"/>
          </w:tcPr>
          <w:p w14:paraId="09CB19C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1260" w:type="dxa"/>
            <w:noWrap w:val="0"/>
            <w:vAlign w:val="center"/>
          </w:tcPr>
          <w:p w14:paraId="68FBEDF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1260" w:type="dxa"/>
            <w:noWrap w:val="0"/>
            <w:vAlign w:val="center"/>
          </w:tcPr>
          <w:p w14:paraId="5A9DC0E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1316DFF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2849A19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449B04C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72290E0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6875AB4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（7）</w:t>
            </w:r>
          </w:p>
        </w:tc>
      </w:tr>
      <w:tr w14:paraId="671B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39E9564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center"/>
          </w:tcPr>
          <w:p w14:paraId="2B0149C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46BEB0F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675333C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3D12F759">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561A3F6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7CB6100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48BEA39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6D709DB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1254AD8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top"/>
          </w:tcPr>
          <w:p w14:paraId="5EE40B2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00F4C96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49F8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09A3FEF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center"/>
          </w:tcPr>
          <w:p w14:paraId="5DD07D8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44816D0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754DA9F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764A125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2A29124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3A816C5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3CD1226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0912270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541E946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top"/>
          </w:tcPr>
          <w:p w14:paraId="59549A1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3554C0C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2769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6244500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center"/>
          </w:tcPr>
          <w:p w14:paraId="21050D7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30D2EF6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59065BD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183988C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3E2B494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7A540A1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46C1586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4E95681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361A2BC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top"/>
          </w:tcPr>
          <w:p w14:paraId="1C1F637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2C0A5F1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8E5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1C2AF4C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center"/>
          </w:tcPr>
          <w:p w14:paraId="41CC7F9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1D430E69">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1CD0D56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74E30EC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3A1A101E">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5FD777F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65ACC2A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2FB6027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60F8FA2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top"/>
          </w:tcPr>
          <w:p w14:paraId="6D50239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1978CAC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7EB7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67" w:hRule="atLeast"/>
        </w:trPr>
        <w:tc>
          <w:tcPr>
            <w:tcW w:w="828" w:type="dxa"/>
            <w:gridSpan w:val="2"/>
            <w:noWrap w:val="0"/>
            <w:vAlign w:val="center"/>
          </w:tcPr>
          <w:p w14:paraId="29AA4BC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center"/>
          </w:tcPr>
          <w:p w14:paraId="0100FFB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29EBEF3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4C526F1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440" w:type="dxa"/>
            <w:noWrap w:val="0"/>
            <w:vAlign w:val="center"/>
          </w:tcPr>
          <w:p w14:paraId="462F25D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2594F93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3A094F4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26" w:type="dxa"/>
            <w:noWrap w:val="0"/>
            <w:vAlign w:val="center"/>
          </w:tcPr>
          <w:p w14:paraId="0B75E42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4" w:type="dxa"/>
            <w:noWrap w:val="0"/>
            <w:vAlign w:val="center"/>
          </w:tcPr>
          <w:p w14:paraId="53791B5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53" w:type="dxa"/>
            <w:gridSpan w:val="2"/>
            <w:noWrap w:val="0"/>
            <w:vAlign w:val="center"/>
          </w:tcPr>
          <w:p w14:paraId="36663F9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top"/>
          </w:tcPr>
          <w:p w14:paraId="01BF306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894" w:type="dxa"/>
            <w:gridSpan w:val="2"/>
            <w:noWrap w:val="0"/>
            <w:vAlign w:val="center"/>
          </w:tcPr>
          <w:p w14:paraId="629D7F4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6429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68" w:type="dxa"/>
            <w:gridSpan w:val="8"/>
            <w:noWrap w:val="0"/>
            <w:vAlign w:val="center"/>
          </w:tcPr>
          <w:p w14:paraId="3A1DD8E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1026" w:type="dxa"/>
            <w:noWrap w:val="0"/>
            <w:vAlign w:val="center"/>
          </w:tcPr>
          <w:p w14:paraId="004EC7F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gridSpan w:val="2"/>
            <w:noWrap w:val="0"/>
            <w:vAlign w:val="center"/>
          </w:tcPr>
          <w:p w14:paraId="3154D75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gridSpan w:val="2"/>
            <w:noWrap w:val="0"/>
            <w:vAlign w:val="center"/>
          </w:tcPr>
          <w:p w14:paraId="2FF6E41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gridSpan w:val="2"/>
            <w:noWrap w:val="0"/>
            <w:vAlign w:val="center"/>
          </w:tcPr>
          <w:p w14:paraId="52822D6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gridSpan w:val="2"/>
            <w:noWrap w:val="0"/>
            <w:vAlign w:val="top"/>
          </w:tcPr>
          <w:p w14:paraId="50191EB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bl>
    <w:p w14:paraId="244339F9">
      <w:pPr>
        <w:widowControl/>
        <w:tabs>
          <w:tab w:val="center" w:pos="4755"/>
          <w:tab w:val="right" w:pos="9070"/>
        </w:tabs>
        <w:adjustRightInd w:val="0"/>
        <w:rPr>
          <w:rFonts w:hint="eastAsia" w:ascii="宋体" w:hAnsi="宋体" w:eastAsia="宋体" w:cs="宋体"/>
          <w:color w:val="auto"/>
          <w:highlight w:val="none"/>
        </w:rPr>
      </w:pPr>
    </w:p>
    <w:p w14:paraId="729E7487">
      <w:pPr>
        <w:widowControl/>
        <w:tabs>
          <w:tab w:val="center" w:pos="4755"/>
          <w:tab w:val="right" w:pos="9070"/>
        </w:tabs>
        <w:rPr>
          <w:rFonts w:hint="eastAsia" w:ascii="宋体" w:hAnsi="宋体" w:eastAsia="宋体" w:cs="宋体"/>
          <w:b/>
          <w:color w:val="auto"/>
          <w:highlight w:val="none"/>
        </w:rPr>
        <w:sectPr>
          <w:pgSz w:w="15840" w:h="12240" w:orient="landscape"/>
          <w:pgMar w:top="1531" w:right="1304" w:bottom="964" w:left="964" w:header="720" w:footer="720" w:gutter="0"/>
          <w:cols w:space="720" w:num="1"/>
          <w:docGrid w:linePitch="312" w:charSpace="0"/>
        </w:sectPr>
      </w:pPr>
      <w:r>
        <w:rPr>
          <w:rFonts w:hint="eastAsia" w:ascii="宋体" w:hAnsi="宋体" w:eastAsia="宋体" w:cs="宋体"/>
          <w:color w:val="auto"/>
          <w:highlight w:val="none"/>
        </w:rPr>
        <w:t>注：表中（1）～〔6）栏由招标人提供内容，（7）栏由招标人按需提出要求，如招标人需要供应商提供清单项目综合单价的计算分析和工料机分析，请在（7）备注中明确。</w:t>
      </w:r>
    </w:p>
    <w:p w14:paraId="363F848B">
      <w:pPr>
        <w:widowControl/>
        <w:tabs>
          <w:tab w:val="center" w:pos="4755"/>
          <w:tab w:val="right" w:pos="9070"/>
        </w:tabs>
        <w:adjustRightInd w:val="0"/>
        <w:spacing w:before="100" w:beforeAutospacing="1" w:after="100" w:afterAutospacing="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表1-3-A  组织措施项目（整体）清单及计价表</w:t>
      </w:r>
    </w:p>
    <w:p w14:paraId="5C78F00D">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工程名称：                                                                                                                       第页共页</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3AB3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noWrap w:val="0"/>
            <w:vAlign w:val="center"/>
          </w:tcPr>
          <w:p w14:paraId="0C96F2A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590" w:type="dxa"/>
            <w:noWrap w:val="0"/>
            <w:vAlign w:val="center"/>
          </w:tcPr>
          <w:p w14:paraId="66BA036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1080" w:type="dxa"/>
            <w:noWrap w:val="0"/>
            <w:vAlign w:val="center"/>
          </w:tcPr>
          <w:p w14:paraId="3A973B2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080" w:type="dxa"/>
            <w:noWrap w:val="0"/>
            <w:vAlign w:val="center"/>
          </w:tcPr>
          <w:p w14:paraId="22CD064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440" w:type="dxa"/>
            <w:noWrap w:val="0"/>
            <w:vAlign w:val="center"/>
          </w:tcPr>
          <w:p w14:paraId="2688CE0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c>
          <w:tcPr>
            <w:tcW w:w="2700" w:type="dxa"/>
            <w:noWrap w:val="0"/>
            <w:vAlign w:val="center"/>
          </w:tcPr>
          <w:p w14:paraId="0DCE0C9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CDE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5" w:hRule="atLeast"/>
        </w:trPr>
        <w:tc>
          <w:tcPr>
            <w:tcW w:w="938" w:type="dxa"/>
            <w:noWrap w:val="0"/>
            <w:vAlign w:val="top"/>
          </w:tcPr>
          <w:p w14:paraId="7963ED2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p w14:paraId="019FFE1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一</w:t>
            </w:r>
          </w:p>
          <w:p w14:paraId="11CC6AB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二</w:t>
            </w:r>
          </w:p>
          <w:p w14:paraId="7E0F37F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1</w:t>
            </w:r>
          </w:p>
          <w:p w14:paraId="10EE344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2</w:t>
            </w:r>
          </w:p>
          <w:p w14:paraId="3018655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3</w:t>
            </w:r>
          </w:p>
          <w:p w14:paraId="7ED6AAA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4</w:t>
            </w:r>
          </w:p>
          <w:p w14:paraId="23ABC25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6BCE3C0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7593527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63C96D0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tc>
        <w:tc>
          <w:tcPr>
            <w:tcW w:w="2590" w:type="dxa"/>
            <w:noWrap w:val="0"/>
            <w:vAlign w:val="top"/>
          </w:tcPr>
          <w:p w14:paraId="7F2FE4E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（2）</w:t>
            </w:r>
          </w:p>
          <w:p w14:paraId="2CAC893A">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安全文明施工措施项目</w:t>
            </w:r>
          </w:p>
          <w:p w14:paraId="01977617">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其他组织措施项目</w:t>
            </w:r>
          </w:p>
          <w:p w14:paraId="53A62E23">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提前竣工增加费</w:t>
            </w:r>
          </w:p>
          <w:p w14:paraId="69915BDC">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二次搬运费</w:t>
            </w:r>
          </w:p>
          <w:p w14:paraId="4001A5BC">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冬雨季施工增加费</w:t>
            </w:r>
          </w:p>
          <w:p w14:paraId="6F48BE35">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行车、行人干扰增加费</w:t>
            </w:r>
          </w:p>
          <w:p w14:paraId="1D562EAB">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p>
          <w:p w14:paraId="2D610E48">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p>
        </w:tc>
        <w:tc>
          <w:tcPr>
            <w:tcW w:w="1080" w:type="dxa"/>
            <w:noWrap w:val="0"/>
            <w:vAlign w:val="top"/>
          </w:tcPr>
          <w:p w14:paraId="5C7D52E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72EE013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440" w:type="dxa"/>
            <w:noWrap w:val="0"/>
            <w:vAlign w:val="center"/>
          </w:tcPr>
          <w:p w14:paraId="3766E97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2700" w:type="dxa"/>
            <w:noWrap w:val="0"/>
            <w:vAlign w:val="top"/>
          </w:tcPr>
          <w:p w14:paraId="2231370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p w14:paraId="7C64A58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提供分析清单（表1-3-A-1）</w:t>
            </w:r>
          </w:p>
          <w:p w14:paraId="3E7E0FF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385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noWrap w:val="0"/>
            <w:vAlign w:val="center"/>
          </w:tcPr>
          <w:p w14:paraId="4A0AD4D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1440" w:type="dxa"/>
            <w:noWrap w:val="0"/>
            <w:vAlign w:val="top"/>
          </w:tcPr>
          <w:p w14:paraId="5D4347E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700" w:type="dxa"/>
            <w:noWrap w:val="0"/>
            <w:vAlign w:val="top"/>
          </w:tcPr>
          <w:p w14:paraId="01FC488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483EF1CC">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注：1.表中列项供参考，（1）、（2）栏由招标人提供，供应商可按工程实际作补充。</w:t>
      </w:r>
    </w:p>
    <w:p w14:paraId="6DC28672">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措施项目应分整体措施项目和专业工程措施项目，安全文明施工措施项目（包括环境保护、文明施工、安全施工、临时设施）以及工程定位复测费应按招标项目整体报价，其他组织措施项目由供应商根据工程实际自行决定按整体项目还是按专业工程清单报价（专业工程组织措施项目清单见表1-3-B）。</w:t>
      </w:r>
    </w:p>
    <w:p w14:paraId="3E001092">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3.专业工程组织措施项目清单表1-3-B中已报价的组织措施费不得与整体组织措施项目清单表1-3-A中的其他组织措施项目重复报价。</w:t>
      </w:r>
    </w:p>
    <w:p w14:paraId="26D48520">
      <w:pPr>
        <w:widowControl/>
        <w:tabs>
          <w:tab w:val="center" w:pos="4755"/>
          <w:tab w:val="right" w:pos="9070"/>
        </w:tabs>
        <w:adjustRightInd w:val="0"/>
        <w:spacing w:before="100" w:beforeAutospacing="1" w:after="100" w:afterAutospacing="1"/>
        <w:jc w:val="center"/>
        <w:rPr>
          <w:rFonts w:hint="eastAsia" w:ascii="宋体" w:hAnsi="宋体" w:eastAsia="宋体" w:cs="宋体"/>
          <w:b/>
          <w:color w:val="auto"/>
          <w:sz w:val="32"/>
          <w:szCs w:val="32"/>
          <w:highlight w:val="none"/>
        </w:rPr>
      </w:pPr>
      <w:r>
        <w:rPr>
          <w:rFonts w:hint="eastAsia" w:ascii="宋体" w:hAnsi="宋体" w:eastAsia="宋体" w:cs="宋体"/>
          <w:color w:val="auto"/>
          <w:szCs w:val="21"/>
          <w:highlight w:val="none"/>
        </w:rPr>
        <w:br w:type="page"/>
      </w:r>
      <w:r>
        <w:rPr>
          <w:rFonts w:hint="eastAsia" w:ascii="宋体" w:hAnsi="宋体" w:eastAsia="宋体" w:cs="宋体"/>
          <w:b/>
          <w:color w:val="auto"/>
          <w:sz w:val="32"/>
          <w:szCs w:val="32"/>
          <w:highlight w:val="none"/>
        </w:rPr>
        <w:t>表1-3-B  组织措施项目（专业工程）清单及计价表</w:t>
      </w:r>
    </w:p>
    <w:p w14:paraId="6C52C0D3">
      <w:pPr>
        <w:widowControl/>
        <w:tabs>
          <w:tab w:val="center" w:pos="4755"/>
          <w:tab w:val="right" w:pos="9070"/>
        </w:tabs>
        <w:adjustRightInd w:val="0"/>
        <w:ind w:left="5670" w:hanging="5670" w:hangingChars="2700"/>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w:t>
      </w:r>
    </w:p>
    <w:p w14:paraId="3D9CCCC9">
      <w:pPr>
        <w:widowControl/>
        <w:tabs>
          <w:tab w:val="center" w:pos="4755"/>
          <w:tab w:val="right" w:pos="9070"/>
        </w:tabs>
        <w:adjustRightInd w:val="0"/>
        <w:ind w:left="5670" w:hanging="5670" w:hangingChars="2700"/>
        <w:rPr>
          <w:rFonts w:hint="eastAsia" w:ascii="宋体" w:hAnsi="宋体" w:eastAsia="宋体" w:cs="宋体"/>
          <w:color w:val="auto"/>
          <w:highlight w:val="none"/>
        </w:rPr>
      </w:pPr>
      <w:r>
        <w:rPr>
          <w:rFonts w:hint="eastAsia" w:ascii="宋体" w:hAnsi="宋体" w:eastAsia="宋体" w:cs="宋体"/>
          <w:color w:val="auto"/>
          <w:highlight w:val="none"/>
        </w:rPr>
        <w:t>单位工程及专业工程名称：第页共页</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2338"/>
        <w:gridCol w:w="1057"/>
        <w:gridCol w:w="925"/>
        <w:gridCol w:w="1793"/>
        <w:gridCol w:w="2644"/>
      </w:tblGrid>
      <w:tr w14:paraId="00D0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83" w:type="dxa"/>
            <w:noWrap w:val="0"/>
            <w:vAlign w:val="center"/>
          </w:tcPr>
          <w:p w14:paraId="39FAB7A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338" w:type="dxa"/>
            <w:noWrap w:val="0"/>
            <w:vAlign w:val="center"/>
          </w:tcPr>
          <w:p w14:paraId="3E02CDC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1057" w:type="dxa"/>
            <w:noWrap w:val="0"/>
            <w:vAlign w:val="center"/>
          </w:tcPr>
          <w:p w14:paraId="6925902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25" w:type="dxa"/>
            <w:noWrap w:val="0"/>
            <w:vAlign w:val="center"/>
          </w:tcPr>
          <w:p w14:paraId="3412E14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793" w:type="dxa"/>
            <w:noWrap w:val="0"/>
            <w:vAlign w:val="center"/>
          </w:tcPr>
          <w:p w14:paraId="7F0E181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c>
          <w:tcPr>
            <w:tcW w:w="2644" w:type="dxa"/>
            <w:noWrap w:val="0"/>
            <w:vAlign w:val="center"/>
          </w:tcPr>
          <w:p w14:paraId="4157BFA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437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0" w:hRule="atLeast"/>
        </w:trPr>
        <w:tc>
          <w:tcPr>
            <w:tcW w:w="983" w:type="dxa"/>
            <w:noWrap w:val="0"/>
            <w:vAlign w:val="top"/>
          </w:tcPr>
          <w:p w14:paraId="62EE5AD7">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（1）</w:t>
            </w:r>
          </w:p>
          <w:p w14:paraId="6A55469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1</w:t>
            </w:r>
          </w:p>
          <w:p w14:paraId="12B74ED1">
            <w:pPr>
              <w:widowControl/>
              <w:tabs>
                <w:tab w:val="left" w:pos="210"/>
                <w:tab w:val="center" w:pos="383"/>
                <w:tab w:val="center" w:pos="4755"/>
                <w:tab w:val="right" w:pos="9070"/>
              </w:tabs>
              <w:adjustRightInd w:val="0"/>
              <w:spacing w:before="100" w:beforeAutospacing="1" w:after="100" w:afterAutospacing="1"/>
              <w:jc w:val="left"/>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ab/>
            </w:r>
            <w:r>
              <w:rPr>
                <w:rFonts w:hint="eastAsia" w:ascii="宋体" w:hAnsi="宋体" w:eastAsia="宋体" w:cs="宋体"/>
                <w:color w:val="auto"/>
                <w:position w:val="-6"/>
                <w:highlight w:val="none"/>
              </w:rPr>
              <w:tab/>
            </w:r>
            <w:r>
              <w:rPr>
                <w:rFonts w:hint="eastAsia" w:ascii="宋体" w:hAnsi="宋体" w:eastAsia="宋体" w:cs="宋体"/>
                <w:color w:val="auto"/>
                <w:position w:val="-6"/>
                <w:highlight w:val="none"/>
              </w:rPr>
              <w:t>2</w:t>
            </w:r>
          </w:p>
          <w:p w14:paraId="604198F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3</w:t>
            </w:r>
          </w:p>
          <w:p w14:paraId="02C7B09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position w:val="-6"/>
                <w:highlight w:val="none"/>
              </w:rPr>
            </w:pPr>
            <w:r>
              <w:rPr>
                <w:rFonts w:hint="eastAsia" w:ascii="宋体" w:hAnsi="宋体" w:eastAsia="宋体" w:cs="宋体"/>
                <w:color w:val="auto"/>
                <w:position w:val="-6"/>
                <w:highlight w:val="none"/>
              </w:rPr>
              <w:t>4</w:t>
            </w:r>
          </w:p>
          <w:p w14:paraId="5BE7D8C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25635C1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31771EE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position w:val="-6"/>
                <w:highlight w:val="none"/>
              </w:rPr>
            </w:pPr>
          </w:p>
          <w:p w14:paraId="3C065BB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position w:val="-6"/>
                <w:highlight w:val="none"/>
              </w:rPr>
            </w:pPr>
          </w:p>
          <w:p w14:paraId="4C462F3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position w:val="-6"/>
                <w:highlight w:val="none"/>
              </w:rPr>
            </w:pPr>
          </w:p>
        </w:tc>
        <w:tc>
          <w:tcPr>
            <w:tcW w:w="2338" w:type="dxa"/>
            <w:noWrap w:val="0"/>
            <w:vAlign w:val="top"/>
          </w:tcPr>
          <w:p w14:paraId="248EE15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（2）</w:t>
            </w:r>
          </w:p>
          <w:p w14:paraId="01946C87">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提前竣工增加费</w:t>
            </w:r>
          </w:p>
          <w:p w14:paraId="126B6EB3">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二次搬运费</w:t>
            </w:r>
          </w:p>
          <w:p w14:paraId="476DF9F8">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冬雨季施工增加费</w:t>
            </w:r>
          </w:p>
          <w:p w14:paraId="39EDC045">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行车、行人干扰增加费</w:t>
            </w:r>
          </w:p>
          <w:p w14:paraId="0A54030B">
            <w:pPr>
              <w:widowControl/>
              <w:tabs>
                <w:tab w:val="center" w:pos="4755"/>
                <w:tab w:val="right" w:pos="9070"/>
              </w:tabs>
              <w:adjustRightInd w:val="0"/>
              <w:spacing w:before="100" w:beforeAutospacing="1" w:after="100" w:afterAutospacing="1"/>
              <w:rPr>
                <w:rFonts w:hint="eastAsia" w:ascii="宋体" w:hAnsi="宋体" w:eastAsia="宋体" w:cs="宋体"/>
                <w:color w:val="auto"/>
                <w:spacing w:val="-16"/>
                <w:highlight w:val="none"/>
              </w:rPr>
            </w:pPr>
          </w:p>
        </w:tc>
        <w:tc>
          <w:tcPr>
            <w:tcW w:w="1057" w:type="dxa"/>
            <w:noWrap w:val="0"/>
            <w:vAlign w:val="top"/>
          </w:tcPr>
          <w:p w14:paraId="4876EB8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25" w:type="dxa"/>
            <w:noWrap w:val="0"/>
            <w:vAlign w:val="top"/>
          </w:tcPr>
          <w:p w14:paraId="7CF8F69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793" w:type="dxa"/>
            <w:noWrap w:val="0"/>
            <w:vAlign w:val="center"/>
          </w:tcPr>
          <w:p w14:paraId="728EB55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2644" w:type="dxa"/>
            <w:noWrap w:val="0"/>
            <w:vAlign w:val="top"/>
          </w:tcPr>
          <w:p w14:paraId="50E1FDDB">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p>
          <w:p w14:paraId="77D228E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p w14:paraId="49C6C69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r>
      <w:tr w14:paraId="0752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5303" w:type="dxa"/>
            <w:gridSpan w:val="4"/>
            <w:noWrap w:val="0"/>
            <w:vAlign w:val="top"/>
          </w:tcPr>
          <w:p w14:paraId="7F46D6E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1793" w:type="dxa"/>
            <w:noWrap w:val="0"/>
            <w:vAlign w:val="top"/>
          </w:tcPr>
          <w:p w14:paraId="55D2610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644" w:type="dxa"/>
            <w:noWrap w:val="0"/>
            <w:vAlign w:val="top"/>
          </w:tcPr>
          <w:p w14:paraId="6348685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7EB6F7FD">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 1.表中列项供参考，（1）、（2）栏由招标人提供，供应商可按工程实际作补充。</w:t>
      </w:r>
    </w:p>
    <w:p w14:paraId="6AA15348">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2．当招标项目为单位工程发包且只有1个分部分项工程量清单时，组织措施项目清单应按表1-3-A报价。</w:t>
      </w:r>
    </w:p>
    <w:p w14:paraId="57E90C5C">
      <w:pPr>
        <w:widowControl/>
        <w:tabs>
          <w:tab w:val="center" w:pos="4755"/>
          <w:tab w:val="right" w:pos="9070"/>
        </w:tabs>
        <w:jc w:val="center"/>
        <w:rPr>
          <w:rFonts w:hint="eastAsia" w:ascii="宋体" w:hAnsi="宋体" w:eastAsia="宋体" w:cs="宋体"/>
          <w:b/>
          <w:color w:val="auto"/>
          <w:sz w:val="32"/>
          <w:szCs w:val="32"/>
          <w:highlight w:val="none"/>
        </w:rPr>
        <w:sectPr>
          <w:pgSz w:w="12240" w:h="15840"/>
          <w:pgMar w:top="1304" w:right="964" w:bottom="964" w:left="1531" w:header="720" w:footer="720" w:gutter="0"/>
          <w:cols w:space="720" w:num="1"/>
          <w:docGrid w:linePitch="312" w:charSpace="0"/>
        </w:sectPr>
      </w:pPr>
    </w:p>
    <w:p w14:paraId="3CC9D626">
      <w:pPr>
        <w:widowControl/>
        <w:tabs>
          <w:tab w:val="center" w:pos="4755"/>
          <w:tab w:val="right" w:pos="9070"/>
        </w:tabs>
        <w:adjustRightInd w:val="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表1-3-C  技术措施项目清单及计价表</w:t>
      </w:r>
    </w:p>
    <w:p w14:paraId="1B35F9AD">
      <w:pPr>
        <w:widowControl/>
        <w:tabs>
          <w:tab w:val="center" w:pos="4755"/>
          <w:tab w:val="right" w:pos="9070"/>
        </w:tabs>
        <w:adjustRightInd w:val="0"/>
        <w:ind w:left="8295" w:hanging="8295" w:hangingChars="3950"/>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单位工程及专业工程名称：                                                                        </w:t>
      </w:r>
    </w:p>
    <w:tbl>
      <w:tblPr>
        <w:tblStyle w:val="16"/>
        <w:tblW w:w="13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7B1D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noWrap w:val="0"/>
            <w:vAlign w:val="center"/>
          </w:tcPr>
          <w:p w14:paraId="31475E67">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231" w:type="dxa"/>
            <w:vMerge w:val="restart"/>
            <w:noWrap w:val="0"/>
            <w:vAlign w:val="center"/>
          </w:tcPr>
          <w:p w14:paraId="5AE46798">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项目编码</w:t>
            </w:r>
          </w:p>
        </w:tc>
        <w:tc>
          <w:tcPr>
            <w:tcW w:w="1390" w:type="dxa"/>
            <w:vMerge w:val="restart"/>
            <w:noWrap w:val="0"/>
            <w:vAlign w:val="center"/>
          </w:tcPr>
          <w:p w14:paraId="4A67CA14">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1390" w:type="dxa"/>
            <w:vMerge w:val="restart"/>
            <w:noWrap w:val="0"/>
            <w:vAlign w:val="center"/>
          </w:tcPr>
          <w:p w14:paraId="590EFFE6">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项目特征</w:t>
            </w:r>
          </w:p>
          <w:p w14:paraId="0842176E">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描述</w:t>
            </w:r>
          </w:p>
        </w:tc>
        <w:tc>
          <w:tcPr>
            <w:tcW w:w="1217" w:type="dxa"/>
            <w:vMerge w:val="restart"/>
            <w:noWrap w:val="0"/>
            <w:vAlign w:val="center"/>
          </w:tcPr>
          <w:p w14:paraId="2D7E666A">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217" w:type="dxa"/>
            <w:vMerge w:val="restart"/>
            <w:noWrap w:val="0"/>
            <w:vAlign w:val="center"/>
          </w:tcPr>
          <w:p w14:paraId="13BDF0E9">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工程量</w:t>
            </w:r>
          </w:p>
        </w:tc>
        <w:tc>
          <w:tcPr>
            <w:tcW w:w="1205" w:type="dxa"/>
            <w:vMerge w:val="restart"/>
            <w:noWrap w:val="0"/>
            <w:vAlign w:val="center"/>
          </w:tcPr>
          <w:p w14:paraId="11F5472D">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综合单价</w:t>
            </w:r>
          </w:p>
          <w:p w14:paraId="5144C4C3">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987" w:type="dxa"/>
            <w:vMerge w:val="restart"/>
            <w:noWrap w:val="0"/>
            <w:vAlign w:val="center"/>
          </w:tcPr>
          <w:p w14:paraId="52197CC2">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合  价</w:t>
            </w:r>
          </w:p>
          <w:p w14:paraId="2D611B25">
            <w:pPr>
              <w:widowControl/>
              <w:tabs>
                <w:tab w:val="center" w:pos="4755"/>
                <w:tab w:val="right" w:pos="9070"/>
              </w:tabs>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3461" w:type="dxa"/>
            <w:gridSpan w:val="4"/>
            <w:noWrap w:val="0"/>
            <w:vAlign w:val="center"/>
          </w:tcPr>
          <w:p w14:paraId="14B2F403">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其中</w:t>
            </w:r>
          </w:p>
        </w:tc>
        <w:tc>
          <w:tcPr>
            <w:tcW w:w="923" w:type="dxa"/>
            <w:vMerge w:val="restart"/>
            <w:noWrap w:val="0"/>
            <w:vAlign w:val="center"/>
          </w:tcPr>
          <w:p w14:paraId="6492C5B9">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3EE8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noWrap w:val="0"/>
            <w:vAlign w:val="center"/>
          </w:tcPr>
          <w:p w14:paraId="54815AA1">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31" w:type="dxa"/>
            <w:vMerge w:val="continue"/>
            <w:noWrap w:val="0"/>
            <w:vAlign w:val="center"/>
          </w:tcPr>
          <w:p w14:paraId="7B7FF149">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390" w:type="dxa"/>
            <w:vMerge w:val="continue"/>
            <w:noWrap w:val="0"/>
            <w:vAlign w:val="center"/>
          </w:tcPr>
          <w:p w14:paraId="331984F0">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390" w:type="dxa"/>
            <w:vMerge w:val="continue"/>
            <w:noWrap w:val="0"/>
            <w:vAlign w:val="top"/>
          </w:tcPr>
          <w:p w14:paraId="17D4D504">
            <w:pPr>
              <w:widowControl/>
              <w:tabs>
                <w:tab w:val="center" w:pos="4755"/>
                <w:tab w:val="right" w:pos="9070"/>
              </w:tabs>
              <w:adjustRightInd w:val="0"/>
              <w:snapToGrid w:val="0"/>
              <w:spacing w:before="100" w:beforeAutospacing="1" w:after="100" w:afterAutospacing="1" w:line="576" w:lineRule="auto"/>
              <w:outlineLvl w:val="0"/>
              <w:rPr>
                <w:rFonts w:hint="eastAsia" w:ascii="宋体" w:hAnsi="宋体" w:eastAsia="宋体" w:cs="宋体"/>
                <w:color w:val="auto"/>
                <w:highlight w:val="none"/>
              </w:rPr>
            </w:pPr>
          </w:p>
        </w:tc>
        <w:tc>
          <w:tcPr>
            <w:tcW w:w="1217" w:type="dxa"/>
            <w:vMerge w:val="continue"/>
            <w:noWrap w:val="0"/>
            <w:vAlign w:val="top"/>
          </w:tcPr>
          <w:p w14:paraId="2D5DBE95">
            <w:pPr>
              <w:widowControl/>
              <w:tabs>
                <w:tab w:val="center" w:pos="4755"/>
                <w:tab w:val="right" w:pos="9070"/>
              </w:tabs>
              <w:adjustRightInd w:val="0"/>
              <w:snapToGrid w:val="0"/>
              <w:spacing w:before="100" w:beforeAutospacing="1" w:after="100" w:afterAutospacing="1" w:line="576" w:lineRule="auto"/>
              <w:outlineLvl w:val="0"/>
              <w:rPr>
                <w:rFonts w:hint="eastAsia" w:ascii="宋体" w:hAnsi="宋体" w:eastAsia="宋体" w:cs="宋体"/>
                <w:color w:val="auto"/>
                <w:highlight w:val="none"/>
              </w:rPr>
            </w:pPr>
          </w:p>
        </w:tc>
        <w:tc>
          <w:tcPr>
            <w:tcW w:w="1217" w:type="dxa"/>
            <w:vMerge w:val="continue"/>
            <w:noWrap w:val="0"/>
            <w:vAlign w:val="center"/>
          </w:tcPr>
          <w:p w14:paraId="2425A46B">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5" w:type="dxa"/>
            <w:vMerge w:val="continue"/>
            <w:noWrap w:val="0"/>
            <w:vAlign w:val="center"/>
          </w:tcPr>
          <w:p w14:paraId="1858802D">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87" w:type="dxa"/>
            <w:vMerge w:val="continue"/>
            <w:noWrap w:val="0"/>
            <w:vAlign w:val="top"/>
          </w:tcPr>
          <w:p w14:paraId="0A681246">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16" w:type="dxa"/>
            <w:noWrap w:val="0"/>
            <w:vAlign w:val="center"/>
          </w:tcPr>
          <w:p w14:paraId="2677BEF2">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人工费</w:t>
            </w:r>
          </w:p>
        </w:tc>
        <w:tc>
          <w:tcPr>
            <w:tcW w:w="1216" w:type="dxa"/>
            <w:noWrap w:val="0"/>
            <w:vAlign w:val="center"/>
          </w:tcPr>
          <w:p w14:paraId="7DA3E20D">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机械费</w:t>
            </w:r>
          </w:p>
        </w:tc>
        <w:tc>
          <w:tcPr>
            <w:tcW w:w="1029" w:type="dxa"/>
            <w:gridSpan w:val="2"/>
            <w:noWrap w:val="0"/>
            <w:vAlign w:val="center"/>
          </w:tcPr>
          <w:p w14:paraId="5FB22A68">
            <w:pPr>
              <w:widowControl/>
              <w:tabs>
                <w:tab w:val="center" w:pos="4755"/>
                <w:tab w:val="right" w:pos="9070"/>
              </w:tabs>
              <w:adjustRightInd w:val="0"/>
              <w:snapToGri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923" w:type="dxa"/>
            <w:vMerge w:val="continue"/>
            <w:noWrap w:val="0"/>
            <w:vAlign w:val="center"/>
          </w:tcPr>
          <w:p w14:paraId="17E79FB0">
            <w:pPr>
              <w:widowControl/>
              <w:tabs>
                <w:tab w:val="center" w:pos="4755"/>
                <w:tab w:val="right" w:pos="9070"/>
              </w:tabs>
              <w:adjustRightInd w:val="0"/>
              <w:snapToGri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51D2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noWrap w:val="0"/>
            <w:vAlign w:val="center"/>
          </w:tcPr>
          <w:p w14:paraId="011430BA">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（1）</w:t>
            </w:r>
          </w:p>
        </w:tc>
        <w:tc>
          <w:tcPr>
            <w:tcW w:w="1231" w:type="dxa"/>
            <w:noWrap w:val="0"/>
            <w:vAlign w:val="center"/>
          </w:tcPr>
          <w:p w14:paraId="3A018642">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（2）</w:t>
            </w:r>
          </w:p>
        </w:tc>
        <w:tc>
          <w:tcPr>
            <w:tcW w:w="1390" w:type="dxa"/>
            <w:noWrap w:val="0"/>
            <w:vAlign w:val="center"/>
          </w:tcPr>
          <w:p w14:paraId="60C909BE">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（3）</w:t>
            </w:r>
          </w:p>
        </w:tc>
        <w:tc>
          <w:tcPr>
            <w:tcW w:w="1390" w:type="dxa"/>
            <w:noWrap w:val="0"/>
            <w:vAlign w:val="center"/>
          </w:tcPr>
          <w:p w14:paraId="273E574F">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（4）</w:t>
            </w:r>
          </w:p>
        </w:tc>
        <w:tc>
          <w:tcPr>
            <w:tcW w:w="1217" w:type="dxa"/>
            <w:noWrap w:val="0"/>
            <w:vAlign w:val="center"/>
          </w:tcPr>
          <w:p w14:paraId="1DEE0EE7">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（5）</w:t>
            </w:r>
          </w:p>
        </w:tc>
        <w:tc>
          <w:tcPr>
            <w:tcW w:w="1217" w:type="dxa"/>
            <w:noWrap w:val="0"/>
            <w:vAlign w:val="center"/>
          </w:tcPr>
          <w:p w14:paraId="7A2757E6">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1205" w:type="dxa"/>
            <w:noWrap w:val="0"/>
            <w:vAlign w:val="center"/>
          </w:tcPr>
          <w:p w14:paraId="5693D0AB">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987" w:type="dxa"/>
            <w:noWrap w:val="0"/>
            <w:vAlign w:val="center"/>
          </w:tcPr>
          <w:p w14:paraId="2894062D">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1216" w:type="dxa"/>
            <w:noWrap w:val="0"/>
            <w:vAlign w:val="center"/>
          </w:tcPr>
          <w:p w14:paraId="4BC3DAF5">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1222" w:type="dxa"/>
            <w:gridSpan w:val="2"/>
            <w:noWrap w:val="0"/>
            <w:vAlign w:val="center"/>
          </w:tcPr>
          <w:p w14:paraId="2CD780ED">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1023" w:type="dxa"/>
            <w:noWrap w:val="0"/>
            <w:vAlign w:val="center"/>
          </w:tcPr>
          <w:p w14:paraId="76713EF7">
            <w:pPr>
              <w:widowControl/>
              <w:tabs>
                <w:tab w:val="center" w:pos="4755"/>
                <w:tab w:val="right" w:pos="9070"/>
              </w:tabs>
              <w:adjustRightInd w:val="0"/>
              <w:jc w:val="center"/>
              <w:rPr>
                <w:rFonts w:hint="eastAsia" w:ascii="宋体" w:hAnsi="宋体" w:eastAsia="宋体" w:cs="宋体"/>
                <w:color w:val="auto"/>
                <w:spacing w:val="-16"/>
                <w:highlight w:val="none"/>
              </w:rPr>
            </w:pPr>
          </w:p>
        </w:tc>
        <w:tc>
          <w:tcPr>
            <w:tcW w:w="923" w:type="dxa"/>
            <w:noWrap w:val="0"/>
            <w:vAlign w:val="center"/>
          </w:tcPr>
          <w:p w14:paraId="6925F363">
            <w:pPr>
              <w:widowControl/>
              <w:tabs>
                <w:tab w:val="center" w:pos="4755"/>
                <w:tab w:val="right" w:pos="9070"/>
              </w:tabs>
              <w:adjustRightInd w:val="0"/>
              <w:jc w:val="center"/>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（6）</w:t>
            </w:r>
          </w:p>
        </w:tc>
      </w:tr>
      <w:tr w14:paraId="0B862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noWrap w:val="0"/>
            <w:vAlign w:val="top"/>
          </w:tcPr>
          <w:p w14:paraId="5A0F7CEE">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31" w:type="dxa"/>
            <w:noWrap w:val="0"/>
            <w:vAlign w:val="center"/>
          </w:tcPr>
          <w:p w14:paraId="1C0948F1">
            <w:pPr>
              <w:keepNext/>
              <w:keepLines/>
              <w:widowControl/>
              <w:tabs>
                <w:tab w:val="center" w:pos="4755"/>
                <w:tab w:val="right" w:pos="9070"/>
              </w:tabs>
              <w:adjustRightInd w:val="0"/>
              <w:spacing w:before="340" w:after="330"/>
              <w:outlineLvl w:val="0"/>
              <w:rPr>
                <w:rFonts w:hint="eastAsia" w:ascii="宋体" w:hAnsi="宋体" w:eastAsia="宋体" w:cs="宋体"/>
                <w:color w:val="auto"/>
                <w:spacing w:val="-16"/>
                <w:highlight w:val="none"/>
              </w:rPr>
            </w:pPr>
          </w:p>
        </w:tc>
        <w:tc>
          <w:tcPr>
            <w:tcW w:w="1390" w:type="dxa"/>
            <w:noWrap w:val="0"/>
            <w:vAlign w:val="center"/>
          </w:tcPr>
          <w:p w14:paraId="6D6B1F15">
            <w:pPr>
              <w:widowControl/>
              <w:tabs>
                <w:tab w:val="center" w:pos="4755"/>
                <w:tab w:val="right" w:pos="9070"/>
              </w:tabs>
              <w:adjustRightInd w:val="0"/>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大型机械设备进出场及安拆</w:t>
            </w:r>
          </w:p>
        </w:tc>
        <w:tc>
          <w:tcPr>
            <w:tcW w:w="1390" w:type="dxa"/>
            <w:tcBorders>
              <w:tr2bl w:val="single" w:color="auto" w:sz="4" w:space="0"/>
            </w:tcBorders>
            <w:noWrap w:val="0"/>
            <w:vAlign w:val="top"/>
          </w:tcPr>
          <w:p w14:paraId="0522602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7" w:type="dxa"/>
            <w:noWrap w:val="0"/>
            <w:vAlign w:val="top"/>
          </w:tcPr>
          <w:p w14:paraId="0F044E7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7" w:type="dxa"/>
            <w:noWrap w:val="0"/>
            <w:vAlign w:val="top"/>
          </w:tcPr>
          <w:p w14:paraId="400746A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05" w:type="dxa"/>
            <w:noWrap w:val="0"/>
            <w:vAlign w:val="top"/>
          </w:tcPr>
          <w:p w14:paraId="7FA186C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87" w:type="dxa"/>
            <w:noWrap w:val="0"/>
            <w:vAlign w:val="top"/>
          </w:tcPr>
          <w:p w14:paraId="11F8935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6" w:type="dxa"/>
            <w:noWrap w:val="0"/>
            <w:vAlign w:val="top"/>
          </w:tcPr>
          <w:p w14:paraId="724834F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22" w:type="dxa"/>
            <w:gridSpan w:val="2"/>
            <w:noWrap w:val="0"/>
            <w:vAlign w:val="top"/>
          </w:tcPr>
          <w:p w14:paraId="02724AE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23" w:type="dxa"/>
            <w:noWrap w:val="0"/>
            <w:vAlign w:val="top"/>
          </w:tcPr>
          <w:p w14:paraId="0848C00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23" w:type="dxa"/>
            <w:noWrap w:val="0"/>
            <w:vAlign w:val="top"/>
          </w:tcPr>
          <w:p w14:paraId="363F8C3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r>
      <w:tr w14:paraId="32E9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noWrap w:val="0"/>
            <w:vAlign w:val="top"/>
          </w:tcPr>
          <w:p w14:paraId="39600AC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31" w:type="dxa"/>
            <w:noWrap w:val="0"/>
            <w:vAlign w:val="center"/>
          </w:tcPr>
          <w:p w14:paraId="2737858D">
            <w:pPr>
              <w:widowControl/>
              <w:tabs>
                <w:tab w:val="center" w:pos="4755"/>
                <w:tab w:val="right" w:pos="9070"/>
              </w:tabs>
              <w:adjustRightInd w:val="0"/>
              <w:jc w:val="center"/>
              <w:rPr>
                <w:rFonts w:hint="eastAsia" w:ascii="宋体" w:hAnsi="宋体" w:eastAsia="宋体" w:cs="宋体"/>
                <w:color w:val="auto"/>
                <w:highlight w:val="none"/>
              </w:rPr>
            </w:pPr>
          </w:p>
        </w:tc>
        <w:tc>
          <w:tcPr>
            <w:tcW w:w="1390" w:type="dxa"/>
            <w:noWrap w:val="0"/>
            <w:vAlign w:val="center"/>
          </w:tcPr>
          <w:p w14:paraId="14977A0E">
            <w:pPr>
              <w:widowControl/>
              <w:tabs>
                <w:tab w:val="center" w:pos="4755"/>
                <w:tab w:val="right" w:pos="9070"/>
              </w:tabs>
              <w:adjustRightInd w:val="0"/>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施工降水</w:t>
            </w:r>
          </w:p>
        </w:tc>
        <w:tc>
          <w:tcPr>
            <w:tcW w:w="1390" w:type="dxa"/>
            <w:tcBorders>
              <w:tr2bl w:val="single" w:color="auto" w:sz="4" w:space="0"/>
            </w:tcBorders>
            <w:noWrap w:val="0"/>
            <w:vAlign w:val="top"/>
          </w:tcPr>
          <w:p w14:paraId="21660C9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2F003C85">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15BBA894">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05" w:type="dxa"/>
            <w:noWrap w:val="0"/>
            <w:vAlign w:val="top"/>
          </w:tcPr>
          <w:p w14:paraId="7E66735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87" w:type="dxa"/>
            <w:noWrap w:val="0"/>
            <w:vAlign w:val="top"/>
          </w:tcPr>
          <w:p w14:paraId="494A85A1">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6" w:type="dxa"/>
            <w:noWrap w:val="0"/>
            <w:vAlign w:val="top"/>
          </w:tcPr>
          <w:p w14:paraId="06B505A2">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22" w:type="dxa"/>
            <w:gridSpan w:val="2"/>
            <w:noWrap w:val="0"/>
            <w:vAlign w:val="top"/>
          </w:tcPr>
          <w:p w14:paraId="586144E1">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023" w:type="dxa"/>
            <w:noWrap w:val="0"/>
            <w:vAlign w:val="top"/>
          </w:tcPr>
          <w:p w14:paraId="460A5F7B">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23" w:type="dxa"/>
            <w:noWrap w:val="0"/>
            <w:vAlign w:val="top"/>
          </w:tcPr>
          <w:p w14:paraId="354731D8">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r>
      <w:tr w14:paraId="18C5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noWrap w:val="0"/>
            <w:vAlign w:val="top"/>
          </w:tcPr>
          <w:p w14:paraId="0B08EF84">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31" w:type="dxa"/>
            <w:noWrap w:val="0"/>
            <w:vAlign w:val="center"/>
          </w:tcPr>
          <w:p w14:paraId="541E07F6">
            <w:pPr>
              <w:keepNext/>
              <w:keepLines/>
              <w:widowControl/>
              <w:tabs>
                <w:tab w:val="center" w:pos="4755"/>
                <w:tab w:val="right" w:pos="9070"/>
              </w:tabs>
              <w:adjustRightInd w:val="0"/>
              <w:spacing w:before="340" w:after="330"/>
              <w:jc w:val="center"/>
              <w:outlineLvl w:val="0"/>
              <w:rPr>
                <w:rFonts w:hint="eastAsia" w:ascii="宋体" w:hAnsi="宋体" w:eastAsia="宋体" w:cs="宋体"/>
                <w:b/>
                <w:color w:val="auto"/>
                <w:highlight w:val="none"/>
              </w:rPr>
            </w:pPr>
          </w:p>
        </w:tc>
        <w:tc>
          <w:tcPr>
            <w:tcW w:w="1390" w:type="dxa"/>
            <w:noWrap w:val="0"/>
            <w:vAlign w:val="center"/>
          </w:tcPr>
          <w:p w14:paraId="1978EBC7">
            <w:pPr>
              <w:widowControl/>
              <w:tabs>
                <w:tab w:val="center" w:pos="4755"/>
                <w:tab w:val="right" w:pos="9070"/>
              </w:tabs>
              <w:adjustRightInd w:val="0"/>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施工排水</w:t>
            </w:r>
          </w:p>
        </w:tc>
        <w:tc>
          <w:tcPr>
            <w:tcW w:w="1390" w:type="dxa"/>
            <w:tcBorders>
              <w:tr2bl w:val="single" w:color="auto" w:sz="4" w:space="0"/>
            </w:tcBorders>
            <w:noWrap w:val="0"/>
            <w:vAlign w:val="top"/>
          </w:tcPr>
          <w:p w14:paraId="6E2129C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5DE7CD8E">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586FA186">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05" w:type="dxa"/>
            <w:noWrap w:val="0"/>
            <w:vAlign w:val="top"/>
          </w:tcPr>
          <w:p w14:paraId="2F133528">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87" w:type="dxa"/>
            <w:noWrap w:val="0"/>
            <w:vAlign w:val="top"/>
          </w:tcPr>
          <w:p w14:paraId="374227EA">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6" w:type="dxa"/>
            <w:noWrap w:val="0"/>
            <w:vAlign w:val="top"/>
          </w:tcPr>
          <w:p w14:paraId="18B38A44">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22" w:type="dxa"/>
            <w:gridSpan w:val="2"/>
            <w:noWrap w:val="0"/>
            <w:vAlign w:val="top"/>
          </w:tcPr>
          <w:p w14:paraId="25CDF930">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023" w:type="dxa"/>
            <w:noWrap w:val="0"/>
            <w:vAlign w:val="top"/>
          </w:tcPr>
          <w:p w14:paraId="2321CCE9">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23" w:type="dxa"/>
            <w:noWrap w:val="0"/>
            <w:vAlign w:val="top"/>
          </w:tcPr>
          <w:p w14:paraId="39ED3508">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r>
      <w:tr w14:paraId="02DA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noWrap w:val="0"/>
            <w:vAlign w:val="top"/>
          </w:tcPr>
          <w:p w14:paraId="7ED236B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31" w:type="dxa"/>
            <w:noWrap w:val="0"/>
            <w:vAlign w:val="center"/>
          </w:tcPr>
          <w:p w14:paraId="32DD24AF">
            <w:pPr>
              <w:keepNext/>
              <w:keepLines/>
              <w:widowControl/>
              <w:tabs>
                <w:tab w:val="center" w:pos="4755"/>
                <w:tab w:val="right" w:pos="9070"/>
              </w:tabs>
              <w:adjustRightInd w:val="0"/>
              <w:spacing w:before="340" w:after="330"/>
              <w:outlineLvl w:val="0"/>
              <w:rPr>
                <w:rFonts w:hint="eastAsia" w:ascii="宋体" w:hAnsi="宋体" w:eastAsia="宋体" w:cs="宋体"/>
                <w:b/>
                <w:color w:val="auto"/>
                <w:highlight w:val="none"/>
              </w:rPr>
            </w:pPr>
          </w:p>
        </w:tc>
        <w:tc>
          <w:tcPr>
            <w:tcW w:w="1390" w:type="dxa"/>
            <w:noWrap w:val="0"/>
            <w:vAlign w:val="center"/>
          </w:tcPr>
          <w:p w14:paraId="08EB87C7">
            <w:pPr>
              <w:widowControl/>
              <w:tabs>
                <w:tab w:val="center" w:pos="4755"/>
                <w:tab w:val="right" w:pos="9070"/>
              </w:tabs>
              <w:adjustRightInd w:val="0"/>
              <w:rPr>
                <w:rFonts w:hint="eastAsia" w:ascii="宋体" w:hAnsi="宋体" w:eastAsia="宋体" w:cs="宋体"/>
                <w:color w:val="auto"/>
                <w:spacing w:val="-16"/>
                <w:highlight w:val="none"/>
              </w:rPr>
            </w:pPr>
            <w:r>
              <w:rPr>
                <w:rFonts w:hint="eastAsia" w:ascii="宋体" w:hAnsi="宋体" w:eastAsia="宋体" w:cs="宋体"/>
                <w:color w:val="auto"/>
                <w:spacing w:val="-16"/>
                <w:highlight w:val="none"/>
              </w:rPr>
              <w:t>地下、地下设施或建筑物的临时保护措施</w:t>
            </w:r>
          </w:p>
        </w:tc>
        <w:tc>
          <w:tcPr>
            <w:tcW w:w="1390" w:type="dxa"/>
            <w:tcBorders>
              <w:tr2bl w:val="single" w:color="auto" w:sz="4" w:space="0"/>
            </w:tcBorders>
            <w:noWrap w:val="0"/>
            <w:vAlign w:val="top"/>
          </w:tcPr>
          <w:p w14:paraId="432AFFA3">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7" w:type="dxa"/>
            <w:noWrap w:val="0"/>
            <w:vAlign w:val="top"/>
          </w:tcPr>
          <w:p w14:paraId="074CBFD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7" w:type="dxa"/>
            <w:noWrap w:val="0"/>
            <w:vAlign w:val="top"/>
          </w:tcPr>
          <w:p w14:paraId="0280C35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05" w:type="dxa"/>
            <w:noWrap w:val="0"/>
            <w:vAlign w:val="top"/>
          </w:tcPr>
          <w:p w14:paraId="69EB5CD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87" w:type="dxa"/>
            <w:noWrap w:val="0"/>
            <w:vAlign w:val="top"/>
          </w:tcPr>
          <w:p w14:paraId="34583C0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16" w:type="dxa"/>
            <w:noWrap w:val="0"/>
            <w:vAlign w:val="top"/>
          </w:tcPr>
          <w:p w14:paraId="581BABB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22" w:type="dxa"/>
            <w:gridSpan w:val="2"/>
            <w:noWrap w:val="0"/>
            <w:vAlign w:val="top"/>
          </w:tcPr>
          <w:p w14:paraId="3D68685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23" w:type="dxa"/>
            <w:noWrap w:val="0"/>
            <w:vAlign w:val="top"/>
          </w:tcPr>
          <w:p w14:paraId="799A0A8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23" w:type="dxa"/>
            <w:noWrap w:val="0"/>
            <w:vAlign w:val="top"/>
          </w:tcPr>
          <w:p w14:paraId="11105A9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r>
      <w:tr w14:paraId="5D70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noWrap w:val="0"/>
            <w:vAlign w:val="top"/>
          </w:tcPr>
          <w:p w14:paraId="1F63F34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31" w:type="dxa"/>
            <w:noWrap w:val="0"/>
            <w:vAlign w:val="center"/>
          </w:tcPr>
          <w:p w14:paraId="3EC4468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390" w:type="dxa"/>
            <w:noWrap w:val="0"/>
            <w:vAlign w:val="center"/>
          </w:tcPr>
          <w:p w14:paraId="25C4553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b/>
                <w:color w:val="auto"/>
                <w:highlight w:val="none"/>
              </w:rPr>
              <w:t>……</w:t>
            </w:r>
          </w:p>
        </w:tc>
        <w:tc>
          <w:tcPr>
            <w:tcW w:w="1390" w:type="dxa"/>
            <w:noWrap w:val="0"/>
            <w:vAlign w:val="top"/>
          </w:tcPr>
          <w:p w14:paraId="43EEF74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5B5767E8">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584AF6C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05" w:type="dxa"/>
            <w:noWrap w:val="0"/>
            <w:vAlign w:val="top"/>
          </w:tcPr>
          <w:p w14:paraId="5A029EC8">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87" w:type="dxa"/>
            <w:noWrap w:val="0"/>
            <w:vAlign w:val="top"/>
          </w:tcPr>
          <w:p w14:paraId="14CEEF16">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6" w:type="dxa"/>
            <w:noWrap w:val="0"/>
            <w:vAlign w:val="top"/>
          </w:tcPr>
          <w:p w14:paraId="3D96BD04">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22" w:type="dxa"/>
            <w:gridSpan w:val="2"/>
            <w:noWrap w:val="0"/>
            <w:vAlign w:val="top"/>
          </w:tcPr>
          <w:p w14:paraId="4BE2C1B0">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023" w:type="dxa"/>
            <w:noWrap w:val="0"/>
            <w:vAlign w:val="top"/>
          </w:tcPr>
          <w:p w14:paraId="7E261EAA">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23" w:type="dxa"/>
            <w:noWrap w:val="0"/>
            <w:vAlign w:val="top"/>
          </w:tcPr>
          <w:p w14:paraId="36DA15EC">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r>
      <w:tr w14:paraId="36D7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noWrap w:val="0"/>
            <w:vAlign w:val="top"/>
          </w:tcPr>
          <w:p w14:paraId="1465B200">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31" w:type="dxa"/>
            <w:noWrap w:val="0"/>
            <w:vAlign w:val="top"/>
          </w:tcPr>
          <w:p w14:paraId="0A04F7B7">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390" w:type="dxa"/>
            <w:noWrap w:val="0"/>
            <w:vAlign w:val="center"/>
          </w:tcPr>
          <w:p w14:paraId="740D552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模板</w:t>
            </w:r>
          </w:p>
        </w:tc>
        <w:tc>
          <w:tcPr>
            <w:tcW w:w="1390" w:type="dxa"/>
            <w:noWrap w:val="0"/>
            <w:vAlign w:val="top"/>
          </w:tcPr>
          <w:p w14:paraId="79CA51C4">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1C827086">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7" w:type="dxa"/>
            <w:noWrap w:val="0"/>
            <w:vAlign w:val="top"/>
          </w:tcPr>
          <w:p w14:paraId="473CD8CB">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05" w:type="dxa"/>
            <w:noWrap w:val="0"/>
            <w:vAlign w:val="top"/>
          </w:tcPr>
          <w:p w14:paraId="6E42CD9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87" w:type="dxa"/>
            <w:noWrap w:val="0"/>
            <w:vAlign w:val="top"/>
          </w:tcPr>
          <w:p w14:paraId="3DC5E10D">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16" w:type="dxa"/>
            <w:noWrap w:val="0"/>
            <w:vAlign w:val="top"/>
          </w:tcPr>
          <w:p w14:paraId="434B6DDA">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222" w:type="dxa"/>
            <w:gridSpan w:val="2"/>
            <w:noWrap w:val="0"/>
            <w:vAlign w:val="top"/>
          </w:tcPr>
          <w:p w14:paraId="31A00125">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1023" w:type="dxa"/>
            <w:noWrap w:val="0"/>
            <w:vAlign w:val="top"/>
          </w:tcPr>
          <w:p w14:paraId="79F8DCC3">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c>
          <w:tcPr>
            <w:tcW w:w="923" w:type="dxa"/>
            <w:noWrap w:val="0"/>
            <w:vAlign w:val="top"/>
          </w:tcPr>
          <w:p w14:paraId="50CB0EBF">
            <w:pPr>
              <w:keepNext/>
              <w:keepLines/>
              <w:widowControl/>
              <w:tabs>
                <w:tab w:val="center" w:pos="4755"/>
                <w:tab w:val="right" w:pos="9070"/>
              </w:tabs>
              <w:adjustRightInd w:val="0"/>
              <w:spacing w:before="100" w:beforeAutospacing="1" w:after="100" w:afterAutospacing="1"/>
              <w:jc w:val="center"/>
              <w:outlineLvl w:val="0"/>
              <w:rPr>
                <w:rFonts w:hint="eastAsia" w:ascii="宋体" w:hAnsi="宋体" w:eastAsia="宋体" w:cs="宋体"/>
                <w:color w:val="auto"/>
                <w:highlight w:val="none"/>
              </w:rPr>
            </w:pPr>
          </w:p>
        </w:tc>
      </w:tr>
      <w:tr w14:paraId="3B76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noWrap w:val="0"/>
            <w:vAlign w:val="center"/>
          </w:tcPr>
          <w:p w14:paraId="638E025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987" w:type="dxa"/>
            <w:noWrap w:val="0"/>
            <w:vAlign w:val="top"/>
          </w:tcPr>
          <w:p w14:paraId="2DB48276">
            <w:pPr>
              <w:keepNext/>
              <w:keepLines/>
              <w:widowControl/>
              <w:tabs>
                <w:tab w:val="center" w:pos="4755"/>
                <w:tab w:val="right" w:pos="9070"/>
              </w:tabs>
              <w:adjustRightInd w:val="0"/>
              <w:spacing w:before="100" w:beforeAutospacing="1" w:after="100" w:afterAutospacing="1"/>
              <w:outlineLvl w:val="0"/>
              <w:rPr>
                <w:rFonts w:hint="eastAsia" w:ascii="宋体" w:hAnsi="宋体" w:eastAsia="宋体" w:cs="宋体"/>
                <w:color w:val="auto"/>
                <w:highlight w:val="none"/>
              </w:rPr>
            </w:pPr>
          </w:p>
        </w:tc>
        <w:tc>
          <w:tcPr>
            <w:tcW w:w="1216" w:type="dxa"/>
            <w:noWrap w:val="0"/>
            <w:vAlign w:val="top"/>
          </w:tcPr>
          <w:p w14:paraId="6861C3CB">
            <w:pPr>
              <w:keepNext/>
              <w:keepLines/>
              <w:widowControl/>
              <w:tabs>
                <w:tab w:val="center" w:pos="4755"/>
                <w:tab w:val="right" w:pos="9070"/>
              </w:tabs>
              <w:adjustRightInd w:val="0"/>
              <w:spacing w:before="100" w:beforeAutospacing="1" w:after="100" w:afterAutospacing="1"/>
              <w:outlineLvl w:val="0"/>
              <w:rPr>
                <w:rFonts w:hint="eastAsia" w:ascii="宋体" w:hAnsi="宋体" w:eastAsia="宋体" w:cs="宋体"/>
                <w:color w:val="auto"/>
                <w:highlight w:val="none"/>
              </w:rPr>
            </w:pPr>
          </w:p>
        </w:tc>
        <w:tc>
          <w:tcPr>
            <w:tcW w:w="1216" w:type="dxa"/>
            <w:noWrap w:val="0"/>
            <w:vAlign w:val="top"/>
          </w:tcPr>
          <w:p w14:paraId="649F69D9">
            <w:pPr>
              <w:keepNext/>
              <w:keepLines/>
              <w:widowControl/>
              <w:tabs>
                <w:tab w:val="center" w:pos="4755"/>
                <w:tab w:val="right" w:pos="9070"/>
              </w:tabs>
              <w:adjustRightInd w:val="0"/>
              <w:spacing w:before="100" w:beforeAutospacing="1" w:after="100" w:afterAutospacing="1"/>
              <w:outlineLvl w:val="0"/>
              <w:rPr>
                <w:rFonts w:hint="eastAsia" w:ascii="宋体" w:hAnsi="宋体" w:eastAsia="宋体" w:cs="宋体"/>
                <w:color w:val="auto"/>
                <w:highlight w:val="none"/>
              </w:rPr>
            </w:pPr>
          </w:p>
        </w:tc>
        <w:tc>
          <w:tcPr>
            <w:tcW w:w="1029" w:type="dxa"/>
            <w:gridSpan w:val="2"/>
            <w:noWrap w:val="0"/>
            <w:vAlign w:val="top"/>
          </w:tcPr>
          <w:p w14:paraId="5191CA5B">
            <w:pPr>
              <w:keepNext/>
              <w:keepLines/>
              <w:widowControl/>
              <w:tabs>
                <w:tab w:val="center" w:pos="4755"/>
                <w:tab w:val="right" w:pos="9070"/>
              </w:tabs>
              <w:adjustRightInd w:val="0"/>
              <w:spacing w:before="100" w:beforeAutospacing="1" w:after="100" w:afterAutospacing="1"/>
              <w:outlineLvl w:val="0"/>
              <w:rPr>
                <w:rFonts w:hint="eastAsia" w:ascii="宋体" w:hAnsi="宋体" w:eastAsia="宋体" w:cs="宋体"/>
                <w:color w:val="auto"/>
                <w:highlight w:val="none"/>
              </w:rPr>
            </w:pPr>
          </w:p>
        </w:tc>
        <w:tc>
          <w:tcPr>
            <w:tcW w:w="923" w:type="dxa"/>
            <w:noWrap w:val="0"/>
            <w:vAlign w:val="top"/>
          </w:tcPr>
          <w:p w14:paraId="57CA582D">
            <w:pPr>
              <w:keepNext/>
              <w:keepLines/>
              <w:widowControl/>
              <w:tabs>
                <w:tab w:val="center" w:pos="4755"/>
                <w:tab w:val="right" w:pos="9070"/>
              </w:tabs>
              <w:adjustRightInd w:val="0"/>
              <w:spacing w:before="100" w:beforeAutospacing="1" w:after="100" w:afterAutospacing="1"/>
              <w:outlineLvl w:val="0"/>
              <w:rPr>
                <w:rFonts w:hint="eastAsia" w:ascii="宋体" w:hAnsi="宋体" w:eastAsia="宋体" w:cs="宋体"/>
                <w:color w:val="auto"/>
                <w:highlight w:val="none"/>
              </w:rPr>
            </w:pPr>
          </w:p>
        </w:tc>
      </w:tr>
    </w:tbl>
    <w:p w14:paraId="6BAC4DC0">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注：1. 本表适用于以“项”为单位计价和以“分部分项工程量清单项目综合单价”方式计价的技术措施项目。</w:t>
      </w:r>
    </w:p>
    <w:p w14:paraId="2C324AA1">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6FE50874">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以“分部分项工程量清单项目综合单价”方式计价的技术措施项目，表中第（1）～（5）栏由招标人提供；以“项”为单位计价的技术措施项目，表中第（4）栏项目特征不需要提供和填写。供应商根据施工方案对具体项目可作补充。</w:t>
      </w:r>
    </w:p>
    <w:p w14:paraId="0EF9DD39">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4．第（6）栏由招标人按需出要求，如招标人需要供应商提供清单项目综合单价的计算分析和工料机分析，请在备注中明确。</w:t>
      </w:r>
    </w:p>
    <w:p w14:paraId="411E8472">
      <w:pPr>
        <w:widowControl/>
        <w:tabs>
          <w:tab w:val="center" w:pos="4755"/>
          <w:tab w:val="right" w:pos="9070"/>
        </w:tabs>
        <w:ind w:firstLine="210" w:firstLineChars="100"/>
        <w:rPr>
          <w:rFonts w:hint="eastAsia" w:ascii="宋体" w:hAnsi="宋体" w:eastAsia="宋体" w:cs="宋体"/>
          <w:color w:val="auto"/>
          <w:highlight w:val="none"/>
        </w:rPr>
        <w:sectPr>
          <w:pgSz w:w="15840" w:h="12240" w:orient="landscape"/>
          <w:pgMar w:top="1531" w:right="1304" w:bottom="964" w:left="964" w:header="720" w:footer="720" w:gutter="0"/>
          <w:cols w:space="720" w:num="1"/>
          <w:docGrid w:linePitch="312" w:charSpace="0"/>
        </w:sectPr>
      </w:pPr>
    </w:p>
    <w:p w14:paraId="070E33F8">
      <w:pPr>
        <w:adjustRightIn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表1-3-A-1  安全文明施工措施项目清单及计价表</w:t>
      </w:r>
    </w:p>
    <w:p w14:paraId="7EF5F00A">
      <w:pPr>
        <w:adjustRightInd w:val="0"/>
        <w:snapToGrid w:val="0"/>
        <w:spacing w:line="360" w:lineRule="auto"/>
        <w:jc w:val="left"/>
        <w:rPr>
          <w:rFonts w:hint="eastAsia" w:ascii="宋体" w:hAnsi="宋体" w:eastAsia="宋体" w:cs="宋体"/>
          <w:bCs/>
          <w:color w:val="auto"/>
          <w:highlight w:val="none"/>
        </w:rPr>
      </w:pPr>
      <w:r>
        <w:rPr>
          <w:rFonts w:hint="eastAsia" w:ascii="宋体" w:hAnsi="宋体" w:eastAsia="宋体" w:cs="宋体"/>
          <w:bCs/>
          <w:color w:val="auto"/>
          <w:highlight w:val="none"/>
        </w:rPr>
        <w:t>工程名称：                                                                                                                        第页共页</w:t>
      </w:r>
    </w:p>
    <w:tbl>
      <w:tblPr>
        <w:tblStyle w:val="16"/>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758B2275">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3A3E68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162" w:type="dxa"/>
            <w:tcBorders>
              <w:top w:val="single" w:color="auto" w:sz="4" w:space="0"/>
              <w:left w:val="nil"/>
              <w:bottom w:val="single" w:color="auto" w:sz="4" w:space="0"/>
              <w:right w:val="single" w:color="auto" w:sz="4" w:space="0"/>
            </w:tcBorders>
            <w:noWrap w:val="0"/>
            <w:vAlign w:val="center"/>
          </w:tcPr>
          <w:p w14:paraId="50E1773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措施项目名称</w:t>
            </w:r>
          </w:p>
        </w:tc>
        <w:tc>
          <w:tcPr>
            <w:tcW w:w="647" w:type="dxa"/>
            <w:tcBorders>
              <w:top w:val="single" w:color="auto" w:sz="4" w:space="0"/>
              <w:left w:val="nil"/>
              <w:bottom w:val="single" w:color="auto" w:sz="4" w:space="0"/>
              <w:right w:val="single" w:color="auto" w:sz="4" w:space="0"/>
            </w:tcBorders>
            <w:noWrap w:val="0"/>
            <w:vAlign w:val="center"/>
          </w:tcPr>
          <w:p w14:paraId="757E971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78" w:type="dxa"/>
            <w:tcBorders>
              <w:top w:val="single" w:color="auto" w:sz="4" w:space="0"/>
              <w:left w:val="nil"/>
              <w:bottom w:val="single" w:color="auto" w:sz="4" w:space="0"/>
              <w:right w:val="single" w:color="auto" w:sz="4" w:space="0"/>
            </w:tcBorders>
            <w:noWrap w:val="0"/>
            <w:vAlign w:val="center"/>
          </w:tcPr>
          <w:p w14:paraId="57FB3BB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78" w:type="dxa"/>
            <w:tcBorders>
              <w:top w:val="single" w:color="auto" w:sz="4" w:space="0"/>
              <w:left w:val="nil"/>
              <w:bottom w:val="single" w:color="auto" w:sz="4" w:space="0"/>
              <w:right w:val="single" w:color="auto" w:sz="4" w:space="0"/>
            </w:tcBorders>
            <w:noWrap w:val="0"/>
            <w:vAlign w:val="center"/>
          </w:tcPr>
          <w:p w14:paraId="4516393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单价（元）</w:t>
            </w:r>
          </w:p>
        </w:tc>
        <w:tc>
          <w:tcPr>
            <w:tcW w:w="878" w:type="dxa"/>
            <w:tcBorders>
              <w:top w:val="single" w:color="auto" w:sz="4" w:space="0"/>
              <w:left w:val="nil"/>
              <w:bottom w:val="single" w:color="auto" w:sz="4" w:space="0"/>
              <w:right w:val="single" w:color="auto" w:sz="4" w:space="0"/>
            </w:tcBorders>
            <w:noWrap w:val="0"/>
            <w:vAlign w:val="center"/>
          </w:tcPr>
          <w:p w14:paraId="0438CF8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合价（元）</w:t>
            </w:r>
          </w:p>
        </w:tc>
        <w:tc>
          <w:tcPr>
            <w:tcW w:w="2439" w:type="dxa"/>
            <w:tcBorders>
              <w:top w:val="single" w:color="auto" w:sz="4" w:space="0"/>
              <w:left w:val="nil"/>
              <w:bottom w:val="single" w:color="auto" w:sz="4" w:space="0"/>
              <w:right w:val="single" w:color="auto" w:sz="4" w:space="0"/>
            </w:tcBorders>
            <w:noWrap w:val="0"/>
            <w:vAlign w:val="center"/>
          </w:tcPr>
          <w:p w14:paraId="4341E4D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1D1928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53444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9958C6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18627B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71454A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C3A2EE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2188B4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F8659BF">
            <w:pPr>
              <w:spacing w:line="300" w:lineRule="exact"/>
              <w:ind w:left="-53" w:leftChars="-25" w:right="-53" w:rightChars="-25"/>
              <w:jc w:val="center"/>
              <w:rPr>
                <w:rFonts w:hint="eastAsia" w:ascii="宋体" w:hAnsi="宋体" w:eastAsia="宋体" w:cs="宋体"/>
                <w:color w:val="auto"/>
                <w:szCs w:val="21"/>
                <w:highlight w:val="none"/>
              </w:rPr>
            </w:pPr>
          </w:p>
        </w:tc>
      </w:tr>
      <w:tr w14:paraId="505EF55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60D5E4E">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noWrap w:val="0"/>
            <w:vAlign w:val="center"/>
          </w:tcPr>
          <w:p w14:paraId="2E7EC80B">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安全施工措施项目</w:t>
            </w:r>
          </w:p>
        </w:tc>
        <w:tc>
          <w:tcPr>
            <w:tcW w:w="647" w:type="dxa"/>
            <w:tcBorders>
              <w:top w:val="single" w:color="auto" w:sz="4" w:space="0"/>
              <w:left w:val="nil"/>
              <w:bottom w:val="single" w:color="auto" w:sz="4" w:space="0"/>
              <w:right w:val="single" w:color="auto" w:sz="4" w:space="0"/>
            </w:tcBorders>
            <w:noWrap w:val="0"/>
            <w:vAlign w:val="center"/>
          </w:tcPr>
          <w:p w14:paraId="03175EE4">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CF7CF51">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F994E65">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3154FAD">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C65AB16">
            <w:pPr>
              <w:spacing w:line="300" w:lineRule="exact"/>
              <w:ind w:left="-53" w:leftChars="-25" w:right="-53" w:rightChars="-25"/>
              <w:jc w:val="center"/>
              <w:rPr>
                <w:rFonts w:hint="eastAsia" w:ascii="宋体" w:hAnsi="宋体" w:eastAsia="宋体" w:cs="宋体"/>
                <w:b/>
                <w:bCs/>
                <w:color w:val="auto"/>
                <w:szCs w:val="21"/>
                <w:highlight w:val="none"/>
              </w:rPr>
            </w:pPr>
          </w:p>
        </w:tc>
      </w:tr>
      <w:tr w14:paraId="2BC2457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99A1391">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noWrap w:val="0"/>
            <w:vAlign w:val="center"/>
          </w:tcPr>
          <w:p w14:paraId="0E9DE3D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基本安全防护</w:t>
            </w:r>
          </w:p>
        </w:tc>
        <w:tc>
          <w:tcPr>
            <w:tcW w:w="647" w:type="dxa"/>
            <w:tcBorders>
              <w:top w:val="single" w:color="auto" w:sz="4" w:space="0"/>
              <w:left w:val="nil"/>
              <w:bottom w:val="single" w:color="auto" w:sz="4" w:space="0"/>
              <w:right w:val="single" w:color="auto" w:sz="4" w:space="0"/>
            </w:tcBorders>
            <w:noWrap w:val="0"/>
            <w:vAlign w:val="center"/>
          </w:tcPr>
          <w:p w14:paraId="35109834">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C304AA0">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A25451A">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4354F58">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835CAF5">
            <w:pPr>
              <w:spacing w:line="300" w:lineRule="exact"/>
              <w:ind w:left="-53" w:leftChars="-25" w:right="-53" w:rightChars="-25"/>
              <w:jc w:val="center"/>
              <w:rPr>
                <w:rFonts w:hint="eastAsia" w:ascii="宋体" w:hAnsi="宋体" w:eastAsia="宋体" w:cs="宋体"/>
                <w:b/>
                <w:bCs/>
                <w:color w:val="auto"/>
                <w:szCs w:val="21"/>
                <w:highlight w:val="none"/>
              </w:rPr>
            </w:pPr>
          </w:p>
        </w:tc>
      </w:tr>
      <w:tr w14:paraId="1859630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DFB476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5C3FC09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安全网</w:t>
            </w:r>
          </w:p>
        </w:tc>
        <w:tc>
          <w:tcPr>
            <w:tcW w:w="647" w:type="dxa"/>
            <w:tcBorders>
              <w:top w:val="single" w:color="auto" w:sz="4" w:space="0"/>
              <w:left w:val="nil"/>
              <w:bottom w:val="single" w:color="auto" w:sz="4" w:space="0"/>
              <w:right w:val="single" w:color="auto" w:sz="4" w:space="0"/>
            </w:tcBorders>
            <w:noWrap w:val="0"/>
            <w:vAlign w:val="center"/>
          </w:tcPr>
          <w:p w14:paraId="39997D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B98BF8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389ECC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302255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AC7689A">
            <w:pPr>
              <w:spacing w:line="300" w:lineRule="exact"/>
              <w:ind w:left="-53" w:leftChars="-25" w:right="-53" w:rightChars="-25"/>
              <w:jc w:val="center"/>
              <w:rPr>
                <w:rFonts w:hint="eastAsia" w:ascii="宋体" w:hAnsi="宋体" w:eastAsia="宋体" w:cs="宋体"/>
                <w:color w:val="auto"/>
                <w:szCs w:val="21"/>
                <w:highlight w:val="none"/>
              </w:rPr>
            </w:pPr>
          </w:p>
        </w:tc>
      </w:tr>
      <w:tr w14:paraId="3D1B71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685D05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066A024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安全平网</w:t>
            </w:r>
          </w:p>
        </w:tc>
        <w:tc>
          <w:tcPr>
            <w:tcW w:w="647" w:type="dxa"/>
            <w:tcBorders>
              <w:top w:val="single" w:color="auto" w:sz="4" w:space="0"/>
              <w:left w:val="nil"/>
              <w:bottom w:val="single" w:color="auto" w:sz="4" w:space="0"/>
              <w:right w:val="single" w:color="auto" w:sz="4" w:space="0"/>
            </w:tcBorders>
            <w:noWrap w:val="0"/>
            <w:vAlign w:val="center"/>
          </w:tcPr>
          <w:p w14:paraId="0B27B2A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3772E23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AF0286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4C699C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6723BF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平面面积</w:t>
            </w:r>
          </w:p>
        </w:tc>
      </w:tr>
      <w:tr w14:paraId="6172554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0F7901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7C992BA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密目式立网</w:t>
            </w:r>
          </w:p>
        </w:tc>
        <w:tc>
          <w:tcPr>
            <w:tcW w:w="647" w:type="dxa"/>
            <w:tcBorders>
              <w:top w:val="single" w:color="auto" w:sz="4" w:space="0"/>
              <w:left w:val="nil"/>
              <w:bottom w:val="single" w:color="auto" w:sz="4" w:space="0"/>
              <w:right w:val="single" w:color="auto" w:sz="4" w:space="0"/>
            </w:tcBorders>
            <w:noWrap w:val="0"/>
            <w:vAlign w:val="center"/>
          </w:tcPr>
          <w:p w14:paraId="21DCA4C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2B010A9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FF15CE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8DF56A1">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A1DDAC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垂直立面</w:t>
            </w:r>
          </w:p>
        </w:tc>
      </w:tr>
      <w:tr w14:paraId="4442C00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CEDF74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50500AE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防护栏杆</w:t>
            </w:r>
          </w:p>
        </w:tc>
        <w:tc>
          <w:tcPr>
            <w:tcW w:w="647" w:type="dxa"/>
            <w:tcBorders>
              <w:top w:val="single" w:color="auto" w:sz="4" w:space="0"/>
              <w:left w:val="nil"/>
              <w:bottom w:val="single" w:color="auto" w:sz="4" w:space="0"/>
              <w:right w:val="single" w:color="auto" w:sz="4" w:space="0"/>
            </w:tcBorders>
            <w:noWrap w:val="0"/>
            <w:vAlign w:val="center"/>
          </w:tcPr>
          <w:p w14:paraId="3BF715A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15B5A2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810945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15E4E9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478FD9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按栏杆长度</w:t>
            </w:r>
          </w:p>
        </w:tc>
      </w:tr>
      <w:tr w14:paraId="463B9F4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DF703D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3646C8E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高处作业临边防护栏杆</w:t>
            </w:r>
          </w:p>
        </w:tc>
        <w:tc>
          <w:tcPr>
            <w:tcW w:w="647" w:type="dxa"/>
            <w:tcBorders>
              <w:top w:val="single" w:color="auto" w:sz="4" w:space="0"/>
              <w:left w:val="nil"/>
              <w:bottom w:val="single" w:color="auto" w:sz="4" w:space="0"/>
              <w:right w:val="single" w:color="auto" w:sz="4" w:space="0"/>
            </w:tcBorders>
            <w:noWrap w:val="0"/>
            <w:vAlign w:val="center"/>
          </w:tcPr>
          <w:p w14:paraId="53D3292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noWrap w:val="0"/>
            <w:vAlign w:val="center"/>
          </w:tcPr>
          <w:p w14:paraId="7B3AB2F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CBAAE5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5C85AC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3302F60">
            <w:pPr>
              <w:spacing w:line="300" w:lineRule="exact"/>
              <w:ind w:left="-53" w:leftChars="-25" w:right="-53" w:rightChars="-25"/>
              <w:jc w:val="center"/>
              <w:rPr>
                <w:rFonts w:hint="eastAsia" w:ascii="宋体" w:hAnsi="宋体" w:eastAsia="宋体" w:cs="宋体"/>
                <w:color w:val="auto"/>
                <w:szCs w:val="21"/>
                <w:highlight w:val="none"/>
              </w:rPr>
            </w:pPr>
          </w:p>
        </w:tc>
      </w:tr>
      <w:tr w14:paraId="4263187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46D9CA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270889D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深基坑（槽）临边护栏</w:t>
            </w:r>
          </w:p>
        </w:tc>
        <w:tc>
          <w:tcPr>
            <w:tcW w:w="647" w:type="dxa"/>
            <w:tcBorders>
              <w:top w:val="single" w:color="auto" w:sz="4" w:space="0"/>
              <w:left w:val="nil"/>
              <w:bottom w:val="single" w:color="auto" w:sz="4" w:space="0"/>
              <w:right w:val="single" w:color="auto" w:sz="4" w:space="0"/>
            </w:tcBorders>
            <w:noWrap w:val="0"/>
            <w:vAlign w:val="center"/>
          </w:tcPr>
          <w:p w14:paraId="751B265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noWrap w:val="0"/>
            <w:vAlign w:val="center"/>
          </w:tcPr>
          <w:p w14:paraId="2C9A4A4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CB3C6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48AB8C5">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C59A9ED">
            <w:pPr>
              <w:spacing w:line="300" w:lineRule="exact"/>
              <w:ind w:left="-53" w:leftChars="-25" w:right="-53" w:rightChars="-25"/>
              <w:jc w:val="center"/>
              <w:rPr>
                <w:rFonts w:hint="eastAsia" w:ascii="宋体" w:hAnsi="宋体" w:eastAsia="宋体" w:cs="宋体"/>
                <w:color w:val="auto"/>
                <w:szCs w:val="21"/>
                <w:highlight w:val="none"/>
              </w:rPr>
            </w:pPr>
          </w:p>
        </w:tc>
      </w:tr>
      <w:tr w14:paraId="140252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834F15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2827A15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其他防护栏杆</w:t>
            </w:r>
          </w:p>
        </w:tc>
        <w:tc>
          <w:tcPr>
            <w:tcW w:w="647" w:type="dxa"/>
            <w:tcBorders>
              <w:top w:val="single" w:color="auto" w:sz="4" w:space="0"/>
              <w:left w:val="nil"/>
              <w:bottom w:val="single" w:color="auto" w:sz="4" w:space="0"/>
              <w:right w:val="single" w:color="auto" w:sz="4" w:space="0"/>
            </w:tcBorders>
            <w:noWrap w:val="0"/>
            <w:vAlign w:val="center"/>
          </w:tcPr>
          <w:p w14:paraId="341A832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noWrap w:val="0"/>
            <w:vAlign w:val="center"/>
          </w:tcPr>
          <w:p w14:paraId="26E3EB3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81DFF7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CAE4EC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130BBC5">
            <w:pPr>
              <w:spacing w:line="300" w:lineRule="exact"/>
              <w:ind w:left="-53" w:leftChars="-25" w:right="-53" w:rightChars="-25"/>
              <w:jc w:val="center"/>
              <w:rPr>
                <w:rFonts w:hint="eastAsia" w:ascii="宋体" w:hAnsi="宋体" w:eastAsia="宋体" w:cs="宋体"/>
                <w:color w:val="auto"/>
                <w:szCs w:val="21"/>
                <w:highlight w:val="none"/>
              </w:rPr>
            </w:pPr>
          </w:p>
        </w:tc>
      </w:tr>
      <w:tr w14:paraId="2FE3CB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C493A5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1C93338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防护门</w:t>
            </w:r>
          </w:p>
        </w:tc>
        <w:tc>
          <w:tcPr>
            <w:tcW w:w="647" w:type="dxa"/>
            <w:tcBorders>
              <w:top w:val="single" w:color="auto" w:sz="4" w:space="0"/>
              <w:left w:val="nil"/>
              <w:bottom w:val="single" w:color="auto" w:sz="4" w:space="0"/>
              <w:right w:val="single" w:color="auto" w:sz="4" w:space="0"/>
            </w:tcBorders>
            <w:noWrap w:val="0"/>
            <w:vAlign w:val="center"/>
          </w:tcPr>
          <w:p w14:paraId="049BFF5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5931C45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1FA65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4997A2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96DE003">
            <w:pPr>
              <w:spacing w:line="300" w:lineRule="exact"/>
              <w:ind w:left="-53" w:leftChars="-25" w:right="-53" w:rightChars="-25"/>
              <w:jc w:val="center"/>
              <w:rPr>
                <w:rFonts w:hint="eastAsia" w:ascii="宋体" w:hAnsi="宋体" w:eastAsia="宋体" w:cs="宋体"/>
                <w:color w:val="auto"/>
                <w:szCs w:val="21"/>
                <w:highlight w:val="none"/>
              </w:rPr>
            </w:pPr>
          </w:p>
        </w:tc>
      </w:tr>
      <w:tr w14:paraId="7575273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8B64C4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354A53C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防护棚</w:t>
            </w:r>
          </w:p>
        </w:tc>
        <w:tc>
          <w:tcPr>
            <w:tcW w:w="647" w:type="dxa"/>
            <w:tcBorders>
              <w:top w:val="single" w:color="auto" w:sz="4" w:space="0"/>
              <w:left w:val="nil"/>
              <w:bottom w:val="single" w:color="auto" w:sz="4" w:space="0"/>
              <w:right w:val="single" w:color="auto" w:sz="4" w:space="0"/>
            </w:tcBorders>
            <w:noWrap w:val="0"/>
            <w:vAlign w:val="center"/>
          </w:tcPr>
          <w:p w14:paraId="7EE4A10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23E802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DA893D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68DC593">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C46038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按防护面积</w:t>
            </w:r>
          </w:p>
        </w:tc>
      </w:tr>
      <w:tr w14:paraId="451D87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A73A5C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2F532F6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通道防护棚</w:t>
            </w:r>
          </w:p>
        </w:tc>
        <w:tc>
          <w:tcPr>
            <w:tcW w:w="647" w:type="dxa"/>
            <w:tcBorders>
              <w:top w:val="single" w:color="auto" w:sz="4" w:space="0"/>
              <w:left w:val="nil"/>
              <w:bottom w:val="single" w:color="auto" w:sz="4" w:space="0"/>
              <w:right w:val="single" w:color="auto" w:sz="4" w:space="0"/>
            </w:tcBorders>
            <w:noWrap w:val="0"/>
            <w:vAlign w:val="center"/>
          </w:tcPr>
          <w:p w14:paraId="3B5D224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1B357B3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900535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0D2243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8E9FF8F">
            <w:pPr>
              <w:spacing w:line="300" w:lineRule="exact"/>
              <w:ind w:left="-53" w:leftChars="-25" w:right="-53" w:rightChars="-25"/>
              <w:jc w:val="center"/>
              <w:rPr>
                <w:rFonts w:hint="eastAsia" w:ascii="宋体" w:hAnsi="宋体" w:eastAsia="宋体" w:cs="宋体"/>
                <w:color w:val="auto"/>
                <w:szCs w:val="21"/>
                <w:highlight w:val="none"/>
              </w:rPr>
            </w:pPr>
          </w:p>
        </w:tc>
      </w:tr>
      <w:tr w14:paraId="44425C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8E2EF8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7FFB746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井架防护棚</w:t>
            </w:r>
          </w:p>
        </w:tc>
        <w:tc>
          <w:tcPr>
            <w:tcW w:w="647" w:type="dxa"/>
            <w:tcBorders>
              <w:top w:val="single" w:color="auto" w:sz="4" w:space="0"/>
              <w:left w:val="nil"/>
              <w:bottom w:val="single" w:color="auto" w:sz="4" w:space="0"/>
              <w:right w:val="single" w:color="auto" w:sz="4" w:space="0"/>
            </w:tcBorders>
            <w:noWrap w:val="0"/>
            <w:vAlign w:val="center"/>
          </w:tcPr>
          <w:p w14:paraId="7FF60F5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1236476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680F2F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2A7185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6B5EF13">
            <w:pPr>
              <w:spacing w:line="300" w:lineRule="exact"/>
              <w:ind w:left="-53" w:leftChars="-25" w:right="-53" w:rightChars="-25"/>
              <w:jc w:val="center"/>
              <w:rPr>
                <w:rFonts w:hint="eastAsia" w:ascii="宋体" w:hAnsi="宋体" w:eastAsia="宋体" w:cs="宋体"/>
                <w:color w:val="auto"/>
                <w:szCs w:val="21"/>
                <w:highlight w:val="none"/>
              </w:rPr>
            </w:pPr>
          </w:p>
        </w:tc>
      </w:tr>
      <w:tr w14:paraId="124349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A9EFDA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23BCD65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升降机防护棚</w:t>
            </w:r>
          </w:p>
        </w:tc>
        <w:tc>
          <w:tcPr>
            <w:tcW w:w="647" w:type="dxa"/>
            <w:tcBorders>
              <w:top w:val="single" w:color="auto" w:sz="4" w:space="0"/>
              <w:left w:val="nil"/>
              <w:bottom w:val="single" w:color="auto" w:sz="4" w:space="0"/>
              <w:right w:val="single" w:color="auto" w:sz="4" w:space="0"/>
            </w:tcBorders>
            <w:noWrap w:val="0"/>
            <w:vAlign w:val="center"/>
          </w:tcPr>
          <w:p w14:paraId="1146CC6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3338327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B69B47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F9F0DCD">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9A73A8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含人货两用升降机、货用</w:t>
            </w:r>
          </w:p>
          <w:p w14:paraId="75C64BD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升降机</w:t>
            </w:r>
          </w:p>
        </w:tc>
      </w:tr>
      <w:tr w14:paraId="7985EAA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9A5CC1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noWrap w:val="0"/>
            <w:vAlign w:val="center"/>
          </w:tcPr>
          <w:p w14:paraId="63AA6D7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断头路阻挡墙</w:t>
            </w:r>
          </w:p>
        </w:tc>
        <w:tc>
          <w:tcPr>
            <w:tcW w:w="647" w:type="dxa"/>
            <w:tcBorders>
              <w:top w:val="single" w:color="auto" w:sz="4" w:space="0"/>
              <w:left w:val="nil"/>
              <w:bottom w:val="single" w:color="auto" w:sz="4" w:space="0"/>
              <w:right w:val="single" w:color="auto" w:sz="4" w:space="0"/>
            </w:tcBorders>
            <w:noWrap w:val="0"/>
            <w:vAlign w:val="center"/>
          </w:tcPr>
          <w:p w14:paraId="2ED8DCC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3</w:t>
            </w:r>
          </w:p>
        </w:tc>
        <w:tc>
          <w:tcPr>
            <w:tcW w:w="878" w:type="dxa"/>
            <w:tcBorders>
              <w:top w:val="single" w:color="auto" w:sz="4" w:space="0"/>
              <w:left w:val="nil"/>
              <w:bottom w:val="single" w:color="auto" w:sz="4" w:space="0"/>
              <w:right w:val="single" w:color="auto" w:sz="4" w:space="0"/>
            </w:tcBorders>
            <w:noWrap w:val="0"/>
            <w:vAlign w:val="center"/>
          </w:tcPr>
          <w:p w14:paraId="5493D24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ED0518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73AADE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28468E7">
            <w:pPr>
              <w:spacing w:line="300" w:lineRule="exact"/>
              <w:ind w:left="-53" w:leftChars="-25" w:right="-53" w:rightChars="-25"/>
              <w:jc w:val="center"/>
              <w:rPr>
                <w:rFonts w:hint="eastAsia" w:ascii="宋体" w:hAnsi="宋体" w:eastAsia="宋体" w:cs="宋体"/>
                <w:color w:val="auto"/>
                <w:szCs w:val="21"/>
                <w:highlight w:val="none"/>
              </w:rPr>
            </w:pPr>
          </w:p>
        </w:tc>
      </w:tr>
      <w:tr w14:paraId="5F526BD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71DE3B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noWrap w:val="0"/>
            <w:vAlign w:val="center"/>
          </w:tcPr>
          <w:p w14:paraId="05CB839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安全隔离网</w:t>
            </w:r>
          </w:p>
        </w:tc>
        <w:tc>
          <w:tcPr>
            <w:tcW w:w="647" w:type="dxa"/>
            <w:tcBorders>
              <w:top w:val="single" w:color="auto" w:sz="4" w:space="0"/>
              <w:left w:val="nil"/>
              <w:bottom w:val="single" w:color="auto" w:sz="4" w:space="0"/>
              <w:right w:val="single" w:color="auto" w:sz="4" w:space="0"/>
            </w:tcBorders>
            <w:noWrap w:val="0"/>
            <w:vAlign w:val="center"/>
          </w:tcPr>
          <w:p w14:paraId="29AE56F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436BDD4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79DFCD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CD9705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98D7E4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爆破工程</w:t>
            </w:r>
          </w:p>
        </w:tc>
      </w:tr>
      <w:tr w14:paraId="25677BC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223D89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noWrap w:val="0"/>
            <w:vAlign w:val="center"/>
          </w:tcPr>
          <w:p w14:paraId="27F1517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对讲机</w:t>
            </w:r>
          </w:p>
        </w:tc>
        <w:tc>
          <w:tcPr>
            <w:tcW w:w="647" w:type="dxa"/>
            <w:tcBorders>
              <w:top w:val="single" w:color="auto" w:sz="4" w:space="0"/>
              <w:left w:val="nil"/>
              <w:bottom w:val="single" w:color="auto" w:sz="4" w:space="0"/>
              <w:right w:val="single" w:color="auto" w:sz="4" w:space="0"/>
            </w:tcBorders>
            <w:noWrap w:val="0"/>
            <w:vAlign w:val="center"/>
          </w:tcPr>
          <w:p w14:paraId="7296B7F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noWrap w:val="0"/>
            <w:vAlign w:val="center"/>
          </w:tcPr>
          <w:p w14:paraId="03D7E30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9E269C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96250A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BD282CA">
            <w:pPr>
              <w:spacing w:line="300" w:lineRule="exact"/>
              <w:ind w:left="-53" w:leftChars="-25" w:right="-53" w:rightChars="-25"/>
              <w:jc w:val="center"/>
              <w:rPr>
                <w:rFonts w:hint="eastAsia" w:ascii="宋体" w:hAnsi="宋体" w:eastAsia="宋体" w:cs="宋体"/>
                <w:color w:val="auto"/>
                <w:szCs w:val="21"/>
                <w:highlight w:val="none"/>
              </w:rPr>
            </w:pPr>
          </w:p>
        </w:tc>
      </w:tr>
      <w:tr w14:paraId="697D573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3A1252A">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noWrap w:val="0"/>
            <w:vAlign w:val="center"/>
          </w:tcPr>
          <w:p w14:paraId="5E375862">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高处作业</w:t>
            </w:r>
          </w:p>
        </w:tc>
        <w:tc>
          <w:tcPr>
            <w:tcW w:w="647" w:type="dxa"/>
            <w:tcBorders>
              <w:top w:val="single" w:color="auto" w:sz="4" w:space="0"/>
              <w:left w:val="nil"/>
              <w:bottom w:val="single" w:color="auto" w:sz="4" w:space="0"/>
              <w:right w:val="single" w:color="auto" w:sz="4" w:space="0"/>
            </w:tcBorders>
            <w:noWrap w:val="0"/>
            <w:vAlign w:val="center"/>
          </w:tcPr>
          <w:p w14:paraId="541C4844">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D073E39">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B07B1B5">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60F528A">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4283DC9">
            <w:pPr>
              <w:spacing w:line="300" w:lineRule="exact"/>
              <w:ind w:left="-53" w:leftChars="-25" w:right="-53" w:rightChars="-25"/>
              <w:jc w:val="center"/>
              <w:rPr>
                <w:rFonts w:hint="eastAsia" w:ascii="宋体" w:hAnsi="宋体" w:eastAsia="宋体" w:cs="宋体"/>
                <w:b/>
                <w:bCs/>
                <w:color w:val="auto"/>
                <w:szCs w:val="21"/>
                <w:highlight w:val="none"/>
              </w:rPr>
            </w:pPr>
          </w:p>
        </w:tc>
      </w:tr>
      <w:tr w14:paraId="51F8533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0EA1B4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67B34F1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洞口水平隔离防护</w:t>
            </w:r>
          </w:p>
        </w:tc>
        <w:tc>
          <w:tcPr>
            <w:tcW w:w="647" w:type="dxa"/>
            <w:tcBorders>
              <w:top w:val="single" w:color="auto" w:sz="4" w:space="0"/>
              <w:left w:val="nil"/>
              <w:bottom w:val="single" w:color="auto" w:sz="4" w:space="0"/>
              <w:right w:val="single" w:color="auto" w:sz="4" w:space="0"/>
            </w:tcBorders>
            <w:noWrap w:val="0"/>
            <w:vAlign w:val="center"/>
          </w:tcPr>
          <w:p w14:paraId="043C39E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7608E95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631FAF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61D958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43F4A3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按洞口水平面积</w:t>
            </w:r>
          </w:p>
        </w:tc>
      </w:tr>
      <w:tr w14:paraId="5F02F7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91888E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2832D50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高压线安全措施</w:t>
            </w:r>
          </w:p>
        </w:tc>
        <w:tc>
          <w:tcPr>
            <w:tcW w:w="647" w:type="dxa"/>
            <w:tcBorders>
              <w:top w:val="single" w:color="auto" w:sz="4" w:space="0"/>
              <w:left w:val="nil"/>
              <w:bottom w:val="single" w:color="auto" w:sz="4" w:space="0"/>
              <w:right w:val="single" w:color="auto" w:sz="4" w:space="0"/>
            </w:tcBorders>
            <w:noWrap w:val="0"/>
            <w:vAlign w:val="center"/>
          </w:tcPr>
          <w:p w14:paraId="0369F30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43EBF49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C7CAAD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62EC06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529918E">
            <w:pPr>
              <w:spacing w:line="300" w:lineRule="exact"/>
              <w:ind w:left="-53" w:leftChars="-25" w:right="-53" w:rightChars="-25"/>
              <w:jc w:val="center"/>
              <w:rPr>
                <w:rFonts w:hint="eastAsia" w:ascii="宋体" w:hAnsi="宋体" w:eastAsia="宋体" w:cs="宋体"/>
                <w:color w:val="auto"/>
                <w:szCs w:val="21"/>
                <w:highlight w:val="none"/>
              </w:rPr>
            </w:pPr>
          </w:p>
        </w:tc>
      </w:tr>
      <w:tr w14:paraId="0543729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0C277B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5747299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起重设备防护措施</w:t>
            </w:r>
          </w:p>
        </w:tc>
        <w:tc>
          <w:tcPr>
            <w:tcW w:w="647" w:type="dxa"/>
            <w:tcBorders>
              <w:top w:val="single" w:color="auto" w:sz="4" w:space="0"/>
              <w:left w:val="nil"/>
              <w:bottom w:val="single" w:color="auto" w:sz="4" w:space="0"/>
              <w:right w:val="single" w:color="auto" w:sz="4" w:space="0"/>
            </w:tcBorders>
            <w:noWrap w:val="0"/>
            <w:vAlign w:val="center"/>
          </w:tcPr>
          <w:p w14:paraId="6EF8E32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77E7247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48978C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4DD23E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E24ADED">
            <w:pPr>
              <w:spacing w:line="300" w:lineRule="exact"/>
              <w:ind w:left="-53" w:leftChars="-25" w:right="-53" w:rightChars="-25"/>
              <w:jc w:val="center"/>
              <w:rPr>
                <w:rFonts w:hint="eastAsia" w:ascii="宋体" w:hAnsi="宋体" w:eastAsia="宋体" w:cs="宋体"/>
                <w:color w:val="auto"/>
                <w:szCs w:val="21"/>
                <w:highlight w:val="none"/>
              </w:rPr>
            </w:pPr>
          </w:p>
        </w:tc>
      </w:tr>
      <w:tr w14:paraId="4C07F11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AD2F50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56729F3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楼层呼唤器</w:t>
            </w:r>
          </w:p>
        </w:tc>
        <w:tc>
          <w:tcPr>
            <w:tcW w:w="647" w:type="dxa"/>
            <w:tcBorders>
              <w:top w:val="single" w:color="auto" w:sz="4" w:space="0"/>
              <w:left w:val="nil"/>
              <w:bottom w:val="single" w:color="auto" w:sz="4" w:space="0"/>
              <w:right w:val="single" w:color="auto" w:sz="4" w:space="0"/>
            </w:tcBorders>
            <w:noWrap w:val="0"/>
            <w:vAlign w:val="center"/>
          </w:tcPr>
          <w:p w14:paraId="1807B45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noWrap w:val="0"/>
            <w:vAlign w:val="center"/>
          </w:tcPr>
          <w:p w14:paraId="18AF713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746AD4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D69102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BB4BB4B">
            <w:pPr>
              <w:spacing w:line="300" w:lineRule="exact"/>
              <w:ind w:left="-53" w:leftChars="-25" w:right="-53" w:rightChars="-25"/>
              <w:jc w:val="center"/>
              <w:rPr>
                <w:rFonts w:hint="eastAsia" w:ascii="宋体" w:hAnsi="宋体" w:eastAsia="宋体" w:cs="宋体"/>
                <w:color w:val="auto"/>
                <w:szCs w:val="21"/>
                <w:highlight w:val="none"/>
              </w:rPr>
            </w:pPr>
          </w:p>
        </w:tc>
      </w:tr>
      <w:tr w14:paraId="4CAC3B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6D861B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noWrap w:val="0"/>
            <w:vAlign w:val="center"/>
          </w:tcPr>
          <w:p w14:paraId="4AFEC8D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其他高处作业安全防护</w:t>
            </w:r>
          </w:p>
        </w:tc>
        <w:tc>
          <w:tcPr>
            <w:tcW w:w="647" w:type="dxa"/>
            <w:tcBorders>
              <w:top w:val="single" w:color="auto" w:sz="4" w:space="0"/>
              <w:left w:val="nil"/>
              <w:bottom w:val="single" w:color="auto" w:sz="4" w:space="0"/>
              <w:right w:val="single" w:color="auto" w:sz="4" w:space="0"/>
            </w:tcBorders>
            <w:noWrap w:val="0"/>
            <w:vAlign w:val="center"/>
          </w:tcPr>
          <w:p w14:paraId="75575E8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0C4B1E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75C004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07D2A4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AB7990B">
            <w:pPr>
              <w:spacing w:line="300" w:lineRule="exact"/>
              <w:ind w:left="-53" w:leftChars="-25" w:right="-53" w:rightChars="-25"/>
              <w:jc w:val="center"/>
              <w:rPr>
                <w:rFonts w:hint="eastAsia" w:ascii="宋体" w:hAnsi="宋体" w:eastAsia="宋体" w:cs="宋体"/>
                <w:color w:val="auto"/>
                <w:szCs w:val="21"/>
                <w:highlight w:val="none"/>
              </w:rPr>
            </w:pPr>
          </w:p>
        </w:tc>
      </w:tr>
      <w:tr w14:paraId="6E3340B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27688F3">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noWrap w:val="0"/>
            <w:vAlign w:val="center"/>
          </w:tcPr>
          <w:p w14:paraId="26941162">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深基坑（槽）</w:t>
            </w:r>
          </w:p>
        </w:tc>
        <w:tc>
          <w:tcPr>
            <w:tcW w:w="647" w:type="dxa"/>
            <w:tcBorders>
              <w:top w:val="single" w:color="auto" w:sz="4" w:space="0"/>
              <w:left w:val="nil"/>
              <w:bottom w:val="single" w:color="auto" w:sz="4" w:space="0"/>
              <w:right w:val="single" w:color="auto" w:sz="4" w:space="0"/>
            </w:tcBorders>
            <w:noWrap w:val="0"/>
            <w:vAlign w:val="center"/>
          </w:tcPr>
          <w:p w14:paraId="0A3CE5E5">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6E9B24D">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CE5D099">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0A22040">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FD63961">
            <w:pPr>
              <w:spacing w:line="300" w:lineRule="exact"/>
              <w:ind w:left="-53" w:leftChars="-25" w:right="-53" w:rightChars="-25"/>
              <w:jc w:val="center"/>
              <w:rPr>
                <w:rFonts w:hint="eastAsia" w:ascii="宋体" w:hAnsi="宋体" w:eastAsia="宋体" w:cs="宋体"/>
                <w:b/>
                <w:bCs/>
                <w:color w:val="auto"/>
                <w:szCs w:val="21"/>
                <w:highlight w:val="none"/>
              </w:rPr>
            </w:pPr>
          </w:p>
        </w:tc>
      </w:tr>
      <w:tr w14:paraId="1A472A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4EF298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47DAC65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上下专用通道</w:t>
            </w:r>
          </w:p>
        </w:tc>
        <w:tc>
          <w:tcPr>
            <w:tcW w:w="647" w:type="dxa"/>
            <w:tcBorders>
              <w:top w:val="single" w:color="auto" w:sz="4" w:space="0"/>
              <w:left w:val="nil"/>
              <w:bottom w:val="single" w:color="auto" w:sz="4" w:space="0"/>
              <w:right w:val="single" w:color="auto" w:sz="4" w:space="0"/>
            </w:tcBorders>
            <w:noWrap w:val="0"/>
            <w:vAlign w:val="center"/>
          </w:tcPr>
          <w:p w14:paraId="74A85B9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69CA345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5BC8CE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7AEC81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CDF4F0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含安全爬梯</w:t>
            </w:r>
          </w:p>
        </w:tc>
      </w:tr>
      <w:tr w14:paraId="2C6D19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50F911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0273B50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基坑支护变形监测</w:t>
            </w:r>
          </w:p>
        </w:tc>
        <w:tc>
          <w:tcPr>
            <w:tcW w:w="647" w:type="dxa"/>
            <w:tcBorders>
              <w:top w:val="single" w:color="auto" w:sz="4" w:space="0"/>
              <w:left w:val="nil"/>
              <w:bottom w:val="single" w:color="auto" w:sz="4" w:space="0"/>
              <w:right w:val="single" w:color="auto" w:sz="4" w:space="0"/>
            </w:tcBorders>
            <w:noWrap w:val="0"/>
            <w:vAlign w:val="center"/>
          </w:tcPr>
          <w:p w14:paraId="1F6B893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0DD783A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69F59E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D8E628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187DF0F">
            <w:pPr>
              <w:spacing w:line="300" w:lineRule="exact"/>
              <w:ind w:left="-53" w:leftChars="-25" w:right="-53" w:rightChars="-25"/>
              <w:jc w:val="center"/>
              <w:rPr>
                <w:rFonts w:hint="eastAsia" w:ascii="宋体" w:hAnsi="宋体" w:eastAsia="宋体" w:cs="宋体"/>
                <w:color w:val="auto"/>
                <w:szCs w:val="21"/>
                <w:highlight w:val="none"/>
              </w:rPr>
            </w:pPr>
          </w:p>
        </w:tc>
      </w:tr>
      <w:tr w14:paraId="0131745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B26E30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7157412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其他深基坑安全防护</w:t>
            </w:r>
          </w:p>
        </w:tc>
        <w:tc>
          <w:tcPr>
            <w:tcW w:w="647" w:type="dxa"/>
            <w:tcBorders>
              <w:top w:val="single" w:color="auto" w:sz="4" w:space="0"/>
              <w:left w:val="nil"/>
              <w:bottom w:val="single" w:color="auto" w:sz="4" w:space="0"/>
              <w:right w:val="single" w:color="auto" w:sz="4" w:space="0"/>
            </w:tcBorders>
            <w:noWrap w:val="0"/>
            <w:vAlign w:val="center"/>
          </w:tcPr>
          <w:p w14:paraId="1726FC8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24D8E4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C6FA2C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EB3FD3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2D3089AA">
            <w:pPr>
              <w:spacing w:line="300" w:lineRule="exact"/>
              <w:ind w:left="-53" w:leftChars="-25" w:right="-53" w:rightChars="-25"/>
              <w:jc w:val="center"/>
              <w:rPr>
                <w:rFonts w:hint="eastAsia" w:ascii="宋体" w:hAnsi="宋体" w:eastAsia="宋体" w:cs="宋体"/>
                <w:color w:val="auto"/>
                <w:szCs w:val="21"/>
                <w:highlight w:val="none"/>
              </w:rPr>
            </w:pPr>
          </w:p>
        </w:tc>
      </w:tr>
      <w:tr w14:paraId="08215B6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37BAD5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noWrap w:val="0"/>
            <w:vAlign w:val="center"/>
          </w:tcPr>
          <w:p w14:paraId="1D27B6CE">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脚手架</w:t>
            </w:r>
          </w:p>
        </w:tc>
        <w:tc>
          <w:tcPr>
            <w:tcW w:w="647" w:type="dxa"/>
            <w:tcBorders>
              <w:top w:val="single" w:color="auto" w:sz="4" w:space="0"/>
              <w:left w:val="nil"/>
              <w:bottom w:val="single" w:color="auto" w:sz="4" w:space="0"/>
              <w:right w:val="single" w:color="auto" w:sz="4" w:space="0"/>
            </w:tcBorders>
            <w:noWrap w:val="0"/>
            <w:vAlign w:val="center"/>
          </w:tcPr>
          <w:p w14:paraId="3DB84C8B">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1BBB42B">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C5C3F09">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AA9442B">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1D88657">
            <w:pPr>
              <w:spacing w:line="300" w:lineRule="exact"/>
              <w:ind w:left="-53" w:leftChars="-25" w:right="-53" w:rightChars="-25"/>
              <w:jc w:val="center"/>
              <w:rPr>
                <w:rFonts w:hint="eastAsia" w:ascii="宋体" w:hAnsi="宋体" w:eastAsia="宋体" w:cs="宋体"/>
                <w:b/>
                <w:bCs/>
                <w:color w:val="auto"/>
                <w:szCs w:val="21"/>
                <w:highlight w:val="none"/>
              </w:rPr>
            </w:pPr>
          </w:p>
        </w:tc>
      </w:tr>
      <w:tr w14:paraId="598782B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38ACC3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24CFF57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水平隔离封闭设施</w:t>
            </w:r>
          </w:p>
        </w:tc>
        <w:tc>
          <w:tcPr>
            <w:tcW w:w="647" w:type="dxa"/>
            <w:tcBorders>
              <w:top w:val="single" w:color="auto" w:sz="4" w:space="0"/>
              <w:left w:val="nil"/>
              <w:bottom w:val="single" w:color="auto" w:sz="4" w:space="0"/>
              <w:right w:val="single" w:color="auto" w:sz="4" w:space="0"/>
            </w:tcBorders>
            <w:noWrap w:val="0"/>
            <w:vAlign w:val="center"/>
          </w:tcPr>
          <w:p w14:paraId="22D368A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noWrap w:val="0"/>
            <w:vAlign w:val="center"/>
          </w:tcPr>
          <w:p w14:paraId="71E59C3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B9B45E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9109D8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EF19A9E">
            <w:pPr>
              <w:spacing w:line="300" w:lineRule="exact"/>
              <w:ind w:left="-53" w:leftChars="-25" w:right="-53" w:rightChars="-25"/>
              <w:jc w:val="center"/>
              <w:rPr>
                <w:rFonts w:hint="eastAsia" w:ascii="宋体" w:hAnsi="宋体" w:eastAsia="宋体" w:cs="宋体"/>
                <w:color w:val="auto"/>
                <w:szCs w:val="21"/>
                <w:highlight w:val="none"/>
              </w:rPr>
            </w:pPr>
          </w:p>
        </w:tc>
      </w:tr>
      <w:tr w14:paraId="2ADDBB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2EAEF0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33187D0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其他脚手架安全防护</w:t>
            </w:r>
          </w:p>
        </w:tc>
        <w:tc>
          <w:tcPr>
            <w:tcW w:w="647" w:type="dxa"/>
            <w:tcBorders>
              <w:top w:val="single" w:color="auto" w:sz="4" w:space="0"/>
              <w:left w:val="nil"/>
              <w:bottom w:val="single" w:color="auto" w:sz="4" w:space="0"/>
              <w:right w:val="single" w:color="auto" w:sz="4" w:space="0"/>
            </w:tcBorders>
            <w:noWrap w:val="0"/>
            <w:vAlign w:val="center"/>
          </w:tcPr>
          <w:p w14:paraId="12DF6AE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FBB173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47A7D6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3011C75">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4CB849B5">
            <w:pPr>
              <w:spacing w:line="300" w:lineRule="exact"/>
              <w:ind w:left="-53" w:leftChars="-25" w:right="-53" w:rightChars="-25"/>
              <w:jc w:val="center"/>
              <w:rPr>
                <w:rFonts w:hint="eastAsia" w:ascii="宋体" w:hAnsi="宋体" w:eastAsia="宋体" w:cs="宋体"/>
                <w:color w:val="auto"/>
                <w:szCs w:val="21"/>
                <w:highlight w:val="none"/>
              </w:rPr>
            </w:pPr>
          </w:p>
        </w:tc>
      </w:tr>
      <w:tr w14:paraId="0398C86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4A73FB0">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w:t>
            </w:r>
          </w:p>
        </w:tc>
        <w:tc>
          <w:tcPr>
            <w:tcW w:w="2162" w:type="dxa"/>
            <w:tcBorders>
              <w:top w:val="single" w:color="auto" w:sz="4" w:space="0"/>
              <w:left w:val="nil"/>
              <w:bottom w:val="single" w:color="auto" w:sz="4" w:space="0"/>
              <w:right w:val="single" w:color="auto" w:sz="4" w:space="0"/>
            </w:tcBorders>
            <w:noWrap w:val="0"/>
            <w:vAlign w:val="center"/>
          </w:tcPr>
          <w:p w14:paraId="42DFED0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井架</w:t>
            </w:r>
          </w:p>
        </w:tc>
        <w:tc>
          <w:tcPr>
            <w:tcW w:w="647" w:type="dxa"/>
            <w:tcBorders>
              <w:top w:val="single" w:color="auto" w:sz="4" w:space="0"/>
              <w:left w:val="nil"/>
              <w:bottom w:val="single" w:color="auto" w:sz="4" w:space="0"/>
              <w:right w:val="single" w:color="auto" w:sz="4" w:space="0"/>
            </w:tcBorders>
            <w:noWrap w:val="0"/>
            <w:vAlign w:val="center"/>
          </w:tcPr>
          <w:p w14:paraId="41443575">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699FCAB">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916C336">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5F71343">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973ED57">
            <w:pPr>
              <w:spacing w:line="300" w:lineRule="exact"/>
              <w:ind w:left="-53" w:leftChars="-25" w:right="-53" w:rightChars="-25"/>
              <w:jc w:val="center"/>
              <w:rPr>
                <w:rFonts w:hint="eastAsia" w:ascii="宋体" w:hAnsi="宋体" w:eastAsia="宋体" w:cs="宋体"/>
                <w:b/>
                <w:bCs/>
                <w:color w:val="auto"/>
                <w:szCs w:val="21"/>
                <w:highlight w:val="none"/>
              </w:rPr>
            </w:pPr>
          </w:p>
        </w:tc>
      </w:tr>
      <w:tr w14:paraId="0F1AD82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5EB965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1A99CA1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架体围护</w:t>
            </w:r>
          </w:p>
        </w:tc>
        <w:tc>
          <w:tcPr>
            <w:tcW w:w="647" w:type="dxa"/>
            <w:tcBorders>
              <w:top w:val="single" w:color="auto" w:sz="4" w:space="0"/>
              <w:left w:val="nil"/>
              <w:bottom w:val="single" w:color="auto" w:sz="4" w:space="0"/>
              <w:right w:val="single" w:color="auto" w:sz="4" w:space="0"/>
            </w:tcBorders>
            <w:noWrap w:val="0"/>
            <w:vAlign w:val="center"/>
          </w:tcPr>
          <w:p w14:paraId="64967A6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38EF9C9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707570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58ADF8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82A23CA">
            <w:pPr>
              <w:spacing w:line="300" w:lineRule="exact"/>
              <w:ind w:left="-53" w:leftChars="-25" w:right="-53" w:rightChars="-25"/>
              <w:jc w:val="center"/>
              <w:rPr>
                <w:rFonts w:hint="eastAsia" w:ascii="宋体" w:hAnsi="宋体" w:eastAsia="宋体" w:cs="宋体"/>
                <w:color w:val="auto"/>
                <w:szCs w:val="21"/>
                <w:highlight w:val="none"/>
              </w:rPr>
            </w:pPr>
          </w:p>
        </w:tc>
      </w:tr>
      <w:tr w14:paraId="577E77B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1DCC14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41F89B7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货用升降机操作室</w:t>
            </w:r>
          </w:p>
        </w:tc>
        <w:tc>
          <w:tcPr>
            <w:tcW w:w="647" w:type="dxa"/>
            <w:tcBorders>
              <w:top w:val="single" w:color="auto" w:sz="4" w:space="0"/>
              <w:left w:val="nil"/>
              <w:bottom w:val="single" w:color="auto" w:sz="4" w:space="0"/>
              <w:right w:val="single" w:color="auto" w:sz="4" w:space="0"/>
            </w:tcBorders>
            <w:noWrap w:val="0"/>
            <w:vAlign w:val="center"/>
          </w:tcPr>
          <w:p w14:paraId="0EFC336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06A7A29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70167F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B3C1FA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9995837">
            <w:pPr>
              <w:spacing w:line="300" w:lineRule="exact"/>
              <w:ind w:left="-53" w:leftChars="-25" w:right="-53" w:rightChars="-25"/>
              <w:jc w:val="center"/>
              <w:rPr>
                <w:rFonts w:hint="eastAsia" w:ascii="宋体" w:hAnsi="宋体" w:eastAsia="宋体" w:cs="宋体"/>
                <w:color w:val="auto"/>
                <w:szCs w:val="21"/>
                <w:highlight w:val="none"/>
              </w:rPr>
            </w:pPr>
          </w:p>
        </w:tc>
      </w:tr>
      <w:tr w14:paraId="124290E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FAAEA2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2C399BF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其他井架防护</w:t>
            </w:r>
          </w:p>
        </w:tc>
        <w:tc>
          <w:tcPr>
            <w:tcW w:w="647" w:type="dxa"/>
            <w:tcBorders>
              <w:top w:val="single" w:color="auto" w:sz="4" w:space="0"/>
              <w:left w:val="nil"/>
              <w:bottom w:val="single" w:color="auto" w:sz="4" w:space="0"/>
              <w:right w:val="single" w:color="auto" w:sz="4" w:space="0"/>
            </w:tcBorders>
            <w:noWrap w:val="0"/>
            <w:vAlign w:val="center"/>
          </w:tcPr>
          <w:p w14:paraId="055FE14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BF40D9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96F894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CE9B90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06A0BBC">
            <w:pPr>
              <w:spacing w:line="300" w:lineRule="exact"/>
              <w:ind w:left="-53" w:leftChars="-25" w:right="-53" w:rightChars="-25"/>
              <w:jc w:val="center"/>
              <w:rPr>
                <w:rFonts w:hint="eastAsia" w:ascii="宋体" w:hAnsi="宋体" w:eastAsia="宋体" w:cs="宋体"/>
                <w:color w:val="auto"/>
                <w:szCs w:val="21"/>
                <w:highlight w:val="none"/>
              </w:rPr>
            </w:pPr>
          </w:p>
        </w:tc>
      </w:tr>
      <w:tr w14:paraId="716928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9CFB343">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（六）</w:t>
            </w:r>
          </w:p>
        </w:tc>
        <w:tc>
          <w:tcPr>
            <w:tcW w:w="2162" w:type="dxa"/>
            <w:tcBorders>
              <w:top w:val="single" w:color="auto" w:sz="4" w:space="0"/>
              <w:left w:val="nil"/>
              <w:bottom w:val="single" w:color="auto" w:sz="4" w:space="0"/>
              <w:right w:val="single" w:color="auto" w:sz="4" w:space="0"/>
            </w:tcBorders>
            <w:noWrap w:val="0"/>
            <w:vAlign w:val="center"/>
          </w:tcPr>
          <w:p w14:paraId="479EE101">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消防器材、设施</w:t>
            </w:r>
          </w:p>
        </w:tc>
        <w:tc>
          <w:tcPr>
            <w:tcW w:w="647" w:type="dxa"/>
            <w:tcBorders>
              <w:top w:val="single" w:color="auto" w:sz="4" w:space="0"/>
              <w:left w:val="nil"/>
              <w:bottom w:val="single" w:color="auto" w:sz="4" w:space="0"/>
              <w:right w:val="single" w:color="auto" w:sz="4" w:space="0"/>
            </w:tcBorders>
            <w:noWrap w:val="0"/>
            <w:vAlign w:val="center"/>
          </w:tcPr>
          <w:p w14:paraId="5C96A7BD">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E1A98B2">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CD838FB">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3777573">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48A83E0">
            <w:pPr>
              <w:spacing w:line="300" w:lineRule="exact"/>
              <w:ind w:left="-53" w:leftChars="-25" w:right="-53" w:rightChars="-25"/>
              <w:jc w:val="center"/>
              <w:rPr>
                <w:rFonts w:hint="eastAsia" w:ascii="宋体" w:hAnsi="宋体" w:eastAsia="宋体" w:cs="宋体"/>
                <w:b/>
                <w:bCs/>
                <w:color w:val="auto"/>
                <w:szCs w:val="21"/>
                <w:highlight w:val="none"/>
              </w:rPr>
            </w:pPr>
          </w:p>
        </w:tc>
      </w:tr>
      <w:tr w14:paraId="001D0F5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E11EC0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66D3020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灭火器</w:t>
            </w:r>
          </w:p>
        </w:tc>
        <w:tc>
          <w:tcPr>
            <w:tcW w:w="647" w:type="dxa"/>
            <w:tcBorders>
              <w:top w:val="single" w:color="auto" w:sz="4" w:space="0"/>
              <w:left w:val="nil"/>
              <w:bottom w:val="single" w:color="auto" w:sz="4" w:space="0"/>
              <w:right w:val="single" w:color="auto" w:sz="4" w:space="0"/>
            </w:tcBorders>
            <w:noWrap w:val="0"/>
            <w:vAlign w:val="center"/>
          </w:tcPr>
          <w:p w14:paraId="05C74A9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noWrap w:val="0"/>
            <w:vAlign w:val="center"/>
          </w:tcPr>
          <w:p w14:paraId="599D617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C5A2E0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07E6BB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F2D1493">
            <w:pPr>
              <w:spacing w:line="300" w:lineRule="exact"/>
              <w:ind w:left="-53" w:leftChars="-25" w:right="-53" w:rightChars="-25"/>
              <w:jc w:val="center"/>
              <w:rPr>
                <w:rFonts w:hint="eastAsia" w:ascii="宋体" w:hAnsi="宋体" w:eastAsia="宋体" w:cs="宋体"/>
                <w:color w:val="auto"/>
                <w:szCs w:val="21"/>
                <w:highlight w:val="none"/>
              </w:rPr>
            </w:pPr>
          </w:p>
        </w:tc>
      </w:tr>
      <w:tr w14:paraId="524FCFD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F1692F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0B9DC02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消防水泵</w:t>
            </w:r>
          </w:p>
        </w:tc>
        <w:tc>
          <w:tcPr>
            <w:tcW w:w="647" w:type="dxa"/>
            <w:tcBorders>
              <w:top w:val="single" w:color="auto" w:sz="4" w:space="0"/>
              <w:left w:val="nil"/>
              <w:bottom w:val="single" w:color="auto" w:sz="4" w:space="0"/>
              <w:right w:val="single" w:color="auto" w:sz="4" w:space="0"/>
            </w:tcBorders>
            <w:noWrap w:val="0"/>
            <w:vAlign w:val="center"/>
          </w:tcPr>
          <w:p w14:paraId="0CE2743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noWrap w:val="0"/>
            <w:vAlign w:val="center"/>
          </w:tcPr>
          <w:p w14:paraId="14319BD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A83A78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745EC1D">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6000DEC9">
            <w:pPr>
              <w:spacing w:line="300" w:lineRule="exact"/>
              <w:ind w:left="-53" w:leftChars="-25" w:right="-53" w:rightChars="-25"/>
              <w:jc w:val="center"/>
              <w:rPr>
                <w:rFonts w:hint="eastAsia" w:ascii="宋体" w:hAnsi="宋体" w:eastAsia="宋体" w:cs="宋体"/>
                <w:color w:val="auto"/>
                <w:szCs w:val="21"/>
                <w:highlight w:val="none"/>
              </w:rPr>
            </w:pPr>
          </w:p>
        </w:tc>
      </w:tr>
      <w:tr w14:paraId="1793F5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0A22D5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71DF4B5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水枪、水带</w:t>
            </w:r>
          </w:p>
        </w:tc>
        <w:tc>
          <w:tcPr>
            <w:tcW w:w="647" w:type="dxa"/>
            <w:tcBorders>
              <w:top w:val="single" w:color="auto" w:sz="4" w:space="0"/>
              <w:left w:val="nil"/>
              <w:bottom w:val="single" w:color="auto" w:sz="4" w:space="0"/>
              <w:right w:val="single" w:color="auto" w:sz="4" w:space="0"/>
            </w:tcBorders>
            <w:noWrap w:val="0"/>
            <w:vAlign w:val="center"/>
          </w:tcPr>
          <w:p w14:paraId="21EEB82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noWrap w:val="0"/>
            <w:vAlign w:val="center"/>
          </w:tcPr>
          <w:p w14:paraId="5A9A29D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626B3C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38988D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4EFBC47">
            <w:pPr>
              <w:spacing w:line="300" w:lineRule="exact"/>
              <w:ind w:left="-53" w:leftChars="-25" w:right="-53" w:rightChars="-25"/>
              <w:jc w:val="center"/>
              <w:rPr>
                <w:rFonts w:hint="eastAsia" w:ascii="宋体" w:hAnsi="宋体" w:eastAsia="宋体" w:cs="宋体"/>
                <w:color w:val="auto"/>
                <w:szCs w:val="21"/>
                <w:highlight w:val="none"/>
              </w:rPr>
            </w:pPr>
          </w:p>
        </w:tc>
      </w:tr>
      <w:tr w14:paraId="3C6772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1BBFBC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668A821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消防箱</w:t>
            </w:r>
          </w:p>
        </w:tc>
        <w:tc>
          <w:tcPr>
            <w:tcW w:w="647" w:type="dxa"/>
            <w:tcBorders>
              <w:top w:val="single" w:color="auto" w:sz="4" w:space="0"/>
              <w:left w:val="nil"/>
              <w:bottom w:val="single" w:color="auto" w:sz="4" w:space="0"/>
              <w:right w:val="single" w:color="auto" w:sz="4" w:space="0"/>
            </w:tcBorders>
            <w:noWrap w:val="0"/>
            <w:vAlign w:val="center"/>
          </w:tcPr>
          <w:p w14:paraId="3D8AF6E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noWrap w:val="0"/>
            <w:vAlign w:val="center"/>
          </w:tcPr>
          <w:p w14:paraId="45D7BEC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BEB0F3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157041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8713F3A">
            <w:pPr>
              <w:spacing w:line="300" w:lineRule="exact"/>
              <w:ind w:left="-53" w:leftChars="-25" w:right="-53" w:rightChars="-25"/>
              <w:jc w:val="center"/>
              <w:rPr>
                <w:rFonts w:hint="eastAsia" w:ascii="宋体" w:hAnsi="宋体" w:eastAsia="宋体" w:cs="宋体"/>
                <w:color w:val="auto"/>
                <w:szCs w:val="21"/>
                <w:highlight w:val="none"/>
              </w:rPr>
            </w:pPr>
          </w:p>
        </w:tc>
      </w:tr>
      <w:tr w14:paraId="18A499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F98CAC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noWrap w:val="0"/>
            <w:vAlign w:val="center"/>
          </w:tcPr>
          <w:p w14:paraId="1171A70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消防立管</w:t>
            </w:r>
          </w:p>
        </w:tc>
        <w:tc>
          <w:tcPr>
            <w:tcW w:w="647" w:type="dxa"/>
            <w:tcBorders>
              <w:top w:val="single" w:color="auto" w:sz="4" w:space="0"/>
              <w:left w:val="nil"/>
              <w:bottom w:val="single" w:color="auto" w:sz="4" w:space="0"/>
              <w:right w:val="single" w:color="auto" w:sz="4" w:space="0"/>
            </w:tcBorders>
            <w:noWrap w:val="0"/>
            <w:vAlign w:val="center"/>
          </w:tcPr>
          <w:p w14:paraId="2484C2B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noWrap w:val="0"/>
            <w:vAlign w:val="center"/>
          </w:tcPr>
          <w:p w14:paraId="509133D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0E9216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8A4CA6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4787885">
            <w:pPr>
              <w:spacing w:line="300" w:lineRule="exact"/>
              <w:ind w:left="-53" w:leftChars="-25" w:right="-53" w:rightChars="-25"/>
              <w:jc w:val="center"/>
              <w:rPr>
                <w:rFonts w:hint="eastAsia" w:ascii="宋体" w:hAnsi="宋体" w:eastAsia="宋体" w:cs="宋体"/>
                <w:color w:val="auto"/>
                <w:szCs w:val="21"/>
                <w:highlight w:val="none"/>
              </w:rPr>
            </w:pPr>
          </w:p>
        </w:tc>
      </w:tr>
      <w:tr w14:paraId="727A6E4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040B37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noWrap w:val="0"/>
            <w:vAlign w:val="center"/>
          </w:tcPr>
          <w:p w14:paraId="0DCFCD5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危险品仓库搭建</w:t>
            </w:r>
          </w:p>
        </w:tc>
        <w:tc>
          <w:tcPr>
            <w:tcW w:w="647" w:type="dxa"/>
            <w:tcBorders>
              <w:top w:val="single" w:color="auto" w:sz="4" w:space="0"/>
              <w:left w:val="nil"/>
              <w:bottom w:val="single" w:color="auto" w:sz="4" w:space="0"/>
              <w:right w:val="single" w:color="auto" w:sz="4" w:space="0"/>
            </w:tcBorders>
            <w:noWrap w:val="0"/>
            <w:vAlign w:val="center"/>
          </w:tcPr>
          <w:p w14:paraId="50294B0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noWrap w:val="0"/>
            <w:vAlign w:val="center"/>
          </w:tcPr>
          <w:p w14:paraId="290BB0B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704748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53E890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077F2D7">
            <w:pPr>
              <w:spacing w:line="300" w:lineRule="exact"/>
              <w:ind w:left="-53" w:leftChars="-25" w:right="-53" w:rightChars="-25"/>
              <w:jc w:val="center"/>
              <w:rPr>
                <w:rFonts w:hint="eastAsia" w:ascii="宋体" w:hAnsi="宋体" w:eastAsia="宋体" w:cs="宋体"/>
                <w:color w:val="auto"/>
                <w:szCs w:val="21"/>
                <w:highlight w:val="none"/>
              </w:rPr>
            </w:pPr>
          </w:p>
        </w:tc>
      </w:tr>
      <w:tr w14:paraId="348E07C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6E1230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noWrap w:val="0"/>
            <w:vAlign w:val="center"/>
          </w:tcPr>
          <w:p w14:paraId="41B6240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防雷设施</w:t>
            </w:r>
          </w:p>
        </w:tc>
        <w:tc>
          <w:tcPr>
            <w:tcW w:w="647" w:type="dxa"/>
            <w:tcBorders>
              <w:top w:val="single" w:color="auto" w:sz="4" w:space="0"/>
              <w:left w:val="nil"/>
              <w:bottom w:val="single" w:color="auto" w:sz="4" w:space="0"/>
              <w:right w:val="single" w:color="auto" w:sz="4" w:space="0"/>
            </w:tcBorders>
            <w:noWrap w:val="0"/>
            <w:vAlign w:val="center"/>
          </w:tcPr>
          <w:p w14:paraId="2849CC6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6260F9F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8F6606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9EAB87D">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18D0020">
            <w:pPr>
              <w:spacing w:line="300" w:lineRule="exact"/>
              <w:ind w:left="-53" w:leftChars="-25" w:right="-53" w:rightChars="-25"/>
              <w:jc w:val="center"/>
              <w:rPr>
                <w:rFonts w:hint="eastAsia" w:ascii="宋体" w:hAnsi="宋体" w:eastAsia="宋体" w:cs="宋体"/>
                <w:color w:val="auto"/>
                <w:szCs w:val="21"/>
                <w:highlight w:val="none"/>
              </w:rPr>
            </w:pPr>
          </w:p>
        </w:tc>
      </w:tr>
      <w:tr w14:paraId="301FBFB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70A411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162" w:type="dxa"/>
            <w:tcBorders>
              <w:top w:val="single" w:color="auto" w:sz="4" w:space="0"/>
              <w:left w:val="nil"/>
              <w:bottom w:val="single" w:color="auto" w:sz="4" w:space="0"/>
              <w:right w:val="single" w:color="auto" w:sz="4" w:space="0"/>
            </w:tcBorders>
            <w:noWrap w:val="0"/>
            <w:vAlign w:val="center"/>
          </w:tcPr>
          <w:p w14:paraId="605AAF5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647" w:type="dxa"/>
            <w:tcBorders>
              <w:top w:val="single" w:color="auto" w:sz="4" w:space="0"/>
              <w:left w:val="nil"/>
              <w:bottom w:val="single" w:color="auto" w:sz="4" w:space="0"/>
              <w:right w:val="single" w:color="auto" w:sz="4" w:space="0"/>
            </w:tcBorders>
            <w:noWrap w:val="0"/>
            <w:vAlign w:val="center"/>
          </w:tcPr>
          <w:p w14:paraId="19DAB3E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F6DC43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DE6F4B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3F4CB0D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64C3945">
            <w:pPr>
              <w:spacing w:line="300" w:lineRule="exact"/>
              <w:ind w:left="-53" w:leftChars="-25" w:right="-53" w:rightChars="-25"/>
              <w:jc w:val="center"/>
              <w:rPr>
                <w:rFonts w:hint="eastAsia" w:ascii="宋体" w:hAnsi="宋体" w:eastAsia="宋体" w:cs="宋体"/>
                <w:color w:val="auto"/>
                <w:szCs w:val="21"/>
                <w:highlight w:val="none"/>
              </w:rPr>
            </w:pPr>
          </w:p>
        </w:tc>
      </w:tr>
      <w:tr w14:paraId="07AEB93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3E55C42">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w:t>
            </w:r>
          </w:p>
        </w:tc>
        <w:tc>
          <w:tcPr>
            <w:tcW w:w="2162" w:type="dxa"/>
            <w:tcBorders>
              <w:top w:val="single" w:color="auto" w:sz="4" w:space="0"/>
              <w:left w:val="nil"/>
              <w:bottom w:val="single" w:color="auto" w:sz="4" w:space="0"/>
              <w:right w:val="single" w:color="auto" w:sz="4" w:space="0"/>
            </w:tcBorders>
            <w:noWrap w:val="0"/>
            <w:vAlign w:val="center"/>
          </w:tcPr>
          <w:p w14:paraId="60067FB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特殊工程安全措施</w:t>
            </w:r>
          </w:p>
        </w:tc>
        <w:tc>
          <w:tcPr>
            <w:tcW w:w="647" w:type="dxa"/>
            <w:tcBorders>
              <w:top w:val="single" w:color="auto" w:sz="4" w:space="0"/>
              <w:left w:val="nil"/>
              <w:bottom w:val="single" w:color="auto" w:sz="4" w:space="0"/>
              <w:right w:val="single" w:color="auto" w:sz="4" w:space="0"/>
            </w:tcBorders>
            <w:noWrap w:val="0"/>
            <w:vAlign w:val="center"/>
          </w:tcPr>
          <w:p w14:paraId="5BC7F19E">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5C163B3">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557111F">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76C07CD">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24D21532">
            <w:pPr>
              <w:spacing w:line="300" w:lineRule="exact"/>
              <w:ind w:left="-53" w:leftChars="-25" w:right="-53" w:rightChars="-25"/>
              <w:jc w:val="center"/>
              <w:rPr>
                <w:rFonts w:hint="eastAsia" w:ascii="宋体" w:hAnsi="宋体" w:eastAsia="宋体" w:cs="宋体"/>
                <w:b/>
                <w:bCs/>
                <w:color w:val="auto"/>
                <w:szCs w:val="21"/>
                <w:highlight w:val="none"/>
              </w:rPr>
            </w:pPr>
          </w:p>
        </w:tc>
      </w:tr>
      <w:tr w14:paraId="745A99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87E082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4A98D7A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特殊作业防护用品</w:t>
            </w:r>
          </w:p>
        </w:tc>
        <w:tc>
          <w:tcPr>
            <w:tcW w:w="647" w:type="dxa"/>
            <w:tcBorders>
              <w:top w:val="single" w:color="auto" w:sz="4" w:space="0"/>
              <w:left w:val="nil"/>
              <w:bottom w:val="single" w:color="auto" w:sz="4" w:space="0"/>
              <w:right w:val="single" w:color="auto" w:sz="4" w:space="0"/>
            </w:tcBorders>
            <w:noWrap w:val="0"/>
            <w:vAlign w:val="center"/>
          </w:tcPr>
          <w:p w14:paraId="7B20B28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23D3873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0D5A2A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B00AE08">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9335A6D">
            <w:pPr>
              <w:spacing w:line="300" w:lineRule="exact"/>
              <w:ind w:left="-53" w:leftChars="-25" w:right="-53" w:rightChars="-25"/>
              <w:jc w:val="center"/>
              <w:rPr>
                <w:rFonts w:hint="eastAsia" w:ascii="宋体" w:hAnsi="宋体" w:eastAsia="宋体" w:cs="宋体"/>
                <w:color w:val="auto"/>
                <w:szCs w:val="21"/>
                <w:highlight w:val="none"/>
              </w:rPr>
            </w:pPr>
          </w:p>
        </w:tc>
      </w:tr>
      <w:tr w14:paraId="771A8B1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2EED421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29FDBBB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救生设施</w:t>
            </w:r>
          </w:p>
        </w:tc>
        <w:tc>
          <w:tcPr>
            <w:tcW w:w="647" w:type="dxa"/>
            <w:tcBorders>
              <w:top w:val="single" w:color="auto" w:sz="4" w:space="0"/>
              <w:left w:val="nil"/>
              <w:bottom w:val="single" w:color="auto" w:sz="4" w:space="0"/>
              <w:right w:val="single" w:color="auto" w:sz="4" w:space="0"/>
            </w:tcBorders>
            <w:noWrap w:val="0"/>
            <w:vAlign w:val="center"/>
          </w:tcPr>
          <w:p w14:paraId="194B6DD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6DB52A9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9DA24D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3E2C77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2EB4661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含救生衣、救生圈等</w:t>
            </w:r>
          </w:p>
        </w:tc>
      </w:tr>
      <w:tr w14:paraId="1A32D6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D9C696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51C0E60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防毒面具</w:t>
            </w:r>
          </w:p>
        </w:tc>
        <w:tc>
          <w:tcPr>
            <w:tcW w:w="647" w:type="dxa"/>
            <w:tcBorders>
              <w:top w:val="single" w:color="auto" w:sz="4" w:space="0"/>
              <w:left w:val="nil"/>
              <w:bottom w:val="single" w:color="auto" w:sz="4" w:space="0"/>
              <w:right w:val="single" w:color="auto" w:sz="4" w:space="0"/>
            </w:tcBorders>
            <w:noWrap w:val="0"/>
            <w:vAlign w:val="center"/>
          </w:tcPr>
          <w:p w14:paraId="5AF11C4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w:t>
            </w:r>
          </w:p>
        </w:tc>
        <w:tc>
          <w:tcPr>
            <w:tcW w:w="878" w:type="dxa"/>
            <w:tcBorders>
              <w:top w:val="single" w:color="auto" w:sz="4" w:space="0"/>
              <w:left w:val="nil"/>
              <w:bottom w:val="single" w:color="auto" w:sz="4" w:space="0"/>
              <w:right w:val="single" w:color="auto" w:sz="4" w:space="0"/>
            </w:tcBorders>
            <w:noWrap w:val="0"/>
            <w:vAlign w:val="center"/>
          </w:tcPr>
          <w:p w14:paraId="6AA536A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A8856A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000998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B2AF23F">
            <w:pPr>
              <w:spacing w:line="300" w:lineRule="exact"/>
              <w:ind w:left="-53" w:leftChars="-25" w:right="-53" w:rightChars="-25"/>
              <w:jc w:val="center"/>
              <w:rPr>
                <w:rFonts w:hint="eastAsia" w:ascii="宋体" w:hAnsi="宋体" w:eastAsia="宋体" w:cs="宋体"/>
                <w:color w:val="auto"/>
                <w:szCs w:val="21"/>
                <w:highlight w:val="none"/>
              </w:rPr>
            </w:pPr>
          </w:p>
        </w:tc>
      </w:tr>
      <w:tr w14:paraId="639D4F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512ECA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0791430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有毒气体检测仪器</w:t>
            </w:r>
          </w:p>
        </w:tc>
        <w:tc>
          <w:tcPr>
            <w:tcW w:w="647" w:type="dxa"/>
            <w:tcBorders>
              <w:top w:val="single" w:color="auto" w:sz="4" w:space="0"/>
              <w:left w:val="nil"/>
              <w:bottom w:val="single" w:color="auto" w:sz="4" w:space="0"/>
              <w:right w:val="single" w:color="auto" w:sz="4" w:space="0"/>
            </w:tcBorders>
            <w:noWrap w:val="0"/>
            <w:vAlign w:val="center"/>
          </w:tcPr>
          <w:p w14:paraId="7189D79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noWrap w:val="0"/>
            <w:vAlign w:val="center"/>
          </w:tcPr>
          <w:p w14:paraId="55B47EA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22C1BF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4A5816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0171819">
            <w:pPr>
              <w:spacing w:line="300" w:lineRule="exact"/>
              <w:ind w:left="-53" w:leftChars="-25" w:right="-53" w:rightChars="-25"/>
              <w:jc w:val="center"/>
              <w:rPr>
                <w:rFonts w:hint="eastAsia" w:ascii="宋体" w:hAnsi="宋体" w:eastAsia="宋体" w:cs="宋体"/>
                <w:color w:val="auto"/>
                <w:szCs w:val="21"/>
                <w:highlight w:val="none"/>
              </w:rPr>
            </w:pPr>
          </w:p>
        </w:tc>
      </w:tr>
      <w:tr w14:paraId="67A075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6B0139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noWrap w:val="0"/>
            <w:vAlign w:val="center"/>
          </w:tcPr>
          <w:p w14:paraId="0E35BE9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其他特殊安全防护</w:t>
            </w:r>
          </w:p>
        </w:tc>
        <w:tc>
          <w:tcPr>
            <w:tcW w:w="647" w:type="dxa"/>
            <w:tcBorders>
              <w:top w:val="single" w:color="auto" w:sz="4" w:space="0"/>
              <w:left w:val="nil"/>
              <w:bottom w:val="single" w:color="auto" w:sz="4" w:space="0"/>
              <w:right w:val="single" w:color="auto" w:sz="4" w:space="0"/>
            </w:tcBorders>
            <w:noWrap w:val="0"/>
            <w:vAlign w:val="center"/>
          </w:tcPr>
          <w:p w14:paraId="73C4AD3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530A67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69C374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D4C6965">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BAC88E9">
            <w:pPr>
              <w:spacing w:line="300" w:lineRule="exact"/>
              <w:ind w:left="-53" w:leftChars="-25" w:right="-53" w:rightChars="-25"/>
              <w:jc w:val="center"/>
              <w:rPr>
                <w:rFonts w:hint="eastAsia" w:ascii="宋体" w:hAnsi="宋体" w:eastAsia="宋体" w:cs="宋体"/>
                <w:color w:val="auto"/>
                <w:szCs w:val="21"/>
                <w:highlight w:val="none"/>
              </w:rPr>
            </w:pPr>
          </w:p>
        </w:tc>
      </w:tr>
      <w:tr w14:paraId="2237875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3AB3F04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（八）</w:t>
            </w:r>
          </w:p>
        </w:tc>
        <w:tc>
          <w:tcPr>
            <w:tcW w:w="2162" w:type="dxa"/>
            <w:tcBorders>
              <w:top w:val="single" w:color="auto" w:sz="4" w:space="0"/>
              <w:left w:val="nil"/>
              <w:bottom w:val="single" w:color="auto" w:sz="4" w:space="0"/>
              <w:right w:val="single" w:color="auto" w:sz="4" w:space="0"/>
            </w:tcBorders>
            <w:noWrap w:val="0"/>
            <w:vAlign w:val="center"/>
          </w:tcPr>
          <w:p w14:paraId="3C1933B6">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安全标志</w:t>
            </w:r>
          </w:p>
        </w:tc>
        <w:tc>
          <w:tcPr>
            <w:tcW w:w="647" w:type="dxa"/>
            <w:tcBorders>
              <w:top w:val="single" w:color="auto" w:sz="4" w:space="0"/>
              <w:left w:val="nil"/>
              <w:bottom w:val="single" w:color="auto" w:sz="4" w:space="0"/>
              <w:right w:val="single" w:color="auto" w:sz="4" w:space="0"/>
            </w:tcBorders>
            <w:noWrap w:val="0"/>
            <w:vAlign w:val="center"/>
          </w:tcPr>
          <w:p w14:paraId="5206F11A">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458F8D1">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946A1E1">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F3FA48E">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D15858F">
            <w:pPr>
              <w:spacing w:line="300" w:lineRule="exact"/>
              <w:ind w:left="-53" w:leftChars="-25" w:right="-53" w:rightChars="-25"/>
              <w:jc w:val="center"/>
              <w:rPr>
                <w:rFonts w:hint="eastAsia" w:ascii="宋体" w:hAnsi="宋体" w:eastAsia="宋体" w:cs="宋体"/>
                <w:b/>
                <w:bCs/>
                <w:color w:val="auto"/>
                <w:szCs w:val="21"/>
                <w:highlight w:val="none"/>
              </w:rPr>
            </w:pPr>
          </w:p>
        </w:tc>
      </w:tr>
      <w:tr w14:paraId="70B21B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8A9AFE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2753A73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安全警示标牌、标识</w:t>
            </w:r>
          </w:p>
        </w:tc>
        <w:tc>
          <w:tcPr>
            <w:tcW w:w="647" w:type="dxa"/>
            <w:tcBorders>
              <w:top w:val="single" w:color="auto" w:sz="4" w:space="0"/>
              <w:left w:val="nil"/>
              <w:bottom w:val="single" w:color="auto" w:sz="4" w:space="0"/>
              <w:right w:val="single" w:color="auto" w:sz="4" w:space="0"/>
            </w:tcBorders>
            <w:noWrap w:val="0"/>
            <w:vAlign w:val="center"/>
          </w:tcPr>
          <w:p w14:paraId="0BAB146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4F31D66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E2F062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B717688">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EF6B35B">
            <w:pPr>
              <w:spacing w:line="300" w:lineRule="exact"/>
              <w:ind w:left="-53" w:leftChars="-25" w:right="-53" w:rightChars="-25"/>
              <w:jc w:val="center"/>
              <w:rPr>
                <w:rFonts w:hint="eastAsia" w:ascii="宋体" w:hAnsi="宋体" w:eastAsia="宋体" w:cs="宋体"/>
                <w:color w:val="auto"/>
                <w:szCs w:val="21"/>
                <w:highlight w:val="none"/>
              </w:rPr>
            </w:pPr>
          </w:p>
        </w:tc>
      </w:tr>
      <w:tr w14:paraId="420D7A3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4452B5B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40E0BD7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警示灯</w:t>
            </w:r>
          </w:p>
        </w:tc>
        <w:tc>
          <w:tcPr>
            <w:tcW w:w="647" w:type="dxa"/>
            <w:tcBorders>
              <w:top w:val="single" w:color="auto" w:sz="4" w:space="0"/>
              <w:left w:val="nil"/>
              <w:bottom w:val="single" w:color="auto" w:sz="4" w:space="0"/>
              <w:right w:val="single" w:color="auto" w:sz="4" w:space="0"/>
            </w:tcBorders>
            <w:noWrap w:val="0"/>
            <w:vAlign w:val="center"/>
          </w:tcPr>
          <w:p w14:paraId="14C5466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noWrap w:val="0"/>
            <w:vAlign w:val="center"/>
          </w:tcPr>
          <w:p w14:paraId="65FF48F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22162E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1E0221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20EB571B">
            <w:pPr>
              <w:spacing w:line="300" w:lineRule="exact"/>
              <w:ind w:left="-53" w:leftChars="-25" w:right="-53" w:rightChars="-25"/>
              <w:jc w:val="center"/>
              <w:rPr>
                <w:rFonts w:hint="eastAsia" w:ascii="宋体" w:hAnsi="宋体" w:eastAsia="宋体" w:cs="宋体"/>
                <w:color w:val="auto"/>
                <w:szCs w:val="21"/>
                <w:highlight w:val="none"/>
              </w:rPr>
            </w:pPr>
          </w:p>
        </w:tc>
      </w:tr>
      <w:tr w14:paraId="205A240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7B6825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67E2A85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航标灯</w:t>
            </w:r>
          </w:p>
        </w:tc>
        <w:tc>
          <w:tcPr>
            <w:tcW w:w="647" w:type="dxa"/>
            <w:tcBorders>
              <w:top w:val="single" w:color="auto" w:sz="4" w:space="0"/>
              <w:left w:val="nil"/>
              <w:bottom w:val="single" w:color="auto" w:sz="4" w:space="0"/>
              <w:right w:val="single" w:color="auto" w:sz="4" w:space="0"/>
            </w:tcBorders>
            <w:noWrap w:val="0"/>
            <w:vAlign w:val="center"/>
          </w:tcPr>
          <w:p w14:paraId="55B77AE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noWrap w:val="0"/>
            <w:vAlign w:val="center"/>
          </w:tcPr>
          <w:p w14:paraId="02F3D39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FA3B4D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A967CF6">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53EE952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通航要求</w:t>
            </w:r>
          </w:p>
        </w:tc>
      </w:tr>
      <w:tr w14:paraId="68EB6F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270787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50F816C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其他安全标志</w:t>
            </w:r>
          </w:p>
        </w:tc>
        <w:tc>
          <w:tcPr>
            <w:tcW w:w="647" w:type="dxa"/>
            <w:tcBorders>
              <w:top w:val="single" w:color="auto" w:sz="4" w:space="0"/>
              <w:left w:val="nil"/>
              <w:bottom w:val="single" w:color="auto" w:sz="4" w:space="0"/>
              <w:right w:val="single" w:color="auto" w:sz="4" w:space="0"/>
            </w:tcBorders>
            <w:noWrap w:val="0"/>
            <w:vAlign w:val="center"/>
          </w:tcPr>
          <w:p w14:paraId="09DB3C3D">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FBB8A3D">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75E07C8A">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7CB9AE6">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25AECE1B">
            <w:pPr>
              <w:spacing w:line="300" w:lineRule="exact"/>
              <w:ind w:left="-53" w:leftChars="-25" w:right="-53" w:rightChars="-25"/>
              <w:jc w:val="center"/>
              <w:rPr>
                <w:rFonts w:hint="eastAsia" w:ascii="宋体" w:hAnsi="宋体" w:eastAsia="宋体" w:cs="宋体"/>
                <w:b/>
                <w:bCs/>
                <w:color w:val="auto"/>
                <w:szCs w:val="21"/>
                <w:highlight w:val="none"/>
              </w:rPr>
            </w:pPr>
          </w:p>
        </w:tc>
      </w:tr>
      <w:tr w14:paraId="6055985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EC77C52">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（九）</w:t>
            </w:r>
          </w:p>
        </w:tc>
        <w:tc>
          <w:tcPr>
            <w:tcW w:w="2162" w:type="dxa"/>
            <w:tcBorders>
              <w:top w:val="single" w:color="auto" w:sz="4" w:space="0"/>
              <w:left w:val="nil"/>
              <w:bottom w:val="single" w:color="auto" w:sz="4" w:space="0"/>
              <w:right w:val="single" w:color="auto" w:sz="4" w:space="0"/>
            </w:tcBorders>
            <w:noWrap w:val="0"/>
            <w:vAlign w:val="center"/>
          </w:tcPr>
          <w:p w14:paraId="62ACA32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安全专项检测</w:t>
            </w:r>
          </w:p>
        </w:tc>
        <w:tc>
          <w:tcPr>
            <w:tcW w:w="647" w:type="dxa"/>
            <w:tcBorders>
              <w:top w:val="single" w:color="auto" w:sz="4" w:space="0"/>
              <w:left w:val="nil"/>
              <w:bottom w:val="single" w:color="auto" w:sz="4" w:space="0"/>
              <w:right w:val="single" w:color="auto" w:sz="4" w:space="0"/>
            </w:tcBorders>
            <w:noWrap w:val="0"/>
            <w:vAlign w:val="center"/>
          </w:tcPr>
          <w:p w14:paraId="48B364C9">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24A012E0">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7F92C69">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B831BDF">
            <w:pPr>
              <w:spacing w:line="300" w:lineRule="exact"/>
              <w:ind w:left="-53" w:leftChars="-25" w:right="-53" w:rightChars="-25"/>
              <w:jc w:val="center"/>
              <w:rPr>
                <w:rFonts w:hint="eastAsia" w:ascii="宋体" w:hAnsi="宋体" w:eastAsia="宋体" w:cs="宋体"/>
                <w:b/>
                <w:bCs/>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7066EE8">
            <w:pPr>
              <w:spacing w:line="300" w:lineRule="exact"/>
              <w:ind w:left="-53" w:leftChars="-25" w:right="-53" w:rightChars="-25"/>
              <w:jc w:val="center"/>
              <w:rPr>
                <w:rFonts w:hint="eastAsia" w:ascii="宋体" w:hAnsi="宋体" w:eastAsia="宋体" w:cs="宋体"/>
                <w:b/>
                <w:bCs/>
                <w:color w:val="auto"/>
                <w:szCs w:val="21"/>
                <w:highlight w:val="none"/>
              </w:rPr>
            </w:pPr>
          </w:p>
        </w:tc>
      </w:tr>
      <w:tr w14:paraId="491F431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7FAF96C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noWrap w:val="0"/>
            <w:vAlign w:val="center"/>
          </w:tcPr>
          <w:p w14:paraId="73CD3F3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起重机械检测费</w:t>
            </w:r>
          </w:p>
        </w:tc>
        <w:tc>
          <w:tcPr>
            <w:tcW w:w="647" w:type="dxa"/>
            <w:tcBorders>
              <w:top w:val="single" w:color="auto" w:sz="4" w:space="0"/>
              <w:left w:val="nil"/>
              <w:bottom w:val="single" w:color="auto" w:sz="4" w:space="0"/>
              <w:right w:val="single" w:color="auto" w:sz="4" w:space="0"/>
            </w:tcBorders>
            <w:noWrap w:val="0"/>
            <w:vAlign w:val="center"/>
          </w:tcPr>
          <w:p w14:paraId="57C96B6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03E9E7E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F15436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4300CA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08A3F2C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塔吊、升降机等</w:t>
            </w:r>
          </w:p>
        </w:tc>
      </w:tr>
      <w:tr w14:paraId="4D9930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107ECE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noWrap w:val="0"/>
            <w:vAlign w:val="center"/>
          </w:tcPr>
          <w:p w14:paraId="6CD9CF6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钢管、扣件检测费</w:t>
            </w:r>
          </w:p>
        </w:tc>
        <w:tc>
          <w:tcPr>
            <w:tcW w:w="647" w:type="dxa"/>
            <w:tcBorders>
              <w:top w:val="single" w:color="auto" w:sz="4" w:space="0"/>
              <w:left w:val="nil"/>
              <w:bottom w:val="single" w:color="auto" w:sz="4" w:space="0"/>
              <w:right w:val="single" w:color="auto" w:sz="4" w:space="0"/>
            </w:tcBorders>
            <w:noWrap w:val="0"/>
            <w:vAlign w:val="center"/>
          </w:tcPr>
          <w:p w14:paraId="772D456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57F2552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A6826B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D670758">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3CE617DE">
            <w:pPr>
              <w:spacing w:line="300" w:lineRule="exact"/>
              <w:ind w:left="-53" w:leftChars="-25" w:right="-53" w:rightChars="-25"/>
              <w:jc w:val="center"/>
              <w:rPr>
                <w:rFonts w:hint="eastAsia" w:ascii="宋体" w:hAnsi="宋体" w:eastAsia="宋体" w:cs="宋体"/>
                <w:color w:val="auto"/>
                <w:szCs w:val="21"/>
                <w:highlight w:val="none"/>
              </w:rPr>
            </w:pPr>
          </w:p>
        </w:tc>
      </w:tr>
      <w:tr w14:paraId="0FC7ADA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A5FE86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noWrap w:val="0"/>
            <w:vAlign w:val="center"/>
          </w:tcPr>
          <w:p w14:paraId="7D34FCD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高处作业吊篮检测费</w:t>
            </w:r>
          </w:p>
        </w:tc>
        <w:tc>
          <w:tcPr>
            <w:tcW w:w="647" w:type="dxa"/>
            <w:tcBorders>
              <w:top w:val="single" w:color="auto" w:sz="4" w:space="0"/>
              <w:left w:val="nil"/>
              <w:bottom w:val="single" w:color="auto" w:sz="4" w:space="0"/>
              <w:right w:val="single" w:color="auto" w:sz="4" w:space="0"/>
            </w:tcBorders>
            <w:noWrap w:val="0"/>
            <w:vAlign w:val="center"/>
          </w:tcPr>
          <w:p w14:paraId="5D80AD3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3C6E959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62271B9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AF2A85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316D557">
            <w:pPr>
              <w:spacing w:line="300" w:lineRule="exact"/>
              <w:ind w:left="-53" w:leftChars="-25" w:right="-53" w:rightChars="-25"/>
              <w:jc w:val="center"/>
              <w:rPr>
                <w:rFonts w:hint="eastAsia" w:ascii="宋体" w:hAnsi="宋体" w:eastAsia="宋体" w:cs="宋体"/>
                <w:color w:val="auto"/>
                <w:szCs w:val="21"/>
                <w:highlight w:val="none"/>
              </w:rPr>
            </w:pPr>
          </w:p>
        </w:tc>
      </w:tr>
      <w:tr w14:paraId="30B4978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AC4D22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noWrap w:val="0"/>
            <w:vAlign w:val="center"/>
          </w:tcPr>
          <w:p w14:paraId="60C3376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防坠器专项检测费</w:t>
            </w:r>
          </w:p>
        </w:tc>
        <w:tc>
          <w:tcPr>
            <w:tcW w:w="647" w:type="dxa"/>
            <w:tcBorders>
              <w:top w:val="single" w:color="auto" w:sz="4" w:space="0"/>
              <w:left w:val="nil"/>
              <w:bottom w:val="single" w:color="auto" w:sz="4" w:space="0"/>
              <w:right w:val="single" w:color="auto" w:sz="4" w:space="0"/>
            </w:tcBorders>
            <w:noWrap w:val="0"/>
            <w:vAlign w:val="center"/>
          </w:tcPr>
          <w:p w14:paraId="085FAB0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noWrap w:val="0"/>
            <w:vAlign w:val="center"/>
          </w:tcPr>
          <w:p w14:paraId="16A1576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08E34C1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5FB83CB3">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70D25EB7">
            <w:pPr>
              <w:spacing w:line="300" w:lineRule="exact"/>
              <w:ind w:left="-53" w:leftChars="-25" w:right="-53" w:rightChars="-25"/>
              <w:jc w:val="center"/>
              <w:rPr>
                <w:rFonts w:hint="eastAsia" w:ascii="宋体" w:hAnsi="宋体" w:eastAsia="宋体" w:cs="宋体"/>
                <w:color w:val="auto"/>
                <w:szCs w:val="21"/>
                <w:highlight w:val="none"/>
              </w:rPr>
            </w:pPr>
          </w:p>
        </w:tc>
      </w:tr>
      <w:tr w14:paraId="2E21310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48AF5A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noWrap w:val="0"/>
            <w:vAlign w:val="center"/>
          </w:tcPr>
          <w:p w14:paraId="00C3804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其他安全检测</w:t>
            </w:r>
          </w:p>
        </w:tc>
        <w:tc>
          <w:tcPr>
            <w:tcW w:w="647" w:type="dxa"/>
            <w:tcBorders>
              <w:top w:val="single" w:color="auto" w:sz="4" w:space="0"/>
              <w:left w:val="nil"/>
              <w:bottom w:val="single" w:color="auto" w:sz="4" w:space="0"/>
              <w:right w:val="single" w:color="auto" w:sz="4" w:space="0"/>
            </w:tcBorders>
            <w:noWrap w:val="0"/>
            <w:vAlign w:val="center"/>
          </w:tcPr>
          <w:p w14:paraId="6D0800B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566D6B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40EBA3C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noWrap w:val="0"/>
            <w:vAlign w:val="center"/>
          </w:tcPr>
          <w:p w14:paraId="1539593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noWrap w:val="0"/>
            <w:vAlign w:val="center"/>
          </w:tcPr>
          <w:p w14:paraId="1DE68BEE">
            <w:pPr>
              <w:spacing w:line="300" w:lineRule="exact"/>
              <w:ind w:left="-53" w:leftChars="-25" w:right="-53" w:rightChars="-25"/>
              <w:jc w:val="center"/>
              <w:rPr>
                <w:rFonts w:hint="eastAsia" w:ascii="宋体" w:hAnsi="宋体" w:eastAsia="宋体" w:cs="宋体"/>
                <w:color w:val="auto"/>
                <w:szCs w:val="21"/>
                <w:highlight w:val="none"/>
              </w:rPr>
            </w:pPr>
          </w:p>
        </w:tc>
      </w:tr>
      <w:tr w14:paraId="1A486A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F5CAF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2416428">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E23375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35B7D5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5D581D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285999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4A85674">
            <w:pPr>
              <w:spacing w:line="300" w:lineRule="exact"/>
              <w:ind w:left="-53" w:leftChars="-25" w:right="-53" w:rightChars="-25"/>
              <w:jc w:val="center"/>
              <w:rPr>
                <w:rFonts w:hint="eastAsia" w:ascii="宋体" w:hAnsi="宋体" w:eastAsia="宋体" w:cs="宋体"/>
                <w:color w:val="auto"/>
                <w:szCs w:val="21"/>
                <w:highlight w:val="none"/>
              </w:rPr>
            </w:pPr>
          </w:p>
        </w:tc>
      </w:tr>
      <w:tr w14:paraId="1D73EA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B7E6EC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810208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B64C47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A5F7B7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7AC953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F3C691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BD33E6E">
            <w:pPr>
              <w:spacing w:line="300" w:lineRule="exact"/>
              <w:ind w:left="-53" w:leftChars="-25" w:right="-53" w:rightChars="-25"/>
              <w:jc w:val="center"/>
              <w:rPr>
                <w:rFonts w:hint="eastAsia" w:ascii="宋体" w:hAnsi="宋体" w:eastAsia="宋体" w:cs="宋体"/>
                <w:color w:val="auto"/>
                <w:szCs w:val="21"/>
                <w:highlight w:val="none"/>
              </w:rPr>
            </w:pPr>
          </w:p>
        </w:tc>
      </w:tr>
      <w:tr w14:paraId="1A20EA1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E3BDB6">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01BE357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958EBE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3F3F99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803A0B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E5159D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E82F281">
            <w:pPr>
              <w:spacing w:line="300" w:lineRule="exact"/>
              <w:ind w:left="-53" w:leftChars="-25" w:right="-53" w:rightChars="-25"/>
              <w:jc w:val="center"/>
              <w:rPr>
                <w:rFonts w:hint="eastAsia" w:ascii="宋体" w:hAnsi="宋体" w:eastAsia="宋体" w:cs="宋体"/>
                <w:color w:val="auto"/>
                <w:szCs w:val="21"/>
                <w:highlight w:val="none"/>
              </w:rPr>
            </w:pPr>
          </w:p>
        </w:tc>
      </w:tr>
      <w:tr w14:paraId="10F2BC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26B801">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C22355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AB7A92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B8AED4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27F4E6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0655E6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82B5E9E">
            <w:pPr>
              <w:spacing w:line="300" w:lineRule="exact"/>
              <w:ind w:left="-53" w:leftChars="-25" w:right="-53" w:rightChars="-25"/>
              <w:jc w:val="center"/>
              <w:rPr>
                <w:rFonts w:hint="eastAsia" w:ascii="宋体" w:hAnsi="宋体" w:eastAsia="宋体" w:cs="宋体"/>
                <w:color w:val="auto"/>
                <w:szCs w:val="21"/>
                <w:highlight w:val="none"/>
              </w:rPr>
            </w:pPr>
          </w:p>
        </w:tc>
      </w:tr>
      <w:tr w14:paraId="2566706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00166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02996FA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A9D081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A4EC84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6EDAE8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9500CD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4A40E23">
            <w:pPr>
              <w:spacing w:line="300" w:lineRule="exact"/>
              <w:ind w:left="-53" w:leftChars="-25" w:right="-53" w:rightChars="-25"/>
              <w:jc w:val="center"/>
              <w:rPr>
                <w:rFonts w:hint="eastAsia" w:ascii="宋体" w:hAnsi="宋体" w:eastAsia="宋体" w:cs="宋体"/>
                <w:color w:val="auto"/>
                <w:szCs w:val="21"/>
                <w:highlight w:val="none"/>
              </w:rPr>
            </w:pPr>
          </w:p>
        </w:tc>
      </w:tr>
      <w:tr w14:paraId="544CD15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8735F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500F19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AAB25C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4685FF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E2214F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247D77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2C1B424">
            <w:pPr>
              <w:spacing w:line="300" w:lineRule="exact"/>
              <w:ind w:left="-53" w:leftChars="-25" w:right="-53" w:rightChars="-25"/>
              <w:jc w:val="center"/>
              <w:rPr>
                <w:rFonts w:hint="eastAsia" w:ascii="宋体" w:hAnsi="宋体" w:eastAsia="宋体" w:cs="宋体"/>
                <w:color w:val="auto"/>
                <w:szCs w:val="21"/>
                <w:highlight w:val="none"/>
              </w:rPr>
            </w:pPr>
          </w:p>
        </w:tc>
      </w:tr>
      <w:tr w14:paraId="0833E0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3A98E46">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412C877E">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14F2EC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5186CD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1F592D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0E6490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3F53E21">
            <w:pPr>
              <w:spacing w:line="300" w:lineRule="exact"/>
              <w:ind w:left="-53" w:leftChars="-25" w:right="-53" w:rightChars="-25"/>
              <w:jc w:val="center"/>
              <w:rPr>
                <w:rFonts w:hint="eastAsia" w:ascii="宋体" w:hAnsi="宋体" w:eastAsia="宋体" w:cs="宋体"/>
                <w:color w:val="auto"/>
                <w:szCs w:val="21"/>
                <w:highlight w:val="none"/>
              </w:rPr>
            </w:pPr>
          </w:p>
        </w:tc>
      </w:tr>
      <w:tr w14:paraId="3FF29EF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721938">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C480552">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8885FF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8CB069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D25F85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FF295BA">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0B9A61E">
            <w:pPr>
              <w:spacing w:line="300" w:lineRule="exact"/>
              <w:ind w:left="-53" w:leftChars="-25" w:right="-53" w:rightChars="-25"/>
              <w:jc w:val="center"/>
              <w:rPr>
                <w:rFonts w:hint="eastAsia" w:ascii="宋体" w:hAnsi="宋体" w:eastAsia="宋体" w:cs="宋体"/>
                <w:color w:val="auto"/>
                <w:szCs w:val="21"/>
                <w:highlight w:val="none"/>
              </w:rPr>
            </w:pPr>
          </w:p>
        </w:tc>
      </w:tr>
      <w:tr w14:paraId="602BE9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4E0E0C">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B452A8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639AC7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68A966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BDD2F9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70D2BB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6599D446">
            <w:pPr>
              <w:spacing w:line="300" w:lineRule="exact"/>
              <w:ind w:left="-53" w:leftChars="-25" w:right="-53" w:rightChars="-25"/>
              <w:jc w:val="center"/>
              <w:rPr>
                <w:rFonts w:hint="eastAsia" w:ascii="宋体" w:hAnsi="宋体" w:eastAsia="宋体" w:cs="宋体"/>
                <w:color w:val="auto"/>
                <w:szCs w:val="21"/>
                <w:highlight w:val="none"/>
              </w:rPr>
            </w:pPr>
          </w:p>
        </w:tc>
      </w:tr>
      <w:tr w14:paraId="5E40D57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213DD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496A2A3">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00A274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E06EF6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A9719F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633C1A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47BC84A">
            <w:pPr>
              <w:spacing w:line="300" w:lineRule="exact"/>
              <w:ind w:left="-53" w:leftChars="-25" w:right="-53" w:rightChars="-25"/>
              <w:jc w:val="center"/>
              <w:rPr>
                <w:rFonts w:hint="eastAsia" w:ascii="宋体" w:hAnsi="宋体" w:eastAsia="宋体" w:cs="宋体"/>
                <w:color w:val="auto"/>
                <w:szCs w:val="21"/>
                <w:highlight w:val="none"/>
              </w:rPr>
            </w:pPr>
          </w:p>
        </w:tc>
      </w:tr>
      <w:tr w14:paraId="6BBEAE7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7609B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5C5798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7BB181C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E3AF10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396465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4C50E6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26DC58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按标准设置</w:t>
            </w:r>
          </w:p>
        </w:tc>
      </w:tr>
      <w:tr w14:paraId="596E4C0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64B68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004250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644533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AFFFBC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9072F6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FA9F548">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F657E27">
            <w:pPr>
              <w:spacing w:line="300" w:lineRule="exact"/>
              <w:ind w:left="-53" w:leftChars="-25" w:right="-53" w:rightChars="-25"/>
              <w:jc w:val="center"/>
              <w:rPr>
                <w:rFonts w:hint="eastAsia" w:ascii="宋体" w:hAnsi="宋体" w:eastAsia="宋体" w:cs="宋体"/>
                <w:color w:val="auto"/>
                <w:szCs w:val="21"/>
                <w:highlight w:val="none"/>
              </w:rPr>
            </w:pPr>
          </w:p>
        </w:tc>
      </w:tr>
      <w:tr w14:paraId="06D9E31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773E1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835C70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E11AB9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41F750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36C7EE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714C94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C153C03">
            <w:pPr>
              <w:spacing w:line="300" w:lineRule="exact"/>
              <w:ind w:left="-53" w:leftChars="-25" w:right="-53" w:rightChars="-25"/>
              <w:jc w:val="center"/>
              <w:rPr>
                <w:rFonts w:hint="eastAsia" w:ascii="宋体" w:hAnsi="宋体" w:eastAsia="宋体" w:cs="宋体"/>
                <w:color w:val="auto"/>
                <w:szCs w:val="21"/>
                <w:highlight w:val="none"/>
              </w:rPr>
            </w:pPr>
          </w:p>
        </w:tc>
      </w:tr>
      <w:tr w14:paraId="535BC31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92798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F6FB19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C6F6D2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AD8A52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CDD1C9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C6B368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E15BD6F">
            <w:pPr>
              <w:spacing w:line="300" w:lineRule="exact"/>
              <w:ind w:left="-53" w:leftChars="-25" w:right="-53" w:rightChars="-25"/>
              <w:jc w:val="center"/>
              <w:rPr>
                <w:rFonts w:hint="eastAsia" w:ascii="宋体" w:hAnsi="宋体" w:eastAsia="宋体" w:cs="宋体"/>
                <w:color w:val="auto"/>
                <w:szCs w:val="21"/>
                <w:highlight w:val="none"/>
              </w:rPr>
            </w:pPr>
          </w:p>
        </w:tc>
      </w:tr>
      <w:tr w14:paraId="683242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97CD7D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EB3239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B7482B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1D7982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3B2E94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1EACFA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A6346C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按标准设置</w:t>
            </w:r>
          </w:p>
        </w:tc>
      </w:tr>
      <w:tr w14:paraId="5ECC748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542EB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58E728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D8A2F4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743446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2F0669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5EC97E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12982AB">
            <w:pPr>
              <w:spacing w:line="300" w:lineRule="exact"/>
              <w:ind w:left="-53" w:leftChars="-25" w:right="-53" w:rightChars="-25"/>
              <w:jc w:val="center"/>
              <w:rPr>
                <w:rFonts w:hint="eastAsia" w:ascii="宋体" w:hAnsi="宋体" w:eastAsia="宋体" w:cs="宋体"/>
                <w:color w:val="auto"/>
                <w:szCs w:val="21"/>
                <w:highlight w:val="none"/>
              </w:rPr>
            </w:pPr>
          </w:p>
        </w:tc>
      </w:tr>
      <w:tr w14:paraId="69DF1C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F386A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4902658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D4BE79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F9146E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CF422C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6BAC1D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2BA681A">
            <w:pPr>
              <w:spacing w:line="300" w:lineRule="exact"/>
              <w:ind w:left="-53" w:leftChars="-25" w:right="-53" w:rightChars="-25"/>
              <w:jc w:val="center"/>
              <w:rPr>
                <w:rFonts w:hint="eastAsia" w:ascii="宋体" w:hAnsi="宋体" w:eastAsia="宋体" w:cs="宋体"/>
                <w:color w:val="auto"/>
                <w:szCs w:val="21"/>
                <w:highlight w:val="none"/>
              </w:rPr>
            </w:pPr>
          </w:p>
        </w:tc>
      </w:tr>
      <w:tr w14:paraId="3B03B3E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5F581D">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4CC78B9A">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0F0109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C58733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119652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109765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0B67FE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含扬尘污染防治措施</w:t>
            </w:r>
          </w:p>
        </w:tc>
      </w:tr>
      <w:tr w14:paraId="11B5BB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3A249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75F76B4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A0FA25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49D928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4A4AA9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B2688E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3740487">
            <w:pPr>
              <w:spacing w:line="300" w:lineRule="exact"/>
              <w:ind w:left="-53" w:leftChars="-25" w:right="-53" w:rightChars="-25"/>
              <w:jc w:val="center"/>
              <w:rPr>
                <w:rFonts w:hint="eastAsia" w:ascii="宋体" w:hAnsi="宋体" w:eastAsia="宋体" w:cs="宋体"/>
                <w:color w:val="auto"/>
                <w:szCs w:val="21"/>
                <w:highlight w:val="none"/>
              </w:rPr>
            </w:pPr>
          </w:p>
        </w:tc>
      </w:tr>
      <w:tr w14:paraId="7A28067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6F39B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EE0107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058071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743945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6E4FDC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B5A21A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E65AE9F">
            <w:pPr>
              <w:spacing w:line="300" w:lineRule="exact"/>
              <w:ind w:left="-53" w:leftChars="-25" w:right="-53" w:rightChars="-25"/>
              <w:jc w:val="center"/>
              <w:rPr>
                <w:rFonts w:hint="eastAsia" w:ascii="宋体" w:hAnsi="宋体" w:eastAsia="宋体" w:cs="宋体"/>
                <w:color w:val="auto"/>
                <w:szCs w:val="21"/>
                <w:highlight w:val="none"/>
              </w:rPr>
            </w:pPr>
          </w:p>
        </w:tc>
      </w:tr>
      <w:tr w14:paraId="32C7486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FD661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39BDB0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4F8AB9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0E95E3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3C9222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EC53EC3">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F39E97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含洗车槽、自动冲洗或</w:t>
            </w:r>
          </w:p>
          <w:p w14:paraId="3143D5B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其他冲洗设备等</w:t>
            </w:r>
          </w:p>
        </w:tc>
      </w:tr>
      <w:tr w14:paraId="5FF33F7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B5E8A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0DCEDDF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260A46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77984C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7CAFD7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502682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B79783A">
            <w:pPr>
              <w:spacing w:line="300" w:lineRule="exact"/>
              <w:ind w:left="-53" w:leftChars="-25" w:right="-53" w:rightChars="-25"/>
              <w:jc w:val="center"/>
              <w:rPr>
                <w:rFonts w:hint="eastAsia" w:ascii="宋体" w:hAnsi="宋体" w:eastAsia="宋体" w:cs="宋体"/>
                <w:color w:val="auto"/>
                <w:szCs w:val="21"/>
                <w:highlight w:val="none"/>
              </w:rPr>
            </w:pPr>
          </w:p>
        </w:tc>
      </w:tr>
      <w:tr w14:paraId="6B4EB7A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0FBE0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0936D9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3CD2AD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6A4A08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B325C9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5732EB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DA74DDF">
            <w:pPr>
              <w:spacing w:line="300" w:lineRule="exact"/>
              <w:ind w:left="-53" w:leftChars="-25" w:right="-53" w:rightChars="-25"/>
              <w:jc w:val="center"/>
              <w:rPr>
                <w:rFonts w:hint="eastAsia" w:ascii="宋体" w:hAnsi="宋体" w:eastAsia="宋体" w:cs="宋体"/>
                <w:color w:val="auto"/>
                <w:szCs w:val="21"/>
                <w:highlight w:val="none"/>
              </w:rPr>
            </w:pPr>
          </w:p>
        </w:tc>
      </w:tr>
      <w:tr w14:paraId="5FA42D5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1D461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96A8EA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2B219D7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66DBC2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405220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2FF7B3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2D817AA">
            <w:pPr>
              <w:spacing w:line="300" w:lineRule="exact"/>
              <w:ind w:left="-53" w:leftChars="-25" w:right="-53" w:rightChars="-25"/>
              <w:jc w:val="center"/>
              <w:rPr>
                <w:rFonts w:hint="eastAsia" w:ascii="宋体" w:hAnsi="宋体" w:eastAsia="宋体" w:cs="宋体"/>
                <w:color w:val="auto"/>
                <w:szCs w:val="21"/>
                <w:highlight w:val="none"/>
              </w:rPr>
            </w:pPr>
          </w:p>
        </w:tc>
      </w:tr>
      <w:tr w14:paraId="6F6733B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37EB9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3EC3D2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7A67C1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A76B93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48AA7B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E59D425">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6BFA61DC">
            <w:pPr>
              <w:spacing w:line="300" w:lineRule="exact"/>
              <w:ind w:left="-53" w:leftChars="-25" w:right="-53" w:rightChars="-25"/>
              <w:jc w:val="center"/>
              <w:rPr>
                <w:rFonts w:hint="eastAsia" w:ascii="宋体" w:hAnsi="宋体" w:eastAsia="宋体" w:cs="宋体"/>
                <w:color w:val="auto"/>
                <w:szCs w:val="21"/>
                <w:highlight w:val="none"/>
              </w:rPr>
            </w:pPr>
          </w:p>
        </w:tc>
      </w:tr>
      <w:tr w14:paraId="59398B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8F83C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4CA8042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F42E85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086894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858216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0BB1D3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56CA7C2">
            <w:pPr>
              <w:spacing w:line="300" w:lineRule="exact"/>
              <w:ind w:left="-53" w:leftChars="-25" w:right="-53" w:rightChars="-25"/>
              <w:jc w:val="center"/>
              <w:rPr>
                <w:rFonts w:hint="eastAsia" w:ascii="宋体" w:hAnsi="宋体" w:eastAsia="宋体" w:cs="宋体"/>
                <w:color w:val="auto"/>
                <w:szCs w:val="21"/>
                <w:highlight w:val="none"/>
              </w:rPr>
            </w:pPr>
          </w:p>
        </w:tc>
      </w:tr>
      <w:tr w14:paraId="5653F30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BCD20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A9AC8F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11CEF2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51A88F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9C14DD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7A129F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673904C">
            <w:pPr>
              <w:spacing w:line="300" w:lineRule="exact"/>
              <w:ind w:left="-53" w:leftChars="-25" w:right="-53" w:rightChars="-25"/>
              <w:jc w:val="center"/>
              <w:rPr>
                <w:rFonts w:hint="eastAsia" w:ascii="宋体" w:hAnsi="宋体" w:eastAsia="宋体" w:cs="宋体"/>
                <w:color w:val="auto"/>
                <w:szCs w:val="21"/>
                <w:highlight w:val="none"/>
              </w:rPr>
            </w:pPr>
          </w:p>
        </w:tc>
      </w:tr>
      <w:tr w14:paraId="2CCA399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565AB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1CD2EB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741FD3B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E6FCF3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AF6640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D10C57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1D05A02">
            <w:pPr>
              <w:spacing w:line="300" w:lineRule="exact"/>
              <w:ind w:left="-53" w:leftChars="-25" w:right="-53" w:rightChars="-25"/>
              <w:jc w:val="center"/>
              <w:rPr>
                <w:rFonts w:hint="eastAsia" w:ascii="宋体" w:hAnsi="宋体" w:eastAsia="宋体" w:cs="宋体"/>
                <w:color w:val="auto"/>
                <w:szCs w:val="21"/>
                <w:highlight w:val="none"/>
              </w:rPr>
            </w:pPr>
          </w:p>
        </w:tc>
      </w:tr>
      <w:tr w14:paraId="05E486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70BD3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C176A0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82204A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C9DB42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6924EA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4B0F598">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2F4BCD2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特殊工程要求</w:t>
            </w:r>
          </w:p>
        </w:tc>
      </w:tr>
      <w:tr w14:paraId="18ADA26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50129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929079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80A0A8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7FED9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8010F6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DF98F1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F1C872B">
            <w:pPr>
              <w:spacing w:line="300" w:lineRule="exact"/>
              <w:ind w:left="-53" w:leftChars="-25" w:right="-53" w:rightChars="-25"/>
              <w:jc w:val="center"/>
              <w:rPr>
                <w:rFonts w:hint="eastAsia" w:ascii="宋体" w:hAnsi="宋体" w:eastAsia="宋体" w:cs="宋体"/>
                <w:color w:val="auto"/>
                <w:szCs w:val="21"/>
                <w:highlight w:val="none"/>
              </w:rPr>
            </w:pPr>
          </w:p>
        </w:tc>
      </w:tr>
      <w:tr w14:paraId="634DCE5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04CFE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2BADD7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BEA8F4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10043A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F7ED74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D921F14">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38F1EC3">
            <w:pPr>
              <w:spacing w:line="300" w:lineRule="exact"/>
              <w:ind w:left="-53" w:leftChars="-25" w:right="-53" w:rightChars="-25"/>
              <w:jc w:val="center"/>
              <w:rPr>
                <w:rFonts w:hint="eastAsia" w:ascii="宋体" w:hAnsi="宋体" w:eastAsia="宋体" w:cs="宋体"/>
                <w:color w:val="auto"/>
                <w:szCs w:val="21"/>
                <w:highlight w:val="none"/>
              </w:rPr>
            </w:pPr>
          </w:p>
        </w:tc>
      </w:tr>
      <w:tr w14:paraId="024739D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FDEEE5">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28E2B1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B2C54B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C98534D">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2BA9C1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536D5CC">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6D483368">
            <w:pPr>
              <w:spacing w:line="300" w:lineRule="exact"/>
              <w:ind w:left="-53" w:leftChars="-25" w:right="-53" w:rightChars="-25"/>
              <w:jc w:val="center"/>
              <w:rPr>
                <w:rFonts w:hint="eastAsia" w:ascii="宋体" w:hAnsi="宋体" w:eastAsia="宋体" w:cs="宋体"/>
                <w:color w:val="auto"/>
                <w:szCs w:val="21"/>
                <w:highlight w:val="none"/>
              </w:rPr>
            </w:pPr>
          </w:p>
        </w:tc>
      </w:tr>
      <w:tr w14:paraId="21BFCE5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86A5BD">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7A76B79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45437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14897E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972C74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9987276">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4664932">
            <w:pPr>
              <w:spacing w:line="300" w:lineRule="exact"/>
              <w:ind w:left="-53" w:leftChars="-25" w:right="-53" w:rightChars="-25"/>
              <w:jc w:val="center"/>
              <w:rPr>
                <w:rFonts w:hint="eastAsia" w:ascii="宋体" w:hAnsi="宋体" w:eastAsia="宋体" w:cs="宋体"/>
                <w:color w:val="auto"/>
                <w:szCs w:val="21"/>
                <w:highlight w:val="none"/>
              </w:rPr>
            </w:pPr>
          </w:p>
        </w:tc>
      </w:tr>
      <w:tr w14:paraId="5330F6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1395CD">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B528FC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0DFA00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50B124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23EA43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D1FECB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E19E429">
            <w:pPr>
              <w:spacing w:line="300" w:lineRule="exact"/>
              <w:ind w:left="-53" w:leftChars="-25" w:right="-53" w:rightChars="-25"/>
              <w:jc w:val="center"/>
              <w:rPr>
                <w:rFonts w:hint="eastAsia" w:ascii="宋体" w:hAnsi="宋体" w:eastAsia="宋体" w:cs="宋体"/>
                <w:color w:val="auto"/>
                <w:szCs w:val="21"/>
                <w:highlight w:val="none"/>
              </w:rPr>
            </w:pPr>
          </w:p>
        </w:tc>
      </w:tr>
      <w:tr w14:paraId="3B661B4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60720C">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0F066CF8">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31A07F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7CFC9D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3346F0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012943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2334CA0">
            <w:pPr>
              <w:spacing w:line="300" w:lineRule="exact"/>
              <w:ind w:left="-53" w:leftChars="-25" w:right="-53" w:rightChars="-25"/>
              <w:jc w:val="center"/>
              <w:rPr>
                <w:rFonts w:hint="eastAsia" w:ascii="宋体" w:hAnsi="宋体" w:eastAsia="宋体" w:cs="宋体"/>
                <w:color w:val="auto"/>
                <w:szCs w:val="21"/>
                <w:highlight w:val="none"/>
              </w:rPr>
            </w:pPr>
          </w:p>
        </w:tc>
      </w:tr>
      <w:tr w14:paraId="5BAA7A4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9B743E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480BA1C3">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578CCF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F67BB0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D44641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77044B6">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2FC21220">
            <w:pPr>
              <w:spacing w:line="300" w:lineRule="exact"/>
              <w:ind w:left="-53" w:leftChars="-25" w:right="-53" w:rightChars="-25"/>
              <w:jc w:val="center"/>
              <w:rPr>
                <w:rFonts w:hint="eastAsia" w:ascii="宋体" w:hAnsi="宋体" w:eastAsia="宋体" w:cs="宋体"/>
                <w:color w:val="auto"/>
                <w:szCs w:val="21"/>
                <w:highlight w:val="none"/>
              </w:rPr>
            </w:pPr>
          </w:p>
        </w:tc>
      </w:tr>
      <w:tr w14:paraId="70AA4B8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F66B9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2B8E6E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3E2ABBD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0CCE65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6AC7FC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4A6B65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6201ECA0">
            <w:pPr>
              <w:spacing w:line="300" w:lineRule="exact"/>
              <w:ind w:left="-53" w:leftChars="-25" w:right="-53" w:rightChars="-25"/>
              <w:jc w:val="center"/>
              <w:rPr>
                <w:rFonts w:hint="eastAsia" w:ascii="宋体" w:hAnsi="宋体" w:eastAsia="宋体" w:cs="宋体"/>
                <w:color w:val="auto"/>
                <w:szCs w:val="21"/>
                <w:highlight w:val="none"/>
              </w:rPr>
            </w:pPr>
          </w:p>
        </w:tc>
      </w:tr>
      <w:tr w14:paraId="49794E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35C342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10E1F7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08B4CC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F60EF6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393102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4BA1C11">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06D00562">
            <w:pPr>
              <w:spacing w:line="300" w:lineRule="exact"/>
              <w:ind w:left="-53" w:leftChars="-25" w:right="-53" w:rightChars="-25"/>
              <w:jc w:val="center"/>
              <w:rPr>
                <w:rFonts w:hint="eastAsia" w:ascii="宋体" w:hAnsi="宋体" w:eastAsia="宋体" w:cs="宋体"/>
                <w:color w:val="auto"/>
                <w:szCs w:val="21"/>
                <w:highlight w:val="none"/>
              </w:rPr>
            </w:pPr>
          </w:p>
        </w:tc>
      </w:tr>
      <w:tr w14:paraId="248971B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54CC2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C69400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510FA18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DA4174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BCDC644">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B1D4D6E">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8CCAEE0">
            <w:pPr>
              <w:spacing w:line="300" w:lineRule="exact"/>
              <w:ind w:left="-53" w:leftChars="-25" w:right="-53" w:rightChars="-25"/>
              <w:jc w:val="center"/>
              <w:rPr>
                <w:rFonts w:hint="eastAsia" w:ascii="宋体" w:hAnsi="宋体" w:eastAsia="宋体" w:cs="宋体"/>
                <w:color w:val="auto"/>
                <w:szCs w:val="21"/>
                <w:highlight w:val="none"/>
              </w:rPr>
            </w:pPr>
          </w:p>
        </w:tc>
      </w:tr>
      <w:tr w14:paraId="6E361C0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EB0936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19C35A4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7ABB3D4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551164E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BAC119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51191A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435C476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休息场所、文化娱乐设施等</w:t>
            </w:r>
          </w:p>
        </w:tc>
      </w:tr>
      <w:tr w14:paraId="33C1C6A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43146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F0C8B4A">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1263B0C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r>
              <w:rPr>
                <w:rFonts w:hint="eastAsia" w:ascii="宋体" w:hAnsi="宋体" w:eastAsia="宋体" w:cs="宋体"/>
                <w:color w:val="auto"/>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49EEA70">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02C054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035956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4085361">
            <w:pPr>
              <w:spacing w:line="300" w:lineRule="exact"/>
              <w:ind w:left="-53" w:leftChars="-25" w:right="-53" w:rightChars="-25"/>
              <w:jc w:val="center"/>
              <w:rPr>
                <w:rFonts w:hint="eastAsia" w:ascii="宋体" w:hAnsi="宋体" w:eastAsia="宋体" w:cs="宋体"/>
                <w:color w:val="auto"/>
                <w:szCs w:val="21"/>
                <w:highlight w:val="none"/>
              </w:rPr>
            </w:pPr>
          </w:p>
        </w:tc>
      </w:tr>
      <w:tr w14:paraId="3B086DA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1201453">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D355B55">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512DDCF">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0733250">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095519B">
            <w:pPr>
              <w:spacing w:line="300" w:lineRule="exact"/>
              <w:ind w:left="-53" w:leftChars="-25" w:right="-53" w:rightChars="-25"/>
              <w:jc w:val="center"/>
              <w:rPr>
                <w:rFonts w:hint="eastAsia" w:ascii="宋体" w:hAnsi="宋体" w:eastAsia="宋体" w:cs="宋体"/>
                <w:b/>
                <w:bCs/>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651A0D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D0901D4">
            <w:pPr>
              <w:spacing w:line="300" w:lineRule="exact"/>
              <w:ind w:left="-53" w:leftChars="-25" w:right="-53" w:rightChars="-25"/>
              <w:jc w:val="center"/>
              <w:rPr>
                <w:rFonts w:hint="eastAsia" w:ascii="宋体" w:hAnsi="宋体" w:eastAsia="宋体" w:cs="宋体"/>
                <w:color w:val="auto"/>
                <w:szCs w:val="21"/>
                <w:highlight w:val="none"/>
              </w:rPr>
            </w:pPr>
          </w:p>
        </w:tc>
      </w:tr>
      <w:tr w14:paraId="3826C8D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F778A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90E4E1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74B3826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658888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B0F3EC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F0F2599">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A8CBE1E">
            <w:pPr>
              <w:spacing w:line="300" w:lineRule="exact"/>
              <w:ind w:left="-53" w:leftChars="-25" w:right="-53" w:rightChars="-25"/>
              <w:jc w:val="center"/>
              <w:rPr>
                <w:rFonts w:hint="eastAsia" w:ascii="宋体" w:hAnsi="宋体" w:eastAsia="宋体" w:cs="宋体"/>
                <w:color w:val="auto"/>
                <w:szCs w:val="21"/>
                <w:highlight w:val="none"/>
              </w:rPr>
            </w:pPr>
          </w:p>
        </w:tc>
      </w:tr>
      <w:tr w14:paraId="75F27CB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5865C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398F50A">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2E4EBBC">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3200296">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B68637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9D459A6">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53A94E0">
            <w:pPr>
              <w:spacing w:line="300" w:lineRule="exact"/>
              <w:ind w:left="-53" w:leftChars="-25" w:right="-53" w:rightChars="-25"/>
              <w:jc w:val="center"/>
              <w:rPr>
                <w:rFonts w:hint="eastAsia" w:ascii="宋体" w:hAnsi="宋体" w:eastAsia="宋体" w:cs="宋体"/>
                <w:color w:val="auto"/>
                <w:szCs w:val="21"/>
                <w:highlight w:val="none"/>
              </w:rPr>
            </w:pPr>
          </w:p>
        </w:tc>
      </w:tr>
      <w:tr w14:paraId="7B43F68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C05D9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035914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09A26D7">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A19A41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8A521F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7AE651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CD2E7D8">
            <w:pPr>
              <w:spacing w:line="300" w:lineRule="exact"/>
              <w:ind w:left="-53" w:leftChars="-25" w:right="-53" w:rightChars="-25"/>
              <w:jc w:val="center"/>
              <w:rPr>
                <w:rFonts w:hint="eastAsia" w:ascii="宋体" w:hAnsi="宋体" w:eastAsia="宋体" w:cs="宋体"/>
                <w:color w:val="auto"/>
                <w:szCs w:val="21"/>
                <w:highlight w:val="none"/>
              </w:rPr>
            </w:pPr>
          </w:p>
        </w:tc>
      </w:tr>
      <w:tr w14:paraId="1ADC8F3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8B66E42">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ABABAB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E14C4E6">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1AB6E4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243B5D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0F34E5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2A1790D">
            <w:pPr>
              <w:spacing w:line="300" w:lineRule="exact"/>
              <w:ind w:left="-53" w:leftChars="-25" w:right="-53" w:rightChars="-25"/>
              <w:jc w:val="center"/>
              <w:rPr>
                <w:rFonts w:hint="eastAsia" w:ascii="宋体" w:hAnsi="宋体" w:eastAsia="宋体" w:cs="宋体"/>
                <w:color w:val="auto"/>
                <w:szCs w:val="21"/>
                <w:highlight w:val="none"/>
              </w:rPr>
            </w:pPr>
          </w:p>
        </w:tc>
      </w:tr>
      <w:tr w14:paraId="46672E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C485BF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022220C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9311AE0">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2E9D90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C1DA60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F844F0F">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D779EFF">
            <w:pPr>
              <w:spacing w:line="300" w:lineRule="exact"/>
              <w:ind w:left="-53" w:leftChars="-25" w:right="-53" w:rightChars="-25"/>
              <w:jc w:val="center"/>
              <w:rPr>
                <w:rFonts w:hint="eastAsia" w:ascii="宋体" w:hAnsi="宋体" w:eastAsia="宋体" w:cs="宋体"/>
                <w:color w:val="auto"/>
                <w:szCs w:val="21"/>
                <w:highlight w:val="none"/>
              </w:rPr>
            </w:pPr>
          </w:p>
        </w:tc>
      </w:tr>
      <w:tr w14:paraId="7BB92C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7C44289">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334A2771">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18C8F9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2AE5F1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E0D3263">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45D24601">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59CC2DF0">
            <w:pPr>
              <w:spacing w:line="300" w:lineRule="exact"/>
              <w:ind w:left="-53" w:leftChars="-25" w:right="-53" w:rightChars="-25"/>
              <w:jc w:val="center"/>
              <w:rPr>
                <w:rFonts w:hint="eastAsia" w:ascii="宋体" w:hAnsi="宋体" w:eastAsia="宋体" w:cs="宋体"/>
                <w:color w:val="auto"/>
                <w:szCs w:val="21"/>
                <w:highlight w:val="none"/>
              </w:rPr>
            </w:pPr>
          </w:p>
        </w:tc>
      </w:tr>
      <w:tr w14:paraId="3187ED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C36ED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92393EF">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4A77E35A">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AC6675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C3ECAAE">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598ACF2">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BEA2AC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附近外电线路</w:t>
            </w:r>
          </w:p>
          <w:p w14:paraId="2558003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防护设施等</w:t>
            </w:r>
          </w:p>
        </w:tc>
      </w:tr>
      <w:tr w14:paraId="5AD0918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98CD97">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6911FB61">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75F9AFED">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8D625E8">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2FEACB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C41C1E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3D84EBFB">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按管道长度</w:t>
            </w:r>
          </w:p>
        </w:tc>
      </w:tr>
      <w:tr w14:paraId="5F9F1E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59945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FF44F2C">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05AAADE">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92EAAD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CE6C97C">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3B5751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12A260F8">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按管道长度</w:t>
            </w:r>
          </w:p>
        </w:tc>
      </w:tr>
      <w:tr w14:paraId="3536070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F9C3A70">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52645169">
            <w:pPr>
              <w:spacing w:line="300" w:lineRule="exact"/>
              <w:ind w:left="-53" w:leftChars="-25" w:right="-53" w:rightChars="-25"/>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28DBB30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6D45BFF">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3CBA76E7">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6CF82C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242BE34C">
            <w:pPr>
              <w:spacing w:line="300" w:lineRule="exact"/>
              <w:ind w:left="-53" w:leftChars="-25" w:right="-53" w:rightChars="-25"/>
              <w:jc w:val="center"/>
              <w:rPr>
                <w:rFonts w:hint="eastAsia" w:ascii="宋体" w:hAnsi="宋体" w:eastAsia="宋体" w:cs="宋体"/>
                <w:color w:val="auto"/>
                <w:szCs w:val="21"/>
                <w:highlight w:val="none"/>
              </w:rPr>
            </w:pPr>
          </w:p>
        </w:tc>
      </w:tr>
      <w:tr w14:paraId="06835AF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6A7DB6">
            <w:pPr>
              <w:spacing w:line="300" w:lineRule="exact"/>
              <w:ind w:left="-53" w:leftChars="-25" w:right="-53" w:rightChars="-25"/>
              <w:jc w:val="center"/>
              <w:rPr>
                <w:rFonts w:hint="eastAsia" w:ascii="宋体" w:hAnsi="宋体" w:eastAsia="宋体" w:cs="宋体"/>
                <w:b/>
                <w:bCs/>
                <w:color w:val="auto"/>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78F48268">
            <w:pPr>
              <w:spacing w:line="300" w:lineRule="exact"/>
              <w:ind w:left="-53" w:leftChars="-25" w:right="-53" w:rightChars="-25"/>
              <w:jc w:val="center"/>
              <w:rPr>
                <w:rFonts w:hint="eastAsia" w:ascii="宋体" w:hAnsi="宋体" w:eastAsia="宋体" w:cs="宋体"/>
                <w:b/>
                <w:bCs/>
                <w:color w:val="auto"/>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6296B4B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0792E8F1">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4E08A49">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1051B72B">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2E48EE2C">
            <w:pPr>
              <w:spacing w:line="300" w:lineRule="exact"/>
              <w:ind w:left="-53" w:leftChars="-25" w:right="-53" w:rightChars="-25"/>
              <w:jc w:val="center"/>
              <w:rPr>
                <w:rFonts w:hint="eastAsia" w:ascii="宋体" w:hAnsi="宋体" w:eastAsia="宋体" w:cs="宋体"/>
                <w:color w:val="auto"/>
                <w:szCs w:val="21"/>
                <w:highlight w:val="none"/>
              </w:rPr>
            </w:pPr>
          </w:p>
        </w:tc>
      </w:tr>
      <w:tr w14:paraId="2349AA3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291999">
            <w:pPr>
              <w:spacing w:line="300" w:lineRule="exact"/>
              <w:ind w:left="-53" w:leftChars="-25" w:right="-53" w:rightChars="-25"/>
              <w:jc w:val="center"/>
              <w:rPr>
                <w:rFonts w:hint="eastAsia" w:ascii="宋体" w:hAnsi="宋体" w:eastAsia="宋体" w:cs="宋体"/>
                <w:b/>
                <w:bCs/>
                <w:color w:val="auto"/>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noWrap w:val="0"/>
            <w:vAlign w:val="center"/>
          </w:tcPr>
          <w:p w14:paraId="293DA911">
            <w:pPr>
              <w:spacing w:line="300" w:lineRule="exact"/>
              <w:ind w:left="-53" w:leftChars="-25" w:right="-53" w:rightChars="-25"/>
              <w:jc w:val="center"/>
              <w:rPr>
                <w:rFonts w:hint="eastAsia" w:ascii="宋体" w:hAnsi="宋体" w:eastAsia="宋体" w:cs="宋体"/>
                <w:b/>
                <w:bCs/>
                <w:color w:val="auto"/>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noWrap w:val="0"/>
            <w:vAlign w:val="center"/>
          </w:tcPr>
          <w:p w14:paraId="0B25DB52">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2B760B0B">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BE466D5">
            <w:pPr>
              <w:spacing w:line="300" w:lineRule="exact"/>
              <w:ind w:left="-53" w:leftChars="-25" w:right="-53" w:rightChars="-25"/>
              <w:jc w:val="center"/>
              <w:rPr>
                <w:rFonts w:hint="eastAsia" w:ascii="宋体" w:hAnsi="宋体" w:eastAsia="宋体" w:cs="宋体"/>
                <w:color w:val="auto"/>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773F4380">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2B6FECC7">
            <w:pPr>
              <w:spacing w:line="300" w:lineRule="exact"/>
              <w:ind w:left="-53" w:leftChars="-25" w:right="-53" w:rightChars="-25"/>
              <w:jc w:val="center"/>
              <w:rPr>
                <w:rFonts w:hint="eastAsia" w:ascii="宋体" w:hAnsi="宋体" w:eastAsia="宋体" w:cs="宋体"/>
                <w:color w:val="auto"/>
                <w:szCs w:val="21"/>
                <w:highlight w:val="none"/>
              </w:rPr>
            </w:pPr>
          </w:p>
        </w:tc>
      </w:tr>
      <w:tr w14:paraId="2A3BC0CB">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7840A4">
            <w:pPr>
              <w:spacing w:line="300" w:lineRule="exact"/>
              <w:ind w:left="-53" w:leftChars="-25" w:right="-53" w:rightChars="-25"/>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noWrap w:val="0"/>
            <w:vAlign w:val="center"/>
          </w:tcPr>
          <w:p w14:paraId="6F1DE3D7">
            <w:pPr>
              <w:spacing w:line="300" w:lineRule="exact"/>
              <w:ind w:left="-53" w:leftChars="-25" w:right="-53" w:rightChars="-25"/>
              <w:jc w:val="center"/>
              <w:rPr>
                <w:rFonts w:hint="eastAsia" w:ascii="宋体" w:hAnsi="宋体" w:eastAsia="宋体" w:cs="宋体"/>
                <w:color w:val="auto"/>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noWrap w:val="0"/>
            <w:vAlign w:val="center"/>
          </w:tcPr>
          <w:p w14:paraId="74EFEEED">
            <w:pPr>
              <w:spacing w:line="300" w:lineRule="exact"/>
              <w:ind w:left="-53" w:leftChars="-25" w:right="-53" w:rightChars="-25"/>
              <w:jc w:val="center"/>
              <w:rPr>
                <w:rFonts w:hint="eastAsia" w:ascii="宋体" w:hAnsi="宋体" w:eastAsia="宋体" w:cs="宋体"/>
                <w:color w:val="auto"/>
                <w:szCs w:val="21"/>
                <w:highlight w:val="none"/>
              </w:rPr>
            </w:pPr>
          </w:p>
        </w:tc>
      </w:tr>
    </w:tbl>
    <w:p w14:paraId="28CCF483">
      <w:pPr>
        <w:adjustRightInd w:val="0"/>
        <w:snapToGrid w:val="0"/>
        <w:spacing w:line="360" w:lineRule="auto"/>
        <w:jc w:val="left"/>
        <w:rPr>
          <w:rFonts w:hint="eastAsia" w:ascii="宋体" w:hAnsi="宋体" w:eastAsia="宋体" w:cs="宋体"/>
          <w:b/>
          <w:bCs/>
          <w:color w:val="auto"/>
          <w:highlight w:val="none"/>
        </w:rPr>
      </w:pPr>
    </w:p>
    <w:p w14:paraId="491714C3">
      <w:pPr>
        <w:widowControl/>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注：表中（1）～（3）栏由招标人根据具体工程特点提供，供应商可补充。安全文明施工措施项目及费用应按招标项目整体报价。</w:t>
      </w:r>
    </w:p>
    <w:p w14:paraId="309D4613">
      <w:pPr>
        <w:adjustRightInd w:val="0"/>
        <w:spacing w:before="120" w:beforeLines="50"/>
        <w:rPr>
          <w:rFonts w:hint="eastAsia" w:ascii="宋体" w:hAnsi="宋体" w:eastAsia="宋体" w:cs="宋体"/>
          <w:color w:val="auto"/>
          <w:sz w:val="32"/>
          <w:szCs w:val="32"/>
          <w:highlight w:val="none"/>
        </w:rPr>
      </w:pPr>
    </w:p>
    <w:p w14:paraId="6174FC8E">
      <w:pPr>
        <w:adjustRightInd w:val="0"/>
        <w:rPr>
          <w:rFonts w:hint="eastAsia" w:ascii="宋体" w:hAnsi="宋体" w:eastAsia="宋体" w:cs="宋体"/>
          <w:b/>
          <w:bCs/>
          <w:color w:val="auto"/>
          <w:sz w:val="32"/>
          <w:szCs w:val="32"/>
          <w:highlight w:val="none"/>
        </w:rPr>
      </w:pPr>
    </w:p>
    <w:p w14:paraId="267DECC2">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1-4  其他项目清单及计价表</w:t>
      </w:r>
    </w:p>
    <w:p w14:paraId="5BB54C4A">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w:t>
      </w:r>
    </w:p>
    <w:p w14:paraId="11B3C7ED">
      <w:pPr>
        <w:widowControl/>
        <w:tabs>
          <w:tab w:val="center" w:pos="4755"/>
          <w:tab w:val="right" w:pos="9070"/>
        </w:tabs>
        <w:adjustRightInd w:val="0"/>
        <w:ind w:left="420" w:leftChars="100" w:hanging="210" w:hangingChars="100"/>
        <w:rPr>
          <w:rFonts w:hint="eastAsia" w:ascii="宋体" w:hAnsi="宋体" w:eastAsia="宋体" w:cs="宋体"/>
          <w:color w:val="auto"/>
          <w:highlight w:val="none"/>
        </w:rPr>
      </w:pPr>
      <w:r>
        <w:rPr>
          <w:rFonts w:hint="eastAsia" w:ascii="宋体" w:hAnsi="宋体" w:eastAsia="宋体" w:cs="宋体"/>
          <w:color w:val="auto"/>
          <w:highlight w:val="none"/>
        </w:rPr>
        <w:t>单位工程名称：                                                    第  页共 页</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C49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4B1CE32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687" w:type="dxa"/>
            <w:noWrap w:val="0"/>
            <w:vAlign w:val="center"/>
          </w:tcPr>
          <w:p w14:paraId="03B2555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3178" w:type="dxa"/>
            <w:noWrap w:val="0"/>
            <w:vAlign w:val="center"/>
          </w:tcPr>
          <w:p w14:paraId="787B93D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c>
          <w:tcPr>
            <w:tcW w:w="2546" w:type="dxa"/>
            <w:noWrap w:val="0"/>
            <w:vAlign w:val="center"/>
          </w:tcPr>
          <w:p w14:paraId="6DFB9AE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69D3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2959CCA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687" w:type="dxa"/>
            <w:noWrap w:val="0"/>
            <w:vAlign w:val="center"/>
          </w:tcPr>
          <w:p w14:paraId="07E5EAE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暂列金额</w:t>
            </w:r>
          </w:p>
        </w:tc>
        <w:tc>
          <w:tcPr>
            <w:tcW w:w="3178" w:type="dxa"/>
            <w:noWrap w:val="0"/>
            <w:vAlign w:val="center"/>
          </w:tcPr>
          <w:p w14:paraId="7BC7E89E">
            <w:pPr>
              <w:keepNext/>
              <w:keepLines/>
              <w:widowControl/>
              <w:tabs>
                <w:tab w:val="left" w:pos="100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242364DE">
            <w:pPr>
              <w:keepNext/>
              <w:keepLines/>
              <w:widowControl/>
              <w:tabs>
                <w:tab w:val="left" w:pos="100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20A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5B6B248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687" w:type="dxa"/>
            <w:noWrap w:val="0"/>
            <w:vAlign w:val="center"/>
          </w:tcPr>
          <w:p w14:paraId="03B5840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计日工</w:t>
            </w:r>
          </w:p>
        </w:tc>
        <w:tc>
          <w:tcPr>
            <w:tcW w:w="3178" w:type="dxa"/>
            <w:noWrap w:val="0"/>
            <w:vAlign w:val="center"/>
          </w:tcPr>
          <w:p w14:paraId="659D663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7F8BAA71">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明细表详见1-4-1</w:t>
            </w:r>
          </w:p>
        </w:tc>
      </w:tr>
      <w:tr w14:paraId="791C5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2323062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687" w:type="dxa"/>
            <w:noWrap w:val="0"/>
            <w:vAlign w:val="center"/>
          </w:tcPr>
          <w:p w14:paraId="0004099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总承包服务费</w:t>
            </w:r>
          </w:p>
        </w:tc>
        <w:tc>
          <w:tcPr>
            <w:tcW w:w="3178" w:type="dxa"/>
            <w:noWrap w:val="0"/>
            <w:vAlign w:val="center"/>
          </w:tcPr>
          <w:p w14:paraId="2C1A686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491D7CE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明细表详见1-4-2</w:t>
            </w:r>
          </w:p>
        </w:tc>
      </w:tr>
      <w:tr w14:paraId="4DC00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623EFD7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687" w:type="dxa"/>
            <w:noWrap w:val="0"/>
            <w:vAlign w:val="center"/>
          </w:tcPr>
          <w:p w14:paraId="4F1C5AC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标化工地增加费</w:t>
            </w:r>
          </w:p>
        </w:tc>
        <w:tc>
          <w:tcPr>
            <w:tcW w:w="3178" w:type="dxa"/>
            <w:noWrap w:val="0"/>
            <w:vAlign w:val="center"/>
          </w:tcPr>
          <w:p w14:paraId="66E5231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5E5C6B41">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暂列费用</w:t>
            </w:r>
          </w:p>
        </w:tc>
      </w:tr>
      <w:tr w14:paraId="1237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0CE8EFF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2687" w:type="dxa"/>
            <w:noWrap w:val="0"/>
            <w:vAlign w:val="center"/>
          </w:tcPr>
          <w:p w14:paraId="23B92AA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优质工程增加费</w:t>
            </w:r>
          </w:p>
        </w:tc>
        <w:tc>
          <w:tcPr>
            <w:tcW w:w="3178" w:type="dxa"/>
            <w:noWrap w:val="0"/>
            <w:vAlign w:val="center"/>
          </w:tcPr>
          <w:p w14:paraId="45D244E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3FDD159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暂列费用</w:t>
            </w:r>
          </w:p>
        </w:tc>
      </w:tr>
      <w:tr w14:paraId="4338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65BFD3F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687" w:type="dxa"/>
            <w:noWrap w:val="0"/>
            <w:vAlign w:val="center"/>
          </w:tcPr>
          <w:p w14:paraId="16BB0AE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3178" w:type="dxa"/>
            <w:noWrap w:val="0"/>
            <w:vAlign w:val="center"/>
          </w:tcPr>
          <w:p w14:paraId="46B5229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7A96D98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688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14:paraId="7A397089">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687" w:type="dxa"/>
            <w:noWrap w:val="0"/>
            <w:vAlign w:val="center"/>
          </w:tcPr>
          <w:p w14:paraId="2A3B5BF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3178" w:type="dxa"/>
            <w:noWrap w:val="0"/>
            <w:vAlign w:val="center"/>
          </w:tcPr>
          <w:p w14:paraId="714E9A6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546" w:type="dxa"/>
            <w:noWrap w:val="0"/>
            <w:vAlign w:val="center"/>
          </w:tcPr>
          <w:p w14:paraId="10ED1D3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bl>
    <w:p w14:paraId="1B02B2A4">
      <w:pPr>
        <w:widowControl/>
        <w:tabs>
          <w:tab w:val="center" w:pos="4755"/>
          <w:tab w:val="right" w:pos="9070"/>
        </w:tabs>
        <w:adjustRightInd w:val="0"/>
        <w:spacing w:before="100" w:beforeAutospacing="1" w:after="100" w:afterAutospacing="1"/>
        <w:ind w:firstLine="21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highlight w:val="none"/>
        </w:rPr>
        <w:br w:type="page"/>
      </w:r>
      <w:r>
        <w:rPr>
          <w:rFonts w:hint="eastAsia" w:ascii="宋体" w:hAnsi="宋体" w:eastAsia="宋体" w:cs="宋体"/>
          <w:b/>
          <w:color w:val="auto"/>
          <w:sz w:val="32"/>
          <w:szCs w:val="32"/>
          <w:highlight w:val="none"/>
        </w:rPr>
        <w:t>表1-4-1  计日工表</w:t>
      </w:r>
    </w:p>
    <w:p w14:paraId="7B8BDA8A">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w:t>
      </w:r>
    </w:p>
    <w:p w14:paraId="1CEBE6AB">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单位工程名称：                                     第  页共  页</w:t>
      </w:r>
    </w:p>
    <w:tbl>
      <w:tblPr>
        <w:tblStyle w:val="16"/>
        <w:tblW w:w="0" w:type="auto"/>
        <w:tblInd w:w="1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960"/>
        <w:gridCol w:w="1506"/>
        <w:gridCol w:w="1509"/>
        <w:gridCol w:w="1506"/>
      </w:tblGrid>
      <w:tr w14:paraId="784685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4141599C">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编号</w:t>
            </w:r>
          </w:p>
        </w:tc>
        <w:tc>
          <w:tcPr>
            <w:tcW w:w="2880" w:type="dxa"/>
            <w:noWrap w:val="0"/>
            <w:vAlign w:val="center"/>
          </w:tcPr>
          <w:p w14:paraId="1B178954">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项 目 名 称</w:t>
            </w:r>
          </w:p>
        </w:tc>
        <w:tc>
          <w:tcPr>
            <w:tcW w:w="960" w:type="dxa"/>
            <w:noWrap w:val="0"/>
            <w:vAlign w:val="center"/>
          </w:tcPr>
          <w:p w14:paraId="3D52376B">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506" w:type="dxa"/>
            <w:noWrap w:val="0"/>
            <w:vAlign w:val="center"/>
          </w:tcPr>
          <w:p w14:paraId="5B420864">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509" w:type="dxa"/>
            <w:noWrap w:val="0"/>
            <w:vAlign w:val="center"/>
          </w:tcPr>
          <w:p w14:paraId="32BD9AB3">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综合单价（元）</w:t>
            </w:r>
          </w:p>
        </w:tc>
        <w:tc>
          <w:tcPr>
            <w:tcW w:w="1506" w:type="dxa"/>
            <w:noWrap w:val="0"/>
            <w:vAlign w:val="center"/>
          </w:tcPr>
          <w:p w14:paraId="028A5714">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合价（元）</w:t>
            </w:r>
          </w:p>
        </w:tc>
      </w:tr>
      <w:tr w14:paraId="625C69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1BFA79A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880" w:type="dxa"/>
            <w:noWrap w:val="0"/>
            <w:vAlign w:val="center"/>
          </w:tcPr>
          <w:p w14:paraId="0287C8E1">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960" w:type="dxa"/>
            <w:noWrap w:val="0"/>
            <w:vAlign w:val="center"/>
          </w:tcPr>
          <w:p w14:paraId="7B261AB3">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1506" w:type="dxa"/>
            <w:noWrap w:val="0"/>
            <w:vAlign w:val="center"/>
          </w:tcPr>
          <w:p w14:paraId="3F0A39DF">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509" w:type="dxa"/>
            <w:noWrap w:val="0"/>
            <w:vAlign w:val="center"/>
          </w:tcPr>
          <w:p w14:paraId="22D554C3">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1E324F7D">
            <w:pPr>
              <w:tabs>
                <w:tab w:val="left" w:pos="3780"/>
              </w:tabs>
              <w:adjustRightInd w:val="0"/>
              <w:jc w:val="center"/>
              <w:rPr>
                <w:rFonts w:hint="eastAsia" w:ascii="宋体" w:hAnsi="宋体" w:eastAsia="宋体" w:cs="宋体"/>
                <w:color w:val="auto"/>
                <w:highlight w:val="none"/>
              </w:rPr>
            </w:pPr>
          </w:p>
        </w:tc>
      </w:tr>
      <w:tr w14:paraId="518E41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7441C400">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一</w:t>
            </w:r>
          </w:p>
        </w:tc>
        <w:tc>
          <w:tcPr>
            <w:tcW w:w="2880" w:type="dxa"/>
            <w:noWrap w:val="0"/>
            <w:vAlign w:val="center"/>
          </w:tcPr>
          <w:p w14:paraId="3877AA2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人    工</w:t>
            </w:r>
          </w:p>
        </w:tc>
        <w:tc>
          <w:tcPr>
            <w:tcW w:w="960" w:type="dxa"/>
            <w:noWrap w:val="0"/>
            <w:vAlign w:val="center"/>
          </w:tcPr>
          <w:p w14:paraId="03BA4417">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959ADCD">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1DFC9FA1">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135FBAF2">
            <w:pPr>
              <w:tabs>
                <w:tab w:val="left" w:pos="3780"/>
              </w:tabs>
              <w:adjustRightInd w:val="0"/>
              <w:jc w:val="center"/>
              <w:rPr>
                <w:rFonts w:hint="eastAsia" w:ascii="宋体" w:hAnsi="宋体" w:eastAsia="宋体" w:cs="宋体"/>
                <w:color w:val="auto"/>
                <w:highlight w:val="none"/>
              </w:rPr>
            </w:pPr>
          </w:p>
        </w:tc>
      </w:tr>
      <w:tr w14:paraId="00CC8B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197746F0">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880" w:type="dxa"/>
            <w:noWrap w:val="0"/>
            <w:vAlign w:val="center"/>
          </w:tcPr>
          <w:p w14:paraId="339F5078">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480846AC">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56788D0">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1318F28A">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C4F24BB">
            <w:pPr>
              <w:tabs>
                <w:tab w:val="left" w:pos="3780"/>
              </w:tabs>
              <w:adjustRightInd w:val="0"/>
              <w:jc w:val="center"/>
              <w:rPr>
                <w:rFonts w:hint="eastAsia" w:ascii="宋体" w:hAnsi="宋体" w:eastAsia="宋体" w:cs="宋体"/>
                <w:color w:val="auto"/>
                <w:highlight w:val="none"/>
              </w:rPr>
            </w:pPr>
          </w:p>
        </w:tc>
      </w:tr>
      <w:tr w14:paraId="2726F1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496E89F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880" w:type="dxa"/>
            <w:noWrap w:val="0"/>
            <w:vAlign w:val="center"/>
          </w:tcPr>
          <w:p w14:paraId="23D88B06">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749978F3">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0146DCD">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5EFCD20E">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FCA2790">
            <w:pPr>
              <w:tabs>
                <w:tab w:val="left" w:pos="3780"/>
              </w:tabs>
              <w:adjustRightInd w:val="0"/>
              <w:jc w:val="center"/>
              <w:rPr>
                <w:rFonts w:hint="eastAsia" w:ascii="宋体" w:hAnsi="宋体" w:eastAsia="宋体" w:cs="宋体"/>
                <w:color w:val="auto"/>
                <w:highlight w:val="none"/>
              </w:rPr>
            </w:pPr>
          </w:p>
        </w:tc>
      </w:tr>
      <w:tr w14:paraId="0FC244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29721FCD">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880" w:type="dxa"/>
            <w:noWrap w:val="0"/>
            <w:vAlign w:val="center"/>
          </w:tcPr>
          <w:p w14:paraId="3E07390A">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61FC417D">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959CA75">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59F51E29">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7A46AAAB">
            <w:pPr>
              <w:tabs>
                <w:tab w:val="left" w:pos="3780"/>
              </w:tabs>
              <w:adjustRightInd w:val="0"/>
              <w:jc w:val="center"/>
              <w:rPr>
                <w:rFonts w:hint="eastAsia" w:ascii="宋体" w:hAnsi="宋体" w:eastAsia="宋体" w:cs="宋体"/>
                <w:color w:val="auto"/>
                <w:highlight w:val="none"/>
              </w:rPr>
            </w:pPr>
          </w:p>
        </w:tc>
      </w:tr>
      <w:tr w14:paraId="594B21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780466D3">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880" w:type="dxa"/>
            <w:noWrap w:val="0"/>
            <w:vAlign w:val="center"/>
          </w:tcPr>
          <w:p w14:paraId="5FD67285">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2F4D3A83">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6921ECE2">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1D0E49DE">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7DD45E25">
            <w:pPr>
              <w:tabs>
                <w:tab w:val="left" w:pos="3780"/>
              </w:tabs>
              <w:adjustRightInd w:val="0"/>
              <w:jc w:val="center"/>
              <w:rPr>
                <w:rFonts w:hint="eastAsia" w:ascii="宋体" w:hAnsi="宋体" w:eastAsia="宋体" w:cs="宋体"/>
                <w:color w:val="auto"/>
                <w:highlight w:val="none"/>
              </w:rPr>
            </w:pPr>
          </w:p>
        </w:tc>
      </w:tr>
      <w:tr w14:paraId="393D28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noWrap w:val="0"/>
            <w:vAlign w:val="center"/>
          </w:tcPr>
          <w:p w14:paraId="0BCC2574">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人 工 小 计</w:t>
            </w:r>
          </w:p>
        </w:tc>
        <w:tc>
          <w:tcPr>
            <w:tcW w:w="1506" w:type="dxa"/>
            <w:noWrap w:val="0"/>
            <w:vAlign w:val="center"/>
          </w:tcPr>
          <w:p w14:paraId="7246B5C9">
            <w:pPr>
              <w:tabs>
                <w:tab w:val="left" w:pos="3780"/>
              </w:tabs>
              <w:adjustRightInd w:val="0"/>
              <w:jc w:val="center"/>
              <w:rPr>
                <w:rFonts w:hint="eastAsia" w:ascii="宋体" w:hAnsi="宋体" w:eastAsia="宋体" w:cs="宋体"/>
                <w:color w:val="auto"/>
                <w:highlight w:val="none"/>
              </w:rPr>
            </w:pPr>
          </w:p>
        </w:tc>
      </w:tr>
      <w:tr w14:paraId="6B499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4B088D74">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二</w:t>
            </w:r>
          </w:p>
        </w:tc>
        <w:tc>
          <w:tcPr>
            <w:tcW w:w="2880" w:type="dxa"/>
            <w:noWrap w:val="0"/>
            <w:vAlign w:val="center"/>
          </w:tcPr>
          <w:p w14:paraId="362C8E3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材    料</w:t>
            </w:r>
          </w:p>
        </w:tc>
        <w:tc>
          <w:tcPr>
            <w:tcW w:w="960" w:type="dxa"/>
            <w:noWrap w:val="0"/>
            <w:vAlign w:val="center"/>
          </w:tcPr>
          <w:p w14:paraId="2361359F">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455B016E">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0E0B30DE">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B9B04EA">
            <w:pPr>
              <w:tabs>
                <w:tab w:val="left" w:pos="3780"/>
              </w:tabs>
              <w:adjustRightInd w:val="0"/>
              <w:jc w:val="center"/>
              <w:rPr>
                <w:rFonts w:hint="eastAsia" w:ascii="宋体" w:hAnsi="宋体" w:eastAsia="宋体" w:cs="宋体"/>
                <w:color w:val="auto"/>
                <w:highlight w:val="none"/>
              </w:rPr>
            </w:pPr>
          </w:p>
        </w:tc>
      </w:tr>
      <w:tr w14:paraId="6E1374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38D965FC">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880" w:type="dxa"/>
            <w:noWrap w:val="0"/>
            <w:vAlign w:val="center"/>
          </w:tcPr>
          <w:p w14:paraId="40964863">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6DF039AC">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23C9F7E2">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5A03D3B5">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4CFBF2AF">
            <w:pPr>
              <w:tabs>
                <w:tab w:val="left" w:pos="3780"/>
              </w:tabs>
              <w:adjustRightInd w:val="0"/>
              <w:jc w:val="center"/>
              <w:rPr>
                <w:rFonts w:hint="eastAsia" w:ascii="宋体" w:hAnsi="宋体" w:eastAsia="宋体" w:cs="宋体"/>
                <w:color w:val="auto"/>
                <w:highlight w:val="none"/>
              </w:rPr>
            </w:pPr>
          </w:p>
        </w:tc>
      </w:tr>
      <w:tr w14:paraId="59F1F1D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5EA7E170">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880" w:type="dxa"/>
            <w:noWrap w:val="0"/>
            <w:vAlign w:val="center"/>
          </w:tcPr>
          <w:p w14:paraId="7D132C72">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6F7932CD">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1C731446">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28E6A586">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08BF8ED3">
            <w:pPr>
              <w:tabs>
                <w:tab w:val="left" w:pos="3780"/>
              </w:tabs>
              <w:adjustRightInd w:val="0"/>
              <w:jc w:val="center"/>
              <w:rPr>
                <w:rFonts w:hint="eastAsia" w:ascii="宋体" w:hAnsi="宋体" w:eastAsia="宋体" w:cs="宋体"/>
                <w:color w:val="auto"/>
                <w:highlight w:val="none"/>
              </w:rPr>
            </w:pPr>
          </w:p>
        </w:tc>
      </w:tr>
      <w:tr w14:paraId="2741B9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77A79971">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880" w:type="dxa"/>
            <w:noWrap w:val="0"/>
            <w:vAlign w:val="center"/>
          </w:tcPr>
          <w:p w14:paraId="4F360A07">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2C7E8DA1">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631866C">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285F8B67">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0D83CEBA">
            <w:pPr>
              <w:tabs>
                <w:tab w:val="left" w:pos="3780"/>
              </w:tabs>
              <w:adjustRightInd w:val="0"/>
              <w:jc w:val="center"/>
              <w:rPr>
                <w:rFonts w:hint="eastAsia" w:ascii="宋体" w:hAnsi="宋体" w:eastAsia="宋体" w:cs="宋体"/>
                <w:color w:val="auto"/>
                <w:highlight w:val="none"/>
              </w:rPr>
            </w:pPr>
          </w:p>
        </w:tc>
      </w:tr>
      <w:tr w14:paraId="49CBC9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251BFCA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880" w:type="dxa"/>
            <w:noWrap w:val="0"/>
            <w:vAlign w:val="center"/>
          </w:tcPr>
          <w:p w14:paraId="6E94C6D8">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2005CA5B">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779C146F">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362AB032">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6886626">
            <w:pPr>
              <w:tabs>
                <w:tab w:val="left" w:pos="3780"/>
              </w:tabs>
              <w:adjustRightInd w:val="0"/>
              <w:jc w:val="center"/>
              <w:rPr>
                <w:rFonts w:hint="eastAsia" w:ascii="宋体" w:hAnsi="宋体" w:eastAsia="宋体" w:cs="宋体"/>
                <w:color w:val="auto"/>
                <w:highlight w:val="none"/>
              </w:rPr>
            </w:pPr>
          </w:p>
        </w:tc>
      </w:tr>
      <w:tr w14:paraId="08AF86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noWrap w:val="0"/>
            <w:vAlign w:val="center"/>
          </w:tcPr>
          <w:p w14:paraId="11E1718E">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材 料 小 计</w:t>
            </w:r>
          </w:p>
        </w:tc>
        <w:tc>
          <w:tcPr>
            <w:tcW w:w="1506" w:type="dxa"/>
            <w:noWrap w:val="0"/>
            <w:vAlign w:val="center"/>
          </w:tcPr>
          <w:p w14:paraId="1B935BBA">
            <w:pPr>
              <w:tabs>
                <w:tab w:val="left" w:pos="3780"/>
              </w:tabs>
              <w:adjustRightInd w:val="0"/>
              <w:jc w:val="center"/>
              <w:rPr>
                <w:rFonts w:hint="eastAsia" w:ascii="宋体" w:hAnsi="宋体" w:eastAsia="宋体" w:cs="宋体"/>
                <w:color w:val="auto"/>
                <w:highlight w:val="none"/>
              </w:rPr>
            </w:pPr>
          </w:p>
        </w:tc>
      </w:tr>
      <w:tr w14:paraId="47219E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262EEF97">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三</w:t>
            </w:r>
          </w:p>
        </w:tc>
        <w:tc>
          <w:tcPr>
            <w:tcW w:w="2880" w:type="dxa"/>
            <w:noWrap w:val="0"/>
            <w:vAlign w:val="center"/>
          </w:tcPr>
          <w:p w14:paraId="7B0A3260">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施工机械</w:t>
            </w:r>
          </w:p>
        </w:tc>
        <w:tc>
          <w:tcPr>
            <w:tcW w:w="960" w:type="dxa"/>
            <w:noWrap w:val="0"/>
            <w:vAlign w:val="center"/>
          </w:tcPr>
          <w:p w14:paraId="2D59CF9A">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736D476">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68D98835">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4445FB14">
            <w:pPr>
              <w:tabs>
                <w:tab w:val="left" w:pos="3780"/>
              </w:tabs>
              <w:adjustRightInd w:val="0"/>
              <w:jc w:val="center"/>
              <w:rPr>
                <w:rFonts w:hint="eastAsia" w:ascii="宋体" w:hAnsi="宋体" w:eastAsia="宋体" w:cs="宋体"/>
                <w:color w:val="auto"/>
                <w:highlight w:val="none"/>
              </w:rPr>
            </w:pPr>
          </w:p>
        </w:tc>
      </w:tr>
      <w:tr w14:paraId="4BADD9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3481E2F7">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880" w:type="dxa"/>
            <w:noWrap w:val="0"/>
            <w:vAlign w:val="center"/>
          </w:tcPr>
          <w:p w14:paraId="3E55089A">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5651C689">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AA56FE0">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659D5E2F">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70EDBD61">
            <w:pPr>
              <w:tabs>
                <w:tab w:val="left" w:pos="3780"/>
              </w:tabs>
              <w:adjustRightInd w:val="0"/>
              <w:jc w:val="center"/>
              <w:rPr>
                <w:rFonts w:hint="eastAsia" w:ascii="宋体" w:hAnsi="宋体" w:eastAsia="宋体" w:cs="宋体"/>
                <w:color w:val="auto"/>
                <w:highlight w:val="none"/>
              </w:rPr>
            </w:pPr>
          </w:p>
        </w:tc>
      </w:tr>
      <w:tr w14:paraId="42B406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6C8EB831">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880" w:type="dxa"/>
            <w:noWrap w:val="0"/>
            <w:vAlign w:val="center"/>
          </w:tcPr>
          <w:p w14:paraId="54424989">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01133FDA">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0B4D5728">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1D2DA3C2">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22DBB922">
            <w:pPr>
              <w:tabs>
                <w:tab w:val="left" w:pos="3780"/>
              </w:tabs>
              <w:adjustRightInd w:val="0"/>
              <w:jc w:val="center"/>
              <w:rPr>
                <w:rFonts w:hint="eastAsia" w:ascii="宋体" w:hAnsi="宋体" w:eastAsia="宋体" w:cs="宋体"/>
                <w:color w:val="auto"/>
                <w:highlight w:val="none"/>
              </w:rPr>
            </w:pPr>
          </w:p>
        </w:tc>
      </w:tr>
      <w:tr w14:paraId="5D788C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50D4B25B">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880" w:type="dxa"/>
            <w:noWrap w:val="0"/>
            <w:vAlign w:val="center"/>
          </w:tcPr>
          <w:p w14:paraId="29F94E42">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33A76E18">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5C587EBD">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7B9EB031">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38585C34">
            <w:pPr>
              <w:tabs>
                <w:tab w:val="left" w:pos="3780"/>
              </w:tabs>
              <w:adjustRightInd w:val="0"/>
              <w:jc w:val="center"/>
              <w:rPr>
                <w:rFonts w:hint="eastAsia" w:ascii="宋体" w:hAnsi="宋体" w:eastAsia="宋体" w:cs="宋体"/>
                <w:color w:val="auto"/>
                <w:highlight w:val="none"/>
              </w:rPr>
            </w:pPr>
          </w:p>
        </w:tc>
      </w:tr>
      <w:tr w14:paraId="11DBD4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noWrap w:val="0"/>
            <w:vAlign w:val="center"/>
          </w:tcPr>
          <w:p w14:paraId="06C4E130">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880" w:type="dxa"/>
            <w:noWrap w:val="0"/>
            <w:vAlign w:val="center"/>
          </w:tcPr>
          <w:p w14:paraId="6415DF08">
            <w:pPr>
              <w:tabs>
                <w:tab w:val="left" w:pos="3780"/>
              </w:tabs>
              <w:adjustRightInd w:val="0"/>
              <w:jc w:val="center"/>
              <w:rPr>
                <w:rFonts w:hint="eastAsia" w:ascii="宋体" w:hAnsi="宋体" w:eastAsia="宋体" w:cs="宋体"/>
                <w:color w:val="auto"/>
                <w:highlight w:val="none"/>
              </w:rPr>
            </w:pPr>
          </w:p>
        </w:tc>
        <w:tc>
          <w:tcPr>
            <w:tcW w:w="960" w:type="dxa"/>
            <w:noWrap w:val="0"/>
            <w:vAlign w:val="center"/>
          </w:tcPr>
          <w:p w14:paraId="69D69737">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4728E843">
            <w:pPr>
              <w:tabs>
                <w:tab w:val="left" w:pos="3780"/>
              </w:tabs>
              <w:adjustRightInd w:val="0"/>
              <w:jc w:val="center"/>
              <w:rPr>
                <w:rFonts w:hint="eastAsia" w:ascii="宋体" w:hAnsi="宋体" w:eastAsia="宋体" w:cs="宋体"/>
                <w:color w:val="auto"/>
                <w:highlight w:val="none"/>
              </w:rPr>
            </w:pPr>
          </w:p>
        </w:tc>
        <w:tc>
          <w:tcPr>
            <w:tcW w:w="1509" w:type="dxa"/>
            <w:noWrap w:val="0"/>
            <w:vAlign w:val="center"/>
          </w:tcPr>
          <w:p w14:paraId="03DF56D2">
            <w:pPr>
              <w:tabs>
                <w:tab w:val="left" w:pos="3780"/>
              </w:tabs>
              <w:adjustRightInd w:val="0"/>
              <w:jc w:val="center"/>
              <w:rPr>
                <w:rFonts w:hint="eastAsia" w:ascii="宋体" w:hAnsi="宋体" w:eastAsia="宋体" w:cs="宋体"/>
                <w:color w:val="auto"/>
                <w:highlight w:val="none"/>
              </w:rPr>
            </w:pPr>
          </w:p>
        </w:tc>
        <w:tc>
          <w:tcPr>
            <w:tcW w:w="1506" w:type="dxa"/>
            <w:noWrap w:val="0"/>
            <w:vAlign w:val="center"/>
          </w:tcPr>
          <w:p w14:paraId="2CF73CB7">
            <w:pPr>
              <w:tabs>
                <w:tab w:val="left" w:pos="3780"/>
              </w:tabs>
              <w:adjustRightInd w:val="0"/>
              <w:jc w:val="center"/>
              <w:rPr>
                <w:rFonts w:hint="eastAsia" w:ascii="宋体" w:hAnsi="宋体" w:eastAsia="宋体" w:cs="宋体"/>
                <w:color w:val="auto"/>
                <w:highlight w:val="none"/>
              </w:rPr>
            </w:pPr>
          </w:p>
        </w:tc>
      </w:tr>
      <w:tr w14:paraId="7DCE9A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noWrap w:val="0"/>
            <w:vAlign w:val="center"/>
          </w:tcPr>
          <w:p w14:paraId="650EBE2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施工机械小计</w:t>
            </w:r>
          </w:p>
        </w:tc>
        <w:tc>
          <w:tcPr>
            <w:tcW w:w="1506" w:type="dxa"/>
            <w:noWrap w:val="0"/>
            <w:vAlign w:val="center"/>
          </w:tcPr>
          <w:p w14:paraId="327FB137">
            <w:pPr>
              <w:tabs>
                <w:tab w:val="left" w:pos="3780"/>
              </w:tabs>
              <w:adjustRightInd w:val="0"/>
              <w:jc w:val="center"/>
              <w:rPr>
                <w:rFonts w:hint="eastAsia" w:ascii="宋体" w:hAnsi="宋体" w:eastAsia="宋体" w:cs="宋体"/>
                <w:color w:val="auto"/>
                <w:highlight w:val="none"/>
              </w:rPr>
            </w:pPr>
          </w:p>
        </w:tc>
      </w:tr>
      <w:tr w14:paraId="414EDC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noWrap w:val="0"/>
            <w:vAlign w:val="center"/>
          </w:tcPr>
          <w:p w14:paraId="7B7CD65A">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1506" w:type="dxa"/>
            <w:noWrap w:val="0"/>
            <w:vAlign w:val="center"/>
          </w:tcPr>
          <w:p w14:paraId="2643D1BF">
            <w:pPr>
              <w:tabs>
                <w:tab w:val="left" w:pos="3780"/>
              </w:tabs>
              <w:adjustRightInd w:val="0"/>
              <w:jc w:val="center"/>
              <w:rPr>
                <w:rFonts w:hint="eastAsia" w:ascii="宋体" w:hAnsi="宋体" w:eastAsia="宋体" w:cs="宋体"/>
                <w:color w:val="auto"/>
                <w:highlight w:val="none"/>
              </w:rPr>
            </w:pPr>
          </w:p>
        </w:tc>
      </w:tr>
    </w:tbl>
    <w:p w14:paraId="6478BD14">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注：表中（1）～（4）由招标人按需要提出，其中第（4）栏数量为暂定。</w:t>
      </w:r>
    </w:p>
    <w:p w14:paraId="2F06EC76">
      <w:pPr>
        <w:widowControl/>
        <w:adjustRightInd w:val="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1-4-2   总承包服务费项目及计价表</w:t>
      </w:r>
    </w:p>
    <w:p w14:paraId="2F722958">
      <w:pPr>
        <w:tabs>
          <w:tab w:val="left" w:pos="3780"/>
        </w:tabs>
        <w:adjustRightInd w:val="0"/>
        <w:rPr>
          <w:rFonts w:hint="eastAsia" w:ascii="宋体" w:hAnsi="宋体" w:eastAsia="宋体" w:cs="宋体"/>
          <w:color w:val="auto"/>
          <w:highlight w:val="none"/>
        </w:rPr>
      </w:pPr>
    </w:p>
    <w:p w14:paraId="013B356F">
      <w:pPr>
        <w:tabs>
          <w:tab w:val="left" w:pos="3780"/>
        </w:tabs>
        <w:adjustRightInd w:val="0"/>
        <w:spacing w:after="60" w:afterLines="25"/>
        <w:rPr>
          <w:rFonts w:hint="eastAsia" w:ascii="宋体" w:hAnsi="宋体" w:eastAsia="宋体" w:cs="宋体"/>
          <w:color w:val="auto"/>
          <w:highlight w:val="none"/>
        </w:rPr>
      </w:pPr>
      <w:r>
        <w:rPr>
          <w:rFonts w:hint="eastAsia" w:ascii="宋体" w:hAnsi="宋体" w:eastAsia="宋体" w:cs="宋体"/>
          <w:color w:val="auto"/>
          <w:highlight w:val="none"/>
        </w:rPr>
        <w:t>工程名称：                                                    第   页 共   页</w:t>
      </w:r>
    </w:p>
    <w:tbl>
      <w:tblPr>
        <w:tblStyle w:val="16"/>
        <w:tblW w:w="0" w:type="auto"/>
        <w:tblInd w:w="1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CF025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0"/>
            <w:vAlign w:val="center"/>
          </w:tcPr>
          <w:p w14:paraId="40A9EFE3">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709" w:type="dxa"/>
            <w:tcBorders>
              <w:top w:val="single" w:color="auto" w:sz="8" w:space="0"/>
            </w:tcBorders>
            <w:noWrap w:val="0"/>
            <w:vAlign w:val="center"/>
          </w:tcPr>
          <w:p w14:paraId="03FDE87C">
            <w:pPr>
              <w:tabs>
                <w:tab w:val="left" w:pos="3780"/>
              </w:tabs>
              <w:adjustRightInd w:val="0"/>
              <w:ind w:firstLine="420"/>
              <w:jc w:val="center"/>
              <w:rPr>
                <w:rFonts w:hint="eastAsia" w:ascii="宋体" w:hAnsi="宋体" w:eastAsia="宋体" w:cs="宋体"/>
                <w:color w:val="auto"/>
                <w:highlight w:val="none"/>
              </w:rPr>
            </w:pPr>
            <w:r>
              <w:rPr>
                <w:rFonts w:hint="eastAsia" w:ascii="宋体" w:hAnsi="宋体" w:eastAsia="宋体" w:cs="宋体"/>
                <w:color w:val="auto"/>
                <w:highlight w:val="none"/>
              </w:rPr>
              <w:t>项 目 名 称</w:t>
            </w:r>
          </w:p>
        </w:tc>
        <w:tc>
          <w:tcPr>
            <w:tcW w:w="1620" w:type="dxa"/>
            <w:tcBorders>
              <w:top w:val="single" w:color="auto" w:sz="8" w:space="0"/>
            </w:tcBorders>
            <w:noWrap w:val="0"/>
            <w:vAlign w:val="center"/>
          </w:tcPr>
          <w:p w14:paraId="7BDCA495">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项目价值（元）</w:t>
            </w:r>
          </w:p>
        </w:tc>
        <w:tc>
          <w:tcPr>
            <w:tcW w:w="1440" w:type="dxa"/>
            <w:tcBorders>
              <w:top w:val="single" w:color="auto" w:sz="8" w:space="0"/>
              <w:bottom w:val="single" w:color="auto" w:sz="6" w:space="0"/>
            </w:tcBorders>
            <w:noWrap w:val="0"/>
            <w:vAlign w:val="center"/>
          </w:tcPr>
          <w:p w14:paraId="17A501CE">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440" w:type="dxa"/>
            <w:tcBorders>
              <w:top w:val="single" w:color="auto" w:sz="8" w:space="0"/>
              <w:bottom w:val="single" w:color="auto" w:sz="6" w:space="0"/>
            </w:tcBorders>
            <w:noWrap w:val="0"/>
            <w:vAlign w:val="center"/>
          </w:tcPr>
          <w:p w14:paraId="5BA1787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费率（%）</w:t>
            </w:r>
          </w:p>
        </w:tc>
        <w:tc>
          <w:tcPr>
            <w:tcW w:w="1440" w:type="dxa"/>
            <w:tcBorders>
              <w:top w:val="single" w:color="auto" w:sz="8" w:space="0"/>
              <w:bottom w:val="single" w:color="auto" w:sz="6" w:space="0"/>
            </w:tcBorders>
            <w:noWrap w:val="0"/>
            <w:vAlign w:val="center"/>
          </w:tcPr>
          <w:p w14:paraId="7388F88E">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r>
      <w:tr w14:paraId="06C14A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68D5742D">
            <w:pPr>
              <w:tabs>
                <w:tab w:val="left" w:pos="378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09" w:type="dxa"/>
            <w:noWrap w:val="0"/>
            <w:vAlign w:val="center"/>
          </w:tcPr>
          <w:p w14:paraId="47BD239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620" w:type="dxa"/>
            <w:noWrap w:val="0"/>
            <w:vAlign w:val="center"/>
          </w:tcPr>
          <w:p w14:paraId="4FDA98CE">
            <w:pPr>
              <w:tabs>
                <w:tab w:val="left" w:pos="3780"/>
              </w:tabs>
              <w:adjustRightInd w:val="0"/>
              <w:ind w:firstLine="420"/>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1440" w:type="dxa"/>
            <w:tcBorders>
              <w:top w:val="single" w:color="auto" w:sz="6" w:space="0"/>
              <w:bottom w:val="single" w:color="auto" w:sz="6" w:space="0"/>
            </w:tcBorders>
            <w:noWrap w:val="0"/>
            <w:vAlign w:val="center"/>
          </w:tcPr>
          <w:p w14:paraId="741533DF">
            <w:pPr>
              <w:adjustRightInd w:val="0"/>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440" w:type="dxa"/>
            <w:tcBorders>
              <w:top w:val="single" w:color="auto" w:sz="6" w:space="0"/>
              <w:bottom w:val="single" w:color="auto" w:sz="6" w:space="0"/>
            </w:tcBorders>
            <w:noWrap w:val="0"/>
            <w:vAlign w:val="center"/>
          </w:tcPr>
          <w:p w14:paraId="30CD13AE">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55D47FD">
            <w:pPr>
              <w:tabs>
                <w:tab w:val="left" w:pos="3780"/>
              </w:tabs>
              <w:adjustRightInd w:val="0"/>
              <w:ind w:firstLine="420"/>
              <w:jc w:val="center"/>
              <w:rPr>
                <w:rFonts w:hint="eastAsia" w:ascii="宋体" w:hAnsi="宋体" w:eastAsia="宋体" w:cs="宋体"/>
                <w:color w:val="auto"/>
                <w:highlight w:val="none"/>
              </w:rPr>
            </w:pPr>
          </w:p>
        </w:tc>
      </w:tr>
      <w:tr w14:paraId="0AE94F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1AE7DABC">
            <w:pPr>
              <w:adjustRightInd w:val="0"/>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709" w:type="dxa"/>
            <w:noWrap w:val="0"/>
            <w:vAlign w:val="center"/>
          </w:tcPr>
          <w:p w14:paraId="08622E4F">
            <w:pPr>
              <w:tabs>
                <w:tab w:val="left" w:pos="378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甲方分包专业工程</w:t>
            </w:r>
          </w:p>
        </w:tc>
        <w:tc>
          <w:tcPr>
            <w:tcW w:w="1620" w:type="dxa"/>
            <w:noWrap w:val="0"/>
            <w:vAlign w:val="center"/>
          </w:tcPr>
          <w:p w14:paraId="4F36FB05">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53530E1">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867FFA4">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6DD3426">
            <w:pPr>
              <w:tabs>
                <w:tab w:val="left" w:pos="3780"/>
              </w:tabs>
              <w:adjustRightInd w:val="0"/>
              <w:ind w:firstLine="420"/>
              <w:jc w:val="center"/>
              <w:rPr>
                <w:rFonts w:hint="eastAsia" w:ascii="宋体" w:hAnsi="宋体" w:eastAsia="宋体" w:cs="宋体"/>
                <w:color w:val="auto"/>
                <w:highlight w:val="none"/>
              </w:rPr>
            </w:pPr>
          </w:p>
        </w:tc>
      </w:tr>
      <w:tr w14:paraId="04DD0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13B83FF5">
            <w:pPr>
              <w:adjustRightInd w:val="0"/>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709" w:type="dxa"/>
            <w:noWrap w:val="0"/>
            <w:vAlign w:val="center"/>
          </w:tcPr>
          <w:p w14:paraId="3AD14C4E">
            <w:pPr>
              <w:tabs>
                <w:tab w:val="left" w:pos="3780"/>
              </w:tabs>
              <w:adjustRightInd w:val="0"/>
              <w:ind w:firstLine="420"/>
              <w:rPr>
                <w:rFonts w:hint="eastAsia" w:ascii="宋体" w:hAnsi="宋体" w:eastAsia="宋体" w:cs="宋体"/>
                <w:color w:val="auto"/>
                <w:highlight w:val="none"/>
              </w:rPr>
            </w:pPr>
            <w:r>
              <w:rPr>
                <w:rFonts w:hint="eastAsia" w:ascii="宋体" w:hAnsi="宋体" w:eastAsia="宋体" w:cs="宋体"/>
                <w:color w:val="auto"/>
                <w:highlight w:val="none"/>
              </w:rPr>
              <w:t>甲方供应材料</w:t>
            </w:r>
          </w:p>
        </w:tc>
        <w:tc>
          <w:tcPr>
            <w:tcW w:w="1620" w:type="dxa"/>
            <w:noWrap w:val="0"/>
            <w:vAlign w:val="center"/>
          </w:tcPr>
          <w:p w14:paraId="49C93D9D">
            <w:pPr>
              <w:adjustRightInd w:val="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02FCB41B">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A84EF74">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0C34DD82">
            <w:pPr>
              <w:tabs>
                <w:tab w:val="left" w:pos="3780"/>
              </w:tabs>
              <w:adjustRightInd w:val="0"/>
              <w:ind w:firstLine="420"/>
              <w:jc w:val="center"/>
              <w:rPr>
                <w:rFonts w:hint="eastAsia" w:ascii="宋体" w:hAnsi="宋体" w:eastAsia="宋体" w:cs="宋体"/>
                <w:color w:val="auto"/>
                <w:highlight w:val="none"/>
              </w:rPr>
            </w:pPr>
          </w:p>
        </w:tc>
      </w:tr>
      <w:tr w14:paraId="764564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2695CA33">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7BE742A4">
            <w:pPr>
              <w:adjustRightInd w:val="0"/>
              <w:rPr>
                <w:rFonts w:hint="eastAsia" w:ascii="宋体" w:hAnsi="宋体" w:eastAsia="宋体" w:cs="宋体"/>
                <w:color w:val="auto"/>
                <w:highlight w:val="none"/>
              </w:rPr>
            </w:pPr>
          </w:p>
        </w:tc>
        <w:tc>
          <w:tcPr>
            <w:tcW w:w="1620" w:type="dxa"/>
            <w:noWrap w:val="0"/>
            <w:vAlign w:val="center"/>
          </w:tcPr>
          <w:p w14:paraId="540E7DBB">
            <w:pPr>
              <w:adjustRightInd w:val="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5237F2D4">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525CB0E1">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4DE87C0C">
            <w:pPr>
              <w:tabs>
                <w:tab w:val="left" w:pos="3780"/>
              </w:tabs>
              <w:adjustRightInd w:val="0"/>
              <w:ind w:firstLine="420"/>
              <w:jc w:val="center"/>
              <w:rPr>
                <w:rFonts w:hint="eastAsia" w:ascii="宋体" w:hAnsi="宋体" w:eastAsia="宋体" w:cs="宋体"/>
                <w:color w:val="auto"/>
                <w:highlight w:val="none"/>
              </w:rPr>
            </w:pPr>
          </w:p>
        </w:tc>
      </w:tr>
      <w:tr w14:paraId="3AB95F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00E9011D">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798F77FC">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218D6D94">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BA29232">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9909332">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1431D319">
            <w:pPr>
              <w:tabs>
                <w:tab w:val="left" w:pos="3780"/>
              </w:tabs>
              <w:adjustRightInd w:val="0"/>
              <w:ind w:firstLine="420"/>
              <w:jc w:val="center"/>
              <w:rPr>
                <w:rFonts w:hint="eastAsia" w:ascii="宋体" w:hAnsi="宋体" w:eastAsia="宋体" w:cs="宋体"/>
                <w:color w:val="auto"/>
                <w:highlight w:val="none"/>
              </w:rPr>
            </w:pPr>
          </w:p>
        </w:tc>
      </w:tr>
      <w:tr w14:paraId="1F0BDD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6BAC8834">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74A7DA49">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3ADA243F">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8E589EC">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519E7061">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AD242AA">
            <w:pPr>
              <w:tabs>
                <w:tab w:val="left" w:pos="3780"/>
              </w:tabs>
              <w:adjustRightInd w:val="0"/>
              <w:ind w:firstLine="420"/>
              <w:jc w:val="center"/>
              <w:rPr>
                <w:rFonts w:hint="eastAsia" w:ascii="宋体" w:hAnsi="宋体" w:eastAsia="宋体" w:cs="宋体"/>
                <w:color w:val="auto"/>
                <w:highlight w:val="none"/>
              </w:rPr>
            </w:pPr>
          </w:p>
        </w:tc>
      </w:tr>
      <w:tr w14:paraId="4D051F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5702E558">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41FF4F39">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5A8249FF">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01054C0">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12D9E71">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9ED3DE7">
            <w:pPr>
              <w:tabs>
                <w:tab w:val="left" w:pos="3780"/>
              </w:tabs>
              <w:adjustRightInd w:val="0"/>
              <w:ind w:firstLine="420"/>
              <w:jc w:val="center"/>
              <w:rPr>
                <w:rFonts w:hint="eastAsia" w:ascii="宋体" w:hAnsi="宋体" w:eastAsia="宋体" w:cs="宋体"/>
                <w:color w:val="auto"/>
                <w:highlight w:val="none"/>
              </w:rPr>
            </w:pPr>
          </w:p>
        </w:tc>
      </w:tr>
      <w:tr w14:paraId="43AAAB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1F0FDFAF">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3DF840EC">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36D05483">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8A559E2">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6BB381F">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2531A82">
            <w:pPr>
              <w:tabs>
                <w:tab w:val="left" w:pos="3780"/>
              </w:tabs>
              <w:adjustRightInd w:val="0"/>
              <w:ind w:firstLine="420"/>
              <w:jc w:val="center"/>
              <w:rPr>
                <w:rFonts w:hint="eastAsia" w:ascii="宋体" w:hAnsi="宋体" w:eastAsia="宋体" w:cs="宋体"/>
                <w:color w:val="auto"/>
                <w:highlight w:val="none"/>
              </w:rPr>
            </w:pPr>
          </w:p>
        </w:tc>
      </w:tr>
      <w:tr w14:paraId="39032A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4EA268AB">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7AD8AF78">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37E41A05">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0F13BBB">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3128D06C">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BD2921D">
            <w:pPr>
              <w:tabs>
                <w:tab w:val="left" w:pos="3780"/>
              </w:tabs>
              <w:adjustRightInd w:val="0"/>
              <w:ind w:firstLine="420"/>
              <w:jc w:val="center"/>
              <w:rPr>
                <w:rFonts w:hint="eastAsia" w:ascii="宋体" w:hAnsi="宋体" w:eastAsia="宋体" w:cs="宋体"/>
                <w:color w:val="auto"/>
                <w:highlight w:val="none"/>
              </w:rPr>
            </w:pPr>
          </w:p>
        </w:tc>
      </w:tr>
      <w:tr w14:paraId="3F2D85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617615B2">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3824CA99">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4E953557">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53DF50B">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9948E20">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39E1813">
            <w:pPr>
              <w:tabs>
                <w:tab w:val="left" w:pos="3780"/>
              </w:tabs>
              <w:adjustRightInd w:val="0"/>
              <w:ind w:firstLine="420"/>
              <w:jc w:val="center"/>
              <w:rPr>
                <w:rFonts w:hint="eastAsia" w:ascii="宋体" w:hAnsi="宋体" w:eastAsia="宋体" w:cs="宋体"/>
                <w:color w:val="auto"/>
                <w:highlight w:val="none"/>
              </w:rPr>
            </w:pPr>
          </w:p>
        </w:tc>
      </w:tr>
      <w:tr w14:paraId="7CC3D0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5A5DA3CC">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65252B2B">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602CD8E4">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6A4633EB">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AEF2098">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4DE24D9D">
            <w:pPr>
              <w:tabs>
                <w:tab w:val="left" w:pos="3780"/>
              </w:tabs>
              <w:adjustRightInd w:val="0"/>
              <w:ind w:firstLine="420"/>
              <w:jc w:val="center"/>
              <w:rPr>
                <w:rFonts w:hint="eastAsia" w:ascii="宋体" w:hAnsi="宋体" w:eastAsia="宋体" w:cs="宋体"/>
                <w:color w:val="auto"/>
                <w:highlight w:val="none"/>
              </w:rPr>
            </w:pPr>
          </w:p>
        </w:tc>
      </w:tr>
      <w:tr w14:paraId="59749E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0"/>
            <w:vAlign w:val="center"/>
          </w:tcPr>
          <w:p w14:paraId="0AD1F3B4">
            <w:pPr>
              <w:tabs>
                <w:tab w:val="left" w:pos="3780"/>
              </w:tabs>
              <w:adjustRightInd w:val="0"/>
              <w:ind w:firstLine="560"/>
              <w:jc w:val="center"/>
              <w:rPr>
                <w:rFonts w:hint="eastAsia" w:ascii="宋体" w:hAnsi="宋体" w:eastAsia="宋体" w:cs="宋体"/>
                <w:color w:val="auto"/>
                <w:highlight w:val="none"/>
              </w:rPr>
            </w:pPr>
          </w:p>
        </w:tc>
        <w:tc>
          <w:tcPr>
            <w:tcW w:w="2709" w:type="dxa"/>
            <w:noWrap w:val="0"/>
            <w:vAlign w:val="center"/>
          </w:tcPr>
          <w:p w14:paraId="1E54045A">
            <w:pPr>
              <w:tabs>
                <w:tab w:val="left" w:pos="3780"/>
              </w:tabs>
              <w:adjustRightInd w:val="0"/>
              <w:ind w:firstLine="420"/>
              <w:rPr>
                <w:rFonts w:hint="eastAsia" w:ascii="宋体" w:hAnsi="宋体" w:eastAsia="宋体" w:cs="宋体"/>
                <w:color w:val="auto"/>
                <w:highlight w:val="none"/>
              </w:rPr>
            </w:pPr>
          </w:p>
        </w:tc>
        <w:tc>
          <w:tcPr>
            <w:tcW w:w="1620" w:type="dxa"/>
            <w:noWrap w:val="0"/>
            <w:vAlign w:val="center"/>
          </w:tcPr>
          <w:p w14:paraId="712C8234">
            <w:pPr>
              <w:tabs>
                <w:tab w:val="left" w:pos="3780"/>
              </w:tabs>
              <w:adjustRightInd w:val="0"/>
              <w:ind w:firstLine="420"/>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724615CA">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2249D64D">
            <w:pPr>
              <w:tabs>
                <w:tab w:val="left" w:pos="3780"/>
              </w:tabs>
              <w:adjustRightInd w:val="0"/>
              <w:ind w:firstLine="420"/>
              <w:jc w:val="center"/>
              <w:rPr>
                <w:rFonts w:hint="eastAsia" w:ascii="宋体" w:hAnsi="宋体" w:eastAsia="宋体" w:cs="宋体"/>
                <w:color w:val="auto"/>
                <w:highlight w:val="none"/>
              </w:rPr>
            </w:pPr>
          </w:p>
        </w:tc>
        <w:tc>
          <w:tcPr>
            <w:tcW w:w="1440" w:type="dxa"/>
            <w:tcBorders>
              <w:top w:val="single" w:color="auto" w:sz="6" w:space="0"/>
              <w:bottom w:val="single" w:color="auto" w:sz="6" w:space="0"/>
            </w:tcBorders>
            <w:noWrap w:val="0"/>
            <w:vAlign w:val="center"/>
          </w:tcPr>
          <w:p w14:paraId="0A36DC6D">
            <w:pPr>
              <w:tabs>
                <w:tab w:val="left" w:pos="3780"/>
              </w:tabs>
              <w:adjustRightInd w:val="0"/>
              <w:ind w:firstLine="420"/>
              <w:jc w:val="center"/>
              <w:rPr>
                <w:rFonts w:hint="eastAsia" w:ascii="宋体" w:hAnsi="宋体" w:eastAsia="宋体" w:cs="宋体"/>
                <w:color w:val="auto"/>
                <w:highlight w:val="none"/>
              </w:rPr>
            </w:pPr>
          </w:p>
        </w:tc>
      </w:tr>
      <w:tr w14:paraId="4D2E5E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0"/>
            <w:vAlign w:val="center"/>
          </w:tcPr>
          <w:p w14:paraId="2118B3E9">
            <w:pPr>
              <w:tabs>
                <w:tab w:val="left" w:pos="3780"/>
              </w:tabs>
              <w:adjustRightInd w:val="0"/>
              <w:ind w:firstLine="560"/>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1440" w:type="dxa"/>
            <w:tcBorders>
              <w:top w:val="single" w:color="auto" w:sz="6" w:space="0"/>
              <w:left w:val="single" w:color="auto" w:sz="6" w:space="0"/>
              <w:bottom w:val="single" w:color="auto" w:sz="8" w:space="0"/>
            </w:tcBorders>
            <w:noWrap w:val="0"/>
            <w:vAlign w:val="center"/>
          </w:tcPr>
          <w:p w14:paraId="188D736C">
            <w:pPr>
              <w:keepNext/>
              <w:keepLines/>
              <w:tabs>
                <w:tab w:val="left" w:pos="3780"/>
              </w:tabs>
              <w:adjustRightInd w:val="0"/>
              <w:spacing w:before="340" w:after="330" w:line="576" w:lineRule="auto"/>
              <w:ind w:firstLine="420"/>
              <w:jc w:val="center"/>
              <w:outlineLvl w:val="0"/>
              <w:rPr>
                <w:rFonts w:hint="eastAsia" w:ascii="宋体" w:hAnsi="宋体" w:eastAsia="宋体" w:cs="宋体"/>
                <w:color w:val="auto"/>
                <w:highlight w:val="none"/>
              </w:rPr>
            </w:pPr>
          </w:p>
        </w:tc>
      </w:tr>
    </w:tbl>
    <w:p w14:paraId="45523FFC">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注：表中（1）～（4）由招标人按需要提出。</w:t>
      </w:r>
    </w:p>
    <w:p w14:paraId="0F79B667">
      <w:pPr>
        <w:widowControl/>
        <w:tabs>
          <w:tab w:val="center" w:pos="4755"/>
          <w:tab w:val="right" w:pos="9070"/>
        </w:tabs>
        <w:adjustRightInd w:val="0"/>
        <w:rPr>
          <w:rFonts w:hint="eastAsia" w:ascii="宋体" w:hAnsi="宋体" w:eastAsia="宋体" w:cs="宋体"/>
          <w:color w:val="auto"/>
          <w:szCs w:val="28"/>
          <w:highlight w:val="none"/>
        </w:rPr>
      </w:pPr>
    </w:p>
    <w:p w14:paraId="34804925">
      <w:pPr>
        <w:widowControl/>
        <w:adjustRightInd w:val="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表1-5  主要工日价格表</w:t>
      </w:r>
    </w:p>
    <w:p w14:paraId="1B8B4DBD">
      <w:pPr>
        <w:widowControl/>
        <w:tabs>
          <w:tab w:val="center" w:pos="4755"/>
          <w:tab w:val="right" w:pos="9070"/>
        </w:tabs>
        <w:adjustRightInd w:val="0"/>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工程名称：                                           第  页共  页</w:t>
      </w:r>
    </w:p>
    <w:tbl>
      <w:tblPr>
        <w:tblStyle w:val="16"/>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3010"/>
        <w:gridCol w:w="1297"/>
        <w:gridCol w:w="1730"/>
        <w:gridCol w:w="2380"/>
      </w:tblGrid>
      <w:tr w14:paraId="6FBE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1100" w:type="dxa"/>
            <w:tcBorders>
              <w:bottom w:val="single" w:color="auto" w:sz="4" w:space="0"/>
            </w:tcBorders>
            <w:noWrap w:val="0"/>
            <w:vAlign w:val="center"/>
          </w:tcPr>
          <w:p w14:paraId="40CCC7E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10" w:type="dxa"/>
            <w:tcBorders>
              <w:bottom w:val="single" w:color="auto" w:sz="4" w:space="0"/>
            </w:tcBorders>
            <w:noWrap w:val="0"/>
            <w:vAlign w:val="center"/>
          </w:tcPr>
          <w:p w14:paraId="1E858E2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工  种</w:t>
            </w:r>
          </w:p>
        </w:tc>
        <w:tc>
          <w:tcPr>
            <w:tcW w:w="1297" w:type="dxa"/>
            <w:tcBorders>
              <w:bottom w:val="single" w:color="auto" w:sz="4" w:space="0"/>
            </w:tcBorders>
            <w:noWrap w:val="0"/>
            <w:vAlign w:val="center"/>
          </w:tcPr>
          <w:p w14:paraId="0C5CA45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730" w:type="dxa"/>
            <w:tcBorders>
              <w:bottom w:val="single" w:color="auto" w:sz="4" w:space="0"/>
            </w:tcBorders>
            <w:noWrap w:val="0"/>
            <w:vAlign w:val="center"/>
          </w:tcPr>
          <w:p w14:paraId="6A2A0743">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 量</w:t>
            </w:r>
          </w:p>
        </w:tc>
        <w:tc>
          <w:tcPr>
            <w:tcW w:w="2380" w:type="dxa"/>
            <w:tcBorders>
              <w:bottom w:val="single" w:color="auto" w:sz="4" w:space="0"/>
            </w:tcBorders>
            <w:noWrap w:val="0"/>
            <w:vAlign w:val="center"/>
          </w:tcPr>
          <w:p w14:paraId="4C467370">
            <w:pPr>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 价（元）</w:t>
            </w:r>
          </w:p>
        </w:tc>
      </w:tr>
      <w:tr w14:paraId="75A5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06EFF013">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10" w:type="dxa"/>
            <w:noWrap w:val="0"/>
            <w:vAlign w:val="top"/>
          </w:tcPr>
          <w:p w14:paraId="15221D2C">
            <w:pPr>
              <w:widowControl/>
              <w:tabs>
                <w:tab w:val="center" w:pos="4755"/>
                <w:tab w:val="right" w:pos="9070"/>
              </w:tabs>
              <w:adjustRightInd w:val="0"/>
              <w:spacing w:before="100" w:beforeAutospacing="1" w:after="100" w:afterAutospacing="1"/>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297" w:type="dxa"/>
            <w:noWrap w:val="0"/>
            <w:vAlign w:val="top"/>
          </w:tcPr>
          <w:p w14:paraId="582C8C8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730" w:type="dxa"/>
            <w:noWrap w:val="0"/>
            <w:vAlign w:val="top"/>
          </w:tcPr>
          <w:p w14:paraId="69B9447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7FF58A9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DF6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22F47FB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1DD11C3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2BBC094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501FC7C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01B6A69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52C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2E26D1A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64E6AF1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5A317ED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7EBC1A3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72AC347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6AF1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1F123D5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5D05838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5023E25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2CCE30E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198D7D8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226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4014DEC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2A4928E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3B470B0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1019E78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01069CE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34D9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0EBE95F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333A370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076BD52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5010B1F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30F787F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7FD3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39BB9C7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0F9A4DB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17F8DA1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5141A15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631026D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6B7E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69B423E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02E361F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0CBC15A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3C5E7EC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7AA9916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6E43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3CF7A5D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533D314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4BA0339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01C8FD7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49598BB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43A6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100" w:type="dxa"/>
            <w:noWrap w:val="0"/>
            <w:vAlign w:val="top"/>
          </w:tcPr>
          <w:p w14:paraId="08E7211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23CA6C6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7595804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76DD1B8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46D4C10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700D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100" w:type="dxa"/>
            <w:noWrap w:val="0"/>
            <w:vAlign w:val="top"/>
          </w:tcPr>
          <w:p w14:paraId="2E2C77B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10" w:type="dxa"/>
            <w:noWrap w:val="0"/>
            <w:vAlign w:val="top"/>
          </w:tcPr>
          <w:p w14:paraId="25F6664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97" w:type="dxa"/>
            <w:noWrap w:val="0"/>
            <w:vAlign w:val="top"/>
          </w:tcPr>
          <w:p w14:paraId="5538523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730" w:type="dxa"/>
            <w:noWrap w:val="0"/>
            <w:vAlign w:val="top"/>
          </w:tcPr>
          <w:p w14:paraId="4E197FB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80" w:type="dxa"/>
            <w:noWrap w:val="0"/>
            <w:vAlign w:val="top"/>
          </w:tcPr>
          <w:p w14:paraId="060A5FC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29D4EA4F">
      <w:pPr>
        <w:widowControl/>
        <w:tabs>
          <w:tab w:val="center" w:pos="4755"/>
          <w:tab w:val="right" w:pos="9070"/>
        </w:tabs>
        <w:adjustRightInd w:val="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注：本表（1）、（2）栏由招标人按需要提出。</w:t>
      </w:r>
    </w:p>
    <w:p w14:paraId="2899F6F4">
      <w:pPr>
        <w:widowControl/>
        <w:tabs>
          <w:tab w:val="center" w:pos="4755"/>
          <w:tab w:val="right" w:pos="9070"/>
        </w:tabs>
        <w:adjustRightInd w:val="0"/>
        <w:ind w:firstLine="210" w:firstLineChars="100"/>
        <w:rPr>
          <w:rFonts w:hint="eastAsia" w:ascii="宋体" w:hAnsi="宋体" w:eastAsia="宋体" w:cs="宋体"/>
          <w:color w:val="auto"/>
          <w:highlight w:val="none"/>
        </w:rPr>
      </w:pPr>
    </w:p>
    <w:p w14:paraId="6BBEC16E">
      <w:pPr>
        <w:widowControl/>
        <w:tabs>
          <w:tab w:val="center" w:pos="4755"/>
          <w:tab w:val="right" w:pos="9070"/>
        </w:tabs>
        <w:adjustRightInd w:val="0"/>
        <w:ind w:firstLine="210" w:firstLineChars="100"/>
        <w:rPr>
          <w:rFonts w:hint="eastAsia" w:ascii="宋体" w:hAnsi="宋体" w:eastAsia="宋体" w:cs="宋体"/>
          <w:color w:val="auto"/>
          <w:highlight w:val="none"/>
        </w:rPr>
      </w:pPr>
    </w:p>
    <w:p w14:paraId="49CE95D7">
      <w:pPr>
        <w:widowControl/>
        <w:tabs>
          <w:tab w:val="center" w:pos="4755"/>
          <w:tab w:val="right" w:pos="9070"/>
        </w:tabs>
        <w:spacing w:before="100" w:beforeAutospacing="1" w:after="100" w:afterAutospacing="1"/>
        <w:ind w:firstLine="321" w:firstLineChars="100"/>
        <w:jc w:val="center"/>
        <w:rPr>
          <w:rFonts w:hint="eastAsia" w:ascii="宋体" w:hAnsi="宋体" w:eastAsia="宋体" w:cs="宋体"/>
          <w:b/>
          <w:color w:val="auto"/>
          <w:sz w:val="32"/>
          <w:szCs w:val="32"/>
          <w:highlight w:val="none"/>
        </w:rPr>
        <w:sectPr>
          <w:pgSz w:w="12240" w:h="15840"/>
          <w:pgMar w:top="1304" w:right="964" w:bottom="964" w:left="1531" w:header="720" w:footer="720" w:gutter="0"/>
          <w:cols w:space="720" w:num="1"/>
          <w:docGrid w:linePitch="312" w:charSpace="0"/>
        </w:sectPr>
      </w:pPr>
    </w:p>
    <w:p w14:paraId="766B0DBE">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表1-6  主要材料及设备价格表</w:t>
      </w:r>
    </w:p>
    <w:p w14:paraId="37BBF1E8">
      <w:pPr>
        <w:widowControl/>
        <w:tabs>
          <w:tab w:val="center" w:pos="4755"/>
          <w:tab w:val="right" w:pos="9070"/>
        </w:tabs>
        <w:adjustRightInd w:val="0"/>
        <w:ind w:left="-359" w:leftChars="-171"/>
        <w:rPr>
          <w:rFonts w:hint="eastAsia" w:ascii="宋体" w:hAnsi="宋体" w:eastAsia="宋体" w:cs="宋体"/>
          <w:b/>
          <w:color w:val="auto"/>
          <w:highlight w:val="none"/>
        </w:rPr>
      </w:pPr>
      <w:r>
        <w:rPr>
          <w:rFonts w:hint="eastAsia" w:ascii="宋体" w:hAnsi="宋体" w:eastAsia="宋体" w:cs="宋体"/>
          <w:color w:val="auto"/>
          <w:highlight w:val="none"/>
        </w:rPr>
        <w:t>工程名称：                                                           第  页 共  页</w:t>
      </w:r>
    </w:p>
    <w:tbl>
      <w:tblPr>
        <w:tblStyle w:val="1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5B0B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bottom w:val="single" w:color="auto" w:sz="4" w:space="0"/>
            </w:tcBorders>
            <w:noWrap w:val="0"/>
            <w:vAlign w:val="center"/>
          </w:tcPr>
          <w:p w14:paraId="31FC766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080" w:type="dxa"/>
            <w:tcBorders>
              <w:bottom w:val="single" w:color="auto" w:sz="4" w:space="0"/>
            </w:tcBorders>
            <w:noWrap w:val="0"/>
            <w:vAlign w:val="center"/>
          </w:tcPr>
          <w:p w14:paraId="2C3AF86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编码</w:t>
            </w:r>
          </w:p>
        </w:tc>
        <w:tc>
          <w:tcPr>
            <w:tcW w:w="1800" w:type="dxa"/>
            <w:tcBorders>
              <w:bottom w:val="single" w:color="auto" w:sz="4" w:space="0"/>
            </w:tcBorders>
            <w:noWrap w:val="0"/>
            <w:vAlign w:val="center"/>
          </w:tcPr>
          <w:p w14:paraId="036491C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材料或设备名称</w:t>
            </w:r>
          </w:p>
        </w:tc>
        <w:tc>
          <w:tcPr>
            <w:tcW w:w="1260" w:type="dxa"/>
            <w:tcBorders>
              <w:bottom w:val="single" w:color="auto" w:sz="4" w:space="0"/>
            </w:tcBorders>
            <w:noWrap w:val="0"/>
            <w:vAlign w:val="center"/>
          </w:tcPr>
          <w:p w14:paraId="7ACD190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1260" w:type="dxa"/>
            <w:tcBorders>
              <w:bottom w:val="single" w:color="auto" w:sz="4" w:space="0"/>
            </w:tcBorders>
            <w:noWrap w:val="0"/>
            <w:vAlign w:val="center"/>
          </w:tcPr>
          <w:p w14:paraId="2B7FADC3">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260" w:type="dxa"/>
            <w:tcBorders>
              <w:bottom w:val="single" w:color="auto" w:sz="4" w:space="0"/>
            </w:tcBorders>
            <w:noWrap w:val="0"/>
            <w:vAlign w:val="center"/>
          </w:tcPr>
          <w:p w14:paraId="335F895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260" w:type="dxa"/>
            <w:tcBorders>
              <w:bottom w:val="single" w:color="auto" w:sz="4" w:space="0"/>
            </w:tcBorders>
            <w:noWrap w:val="0"/>
            <w:vAlign w:val="center"/>
          </w:tcPr>
          <w:p w14:paraId="70359BE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c>
          <w:tcPr>
            <w:tcW w:w="1260" w:type="dxa"/>
            <w:tcBorders>
              <w:bottom w:val="single" w:color="auto" w:sz="4" w:space="0"/>
            </w:tcBorders>
            <w:noWrap w:val="0"/>
            <w:vAlign w:val="center"/>
          </w:tcPr>
          <w:p w14:paraId="5202567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备 注</w:t>
            </w:r>
          </w:p>
        </w:tc>
      </w:tr>
      <w:tr w14:paraId="4C87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center"/>
          </w:tcPr>
          <w:p w14:paraId="0C16441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080" w:type="dxa"/>
            <w:noWrap w:val="0"/>
            <w:vAlign w:val="center"/>
          </w:tcPr>
          <w:p w14:paraId="1831D89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800" w:type="dxa"/>
            <w:noWrap w:val="0"/>
            <w:vAlign w:val="center"/>
          </w:tcPr>
          <w:p w14:paraId="3C9EEC1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1260" w:type="dxa"/>
            <w:noWrap w:val="0"/>
            <w:vAlign w:val="center"/>
          </w:tcPr>
          <w:p w14:paraId="21BAACC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260" w:type="dxa"/>
            <w:noWrap w:val="0"/>
            <w:vAlign w:val="center"/>
          </w:tcPr>
          <w:p w14:paraId="599E160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1260" w:type="dxa"/>
            <w:noWrap w:val="0"/>
            <w:vAlign w:val="center"/>
          </w:tcPr>
          <w:p w14:paraId="6F23855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23ACCC9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60" w:type="dxa"/>
            <w:noWrap w:val="0"/>
            <w:vAlign w:val="center"/>
          </w:tcPr>
          <w:p w14:paraId="2E7A074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r>
      <w:tr w14:paraId="0509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0122E92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07AA28E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7212A03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182FF8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26D173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AF7BD8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82F4A7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A066A8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4779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21566A9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359E56F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44E2D9D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28F1C5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BA1459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1AF398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6CDEFF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7A5A3E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0977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5029CB3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133306E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328E814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364CF7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B9FBA1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7A4459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A84155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D87B18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12AD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2711067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7BE1F9B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448BE7E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C86AD7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4C81FF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86D322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A2CF54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9181DA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2C7F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6349E76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01FB21B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1F14765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8322C4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A9ABAF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AD6135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8C8F47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084AE1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1A18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7FCE034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6EAAE01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0BD38C3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B2622C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096FE6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61116A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30E5532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BDA6CC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25A2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0686D4B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6C31C23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15A9403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279A35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319167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68E5F4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4A9E2A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AAA14D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0C89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30CAF00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786C52F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01968D2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712B8F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AD9FA8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435FA0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B5DEE1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FD3895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1675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67BE7D5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3B29F0E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29EADA3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9448D0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9A5DBB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0F707E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967672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8DFC05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05ED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445114B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219488C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64F429F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2696E4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5C0044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D616D8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E520BD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59B30C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05CA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noWrap w:val="0"/>
            <w:vAlign w:val="top"/>
          </w:tcPr>
          <w:p w14:paraId="67A1B54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top"/>
          </w:tcPr>
          <w:p w14:paraId="4E51761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800" w:type="dxa"/>
            <w:noWrap w:val="0"/>
            <w:vAlign w:val="top"/>
          </w:tcPr>
          <w:p w14:paraId="49A7CEA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060BC4D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FC4630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339E98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65843C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7E65DA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44DE8DD3">
      <w:pPr>
        <w:widowControl/>
        <w:tabs>
          <w:tab w:val="left" w:pos="1470"/>
        </w:tabs>
        <w:adjustRightInd w:val="0"/>
        <w:ind w:left="420" w:hanging="420" w:hangingChars="200"/>
        <w:rPr>
          <w:rFonts w:hint="eastAsia" w:ascii="宋体" w:hAnsi="宋体" w:eastAsia="宋体" w:cs="宋体"/>
          <w:color w:val="auto"/>
          <w:highlight w:val="none"/>
        </w:rPr>
      </w:pPr>
      <w:r>
        <w:rPr>
          <w:rFonts w:hint="eastAsia" w:ascii="宋体" w:hAnsi="宋体" w:eastAsia="宋体" w:cs="宋体"/>
          <w:color w:val="auto"/>
          <w:highlight w:val="none"/>
        </w:rPr>
        <w:t>注：1、表（1）（2）（3）（5）（6）栏由招标人按需要提出，供应商可补充。</w:t>
      </w:r>
    </w:p>
    <w:p w14:paraId="73EB6568">
      <w:pPr>
        <w:widowControl/>
        <w:tabs>
          <w:tab w:val="center" w:pos="4755"/>
          <w:tab w:val="right" w:pos="9070"/>
        </w:tabs>
        <w:adjustRightInd w:val="0"/>
        <w:ind w:left="227" w:leftChars="108"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2、本表的材料及设备包括原材料、燃料、构配件以及按规定应计入建筑安装工程造价的设备。</w:t>
      </w:r>
    </w:p>
    <w:p w14:paraId="174AE20F">
      <w:pPr>
        <w:widowControl/>
        <w:tabs>
          <w:tab w:val="center" w:pos="4755"/>
          <w:tab w:val="right" w:pos="9070"/>
        </w:tabs>
        <w:ind w:firstLine="315" w:firstLineChars="150"/>
        <w:rPr>
          <w:rFonts w:hint="eastAsia" w:ascii="宋体" w:hAnsi="宋体" w:eastAsia="宋体" w:cs="宋体"/>
          <w:color w:val="auto"/>
          <w:highlight w:val="none"/>
        </w:rPr>
        <w:sectPr>
          <w:pgSz w:w="12240" w:h="15840"/>
          <w:pgMar w:top="1304" w:right="964" w:bottom="964" w:left="1531" w:header="720" w:footer="720" w:gutter="0"/>
          <w:cols w:space="720" w:num="1"/>
          <w:docGrid w:linePitch="312" w:charSpace="0"/>
        </w:sectPr>
      </w:pPr>
      <w:r>
        <w:rPr>
          <w:rFonts w:hint="eastAsia" w:ascii="宋体" w:hAnsi="宋体" w:eastAsia="宋体" w:cs="宋体"/>
          <w:color w:val="auto"/>
          <w:highlight w:val="none"/>
        </w:rPr>
        <w:t xml:space="preserve"> 3、招标人指定、提供或暂定的材料和设备，按杭州市工程量清单计价实施细则的规定填写。</w:t>
      </w:r>
    </w:p>
    <w:p w14:paraId="239B61B7">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表1-7  主要机械台班价格表</w:t>
      </w:r>
    </w:p>
    <w:p w14:paraId="43C51469">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工程名称：第  页共  页</w:t>
      </w:r>
    </w:p>
    <w:tbl>
      <w:tblPr>
        <w:tblStyle w:val="1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19DA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noWrap w:val="0"/>
            <w:vAlign w:val="center"/>
          </w:tcPr>
          <w:p w14:paraId="751ABD5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60" w:type="dxa"/>
            <w:noWrap w:val="0"/>
            <w:vAlign w:val="center"/>
          </w:tcPr>
          <w:p w14:paraId="1A01080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机械设备名称</w:t>
            </w:r>
          </w:p>
        </w:tc>
        <w:tc>
          <w:tcPr>
            <w:tcW w:w="1244" w:type="dxa"/>
            <w:noWrap w:val="0"/>
            <w:vAlign w:val="center"/>
          </w:tcPr>
          <w:p w14:paraId="6C9DBF4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260" w:type="dxa"/>
            <w:noWrap w:val="0"/>
            <w:vAlign w:val="center"/>
          </w:tcPr>
          <w:p w14:paraId="196EA54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2340" w:type="dxa"/>
            <w:noWrap w:val="0"/>
            <w:vAlign w:val="center"/>
          </w:tcPr>
          <w:p w14:paraId="0086E19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r>
      <w:tr w14:paraId="285E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center"/>
          </w:tcPr>
          <w:p w14:paraId="7B8765F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60" w:type="dxa"/>
            <w:noWrap w:val="0"/>
            <w:vAlign w:val="center"/>
          </w:tcPr>
          <w:p w14:paraId="115B0B4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244" w:type="dxa"/>
            <w:noWrap w:val="0"/>
            <w:vAlign w:val="center"/>
          </w:tcPr>
          <w:p w14:paraId="19AA739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台班</w:t>
            </w:r>
          </w:p>
        </w:tc>
        <w:tc>
          <w:tcPr>
            <w:tcW w:w="1260" w:type="dxa"/>
            <w:noWrap w:val="0"/>
            <w:vAlign w:val="top"/>
          </w:tcPr>
          <w:p w14:paraId="1E4FBD9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2340" w:type="dxa"/>
            <w:noWrap w:val="0"/>
            <w:vAlign w:val="top"/>
          </w:tcPr>
          <w:p w14:paraId="37D612D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201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2290876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65A21E7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188E20D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F02F92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51273DF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0D41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493BF70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0F5961E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7C535FD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6B90E80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10E7CC1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7002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01A9909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738159D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7CF6FA2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304D90B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7515888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144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49CBCD9A">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355994A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218FC3E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EAE8223">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570A2B6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6536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142C3B7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5AEFA02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30AB5D0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421FE91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388DE89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6BA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048FC32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6E80DF6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23D5335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EDAE93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000A0B4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3FF1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430C5A9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79EB02C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7E448FA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F22551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453E877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69CA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6251448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679DCF5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08302F4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1A24C8C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218BA57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5414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4BFC734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4F0A515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7645CC8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2D88674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3959F8D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2D7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403E224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05409B45">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6FAAEA0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4BA402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7299E6C6">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4F5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1AC3CAF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204A72A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47A2444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784738FB">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5B5BE1F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4994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1EBFF3DD">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44D7DE1F">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787358E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87F0BC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3D93EBB0">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3A06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noWrap w:val="0"/>
            <w:vAlign w:val="top"/>
          </w:tcPr>
          <w:p w14:paraId="23E81771">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3060" w:type="dxa"/>
            <w:noWrap w:val="0"/>
            <w:vAlign w:val="top"/>
          </w:tcPr>
          <w:p w14:paraId="2E3F3938">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44" w:type="dxa"/>
            <w:noWrap w:val="0"/>
            <w:vAlign w:val="top"/>
          </w:tcPr>
          <w:p w14:paraId="17588A9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260" w:type="dxa"/>
            <w:noWrap w:val="0"/>
            <w:vAlign w:val="top"/>
          </w:tcPr>
          <w:p w14:paraId="5F27752E">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2340" w:type="dxa"/>
            <w:noWrap w:val="0"/>
            <w:vAlign w:val="top"/>
          </w:tcPr>
          <w:p w14:paraId="3F1FCF04">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54DA8C17">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注：表（1）（2）由招标人按需要提出，供应商可补充。</w:t>
      </w:r>
    </w:p>
    <w:p w14:paraId="7661456B">
      <w:pPr>
        <w:widowControl/>
        <w:tabs>
          <w:tab w:val="center" w:pos="4755"/>
          <w:tab w:val="right" w:pos="9070"/>
        </w:tabs>
        <w:adjustRightInd w:val="0"/>
        <w:ind w:firstLine="210" w:firstLineChars="100"/>
        <w:rPr>
          <w:rFonts w:hint="eastAsia" w:ascii="宋体" w:hAnsi="宋体" w:eastAsia="宋体" w:cs="宋体"/>
          <w:color w:val="auto"/>
          <w:szCs w:val="28"/>
          <w:highlight w:val="none"/>
        </w:rPr>
      </w:pPr>
    </w:p>
    <w:p w14:paraId="179FE1A7">
      <w:pPr>
        <w:widowControl/>
        <w:tabs>
          <w:tab w:val="center" w:pos="4755"/>
          <w:tab w:val="right" w:pos="9070"/>
        </w:tabs>
        <w:spacing w:before="100" w:beforeAutospacing="1" w:after="100" w:afterAutospacing="1"/>
        <w:ind w:firstLine="321" w:firstLineChars="100"/>
        <w:jc w:val="center"/>
        <w:rPr>
          <w:rFonts w:hint="eastAsia" w:ascii="宋体" w:hAnsi="宋体" w:eastAsia="宋体" w:cs="宋体"/>
          <w:b/>
          <w:color w:val="auto"/>
          <w:sz w:val="32"/>
          <w:szCs w:val="32"/>
          <w:highlight w:val="none"/>
        </w:rPr>
        <w:sectPr>
          <w:pgSz w:w="12240" w:h="15840"/>
          <w:pgMar w:top="1304" w:right="964" w:bottom="964" w:left="1531" w:header="720" w:footer="720" w:gutter="0"/>
          <w:cols w:space="720" w:num="1"/>
          <w:docGrid w:linePitch="312" w:charSpace="0"/>
        </w:sectPr>
      </w:pPr>
    </w:p>
    <w:p w14:paraId="03D2A7DB">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表2-1  分部分项工程量清单综合单价分析表</w:t>
      </w:r>
    </w:p>
    <w:p w14:paraId="13A07FD5">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工程名称：                                                                                           第   页共   页</w:t>
      </w:r>
    </w:p>
    <w:tbl>
      <w:tblPr>
        <w:tblStyle w:val="16"/>
        <w:tblW w:w="148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6"/>
        <w:gridCol w:w="1587"/>
        <w:gridCol w:w="992"/>
        <w:gridCol w:w="902"/>
        <w:gridCol w:w="1080"/>
        <w:gridCol w:w="1080"/>
        <w:gridCol w:w="1080"/>
        <w:gridCol w:w="1080"/>
        <w:gridCol w:w="900"/>
        <w:gridCol w:w="1080"/>
        <w:gridCol w:w="1080"/>
        <w:gridCol w:w="413"/>
        <w:gridCol w:w="791"/>
        <w:gridCol w:w="413"/>
      </w:tblGrid>
      <w:tr w14:paraId="7705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cantSplit/>
          <w:trHeight w:val="620" w:hRule="atLeast"/>
        </w:trPr>
        <w:tc>
          <w:tcPr>
            <w:tcW w:w="720" w:type="dxa"/>
            <w:vMerge w:val="restart"/>
            <w:noWrap w:val="0"/>
            <w:vAlign w:val="center"/>
          </w:tcPr>
          <w:p w14:paraId="0A5479E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686" w:type="dxa"/>
            <w:vMerge w:val="restart"/>
            <w:noWrap w:val="0"/>
            <w:vAlign w:val="center"/>
          </w:tcPr>
          <w:p w14:paraId="7AEECAD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编号</w:t>
            </w:r>
          </w:p>
        </w:tc>
        <w:tc>
          <w:tcPr>
            <w:tcW w:w="1587" w:type="dxa"/>
            <w:vMerge w:val="restart"/>
            <w:noWrap w:val="0"/>
            <w:vAlign w:val="center"/>
          </w:tcPr>
          <w:p w14:paraId="1941FED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名称</w:t>
            </w:r>
          </w:p>
        </w:tc>
        <w:tc>
          <w:tcPr>
            <w:tcW w:w="992" w:type="dxa"/>
            <w:vMerge w:val="restart"/>
            <w:noWrap w:val="0"/>
            <w:vAlign w:val="center"/>
          </w:tcPr>
          <w:p w14:paraId="27D9380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902" w:type="dxa"/>
            <w:vMerge w:val="restart"/>
            <w:noWrap w:val="0"/>
            <w:vAlign w:val="center"/>
          </w:tcPr>
          <w:p w14:paraId="1CE6E4B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7380" w:type="dxa"/>
            <w:gridSpan w:val="7"/>
            <w:noWrap w:val="0"/>
            <w:vAlign w:val="center"/>
          </w:tcPr>
          <w:p w14:paraId="76950543">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综  合  单  价（元）</w:t>
            </w:r>
          </w:p>
        </w:tc>
        <w:tc>
          <w:tcPr>
            <w:tcW w:w="1204" w:type="dxa"/>
            <w:gridSpan w:val="2"/>
            <w:vMerge w:val="restart"/>
            <w:noWrap w:val="0"/>
            <w:vAlign w:val="center"/>
          </w:tcPr>
          <w:p w14:paraId="7B1351E8">
            <w:pPr>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合计(元)</w:t>
            </w:r>
          </w:p>
        </w:tc>
      </w:tr>
      <w:tr w14:paraId="2073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cantSplit/>
          <w:trHeight w:val="620" w:hRule="atLeast"/>
        </w:trPr>
        <w:tc>
          <w:tcPr>
            <w:tcW w:w="720" w:type="dxa"/>
            <w:vMerge w:val="continue"/>
            <w:noWrap w:val="0"/>
            <w:vAlign w:val="top"/>
          </w:tcPr>
          <w:p w14:paraId="55E9A75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686" w:type="dxa"/>
            <w:vMerge w:val="continue"/>
            <w:noWrap w:val="0"/>
            <w:vAlign w:val="top"/>
          </w:tcPr>
          <w:p w14:paraId="66B7E0AC">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587" w:type="dxa"/>
            <w:vMerge w:val="continue"/>
            <w:noWrap w:val="0"/>
            <w:vAlign w:val="top"/>
          </w:tcPr>
          <w:p w14:paraId="01E35E79">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992" w:type="dxa"/>
            <w:vMerge w:val="continue"/>
            <w:noWrap w:val="0"/>
            <w:vAlign w:val="top"/>
          </w:tcPr>
          <w:p w14:paraId="1D9812C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902" w:type="dxa"/>
            <w:vMerge w:val="continue"/>
            <w:noWrap w:val="0"/>
            <w:vAlign w:val="top"/>
          </w:tcPr>
          <w:p w14:paraId="3054BA4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c>
          <w:tcPr>
            <w:tcW w:w="1080" w:type="dxa"/>
            <w:noWrap w:val="0"/>
            <w:vAlign w:val="center"/>
          </w:tcPr>
          <w:p w14:paraId="4B7113F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人工费</w:t>
            </w:r>
          </w:p>
        </w:tc>
        <w:tc>
          <w:tcPr>
            <w:tcW w:w="1080" w:type="dxa"/>
            <w:noWrap w:val="0"/>
            <w:vAlign w:val="center"/>
          </w:tcPr>
          <w:p w14:paraId="1330852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材料费</w:t>
            </w:r>
          </w:p>
        </w:tc>
        <w:tc>
          <w:tcPr>
            <w:tcW w:w="1080" w:type="dxa"/>
            <w:noWrap w:val="0"/>
            <w:vAlign w:val="center"/>
          </w:tcPr>
          <w:p w14:paraId="6238D8A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机械费</w:t>
            </w:r>
          </w:p>
        </w:tc>
        <w:tc>
          <w:tcPr>
            <w:tcW w:w="1080" w:type="dxa"/>
            <w:noWrap w:val="0"/>
            <w:vAlign w:val="center"/>
          </w:tcPr>
          <w:p w14:paraId="5D7D876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900" w:type="dxa"/>
            <w:noWrap w:val="0"/>
            <w:vAlign w:val="center"/>
          </w:tcPr>
          <w:p w14:paraId="3C70F3A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利润</w:t>
            </w:r>
          </w:p>
        </w:tc>
        <w:tc>
          <w:tcPr>
            <w:tcW w:w="1080" w:type="dxa"/>
            <w:noWrap w:val="0"/>
            <w:vAlign w:val="center"/>
          </w:tcPr>
          <w:p w14:paraId="788380A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风险费用</w:t>
            </w:r>
          </w:p>
        </w:tc>
        <w:tc>
          <w:tcPr>
            <w:tcW w:w="1080" w:type="dxa"/>
            <w:noWrap w:val="0"/>
            <w:vAlign w:val="center"/>
          </w:tcPr>
          <w:p w14:paraId="66784D0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204" w:type="dxa"/>
            <w:gridSpan w:val="2"/>
            <w:vMerge w:val="continue"/>
            <w:noWrap w:val="0"/>
            <w:vAlign w:val="top"/>
          </w:tcPr>
          <w:p w14:paraId="15714967">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r w14:paraId="56C7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top"/>
          </w:tcPr>
          <w:p w14:paraId="252777D8">
            <w:pPr>
              <w:keepNext/>
              <w:keepLines/>
              <w:widowControl/>
              <w:tabs>
                <w:tab w:val="center" w:pos="4755"/>
                <w:tab w:val="right" w:pos="9070"/>
              </w:tabs>
              <w:adjustRightInd w:val="0"/>
              <w:spacing w:before="100" w:beforeAutospacing="1" w:after="100" w:afterAutospacing="1" w:line="576" w:lineRule="auto"/>
              <w:ind w:firstLine="315" w:firstLineChars="150"/>
              <w:outlineLvl w:val="0"/>
              <w:rPr>
                <w:rFonts w:hint="eastAsia" w:ascii="宋体" w:hAnsi="宋体" w:eastAsia="宋体" w:cs="宋体"/>
                <w:color w:val="auto"/>
                <w:highlight w:val="none"/>
              </w:rPr>
            </w:pPr>
          </w:p>
        </w:tc>
        <w:tc>
          <w:tcPr>
            <w:tcW w:w="1686" w:type="dxa"/>
            <w:noWrap w:val="0"/>
            <w:vAlign w:val="top"/>
          </w:tcPr>
          <w:p w14:paraId="2B1BC94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587" w:type="dxa"/>
            <w:noWrap w:val="0"/>
            <w:vAlign w:val="top"/>
          </w:tcPr>
          <w:p w14:paraId="753F7F4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992" w:type="dxa"/>
            <w:noWrap w:val="0"/>
            <w:vAlign w:val="top"/>
          </w:tcPr>
          <w:p w14:paraId="5C7C529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902" w:type="dxa"/>
            <w:noWrap w:val="0"/>
            <w:vAlign w:val="top"/>
          </w:tcPr>
          <w:p w14:paraId="748B691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080" w:type="dxa"/>
            <w:noWrap w:val="0"/>
            <w:vAlign w:val="top"/>
          </w:tcPr>
          <w:p w14:paraId="673B87C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1080" w:type="dxa"/>
            <w:noWrap w:val="0"/>
            <w:vAlign w:val="top"/>
          </w:tcPr>
          <w:p w14:paraId="15CE8BE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1080" w:type="dxa"/>
            <w:noWrap w:val="0"/>
            <w:vAlign w:val="top"/>
          </w:tcPr>
          <w:p w14:paraId="7D98C21C">
            <w:pPr>
              <w:widowControl/>
              <w:tabs>
                <w:tab w:val="center" w:pos="4755"/>
                <w:tab w:val="right" w:pos="9070"/>
              </w:tabs>
              <w:adjustRightInd w:val="0"/>
              <w:spacing w:before="100" w:beforeAutospacing="1" w:after="100" w:afterAutospacing="1"/>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1080" w:type="dxa"/>
            <w:noWrap w:val="0"/>
            <w:vAlign w:val="top"/>
          </w:tcPr>
          <w:p w14:paraId="63AE4A5A">
            <w:pPr>
              <w:widowControl/>
              <w:tabs>
                <w:tab w:val="center" w:pos="4755"/>
                <w:tab w:val="right" w:pos="9070"/>
              </w:tabs>
              <w:adjustRightInd w:val="0"/>
              <w:spacing w:before="100" w:beforeAutospacing="1" w:after="100" w:afterAutospacing="1"/>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900" w:type="dxa"/>
            <w:noWrap w:val="0"/>
            <w:vAlign w:val="top"/>
          </w:tcPr>
          <w:p w14:paraId="1D32B89C">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(9)</w:t>
            </w:r>
          </w:p>
        </w:tc>
        <w:tc>
          <w:tcPr>
            <w:tcW w:w="1080" w:type="dxa"/>
            <w:noWrap w:val="0"/>
            <w:vAlign w:val="top"/>
          </w:tcPr>
          <w:p w14:paraId="53EABA22">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（10）</w:t>
            </w:r>
          </w:p>
        </w:tc>
        <w:tc>
          <w:tcPr>
            <w:tcW w:w="1080" w:type="dxa"/>
            <w:noWrap w:val="0"/>
            <w:vAlign w:val="top"/>
          </w:tcPr>
          <w:p w14:paraId="4DFB818D">
            <w:pPr>
              <w:widowControl/>
              <w:tabs>
                <w:tab w:val="center" w:pos="4755"/>
                <w:tab w:val="right" w:pos="9070"/>
              </w:tabs>
              <w:adjustRightInd w:val="0"/>
              <w:spacing w:before="100" w:beforeAutospacing="1" w:after="100" w:afterAutospacing="1"/>
              <w:ind w:firstLine="105" w:firstLineChars="50"/>
              <w:jc w:val="center"/>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204" w:type="dxa"/>
            <w:gridSpan w:val="2"/>
            <w:noWrap w:val="0"/>
            <w:vAlign w:val="top"/>
          </w:tcPr>
          <w:p w14:paraId="5688410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(4）*(11）</w:t>
            </w:r>
          </w:p>
        </w:tc>
      </w:tr>
      <w:tr w14:paraId="41D4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41CCF847">
            <w:pPr>
              <w:widowControl/>
              <w:tabs>
                <w:tab w:val="center" w:pos="4755"/>
                <w:tab w:val="right" w:pos="9070"/>
              </w:tabs>
              <w:adjustRightInd w:val="0"/>
              <w:spacing w:before="100" w:beforeAutospacing="1" w:after="100" w:afterAutospacing="1"/>
              <w:ind w:firstLine="315" w:firstLineChars="15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686" w:type="dxa"/>
            <w:noWrap w:val="0"/>
            <w:vAlign w:val="center"/>
          </w:tcPr>
          <w:p w14:paraId="2C43BB5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（清单编码）</w:t>
            </w:r>
          </w:p>
        </w:tc>
        <w:tc>
          <w:tcPr>
            <w:tcW w:w="1587" w:type="dxa"/>
            <w:noWrap w:val="0"/>
            <w:vAlign w:val="center"/>
          </w:tcPr>
          <w:p w14:paraId="3596B1C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(清单名称)</w:t>
            </w:r>
          </w:p>
        </w:tc>
        <w:tc>
          <w:tcPr>
            <w:tcW w:w="992" w:type="dxa"/>
            <w:noWrap w:val="0"/>
            <w:vAlign w:val="top"/>
          </w:tcPr>
          <w:p w14:paraId="491B8ED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2" w:type="dxa"/>
            <w:noWrap w:val="0"/>
            <w:vAlign w:val="top"/>
          </w:tcPr>
          <w:p w14:paraId="0836BC4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0EF64BB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4A84B50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371C1A2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76F7500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noWrap w:val="0"/>
            <w:vAlign w:val="top"/>
          </w:tcPr>
          <w:p w14:paraId="21EF3F9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72F4B439">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1B7FE89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4" w:type="dxa"/>
            <w:gridSpan w:val="2"/>
            <w:noWrap w:val="0"/>
            <w:vAlign w:val="top"/>
          </w:tcPr>
          <w:p w14:paraId="6CD69C6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A7D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3826454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686" w:type="dxa"/>
            <w:noWrap w:val="0"/>
            <w:vAlign w:val="center"/>
          </w:tcPr>
          <w:p w14:paraId="0F208FA1">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（定额编号）</w:t>
            </w:r>
          </w:p>
        </w:tc>
        <w:tc>
          <w:tcPr>
            <w:tcW w:w="1587" w:type="dxa"/>
            <w:noWrap w:val="0"/>
            <w:vAlign w:val="center"/>
          </w:tcPr>
          <w:p w14:paraId="4E4199D4">
            <w:pPr>
              <w:widowControl/>
              <w:tabs>
                <w:tab w:val="center" w:pos="4755"/>
                <w:tab w:val="right" w:pos="9070"/>
              </w:tabs>
              <w:adjustRightInd w:val="0"/>
              <w:spacing w:before="100" w:beforeAutospacing="1" w:after="100" w:afterAutospacing="1"/>
              <w:rPr>
                <w:rFonts w:hint="eastAsia" w:ascii="宋体" w:hAnsi="宋体" w:eastAsia="宋体" w:cs="宋体"/>
                <w:color w:val="auto"/>
                <w:highlight w:val="none"/>
              </w:rPr>
            </w:pPr>
            <w:r>
              <w:rPr>
                <w:rFonts w:hint="eastAsia" w:ascii="宋体" w:hAnsi="宋体" w:eastAsia="宋体" w:cs="宋体"/>
                <w:color w:val="auto"/>
                <w:highlight w:val="none"/>
              </w:rPr>
              <w:t>（定额名称）</w:t>
            </w:r>
          </w:p>
        </w:tc>
        <w:tc>
          <w:tcPr>
            <w:tcW w:w="992" w:type="dxa"/>
            <w:noWrap w:val="0"/>
            <w:vAlign w:val="top"/>
          </w:tcPr>
          <w:p w14:paraId="333B9C4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02" w:type="dxa"/>
            <w:noWrap w:val="0"/>
            <w:vAlign w:val="top"/>
          </w:tcPr>
          <w:p w14:paraId="3FAC3CF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7FC9951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1AE4B48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47555776">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127146C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900" w:type="dxa"/>
            <w:noWrap w:val="0"/>
            <w:vAlign w:val="top"/>
          </w:tcPr>
          <w:p w14:paraId="31F00DD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0695285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080" w:type="dxa"/>
            <w:noWrap w:val="0"/>
            <w:vAlign w:val="top"/>
          </w:tcPr>
          <w:p w14:paraId="64D526A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204" w:type="dxa"/>
            <w:gridSpan w:val="2"/>
            <w:noWrap w:val="0"/>
            <w:vAlign w:val="top"/>
          </w:tcPr>
          <w:p w14:paraId="218F71F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r>
      <w:tr w14:paraId="3A73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66C35B2B">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p>
        </w:tc>
        <w:tc>
          <w:tcPr>
            <w:tcW w:w="1686" w:type="dxa"/>
            <w:noWrap w:val="0"/>
            <w:vAlign w:val="center"/>
          </w:tcPr>
          <w:p w14:paraId="40B52BE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587" w:type="dxa"/>
            <w:noWrap w:val="0"/>
            <w:vAlign w:val="center"/>
          </w:tcPr>
          <w:p w14:paraId="4D330D2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92" w:type="dxa"/>
            <w:noWrap w:val="0"/>
            <w:vAlign w:val="top"/>
          </w:tcPr>
          <w:p w14:paraId="5174301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2" w:type="dxa"/>
            <w:noWrap w:val="0"/>
            <w:vAlign w:val="top"/>
          </w:tcPr>
          <w:p w14:paraId="3A9672D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62D132D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426A5D8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6AEBDC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399D70A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noWrap w:val="0"/>
            <w:vAlign w:val="top"/>
          </w:tcPr>
          <w:p w14:paraId="0A4C5989">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1ED2CC1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0F75C2E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4" w:type="dxa"/>
            <w:gridSpan w:val="2"/>
            <w:noWrap w:val="0"/>
            <w:vAlign w:val="top"/>
          </w:tcPr>
          <w:p w14:paraId="3321067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1AB83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61F6269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686" w:type="dxa"/>
            <w:noWrap w:val="0"/>
            <w:vAlign w:val="center"/>
          </w:tcPr>
          <w:p w14:paraId="5378145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（清单编码）</w:t>
            </w:r>
          </w:p>
        </w:tc>
        <w:tc>
          <w:tcPr>
            <w:tcW w:w="1587" w:type="dxa"/>
            <w:noWrap w:val="0"/>
            <w:vAlign w:val="center"/>
          </w:tcPr>
          <w:p w14:paraId="7136BE0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(清单名称)</w:t>
            </w:r>
          </w:p>
        </w:tc>
        <w:tc>
          <w:tcPr>
            <w:tcW w:w="992" w:type="dxa"/>
            <w:noWrap w:val="0"/>
            <w:vAlign w:val="top"/>
          </w:tcPr>
          <w:p w14:paraId="5CC6E85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2" w:type="dxa"/>
            <w:noWrap w:val="0"/>
            <w:vAlign w:val="top"/>
          </w:tcPr>
          <w:p w14:paraId="42E8D1F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DE74E8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78796E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6345236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6D6F30C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noWrap w:val="0"/>
            <w:vAlign w:val="top"/>
          </w:tcPr>
          <w:p w14:paraId="17C0C54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4DB77BA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02AE7FA">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4" w:type="dxa"/>
            <w:gridSpan w:val="2"/>
            <w:noWrap w:val="0"/>
            <w:vAlign w:val="top"/>
          </w:tcPr>
          <w:p w14:paraId="0B31450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4894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6080D7BB">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686" w:type="dxa"/>
            <w:noWrap w:val="0"/>
            <w:vAlign w:val="center"/>
          </w:tcPr>
          <w:p w14:paraId="72D21A3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（定额编号）</w:t>
            </w:r>
          </w:p>
        </w:tc>
        <w:tc>
          <w:tcPr>
            <w:tcW w:w="1587" w:type="dxa"/>
            <w:noWrap w:val="0"/>
            <w:vAlign w:val="center"/>
          </w:tcPr>
          <w:p w14:paraId="7F22B02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（定额名称）</w:t>
            </w:r>
          </w:p>
        </w:tc>
        <w:tc>
          <w:tcPr>
            <w:tcW w:w="992" w:type="dxa"/>
            <w:noWrap w:val="0"/>
            <w:vAlign w:val="top"/>
          </w:tcPr>
          <w:p w14:paraId="66C6DF97">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2" w:type="dxa"/>
            <w:noWrap w:val="0"/>
            <w:vAlign w:val="top"/>
          </w:tcPr>
          <w:p w14:paraId="6F4CDD4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33826EA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B56AC8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2FB3EDD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468110A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noWrap w:val="0"/>
            <w:vAlign w:val="top"/>
          </w:tcPr>
          <w:p w14:paraId="6A652F16">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16F5B6D0">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786E8E05">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4" w:type="dxa"/>
            <w:gridSpan w:val="2"/>
            <w:noWrap w:val="0"/>
            <w:vAlign w:val="top"/>
          </w:tcPr>
          <w:p w14:paraId="17CE133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7E56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13" w:type="dxa"/>
          <w:trHeight w:val="496" w:hRule="atLeast"/>
        </w:trPr>
        <w:tc>
          <w:tcPr>
            <w:tcW w:w="720" w:type="dxa"/>
            <w:noWrap w:val="0"/>
            <w:vAlign w:val="center"/>
          </w:tcPr>
          <w:p w14:paraId="720F808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686" w:type="dxa"/>
            <w:noWrap w:val="0"/>
            <w:vAlign w:val="center"/>
          </w:tcPr>
          <w:p w14:paraId="38622783">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587" w:type="dxa"/>
            <w:noWrap w:val="0"/>
            <w:vAlign w:val="center"/>
          </w:tcPr>
          <w:p w14:paraId="2E8AC09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92" w:type="dxa"/>
            <w:noWrap w:val="0"/>
            <w:vAlign w:val="top"/>
          </w:tcPr>
          <w:p w14:paraId="7FA28D1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2" w:type="dxa"/>
            <w:noWrap w:val="0"/>
            <w:vAlign w:val="top"/>
          </w:tcPr>
          <w:p w14:paraId="310CD52F">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4816E6E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63B43953">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0BDFFCCD">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7C0A0374">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900" w:type="dxa"/>
            <w:noWrap w:val="0"/>
            <w:vAlign w:val="top"/>
          </w:tcPr>
          <w:p w14:paraId="217E1342">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16220CF8">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080" w:type="dxa"/>
            <w:noWrap w:val="0"/>
            <w:vAlign w:val="top"/>
          </w:tcPr>
          <w:p w14:paraId="1954349C">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c>
          <w:tcPr>
            <w:tcW w:w="1204" w:type="dxa"/>
            <w:gridSpan w:val="2"/>
            <w:noWrap w:val="0"/>
            <w:vAlign w:val="top"/>
          </w:tcPr>
          <w:p w14:paraId="2F967891">
            <w:pPr>
              <w:keepNext/>
              <w:keepLines/>
              <w:widowControl/>
              <w:tabs>
                <w:tab w:val="center" w:pos="4755"/>
                <w:tab w:val="right" w:pos="9070"/>
              </w:tabs>
              <w:adjustRightInd w:val="0"/>
              <w:spacing w:before="100" w:beforeAutospacing="1" w:after="100" w:afterAutospacing="1" w:line="576" w:lineRule="auto"/>
              <w:jc w:val="center"/>
              <w:outlineLvl w:val="0"/>
              <w:rPr>
                <w:rFonts w:hint="eastAsia" w:ascii="宋体" w:hAnsi="宋体" w:eastAsia="宋体" w:cs="宋体"/>
                <w:color w:val="auto"/>
                <w:highlight w:val="none"/>
              </w:rPr>
            </w:pPr>
          </w:p>
        </w:tc>
      </w:tr>
      <w:tr w14:paraId="39F1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13680" w:type="dxa"/>
            <w:gridSpan w:val="13"/>
            <w:noWrap w:val="0"/>
            <w:vAlign w:val="center"/>
          </w:tcPr>
          <w:p w14:paraId="13B402C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1204" w:type="dxa"/>
            <w:gridSpan w:val="2"/>
            <w:noWrap w:val="0"/>
            <w:vAlign w:val="top"/>
          </w:tcPr>
          <w:p w14:paraId="7B19D8A2">
            <w:pPr>
              <w:keepNext/>
              <w:keepLines/>
              <w:widowControl/>
              <w:tabs>
                <w:tab w:val="center" w:pos="4755"/>
                <w:tab w:val="right" w:pos="9070"/>
              </w:tabs>
              <w:adjustRightInd w:val="0"/>
              <w:spacing w:before="100" w:beforeAutospacing="1" w:after="100" w:afterAutospacing="1" w:line="576" w:lineRule="auto"/>
              <w:outlineLvl w:val="0"/>
              <w:rPr>
                <w:rFonts w:hint="eastAsia" w:ascii="宋体" w:hAnsi="宋体" w:eastAsia="宋体" w:cs="宋体"/>
                <w:color w:val="auto"/>
                <w:highlight w:val="none"/>
              </w:rPr>
            </w:pPr>
          </w:p>
        </w:tc>
      </w:tr>
    </w:tbl>
    <w:p w14:paraId="49F89BBB">
      <w:pPr>
        <w:widowControl/>
        <w:tabs>
          <w:tab w:val="center" w:pos="4755"/>
          <w:tab w:val="right" w:pos="9070"/>
        </w:tabs>
        <w:adjustRightInd w:val="0"/>
        <w:ind w:left="-93" w:leftChars="-71" w:hanging="56" w:hangingChars="27"/>
        <w:rPr>
          <w:rFonts w:hint="eastAsia" w:ascii="宋体" w:hAnsi="宋体" w:eastAsia="宋体" w:cs="宋体"/>
          <w:color w:val="auto"/>
          <w:highlight w:val="none"/>
        </w:rPr>
      </w:pPr>
      <w:r>
        <w:rPr>
          <w:rFonts w:hint="eastAsia" w:ascii="宋体" w:hAnsi="宋体" w:eastAsia="宋体" w:cs="宋体"/>
          <w:color w:val="auto"/>
          <w:highlight w:val="none"/>
        </w:rPr>
        <w:t>注： 表（1）～（4）栏中的清单编号、清单名称、清单计量单位和数量由招标人按需要提出。</w:t>
      </w:r>
    </w:p>
    <w:p w14:paraId="18782AAA">
      <w:pPr>
        <w:widowControl/>
        <w:tabs>
          <w:tab w:val="center" w:pos="4755"/>
          <w:tab w:val="right" w:pos="9070"/>
        </w:tabs>
        <w:adjustRightInd w:val="0"/>
        <w:spacing w:before="100" w:beforeAutospacing="1" w:after="100" w:afterAutospacing="1"/>
        <w:ind w:firstLine="321" w:firstLineChars="10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表2-2  措施项目清单分析表</w:t>
      </w:r>
    </w:p>
    <w:p w14:paraId="24DD72D5">
      <w:pPr>
        <w:widowControl/>
        <w:tabs>
          <w:tab w:val="center" w:pos="4755"/>
          <w:tab w:val="right" w:pos="9070"/>
        </w:tabs>
        <w:adjustRightInd w:val="0"/>
        <w:ind w:left="-93" w:leftChars="-71" w:hanging="56" w:hangingChars="27"/>
        <w:rPr>
          <w:rFonts w:hint="eastAsia" w:ascii="宋体" w:hAnsi="宋体" w:eastAsia="宋体" w:cs="宋体"/>
          <w:color w:val="auto"/>
          <w:highlight w:val="none"/>
        </w:rPr>
      </w:pPr>
      <w:r>
        <w:rPr>
          <w:rFonts w:hint="eastAsia" w:ascii="宋体" w:hAnsi="宋体" w:eastAsia="宋体" w:cs="宋体"/>
          <w:color w:val="auto"/>
          <w:highlight w:val="none"/>
        </w:rPr>
        <w:t>工程名称：</w:t>
      </w:r>
    </w:p>
    <w:p w14:paraId="17E7C151">
      <w:pPr>
        <w:widowControl/>
        <w:tabs>
          <w:tab w:val="center" w:pos="4755"/>
          <w:tab w:val="right" w:pos="9070"/>
        </w:tabs>
        <w:adjustRightInd w:val="0"/>
        <w:ind w:left="-93" w:leftChars="-71" w:hanging="56" w:hangingChars="27"/>
        <w:rPr>
          <w:rFonts w:hint="eastAsia" w:ascii="宋体" w:hAnsi="宋体" w:eastAsia="宋体" w:cs="宋体"/>
          <w:color w:val="auto"/>
          <w:highlight w:val="none"/>
        </w:rPr>
      </w:pPr>
      <w:r>
        <w:rPr>
          <w:rFonts w:hint="eastAsia" w:ascii="宋体" w:hAnsi="宋体" w:eastAsia="宋体" w:cs="宋体"/>
          <w:color w:val="auto"/>
          <w:highlight w:val="none"/>
        </w:rPr>
        <w:t xml:space="preserve">单位工程名称：                                                                                    </w:t>
      </w:r>
    </w:p>
    <w:p w14:paraId="376D59F2">
      <w:pPr>
        <w:widowControl/>
        <w:tabs>
          <w:tab w:val="center" w:pos="4755"/>
          <w:tab w:val="right" w:pos="9070"/>
        </w:tabs>
        <w:adjustRightInd w:val="0"/>
        <w:ind w:left="-93" w:leftChars="-71" w:hanging="56" w:hangingChars="27"/>
        <w:rPr>
          <w:rFonts w:hint="eastAsia" w:ascii="宋体" w:hAnsi="宋体" w:eastAsia="宋体" w:cs="宋体"/>
          <w:color w:val="auto"/>
          <w:highlight w:val="none"/>
        </w:rPr>
      </w:pPr>
      <w:r>
        <w:rPr>
          <w:rFonts w:hint="eastAsia" w:ascii="宋体" w:hAnsi="宋体" w:eastAsia="宋体" w:cs="宋体"/>
          <w:color w:val="auto"/>
          <w:highlight w:val="none"/>
        </w:rPr>
        <w:t>第   页共   页</w:t>
      </w:r>
    </w:p>
    <w:tbl>
      <w:tblPr>
        <w:tblStyle w:val="16"/>
        <w:tblW w:w="14473"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80"/>
        <w:gridCol w:w="1566"/>
        <w:gridCol w:w="1521"/>
        <w:gridCol w:w="996"/>
        <w:gridCol w:w="826"/>
        <w:gridCol w:w="1068"/>
        <w:gridCol w:w="1080"/>
        <w:gridCol w:w="1044"/>
        <w:gridCol w:w="1116"/>
        <w:gridCol w:w="871"/>
        <w:gridCol w:w="1181"/>
        <w:gridCol w:w="996"/>
        <w:gridCol w:w="315"/>
        <w:gridCol w:w="798"/>
        <w:gridCol w:w="315"/>
      </w:tblGrid>
      <w:tr w14:paraId="280D5D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600" w:hRule="atLeast"/>
        </w:trPr>
        <w:tc>
          <w:tcPr>
            <w:tcW w:w="780" w:type="dxa"/>
            <w:vMerge w:val="restart"/>
            <w:noWrap w:val="0"/>
            <w:vAlign w:val="center"/>
          </w:tcPr>
          <w:p w14:paraId="40C7BB8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566" w:type="dxa"/>
            <w:vMerge w:val="restart"/>
            <w:noWrap w:val="0"/>
            <w:vAlign w:val="center"/>
          </w:tcPr>
          <w:p w14:paraId="527B2F6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编号</w:t>
            </w:r>
          </w:p>
        </w:tc>
        <w:tc>
          <w:tcPr>
            <w:tcW w:w="1521" w:type="dxa"/>
            <w:vMerge w:val="restart"/>
            <w:noWrap w:val="0"/>
            <w:vAlign w:val="center"/>
          </w:tcPr>
          <w:p w14:paraId="76A6973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名称</w:t>
            </w:r>
          </w:p>
        </w:tc>
        <w:tc>
          <w:tcPr>
            <w:tcW w:w="996" w:type="dxa"/>
            <w:vMerge w:val="restart"/>
            <w:noWrap w:val="0"/>
            <w:vAlign w:val="center"/>
          </w:tcPr>
          <w:p w14:paraId="7FBFF73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计量</w:t>
            </w:r>
          </w:p>
          <w:p w14:paraId="5AD12CC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826" w:type="dxa"/>
            <w:vMerge w:val="restart"/>
            <w:noWrap w:val="0"/>
            <w:vAlign w:val="center"/>
          </w:tcPr>
          <w:p w14:paraId="083736E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7356" w:type="dxa"/>
            <w:gridSpan w:val="7"/>
            <w:tcBorders>
              <w:right w:val="single" w:color="auto" w:sz="4" w:space="0"/>
            </w:tcBorders>
            <w:noWrap w:val="0"/>
            <w:vAlign w:val="center"/>
          </w:tcPr>
          <w:p w14:paraId="6FA87738">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综 合 单 价（元）</w:t>
            </w:r>
          </w:p>
        </w:tc>
        <w:tc>
          <w:tcPr>
            <w:tcW w:w="1113" w:type="dxa"/>
            <w:gridSpan w:val="2"/>
            <w:vMerge w:val="restart"/>
            <w:tcBorders>
              <w:left w:val="single" w:color="auto" w:sz="4" w:space="0"/>
            </w:tcBorders>
            <w:noWrap w:val="0"/>
            <w:vAlign w:val="center"/>
          </w:tcPr>
          <w:p w14:paraId="4D13E55E">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p w14:paraId="41A55B4C">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r>
      <w:tr w14:paraId="563D1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590" w:hRule="atLeast"/>
        </w:trPr>
        <w:tc>
          <w:tcPr>
            <w:tcW w:w="780" w:type="dxa"/>
            <w:vMerge w:val="continue"/>
            <w:noWrap w:val="0"/>
            <w:vAlign w:val="center"/>
          </w:tcPr>
          <w:p w14:paraId="6AD81730">
            <w:pPr>
              <w:tabs>
                <w:tab w:val="left" w:pos="3780"/>
              </w:tabs>
              <w:adjustRightInd w:val="0"/>
              <w:ind w:firstLine="360"/>
              <w:jc w:val="center"/>
              <w:rPr>
                <w:rFonts w:hint="eastAsia" w:ascii="宋体" w:hAnsi="宋体" w:eastAsia="宋体" w:cs="宋体"/>
                <w:color w:val="auto"/>
                <w:highlight w:val="none"/>
              </w:rPr>
            </w:pPr>
          </w:p>
        </w:tc>
        <w:tc>
          <w:tcPr>
            <w:tcW w:w="1566" w:type="dxa"/>
            <w:vMerge w:val="continue"/>
            <w:noWrap w:val="0"/>
            <w:vAlign w:val="center"/>
          </w:tcPr>
          <w:p w14:paraId="234CF466">
            <w:pPr>
              <w:tabs>
                <w:tab w:val="left" w:pos="3780"/>
              </w:tabs>
              <w:adjustRightInd w:val="0"/>
              <w:ind w:firstLine="360"/>
              <w:jc w:val="center"/>
              <w:rPr>
                <w:rFonts w:hint="eastAsia" w:ascii="宋体" w:hAnsi="宋体" w:eastAsia="宋体" w:cs="宋体"/>
                <w:color w:val="auto"/>
                <w:highlight w:val="none"/>
              </w:rPr>
            </w:pPr>
          </w:p>
        </w:tc>
        <w:tc>
          <w:tcPr>
            <w:tcW w:w="1521" w:type="dxa"/>
            <w:vMerge w:val="continue"/>
            <w:noWrap w:val="0"/>
            <w:vAlign w:val="center"/>
          </w:tcPr>
          <w:p w14:paraId="0FB84A43">
            <w:pPr>
              <w:tabs>
                <w:tab w:val="left" w:pos="3780"/>
              </w:tabs>
              <w:adjustRightInd w:val="0"/>
              <w:ind w:firstLine="360"/>
              <w:jc w:val="center"/>
              <w:rPr>
                <w:rFonts w:hint="eastAsia" w:ascii="宋体" w:hAnsi="宋体" w:eastAsia="宋体" w:cs="宋体"/>
                <w:color w:val="auto"/>
                <w:highlight w:val="none"/>
              </w:rPr>
            </w:pPr>
          </w:p>
        </w:tc>
        <w:tc>
          <w:tcPr>
            <w:tcW w:w="996" w:type="dxa"/>
            <w:vMerge w:val="continue"/>
            <w:noWrap w:val="0"/>
            <w:vAlign w:val="center"/>
          </w:tcPr>
          <w:p w14:paraId="029526B8">
            <w:pPr>
              <w:tabs>
                <w:tab w:val="left" w:pos="3780"/>
              </w:tabs>
              <w:adjustRightInd w:val="0"/>
              <w:ind w:firstLine="360"/>
              <w:jc w:val="center"/>
              <w:rPr>
                <w:rFonts w:hint="eastAsia" w:ascii="宋体" w:hAnsi="宋体" w:eastAsia="宋体" w:cs="宋体"/>
                <w:color w:val="auto"/>
                <w:highlight w:val="none"/>
              </w:rPr>
            </w:pPr>
          </w:p>
        </w:tc>
        <w:tc>
          <w:tcPr>
            <w:tcW w:w="826" w:type="dxa"/>
            <w:vMerge w:val="continue"/>
            <w:noWrap w:val="0"/>
            <w:vAlign w:val="center"/>
          </w:tcPr>
          <w:p w14:paraId="4CA3BB05">
            <w:pPr>
              <w:tabs>
                <w:tab w:val="left" w:pos="3780"/>
              </w:tabs>
              <w:adjustRightInd w:val="0"/>
              <w:ind w:firstLine="360"/>
              <w:jc w:val="center"/>
              <w:rPr>
                <w:rFonts w:hint="eastAsia" w:ascii="宋体" w:hAnsi="宋体" w:eastAsia="宋体" w:cs="宋体"/>
                <w:color w:val="auto"/>
                <w:highlight w:val="none"/>
              </w:rPr>
            </w:pPr>
          </w:p>
        </w:tc>
        <w:tc>
          <w:tcPr>
            <w:tcW w:w="1068" w:type="dxa"/>
            <w:noWrap w:val="0"/>
            <w:vAlign w:val="center"/>
          </w:tcPr>
          <w:p w14:paraId="02554E54">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人工费</w:t>
            </w:r>
          </w:p>
        </w:tc>
        <w:tc>
          <w:tcPr>
            <w:tcW w:w="1080" w:type="dxa"/>
            <w:noWrap w:val="0"/>
            <w:vAlign w:val="center"/>
          </w:tcPr>
          <w:p w14:paraId="65B02920">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材料费</w:t>
            </w:r>
          </w:p>
        </w:tc>
        <w:tc>
          <w:tcPr>
            <w:tcW w:w="1044" w:type="dxa"/>
            <w:noWrap w:val="0"/>
            <w:vAlign w:val="center"/>
          </w:tcPr>
          <w:p w14:paraId="3546D4E9">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机械费</w:t>
            </w:r>
          </w:p>
        </w:tc>
        <w:tc>
          <w:tcPr>
            <w:tcW w:w="1116" w:type="dxa"/>
            <w:noWrap w:val="0"/>
            <w:vAlign w:val="center"/>
          </w:tcPr>
          <w:p w14:paraId="738452E2">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871" w:type="dxa"/>
            <w:noWrap w:val="0"/>
            <w:vAlign w:val="center"/>
          </w:tcPr>
          <w:p w14:paraId="3B57FDE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利润</w:t>
            </w:r>
          </w:p>
        </w:tc>
        <w:tc>
          <w:tcPr>
            <w:tcW w:w="1181" w:type="dxa"/>
            <w:noWrap w:val="0"/>
            <w:vAlign w:val="center"/>
          </w:tcPr>
          <w:p w14:paraId="04A3B6E7">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风险费用</w:t>
            </w:r>
          </w:p>
        </w:tc>
        <w:tc>
          <w:tcPr>
            <w:tcW w:w="996" w:type="dxa"/>
            <w:tcBorders>
              <w:right w:val="single" w:color="auto" w:sz="4" w:space="0"/>
            </w:tcBorders>
            <w:noWrap w:val="0"/>
            <w:vAlign w:val="center"/>
          </w:tcPr>
          <w:p w14:paraId="4C33773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13" w:type="dxa"/>
            <w:gridSpan w:val="2"/>
            <w:vMerge w:val="continue"/>
            <w:tcBorders>
              <w:left w:val="single" w:color="auto" w:sz="4" w:space="0"/>
            </w:tcBorders>
            <w:noWrap w:val="0"/>
            <w:vAlign w:val="center"/>
          </w:tcPr>
          <w:p w14:paraId="77B200B5">
            <w:pPr>
              <w:tabs>
                <w:tab w:val="left" w:pos="3780"/>
              </w:tabs>
              <w:adjustRightInd w:val="0"/>
              <w:ind w:firstLine="360"/>
              <w:jc w:val="center"/>
              <w:rPr>
                <w:rFonts w:hint="eastAsia" w:ascii="宋体" w:hAnsi="宋体" w:eastAsia="宋体" w:cs="宋体"/>
                <w:color w:val="auto"/>
                <w:highlight w:val="none"/>
              </w:rPr>
            </w:pPr>
          </w:p>
        </w:tc>
      </w:tr>
      <w:tr w14:paraId="310E5F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224E546C">
            <w:pPr>
              <w:tabs>
                <w:tab w:val="left" w:pos="3780"/>
              </w:tabs>
              <w:adjustRightInd w:val="0"/>
              <w:jc w:val="center"/>
              <w:rPr>
                <w:rFonts w:hint="eastAsia" w:ascii="宋体" w:hAnsi="宋体" w:eastAsia="宋体" w:cs="宋体"/>
                <w:color w:val="auto"/>
                <w:highlight w:val="none"/>
              </w:rPr>
            </w:pPr>
          </w:p>
        </w:tc>
        <w:tc>
          <w:tcPr>
            <w:tcW w:w="1566" w:type="dxa"/>
            <w:noWrap w:val="0"/>
            <w:vAlign w:val="center"/>
          </w:tcPr>
          <w:p w14:paraId="368920AB">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521" w:type="dxa"/>
            <w:noWrap w:val="0"/>
            <w:vAlign w:val="center"/>
          </w:tcPr>
          <w:p w14:paraId="2047167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996" w:type="dxa"/>
            <w:noWrap w:val="0"/>
            <w:vAlign w:val="center"/>
          </w:tcPr>
          <w:p w14:paraId="2A79156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826" w:type="dxa"/>
            <w:noWrap w:val="0"/>
            <w:vAlign w:val="center"/>
          </w:tcPr>
          <w:p w14:paraId="1F2ADDFD">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1068" w:type="dxa"/>
            <w:noWrap w:val="0"/>
            <w:vAlign w:val="center"/>
          </w:tcPr>
          <w:p w14:paraId="35C6F68F">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1080" w:type="dxa"/>
            <w:noWrap w:val="0"/>
            <w:vAlign w:val="center"/>
          </w:tcPr>
          <w:p w14:paraId="66663545">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1044" w:type="dxa"/>
            <w:noWrap w:val="0"/>
            <w:vAlign w:val="center"/>
          </w:tcPr>
          <w:p w14:paraId="27C4C5FD">
            <w:pPr>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1116" w:type="dxa"/>
            <w:noWrap w:val="0"/>
            <w:vAlign w:val="center"/>
          </w:tcPr>
          <w:p w14:paraId="2A070D75">
            <w:pPr>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871" w:type="dxa"/>
            <w:noWrap w:val="0"/>
            <w:vAlign w:val="center"/>
          </w:tcPr>
          <w:p w14:paraId="51F89C5F">
            <w:pPr>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(9)</w:t>
            </w:r>
          </w:p>
        </w:tc>
        <w:tc>
          <w:tcPr>
            <w:tcW w:w="1181" w:type="dxa"/>
            <w:noWrap w:val="0"/>
            <w:vAlign w:val="center"/>
          </w:tcPr>
          <w:p w14:paraId="545AEF31">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（10）</w:t>
            </w:r>
          </w:p>
        </w:tc>
        <w:tc>
          <w:tcPr>
            <w:tcW w:w="996" w:type="dxa"/>
            <w:tcBorders>
              <w:right w:val="single" w:color="auto" w:sz="4" w:space="0"/>
            </w:tcBorders>
            <w:noWrap w:val="0"/>
            <w:vAlign w:val="center"/>
          </w:tcPr>
          <w:p w14:paraId="70EE5991">
            <w:pPr>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113" w:type="dxa"/>
            <w:gridSpan w:val="2"/>
            <w:tcBorders>
              <w:left w:val="single" w:color="auto" w:sz="4" w:space="0"/>
            </w:tcBorders>
            <w:noWrap w:val="0"/>
            <w:vAlign w:val="center"/>
          </w:tcPr>
          <w:p w14:paraId="3C02A95A">
            <w:pPr>
              <w:widowControl/>
              <w:tabs>
                <w:tab w:val="center" w:pos="4755"/>
                <w:tab w:val="right" w:pos="9070"/>
              </w:tabs>
              <w:adjustRightInd w:val="0"/>
              <w:spacing w:before="100" w:beforeAutospacing="1" w:after="100" w:afterAutospacing="1"/>
              <w:jc w:val="center"/>
              <w:rPr>
                <w:rFonts w:hint="eastAsia" w:ascii="宋体" w:hAnsi="宋体" w:eastAsia="宋体" w:cs="宋体"/>
                <w:color w:val="auto"/>
                <w:highlight w:val="none"/>
              </w:rPr>
            </w:pPr>
            <w:r>
              <w:rPr>
                <w:rFonts w:hint="eastAsia" w:ascii="宋体" w:hAnsi="宋体" w:eastAsia="宋体" w:cs="宋体"/>
                <w:color w:val="auto"/>
                <w:highlight w:val="none"/>
              </w:rPr>
              <w:t>(4）*(11）</w:t>
            </w:r>
          </w:p>
        </w:tc>
      </w:tr>
      <w:tr w14:paraId="6EFF51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31133071">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566" w:type="dxa"/>
            <w:noWrap w:val="0"/>
            <w:vAlign w:val="center"/>
          </w:tcPr>
          <w:p w14:paraId="1493E35D">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 （清单编码）</w:t>
            </w:r>
          </w:p>
        </w:tc>
        <w:tc>
          <w:tcPr>
            <w:tcW w:w="1521" w:type="dxa"/>
            <w:noWrap w:val="0"/>
            <w:vAlign w:val="center"/>
          </w:tcPr>
          <w:p w14:paraId="410BB54A">
            <w:pPr>
              <w:tabs>
                <w:tab w:val="left" w:pos="378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（清单名称）</w:t>
            </w:r>
          </w:p>
        </w:tc>
        <w:tc>
          <w:tcPr>
            <w:tcW w:w="996" w:type="dxa"/>
            <w:noWrap w:val="0"/>
            <w:vAlign w:val="center"/>
          </w:tcPr>
          <w:p w14:paraId="6FFF5B2E">
            <w:pPr>
              <w:tabs>
                <w:tab w:val="left" w:pos="3780"/>
              </w:tabs>
              <w:adjustRightInd w:val="0"/>
              <w:ind w:firstLine="360"/>
              <w:jc w:val="center"/>
              <w:rPr>
                <w:rFonts w:hint="eastAsia" w:ascii="宋体" w:hAnsi="宋体" w:eastAsia="宋体" w:cs="宋体"/>
                <w:color w:val="auto"/>
                <w:highlight w:val="none"/>
              </w:rPr>
            </w:pPr>
          </w:p>
        </w:tc>
        <w:tc>
          <w:tcPr>
            <w:tcW w:w="826" w:type="dxa"/>
            <w:noWrap w:val="0"/>
            <w:vAlign w:val="center"/>
          </w:tcPr>
          <w:p w14:paraId="51D91536">
            <w:pPr>
              <w:tabs>
                <w:tab w:val="left" w:pos="3780"/>
              </w:tabs>
              <w:adjustRightInd w:val="0"/>
              <w:ind w:firstLine="360"/>
              <w:jc w:val="center"/>
              <w:rPr>
                <w:rFonts w:hint="eastAsia" w:ascii="宋体" w:hAnsi="宋体" w:eastAsia="宋体" w:cs="宋体"/>
                <w:color w:val="auto"/>
                <w:highlight w:val="none"/>
              </w:rPr>
            </w:pPr>
          </w:p>
        </w:tc>
        <w:tc>
          <w:tcPr>
            <w:tcW w:w="1068" w:type="dxa"/>
            <w:noWrap w:val="0"/>
            <w:vAlign w:val="center"/>
          </w:tcPr>
          <w:p w14:paraId="41A5E9B2">
            <w:pPr>
              <w:tabs>
                <w:tab w:val="left" w:pos="3780"/>
              </w:tabs>
              <w:adjustRightInd w:val="0"/>
              <w:ind w:firstLine="360"/>
              <w:jc w:val="center"/>
              <w:rPr>
                <w:rFonts w:hint="eastAsia" w:ascii="宋体" w:hAnsi="宋体" w:eastAsia="宋体" w:cs="宋体"/>
                <w:color w:val="auto"/>
                <w:highlight w:val="none"/>
              </w:rPr>
            </w:pPr>
          </w:p>
        </w:tc>
        <w:tc>
          <w:tcPr>
            <w:tcW w:w="1080" w:type="dxa"/>
            <w:noWrap w:val="0"/>
            <w:vAlign w:val="center"/>
          </w:tcPr>
          <w:p w14:paraId="700D1B4C">
            <w:pPr>
              <w:tabs>
                <w:tab w:val="left" w:pos="3780"/>
              </w:tabs>
              <w:adjustRightInd w:val="0"/>
              <w:ind w:firstLine="360"/>
              <w:jc w:val="center"/>
              <w:rPr>
                <w:rFonts w:hint="eastAsia" w:ascii="宋体" w:hAnsi="宋体" w:eastAsia="宋体" w:cs="宋体"/>
                <w:color w:val="auto"/>
                <w:highlight w:val="none"/>
              </w:rPr>
            </w:pPr>
          </w:p>
        </w:tc>
        <w:tc>
          <w:tcPr>
            <w:tcW w:w="1044" w:type="dxa"/>
            <w:noWrap w:val="0"/>
            <w:vAlign w:val="center"/>
          </w:tcPr>
          <w:p w14:paraId="5231A0D1">
            <w:pPr>
              <w:tabs>
                <w:tab w:val="left" w:pos="3780"/>
              </w:tabs>
              <w:adjustRightInd w:val="0"/>
              <w:ind w:firstLine="360"/>
              <w:jc w:val="center"/>
              <w:rPr>
                <w:rFonts w:hint="eastAsia" w:ascii="宋体" w:hAnsi="宋体" w:eastAsia="宋体" w:cs="宋体"/>
                <w:color w:val="auto"/>
                <w:highlight w:val="none"/>
              </w:rPr>
            </w:pPr>
          </w:p>
        </w:tc>
        <w:tc>
          <w:tcPr>
            <w:tcW w:w="1116" w:type="dxa"/>
            <w:noWrap w:val="0"/>
            <w:vAlign w:val="center"/>
          </w:tcPr>
          <w:p w14:paraId="502E4485">
            <w:pPr>
              <w:tabs>
                <w:tab w:val="left" w:pos="3780"/>
              </w:tabs>
              <w:adjustRightInd w:val="0"/>
              <w:ind w:firstLine="360"/>
              <w:jc w:val="center"/>
              <w:rPr>
                <w:rFonts w:hint="eastAsia" w:ascii="宋体" w:hAnsi="宋体" w:eastAsia="宋体" w:cs="宋体"/>
                <w:color w:val="auto"/>
                <w:highlight w:val="none"/>
              </w:rPr>
            </w:pPr>
          </w:p>
        </w:tc>
        <w:tc>
          <w:tcPr>
            <w:tcW w:w="871" w:type="dxa"/>
            <w:noWrap w:val="0"/>
            <w:vAlign w:val="center"/>
          </w:tcPr>
          <w:p w14:paraId="39867958">
            <w:pPr>
              <w:tabs>
                <w:tab w:val="left" w:pos="3780"/>
              </w:tabs>
              <w:adjustRightInd w:val="0"/>
              <w:ind w:firstLine="360"/>
              <w:jc w:val="center"/>
              <w:rPr>
                <w:rFonts w:hint="eastAsia" w:ascii="宋体" w:hAnsi="宋体" w:eastAsia="宋体" w:cs="宋体"/>
                <w:color w:val="auto"/>
                <w:highlight w:val="none"/>
              </w:rPr>
            </w:pPr>
          </w:p>
        </w:tc>
        <w:tc>
          <w:tcPr>
            <w:tcW w:w="1181" w:type="dxa"/>
            <w:noWrap w:val="0"/>
            <w:vAlign w:val="center"/>
          </w:tcPr>
          <w:p w14:paraId="05DB61B7">
            <w:pPr>
              <w:tabs>
                <w:tab w:val="left" w:pos="3780"/>
              </w:tabs>
              <w:adjustRightInd w:val="0"/>
              <w:ind w:firstLine="360"/>
              <w:jc w:val="center"/>
              <w:rPr>
                <w:rFonts w:hint="eastAsia" w:ascii="宋体" w:hAnsi="宋体" w:eastAsia="宋体" w:cs="宋体"/>
                <w:color w:val="auto"/>
                <w:highlight w:val="none"/>
              </w:rPr>
            </w:pPr>
          </w:p>
        </w:tc>
        <w:tc>
          <w:tcPr>
            <w:tcW w:w="996" w:type="dxa"/>
            <w:tcBorders>
              <w:right w:val="single" w:color="auto" w:sz="4" w:space="0"/>
            </w:tcBorders>
            <w:noWrap w:val="0"/>
            <w:vAlign w:val="center"/>
          </w:tcPr>
          <w:p w14:paraId="0AB3061B">
            <w:pPr>
              <w:tabs>
                <w:tab w:val="left" w:pos="3780"/>
              </w:tabs>
              <w:adjustRightInd w:val="0"/>
              <w:ind w:firstLine="360"/>
              <w:jc w:val="center"/>
              <w:rPr>
                <w:rFonts w:hint="eastAsia" w:ascii="宋体" w:hAnsi="宋体" w:eastAsia="宋体" w:cs="宋体"/>
                <w:color w:val="auto"/>
                <w:highlight w:val="none"/>
              </w:rPr>
            </w:pPr>
          </w:p>
        </w:tc>
        <w:tc>
          <w:tcPr>
            <w:tcW w:w="1113" w:type="dxa"/>
            <w:gridSpan w:val="2"/>
            <w:tcBorders>
              <w:left w:val="single" w:color="auto" w:sz="4" w:space="0"/>
            </w:tcBorders>
            <w:noWrap w:val="0"/>
            <w:vAlign w:val="center"/>
          </w:tcPr>
          <w:p w14:paraId="6998C149">
            <w:pPr>
              <w:tabs>
                <w:tab w:val="left" w:pos="3780"/>
              </w:tabs>
              <w:adjustRightInd w:val="0"/>
              <w:ind w:firstLine="360"/>
              <w:jc w:val="center"/>
              <w:rPr>
                <w:rFonts w:hint="eastAsia" w:ascii="宋体" w:hAnsi="宋体" w:eastAsia="宋体" w:cs="宋体"/>
                <w:color w:val="auto"/>
                <w:highlight w:val="none"/>
              </w:rPr>
            </w:pPr>
          </w:p>
        </w:tc>
      </w:tr>
      <w:tr w14:paraId="1B19C9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6A06D3CE">
            <w:pPr>
              <w:tabs>
                <w:tab w:val="left" w:pos="3780"/>
              </w:tabs>
              <w:adjustRightInd w:val="0"/>
              <w:jc w:val="center"/>
              <w:rPr>
                <w:rFonts w:hint="eastAsia" w:ascii="宋体" w:hAnsi="宋体" w:eastAsia="宋体" w:cs="宋体"/>
                <w:color w:val="auto"/>
                <w:highlight w:val="none"/>
              </w:rPr>
            </w:pPr>
          </w:p>
        </w:tc>
        <w:tc>
          <w:tcPr>
            <w:tcW w:w="1566" w:type="dxa"/>
            <w:noWrap w:val="0"/>
            <w:vAlign w:val="center"/>
          </w:tcPr>
          <w:p w14:paraId="3FE50BD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 （定额编号）</w:t>
            </w:r>
          </w:p>
        </w:tc>
        <w:tc>
          <w:tcPr>
            <w:tcW w:w="1521" w:type="dxa"/>
            <w:noWrap w:val="0"/>
            <w:vAlign w:val="center"/>
          </w:tcPr>
          <w:p w14:paraId="178CFB5A">
            <w:pPr>
              <w:tabs>
                <w:tab w:val="left" w:pos="378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（定额名称）</w:t>
            </w:r>
          </w:p>
        </w:tc>
        <w:tc>
          <w:tcPr>
            <w:tcW w:w="996" w:type="dxa"/>
            <w:noWrap w:val="0"/>
            <w:vAlign w:val="center"/>
          </w:tcPr>
          <w:p w14:paraId="13EB1908">
            <w:pPr>
              <w:tabs>
                <w:tab w:val="left" w:pos="3780"/>
              </w:tabs>
              <w:adjustRightInd w:val="0"/>
              <w:ind w:firstLine="360"/>
              <w:jc w:val="center"/>
              <w:rPr>
                <w:rFonts w:hint="eastAsia" w:ascii="宋体" w:hAnsi="宋体" w:eastAsia="宋体" w:cs="宋体"/>
                <w:color w:val="auto"/>
                <w:highlight w:val="none"/>
              </w:rPr>
            </w:pPr>
          </w:p>
        </w:tc>
        <w:tc>
          <w:tcPr>
            <w:tcW w:w="826" w:type="dxa"/>
            <w:noWrap w:val="0"/>
            <w:vAlign w:val="center"/>
          </w:tcPr>
          <w:p w14:paraId="432FE6A9">
            <w:pPr>
              <w:tabs>
                <w:tab w:val="left" w:pos="3780"/>
              </w:tabs>
              <w:adjustRightInd w:val="0"/>
              <w:ind w:firstLine="360"/>
              <w:jc w:val="center"/>
              <w:rPr>
                <w:rFonts w:hint="eastAsia" w:ascii="宋体" w:hAnsi="宋体" w:eastAsia="宋体" w:cs="宋体"/>
                <w:color w:val="auto"/>
                <w:highlight w:val="none"/>
              </w:rPr>
            </w:pPr>
          </w:p>
        </w:tc>
        <w:tc>
          <w:tcPr>
            <w:tcW w:w="1068" w:type="dxa"/>
            <w:noWrap w:val="0"/>
            <w:vAlign w:val="center"/>
          </w:tcPr>
          <w:p w14:paraId="31F25C1E">
            <w:pPr>
              <w:tabs>
                <w:tab w:val="left" w:pos="3780"/>
              </w:tabs>
              <w:adjustRightInd w:val="0"/>
              <w:ind w:firstLine="360"/>
              <w:jc w:val="center"/>
              <w:rPr>
                <w:rFonts w:hint="eastAsia" w:ascii="宋体" w:hAnsi="宋体" w:eastAsia="宋体" w:cs="宋体"/>
                <w:color w:val="auto"/>
                <w:highlight w:val="none"/>
              </w:rPr>
            </w:pPr>
          </w:p>
        </w:tc>
        <w:tc>
          <w:tcPr>
            <w:tcW w:w="1080" w:type="dxa"/>
            <w:noWrap w:val="0"/>
            <w:vAlign w:val="center"/>
          </w:tcPr>
          <w:p w14:paraId="34060EFA">
            <w:pPr>
              <w:tabs>
                <w:tab w:val="left" w:pos="3780"/>
              </w:tabs>
              <w:adjustRightInd w:val="0"/>
              <w:ind w:firstLine="360"/>
              <w:jc w:val="center"/>
              <w:rPr>
                <w:rFonts w:hint="eastAsia" w:ascii="宋体" w:hAnsi="宋体" w:eastAsia="宋体" w:cs="宋体"/>
                <w:color w:val="auto"/>
                <w:highlight w:val="none"/>
              </w:rPr>
            </w:pPr>
          </w:p>
        </w:tc>
        <w:tc>
          <w:tcPr>
            <w:tcW w:w="1044" w:type="dxa"/>
            <w:noWrap w:val="0"/>
            <w:vAlign w:val="center"/>
          </w:tcPr>
          <w:p w14:paraId="370B11B5">
            <w:pPr>
              <w:tabs>
                <w:tab w:val="left" w:pos="3780"/>
              </w:tabs>
              <w:adjustRightInd w:val="0"/>
              <w:ind w:firstLine="360"/>
              <w:jc w:val="center"/>
              <w:rPr>
                <w:rFonts w:hint="eastAsia" w:ascii="宋体" w:hAnsi="宋体" w:eastAsia="宋体" w:cs="宋体"/>
                <w:color w:val="auto"/>
                <w:highlight w:val="none"/>
              </w:rPr>
            </w:pPr>
          </w:p>
        </w:tc>
        <w:tc>
          <w:tcPr>
            <w:tcW w:w="1116" w:type="dxa"/>
            <w:noWrap w:val="0"/>
            <w:vAlign w:val="center"/>
          </w:tcPr>
          <w:p w14:paraId="5EC0350A">
            <w:pPr>
              <w:tabs>
                <w:tab w:val="left" w:pos="3780"/>
              </w:tabs>
              <w:adjustRightInd w:val="0"/>
              <w:ind w:firstLine="360"/>
              <w:jc w:val="center"/>
              <w:rPr>
                <w:rFonts w:hint="eastAsia" w:ascii="宋体" w:hAnsi="宋体" w:eastAsia="宋体" w:cs="宋体"/>
                <w:color w:val="auto"/>
                <w:highlight w:val="none"/>
              </w:rPr>
            </w:pPr>
          </w:p>
        </w:tc>
        <w:tc>
          <w:tcPr>
            <w:tcW w:w="871" w:type="dxa"/>
            <w:noWrap w:val="0"/>
            <w:vAlign w:val="center"/>
          </w:tcPr>
          <w:p w14:paraId="0CDB897C">
            <w:pPr>
              <w:tabs>
                <w:tab w:val="left" w:pos="3780"/>
              </w:tabs>
              <w:adjustRightInd w:val="0"/>
              <w:ind w:firstLine="360"/>
              <w:jc w:val="center"/>
              <w:rPr>
                <w:rFonts w:hint="eastAsia" w:ascii="宋体" w:hAnsi="宋体" w:eastAsia="宋体" w:cs="宋体"/>
                <w:color w:val="auto"/>
                <w:highlight w:val="none"/>
              </w:rPr>
            </w:pPr>
          </w:p>
        </w:tc>
        <w:tc>
          <w:tcPr>
            <w:tcW w:w="1181" w:type="dxa"/>
            <w:noWrap w:val="0"/>
            <w:vAlign w:val="center"/>
          </w:tcPr>
          <w:p w14:paraId="3CAB2CF6">
            <w:pPr>
              <w:tabs>
                <w:tab w:val="left" w:pos="3780"/>
              </w:tabs>
              <w:adjustRightInd w:val="0"/>
              <w:ind w:firstLine="360"/>
              <w:jc w:val="center"/>
              <w:rPr>
                <w:rFonts w:hint="eastAsia" w:ascii="宋体" w:hAnsi="宋体" w:eastAsia="宋体" w:cs="宋体"/>
                <w:color w:val="auto"/>
                <w:highlight w:val="none"/>
              </w:rPr>
            </w:pPr>
          </w:p>
        </w:tc>
        <w:tc>
          <w:tcPr>
            <w:tcW w:w="996" w:type="dxa"/>
            <w:noWrap w:val="0"/>
            <w:vAlign w:val="center"/>
          </w:tcPr>
          <w:p w14:paraId="69A68F94">
            <w:pPr>
              <w:tabs>
                <w:tab w:val="left" w:pos="3780"/>
              </w:tabs>
              <w:adjustRightInd w:val="0"/>
              <w:ind w:firstLine="360"/>
              <w:jc w:val="center"/>
              <w:rPr>
                <w:rFonts w:hint="eastAsia" w:ascii="宋体" w:hAnsi="宋体" w:eastAsia="宋体" w:cs="宋体"/>
                <w:color w:val="auto"/>
                <w:highlight w:val="none"/>
              </w:rPr>
            </w:pPr>
          </w:p>
        </w:tc>
        <w:tc>
          <w:tcPr>
            <w:tcW w:w="1113" w:type="dxa"/>
            <w:gridSpan w:val="2"/>
            <w:noWrap w:val="0"/>
            <w:vAlign w:val="center"/>
          </w:tcPr>
          <w:p w14:paraId="58BFEBDD">
            <w:pPr>
              <w:tabs>
                <w:tab w:val="left" w:pos="3780"/>
              </w:tabs>
              <w:adjustRightInd w:val="0"/>
              <w:ind w:firstLine="360"/>
              <w:jc w:val="center"/>
              <w:rPr>
                <w:rFonts w:hint="eastAsia" w:ascii="宋体" w:hAnsi="宋体" w:eastAsia="宋体" w:cs="宋体"/>
                <w:color w:val="auto"/>
                <w:highlight w:val="none"/>
              </w:rPr>
            </w:pPr>
          </w:p>
        </w:tc>
      </w:tr>
      <w:tr w14:paraId="437EB2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65013F38">
            <w:pPr>
              <w:tabs>
                <w:tab w:val="left" w:pos="3780"/>
              </w:tabs>
              <w:adjustRightInd w:val="0"/>
              <w:jc w:val="center"/>
              <w:rPr>
                <w:rFonts w:hint="eastAsia" w:ascii="宋体" w:hAnsi="宋体" w:eastAsia="宋体" w:cs="宋体"/>
                <w:color w:val="auto"/>
                <w:highlight w:val="none"/>
              </w:rPr>
            </w:pPr>
          </w:p>
        </w:tc>
        <w:tc>
          <w:tcPr>
            <w:tcW w:w="1566" w:type="dxa"/>
            <w:noWrap w:val="0"/>
            <w:vAlign w:val="center"/>
          </w:tcPr>
          <w:p w14:paraId="31922EF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521" w:type="dxa"/>
            <w:noWrap w:val="0"/>
            <w:vAlign w:val="center"/>
          </w:tcPr>
          <w:p w14:paraId="344CD575">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96" w:type="dxa"/>
            <w:noWrap w:val="0"/>
            <w:vAlign w:val="center"/>
          </w:tcPr>
          <w:p w14:paraId="18C9C3ED">
            <w:pPr>
              <w:tabs>
                <w:tab w:val="left" w:pos="3780"/>
              </w:tabs>
              <w:adjustRightInd w:val="0"/>
              <w:jc w:val="center"/>
              <w:rPr>
                <w:rFonts w:hint="eastAsia" w:ascii="宋体" w:hAnsi="宋体" w:eastAsia="宋体" w:cs="宋体"/>
                <w:color w:val="auto"/>
                <w:highlight w:val="none"/>
              </w:rPr>
            </w:pPr>
          </w:p>
        </w:tc>
        <w:tc>
          <w:tcPr>
            <w:tcW w:w="826" w:type="dxa"/>
            <w:noWrap w:val="0"/>
            <w:vAlign w:val="center"/>
          </w:tcPr>
          <w:p w14:paraId="4F3C9C72">
            <w:pPr>
              <w:tabs>
                <w:tab w:val="left" w:pos="3780"/>
              </w:tabs>
              <w:adjustRightInd w:val="0"/>
              <w:jc w:val="center"/>
              <w:rPr>
                <w:rFonts w:hint="eastAsia" w:ascii="宋体" w:hAnsi="宋体" w:eastAsia="宋体" w:cs="宋体"/>
                <w:color w:val="auto"/>
                <w:highlight w:val="none"/>
              </w:rPr>
            </w:pPr>
          </w:p>
        </w:tc>
        <w:tc>
          <w:tcPr>
            <w:tcW w:w="1068" w:type="dxa"/>
            <w:noWrap w:val="0"/>
            <w:vAlign w:val="center"/>
          </w:tcPr>
          <w:p w14:paraId="53FA522F">
            <w:pPr>
              <w:tabs>
                <w:tab w:val="left" w:pos="3780"/>
              </w:tabs>
              <w:adjustRightInd w:val="0"/>
              <w:jc w:val="center"/>
              <w:rPr>
                <w:rFonts w:hint="eastAsia" w:ascii="宋体" w:hAnsi="宋体" w:eastAsia="宋体" w:cs="宋体"/>
                <w:color w:val="auto"/>
                <w:highlight w:val="none"/>
              </w:rPr>
            </w:pPr>
          </w:p>
        </w:tc>
        <w:tc>
          <w:tcPr>
            <w:tcW w:w="1080" w:type="dxa"/>
            <w:noWrap w:val="0"/>
            <w:vAlign w:val="center"/>
          </w:tcPr>
          <w:p w14:paraId="40533CEB">
            <w:pPr>
              <w:tabs>
                <w:tab w:val="left" w:pos="3780"/>
              </w:tabs>
              <w:adjustRightInd w:val="0"/>
              <w:jc w:val="center"/>
              <w:rPr>
                <w:rFonts w:hint="eastAsia" w:ascii="宋体" w:hAnsi="宋体" w:eastAsia="宋体" w:cs="宋体"/>
                <w:color w:val="auto"/>
                <w:highlight w:val="none"/>
              </w:rPr>
            </w:pPr>
          </w:p>
        </w:tc>
        <w:tc>
          <w:tcPr>
            <w:tcW w:w="1044" w:type="dxa"/>
            <w:noWrap w:val="0"/>
            <w:vAlign w:val="center"/>
          </w:tcPr>
          <w:p w14:paraId="720FFF87">
            <w:pPr>
              <w:tabs>
                <w:tab w:val="left" w:pos="3780"/>
              </w:tabs>
              <w:adjustRightInd w:val="0"/>
              <w:jc w:val="center"/>
              <w:rPr>
                <w:rFonts w:hint="eastAsia" w:ascii="宋体" w:hAnsi="宋体" w:eastAsia="宋体" w:cs="宋体"/>
                <w:color w:val="auto"/>
                <w:highlight w:val="none"/>
              </w:rPr>
            </w:pPr>
          </w:p>
        </w:tc>
        <w:tc>
          <w:tcPr>
            <w:tcW w:w="1116" w:type="dxa"/>
            <w:noWrap w:val="0"/>
            <w:vAlign w:val="center"/>
          </w:tcPr>
          <w:p w14:paraId="5FA384A6">
            <w:pPr>
              <w:tabs>
                <w:tab w:val="left" w:pos="3780"/>
              </w:tabs>
              <w:adjustRightInd w:val="0"/>
              <w:jc w:val="center"/>
              <w:rPr>
                <w:rFonts w:hint="eastAsia" w:ascii="宋体" w:hAnsi="宋体" w:eastAsia="宋体" w:cs="宋体"/>
                <w:color w:val="auto"/>
                <w:highlight w:val="none"/>
              </w:rPr>
            </w:pPr>
          </w:p>
        </w:tc>
        <w:tc>
          <w:tcPr>
            <w:tcW w:w="871" w:type="dxa"/>
            <w:noWrap w:val="0"/>
            <w:vAlign w:val="center"/>
          </w:tcPr>
          <w:p w14:paraId="3BB9E43E">
            <w:pPr>
              <w:tabs>
                <w:tab w:val="left" w:pos="3780"/>
              </w:tabs>
              <w:adjustRightInd w:val="0"/>
              <w:jc w:val="center"/>
              <w:rPr>
                <w:rFonts w:hint="eastAsia" w:ascii="宋体" w:hAnsi="宋体" w:eastAsia="宋体" w:cs="宋体"/>
                <w:color w:val="auto"/>
                <w:highlight w:val="none"/>
              </w:rPr>
            </w:pPr>
          </w:p>
        </w:tc>
        <w:tc>
          <w:tcPr>
            <w:tcW w:w="1181" w:type="dxa"/>
            <w:noWrap w:val="0"/>
            <w:vAlign w:val="center"/>
          </w:tcPr>
          <w:p w14:paraId="3F60B5CC">
            <w:pPr>
              <w:tabs>
                <w:tab w:val="left" w:pos="3780"/>
              </w:tabs>
              <w:adjustRightInd w:val="0"/>
              <w:jc w:val="center"/>
              <w:rPr>
                <w:rFonts w:hint="eastAsia" w:ascii="宋体" w:hAnsi="宋体" w:eastAsia="宋体" w:cs="宋体"/>
                <w:color w:val="auto"/>
                <w:highlight w:val="none"/>
              </w:rPr>
            </w:pPr>
          </w:p>
        </w:tc>
        <w:tc>
          <w:tcPr>
            <w:tcW w:w="996" w:type="dxa"/>
            <w:noWrap w:val="0"/>
            <w:vAlign w:val="center"/>
          </w:tcPr>
          <w:p w14:paraId="6A5CEDEF">
            <w:pPr>
              <w:tabs>
                <w:tab w:val="left" w:pos="3780"/>
              </w:tabs>
              <w:adjustRightInd w:val="0"/>
              <w:jc w:val="center"/>
              <w:rPr>
                <w:rFonts w:hint="eastAsia" w:ascii="宋体" w:hAnsi="宋体" w:eastAsia="宋体" w:cs="宋体"/>
                <w:color w:val="auto"/>
                <w:highlight w:val="none"/>
              </w:rPr>
            </w:pPr>
          </w:p>
        </w:tc>
        <w:tc>
          <w:tcPr>
            <w:tcW w:w="1113" w:type="dxa"/>
            <w:gridSpan w:val="2"/>
            <w:noWrap w:val="0"/>
            <w:vAlign w:val="center"/>
          </w:tcPr>
          <w:p w14:paraId="32482B67">
            <w:pPr>
              <w:tabs>
                <w:tab w:val="left" w:pos="3780"/>
              </w:tabs>
              <w:adjustRightInd w:val="0"/>
              <w:jc w:val="center"/>
              <w:rPr>
                <w:rFonts w:hint="eastAsia" w:ascii="宋体" w:hAnsi="宋体" w:eastAsia="宋体" w:cs="宋体"/>
                <w:color w:val="auto"/>
                <w:highlight w:val="none"/>
              </w:rPr>
            </w:pPr>
          </w:p>
        </w:tc>
      </w:tr>
      <w:tr w14:paraId="48404F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20C2A3FB">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1566" w:type="dxa"/>
            <w:noWrap w:val="0"/>
            <w:vAlign w:val="center"/>
          </w:tcPr>
          <w:p w14:paraId="113D4678">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（清单编码）</w:t>
            </w:r>
          </w:p>
        </w:tc>
        <w:tc>
          <w:tcPr>
            <w:tcW w:w="1521" w:type="dxa"/>
            <w:noWrap w:val="0"/>
            <w:vAlign w:val="center"/>
          </w:tcPr>
          <w:p w14:paraId="623C7C8D">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（清单名称）</w:t>
            </w:r>
          </w:p>
        </w:tc>
        <w:tc>
          <w:tcPr>
            <w:tcW w:w="996" w:type="dxa"/>
            <w:noWrap w:val="0"/>
            <w:vAlign w:val="center"/>
          </w:tcPr>
          <w:p w14:paraId="3D3A9FF5">
            <w:pPr>
              <w:tabs>
                <w:tab w:val="left" w:pos="3780"/>
              </w:tabs>
              <w:adjustRightInd w:val="0"/>
              <w:ind w:firstLine="360"/>
              <w:jc w:val="center"/>
              <w:rPr>
                <w:rFonts w:hint="eastAsia" w:ascii="宋体" w:hAnsi="宋体" w:eastAsia="宋体" w:cs="宋体"/>
                <w:color w:val="auto"/>
                <w:highlight w:val="none"/>
              </w:rPr>
            </w:pPr>
          </w:p>
        </w:tc>
        <w:tc>
          <w:tcPr>
            <w:tcW w:w="826" w:type="dxa"/>
            <w:noWrap w:val="0"/>
            <w:vAlign w:val="center"/>
          </w:tcPr>
          <w:p w14:paraId="00EDEB78">
            <w:pPr>
              <w:tabs>
                <w:tab w:val="left" w:pos="3780"/>
              </w:tabs>
              <w:adjustRightInd w:val="0"/>
              <w:ind w:firstLine="360"/>
              <w:jc w:val="center"/>
              <w:rPr>
                <w:rFonts w:hint="eastAsia" w:ascii="宋体" w:hAnsi="宋体" w:eastAsia="宋体" w:cs="宋体"/>
                <w:color w:val="auto"/>
                <w:highlight w:val="none"/>
              </w:rPr>
            </w:pPr>
          </w:p>
        </w:tc>
        <w:tc>
          <w:tcPr>
            <w:tcW w:w="1068" w:type="dxa"/>
            <w:noWrap w:val="0"/>
            <w:vAlign w:val="center"/>
          </w:tcPr>
          <w:p w14:paraId="1B811361">
            <w:pPr>
              <w:tabs>
                <w:tab w:val="left" w:pos="3780"/>
              </w:tabs>
              <w:adjustRightInd w:val="0"/>
              <w:ind w:firstLine="360"/>
              <w:jc w:val="center"/>
              <w:rPr>
                <w:rFonts w:hint="eastAsia" w:ascii="宋体" w:hAnsi="宋体" w:eastAsia="宋体" w:cs="宋体"/>
                <w:color w:val="auto"/>
                <w:highlight w:val="none"/>
              </w:rPr>
            </w:pPr>
          </w:p>
        </w:tc>
        <w:tc>
          <w:tcPr>
            <w:tcW w:w="1080" w:type="dxa"/>
            <w:noWrap w:val="0"/>
            <w:vAlign w:val="center"/>
          </w:tcPr>
          <w:p w14:paraId="4602CF4B">
            <w:pPr>
              <w:tabs>
                <w:tab w:val="left" w:pos="3780"/>
              </w:tabs>
              <w:adjustRightInd w:val="0"/>
              <w:ind w:firstLine="360"/>
              <w:jc w:val="center"/>
              <w:rPr>
                <w:rFonts w:hint="eastAsia" w:ascii="宋体" w:hAnsi="宋体" w:eastAsia="宋体" w:cs="宋体"/>
                <w:color w:val="auto"/>
                <w:highlight w:val="none"/>
              </w:rPr>
            </w:pPr>
          </w:p>
        </w:tc>
        <w:tc>
          <w:tcPr>
            <w:tcW w:w="1044" w:type="dxa"/>
            <w:noWrap w:val="0"/>
            <w:vAlign w:val="center"/>
          </w:tcPr>
          <w:p w14:paraId="77366E26">
            <w:pPr>
              <w:tabs>
                <w:tab w:val="left" w:pos="3780"/>
              </w:tabs>
              <w:adjustRightInd w:val="0"/>
              <w:ind w:firstLine="360"/>
              <w:jc w:val="center"/>
              <w:rPr>
                <w:rFonts w:hint="eastAsia" w:ascii="宋体" w:hAnsi="宋体" w:eastAsia="宋体" w:cs="宋体"/>
                <w:color w:val="auto"/>
                <w:highlight w:val="none"/>
              </w:rPr>
            </w:pPr>
          </w:p>
        </w:tc>
        <w:tc>
          <w:tcPr>
            <w:tcW w:w="1116" w:type="dxa"/>
            <w:noWrap w:val="0"/>
            <w:vAlign w:val="center"/>
          </w:tcPr>
          <w:p w14:paraId="73809F83">
            <w:pPr>
              <w:tabs>
                <w:tab w:val="left" w:pos="3780"/>
              </w:tabs>
              <w:adjustRightInd w:val="0"/>
              <w:ind w:firstLine="360"/>
              <w:jc w:val="center"/>
              <w:rPr>
                <w:rFonts w:hint="eastAsia" w:ascii="宋体" w:hAnsi="宋体" w:eastAsia="宋体" w:cs="宋体"/>
                <w:color w:val="auto"/>
                <w:highlight w:val="none"/>
              </w:rPr>
            </w:pPr>
          </w:p>
        </w:tc>
        <w:tc>
          <w:tcPr>
            <w:tcW w:w="871" w:type="dxa"/>
            <w:noWrap w:val="0"/>
            <w:vAlign w:val="center"/>
          </w:tcPr>
          <w:p w14:paraId="6B048A60">
            <w:pPr>
              <w:tabs>
                <w:tab w:val="left" w:pos="3780"/>
              </w:tabs>
              <w:adjustRightInd w:val="0"/>
              <w:ind w:firstLine="360"/>
              <w:jc w:val="center"/>
              <w:rPr>
                <w:rFonts w:hint="eastAsia" w:ascii="宋体" w:hAnsi="宋体" w:eastAsia="宋体" w:cs="宋体"/>
                <w:color w:val="auto"/>
                <w:highlight w:val="none"/>
              </w:rPr>
            </w:pPr>
          </w:p>
        </w:tc>
        <w:tc>
          <w:tcPr>
            <w:tcW w:w="1181" w:type="dxa"/>
            <w:noWrap w:val="0"/>
            <w:vAlign w:val="center"/>
          </w:tcPr>
          <w:p w14:paraId="58F5FF3F">
            <w:pPr>
              <w:tabs>
                <w:tab w:val="left" w:pos="3780"/>
              </w:tabs>
              <w:adjustRightInd w:val="0"/>
              <w:ind w:firstLine="360"/>
              <w:jc w:val="center"/>
              <w:rPr>
                <w:rFonts w:hint="eastAsia" w:ascii="宋体" w:hAnsi="宋体" w:eastAsia="宋体" w:cs="宋体"/>
                <w:color w:val="auto"/>
                <w:highlight w:val="none"/>
              </w:rPr>
            </w:pPr>
          </w:p>
        </w:tc>
        <w:tc>
          <w:tcPr>
            <w:tcW w:w="996" w:type="dxa"/>
            <w:noWrap w:val="0"/>
            <w:vAlign w:val="center"/>
          </w:tcPr>
          <w:p w14:paraId="7ACF8047">
            <w:pPr>
              <w:tabs>
                <w:tab w:val="left" w:pos="3780"/>
              </w:tabs>
              <w:adjustRightInd w:val="0"/>
              <w:ind w:firstLine="360"/>
              <w:jc w:val="center"/>
              <w:rPr>
                <w:rFonts w:hint="eastAsia" w:ascii="宋体" w:hAnsi="宋体" w:eastAsia="宋体" w:cs="宋体"/>
                <w:color w:val="auto"/>
                <w:highlight w:val="none"/>
              </w:rPr>
            </w:pPr>
          </w:p>
        </w:tc>
        <w:tc>
          <w:tcPr>
            <w:tcW w:w="1113" w:type="dxa"/>
            <w:gridSpan w:val="2"/>
            <w:noWrap w:val="0"/>
            <w:vAlign w:val="center"/>
          </w:tcPr>
          <w:p w14:paraId="32A55FE9">
            <w:pPr>
              <w:tabs>
                <w:tab w:val="left" w:pos="3780"/>
              </w:tabs>
              <w:adjustRightInd w:val="0"/>
              <w:ind w:firstLine="360"/>
              <w:jc w:val="center"/>
              <w:rPr>
                <w:rFonts w:hint="eastAsia" w:ascii="宋体" w:hAnsi="宋体" w:eastAsia="宋体" w:cs="宋体"/>
                <w:color w:val="auto"/>
                <w:highlight w:val="none"/>
              </w:rPr>
            </w:pPr>
          </w:p>
        </w:tc>
      </w:tr>
      <w:tr w14:paraId="69164D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2806F30E">
            <w:pPr>
              <w:tabs>
                <w:tab w:val="left" w:pos="3780"/>
              </w:tabs>
              <w:adjustRightInd w:val="0"/>
              <w:jc w:val="center"/>
              <w:rPr>
                <w:rFonts w:hint="eastAsia" w:ascii="宋体" w:hAnsi="宋体" w:eastAsia="宋体" w:cs="宋体"/>
                <w:color w:val="auto"/>
                <w:highlight w:val="none"/>
              </w:rPr>
            </w:pPr>
          </w:p>
        </w:tc>
        <w:tc>
          <w:tcPr>
            <w:tcW w:w="1566" w:type="dxa"/>
            <w:noWrap w:val="0"/>
            <w:vAlign w:val="center"/>
          </w:tcPr>
          <w:p w14:paraId="1B82E75E">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（定额编号）</w:t>
            </w:r>
          </w:p>
        </w:tc>
        <w:tc>
          <w:tcPr>
            <w:tcW w:w="1521" w:type="dxa"/>
            <w:noWrap w:val="0"/>
            <w:vAlign w:val="center"/>
          </w:tcPr>
          <w:p w14:paraId="60EC234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（定额名称）</w:t>
            </w:r>
          </w:p>
        </w:tc>
        <w:tc>
          <w:tcPr>
            <w:tcW w:w="996" w:type="dxa"/>
            <w:noWrap w:val="0"/>
            <w:vAlign w:val="center"/>
          </w:tcPr>
          <w:p w14:paraId="270E3C3D">
            <w:pPr>
              <w:tabs>
                <w:tab w:val="left" w:pos="3780"/>
              </w:tabs>
              <w:adjustRightInd w:val="0"/>
              <w:ind w:firstLine="360"/>
              <w:jc w:val="center"/>
              <w:rPr>
                <w:rFonts w:hint="eastAsia" w:ascii="宋体" w:hAnsi="宋体" w:eastAsia="宋体" w:cs="宋体"/>
                <w:color w:val="auto"/>
                <w:highlight w:val="none"/>
              </w:rPr>
            </w:pPr>
          </w:p>
        </w:tc>
        <w:tc>
          <w:tcPr>
            <w:tcW w:w="826" w:type="dxa"/>
            <w:noWrap w:val="0"/>
            <w:vAlign w:val="center"/>
          </w:tcPr>
          <w:p w14:paraId="52DAB77B">
            <w:pPr>
              <w:tabs>
                <w:tab w:val="left" w:pos="3780"/>
              </w:tabs>
              <w:adjustRightInd w:val="0"/>
              <w:ind w:firstLine="360"/>
              <w:jc w:val="center"/>
              <w:rPr>
                <w:rFonts w:hint="eastAsia" w:ascii="宋体" w:hAnsi="宋体" w:eastAsia="宋体" w:cs="宋体"/>
                <w:color w:val="auto"/>
                <w:highlight w:val="none"/>
              </w:rPr>
            </w:pPr>
          </w:p>
        </w:tc>
        <w:tc>
          <w:tcPr>
            <w:tcW w:w="1068" w:type="dxa"/>
            <w:noWrap w:val="0"/>
            <w:vAlign w:val="center"/>
          </w:tcPr>
          <w:p w14:paraId="19BC560F">
            <w:pPr>
              <w:tabs>
                <w:tab w:val="left" w:pos="3780"/>
              </w:tabs>
              <w:adjustRightInd w:val="0"/>
              <w:ind w:firstLine="360"/>
              <w:jc w:val="center"/>
              <w:rPr>
                <w:rFonts w:hint="eastAsia" w:ascii="宋体" w:hAnsi="宋体" w:eastAsia="宋体" w:cs="宋体"/>
                <w:color w:val="auto"/>
                <w:highlight w:val="none"/>
              </w:rPr>
            </w:pPr>
          </w:p>
        </w:tc>
        <w:tc>
          <w:tcPr>
            <w:tcW w:w="1080" w:type="dxa"/>
            <w:noWrap w:val="0"/>
            <w:vAlign w:val="center"/>
          </w:tcPr>
          <w:p w14:paraId="4114F637">
            <w:pPr>
              <w:tabs>
                <w:tab w:val="left" w:pos="3780"/>
              </w:tabs>
              <w:adjustRightInd w:val="0"/>
              <w:ind w:firstLine="360"/>
              <w:jc w:val="center"/>
              <w:rPr>
                <w:rFonts w:hint="eastAsia" w:ascii="宋体" w:hAnsi="宋体" w:eastAsia="宋体" w:cs="宋体"/>
                <w:color w:val="auto"/>
                <w:highlight w:val="none"/>
              </w:rPr>
            </w:pPr>
          </w:p>
        </w:tc>
        <w:tc>
          <w:tcPr>
            <w:tcW w:w="1044" w:type="dxa"/>
            <w:noWrap w:val="0"/>
            <w:vAlign w:val="center"/>
          </w:tcPr>
          <w:p w14:paraId="3100B772">
            <w:pPr>
              <w:tabs>
                <w:tab w:val="left" w:pos="3780"/>
              </w:tabs>
              <w:adjustRightInd w:val="0"/>
              <w:ind w:firstLine="360"/>
              <w:jc w:val="center"/>
              <w:rPr>
                <w:rFonts w:hint="eastAsia" w:ascii="宋体" w:hAnsi="宋体" w:eastAsia="宋体" w:cs="宋体"/>
                <w:color w:val="auto"/>
                <w:highlight w:val="none"/>
              </w:rPr>
            </w:pPr>
          </w:p>
        </w:tc>
        <w:tc>
          <w:tcPr>
            <w:tcW w:w="1116" w:type="dxa"/>
            <w:noWrap w:val="0"/>
            <w:vAlign w:val="center"/>
          </w:tcPr>
          <w:p w14:paraId="4C1B9D4E">
            <w:pPr>
              <w:tabs>
                <w:tab w:val="left" w:pos="3780"/>
              </w:tabs>
              <w:adjustRightInd w:val="0"/>
              <w:ind w:firstLine="360"/>
              <w:jc w:val="center"/>
              <w:rPr>
                <w:rFonts w:hint="eastAsia" w:ascii="宋体" w:hAnsi="宋体" w:eastAsia="宋体" w:cs="宋体"/>
                <w:color w:val="auto"/>
                <w:highlight w:val="none"/>
              </w:rPr>
            </w:pPr>
          </w:p>
        </w:tc>
        <w:tc>
          <w:tcPr>
            <w:tcW w:w="871" w:type="dxa"/>
            <w:noWrap w:val="0"/>
            <w:vAlign w:val="center"/>
          </w:tcPr>
          <w:p w14:paraId="08CF36A9">
            <w:pPr>
              <w:tabs>
                <w:tab w:val="left" w:pos="3780"/>
              </w:tabs>
              <w:adjustRightInd w:val="0"/>
              <w:ind w:firstLine="360"/>
              <w:jc w:val="center"/>
              <w:rPr>
                <w:rFonts w:hint="eastAsia" w:ascii="宋体" w:hAnsi="宋体" w:eastAsia="宋体" w:cs="宋体"/>
                <w:color w:val="auto"/>
                <w:highlight w:val="none"/>
              </w:rPr>
            </w:pPr>
          </w:p>
        </w:tc>
        <w:tc>
          <w:tcPr>
            <w:tcW w:w="1181" w:type="dxa"/>
            <w:noWrap w:val="0"/>
            <w:vAlign w:val="center"/>
          </w:tcPr>
          <w:p w14:paraId="0A539E20">
            <w:pPr>
              <w:tabs>
                <w:tab w:val="left" w:pos="3780"/>
              </w:tabs>
              <w:adjustRightInd w:val="0"/>
              <w:ind w:firstLine="360"/>
              <w:jc w:val="center"/>
              <w:rPr>
                <w:rFonts w:hint="eastAsia" w:ascii="宋体" w:hAnsi="宋体" w:eastAsia="宋体" w:cs="宋体"/>
                <w:color w:val="auto"/>
                <w:highlight w:val="none"/>
              </w:rPr>
            </w:pPr>
          </w:p>
        </w:tc>
        <w:tc>
          <w:tcPr>
            <w:tcW w:w="996" w:type="dxa"/>
            <w:noWrap w:val="0"/>
            <w:vAlign w:val="center"/>
          </w:tcPr>
          <w:p w14:paraId="383274DA">
            <w:pPr>
              <w:tabs>
                <w:tab w:val="left" w:pos="3780"/>
              </w:tabs>
              <w:adjustRightInd w:val="0"/>
              <w:ind w:firstLine="360"/>
              <w:jc w:val="center"/>
              <w:rPr>
                <w:rFonts w:hint="eastAsia" w:ascii="宋体" w:hAnsi="宋体" w:eastAsia="宋体" w:cs="宋体"/>
                <w:color w:val="auto"/>
                <w:highlight w:val="none"/>
              </w:rPr>
            </w:pPr>
          </w:p>
        </w:tc>
        <w:tc>
          <w:tcPr>
            <w:tcW w:w="1113" w:type="dxa"/>
            <w:gridSpan w:val="2"/>
            <w:noWrap w:val="0"/>
            <w:vAlign w:val="center"/>
          </w:tcPr>
          <w:p w14:paraId="10198517">
            <w:pPr>
              <w:tabs>
                <w:tab w:val="left" w:pos="3780"/>
              </w:tabs>
              <w:adjustRightInd w:val="0"/>
              <w:ind w:firstLine="360"/>
              <w:jc w:val="center"/>
              <w:rPr>
                <w:rFonts w:hint="eastAsia" w:ascii="宋体" w:hAnsi="宋体" w:eastAsia="宋体" w:cs="宋体"/>
                <w:color w:val="auto"/>
                <w:highlight w:val="none"/>
              </w:rPr>
            </w:pPr>
          </w:p>
        </w:tc>
      </w:tr>
      <w:tr w14:paraId="1E9CA7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315" w:type="dxa"/>
          <w:trHeight w:val="473" w:hRule="atLeast"/>
        </w:trPr>
        <w:tc>
          <w:tcPr>
            <w:tcW w:w="780" w:type="dxa"/>
            <w:noWrap w:val="0"/>
            <w:vAlign w:val="center"/>
          </w:tcPr>
          <w:p w14:paraId="19F24913">
            <w:pPr>
              <w:tabs>
                <w:tab w:val="left" w:pos="3780"/>
              </w:tabs>
              <w:adjustRightInd w:val="0"/>
              <w:jc w:val="center"/>
              <w:rPr>
                <w:rFonts w:hint="eastAsia" w:ascii="宋体" w:hAnsi="宋体" w:eastAsia="宋体" w:cs="宋体"/>
                <w:color w:val="auto"/>
                <w:highlight w:val="none"/>
              </w:rPr>
            </w:pPr>
          </w:p>
        </w:tc>
        <w:tc>
          <w:tcPr>
            <w:tcW w:w="1566" w:type="dxa"/>
            <w:noWrap w:val="0"/>
            <w:vAlign w:val="center"/>
          </w:tcPr>
          <w:p w14:paraId="3BFDA309">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521" w:type="dxa"/>
            <w:noWrap w:val="0"/>
            <w:vAlign w:val="center"/>
          </w:tcPr>
          <w:p w14:paraId="40C5F015">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96" w:type="dxa"/>
            <w:noWrap w:val="0"/>
            <w:vAlign w:val="center"/>
          </w:tcPr>
          <w:p w14:paraId="3984093C">
            <w:pPr>
              <w:tabs>
                <w:tab w:val="left" w:pos="3780"/>
              </w:tabs>
              <w:adjustRightInd w:val="0"/>
              <w:jc w:val="center"/>
              <w:rPr>
                <w:rFonts w:hint="eastAsia" w:ascii="宋体" w:hAnsi="宋体" w:eastAsia="宋体" w:cs="宋体"/>
                <w:color w:val="auto"/>
                <w:highlight w:val="none"/>
              </w:rPr>
            </w:pPr>
          </w:p>
        </w:tc>
        <w:tc>
          <w:tcPr>
            <w:tcW w:w="826" w:type="dxa"/>
            <w:noWrap w:val="0"/>
            <w:vAlign w:val="center"/>
          </w:tcPr>
          <w:p w14:paraId="22907EF6">
            <w:pPr>
              <w:tabs>
                <w:tab w:val="left" w:pos="3780"/>
              </w:tabs>
              <w:adjustRightInd w:val="0"/>
              <w:jc w:val="center"/>
              <w:rPr>
                <w:rFonts w:hint="eastAsia" w:ascii="宋体" w:hAnsi="宋体" w:eastAsia="宋体" w:cs="宋体"/>
                <w:color w:val="auto"/>
                <w:highlight w:val="none"/>
              </w:rPr>
            </w:pPr>
          </w:p>
        </w:tc>
        <w:tc>
          <w:tcPr>
            <w:tcW w:w="1068" w:type="dxa"/>
            <w:noWrap w:val="0"/>
            <w:vAlign w:val="center"/>
          </w:tcPr>
          <w:p w14:paraId="38130F99">
            <w:pPr>
              <w:tabs>
                <w:tab w:val="left" w:pos="3780"/>
              </w:tabs>
              <w:adjustRightInd w:val="0"/>
              <w:jc w:val="center"/>
              <w:rPr>
                <w:rFonts w:hint="eastAsia" w:ascii="宋体" w:hAnsi="宋体" w:eastAsia="宋体" w:cs="宋体"/>
                <w:color w:val="auto"/>
                <w:highlight w:val="none"/>
              </w:rPr>
            </w:pPr>
          </w:p>
        </w:tc>
        <w:tc>
          <w:tcPr>
            <w:tcW w:w="1080" w:type="dxa"/>
            <w:noWrap w:val="0"/>
            <w:vAlign w:val="center"/>
          </w:tcPr>
          <w:p w14:paraId="449A4B77">
            <w:pPr>
              <w:tabs>
                <w:tab w:val="left" w:pos="3780"/>
              </w:tabs>
              <w:adjustRightInd w:val="0"/>
              <w:jc w:val="center"/>
              <w:rPr>
                <w:rFonts w:hint="eastAsia" w:ascii="宋体" w:hAnsi="宋体" w:eastAsia="宋体" w:cs="宋体"/>
                <w:color w:val="auto"/>
                <w:highlight w:val="none"/>
              </w:rPr>
            </w:pPr>
          </w:p>
        </w:tc>
        <w:tc>
          <w:tcPr>
            <w:tcW w:w="1044" w:type="dxa"/>
            <w:noWrap w:val="0"/>
            <w:vAlign w:val="center"/>
          </w:tcPr>
          <w:p w14:paraId="4ADD8AF3">
            <w:pPr>
              <w:tabs>
                <w:tab w:val="left" w:pos="3780"/>
              </w:tabs>
              <w:adjustRightInd w:val="0"/>
              <w:jc w:val="center"/>
              <w:rPr>
                <w:rFonts w:hint="eastAsia" w:ascii="宋体" w:hAnsi="宋体" w:eastAsia="宋体" w:cs="宋体"/>
                <w:color w:val="auto"/>
                <w:highlight w:val="none"/>
              </w:rPr>
            </w:pPr>
          </w:p>
        </w:tc>
        <w:tc>
          <w:tcPr>
            <w:tcW w:w="1116" w:type="dxa"/>
            <w:noWrap w:val="0"/>
            <w:vAlign w:val="center"/>
          </w:tcPr>
          <w:p w14:paraId="21C3F245">
            <w:pPr>
              <w:tabs>
                <w:tab w:val="left" w:pos="3780"/>
              </w:tabs>
              <w:adjustRightInd w:val="0"/>
              <w:jc w:val="center"/>
              <w:rPr>
                <w:rFonts w:hint="eastAsia" w:ascii="宋体" w:hAnsi="宋体" w:eastAsia="宋体" w:cs="宋体"/>
                <w:color w:val="auto"/>
                <w:highlight w:val="none"/>
              </w:rPr>
            </w:pPr>
          </w:p>
        </w:tc>
        <w:tc>
          <w:tcPr>
            <w:tcW w:w="871" w:type="dxa"/>
            <w:noWrap w:val="0"/>
            <w:vAlign w:val="center"/>
          </w:tcPr>
          <w:p w14:paraId="46FACF7F">
            <w:pPr>
              <w:tabs>
                <w:tab w:val="left" w:pos="3780"/>
              </w:tabs>
              <w:adjustRightInd w:val="0"/>
              <w:jc w:val="center"/>
              <w:rPr>
                <w:rFonts w:hint="eastAsia" w:ascii="宋体" w:hAnsi="宋体" w:eastAsia="宋体" w:cs="宋体"/>
                <w:color w:val="auto"/>
                <w:highlight w:val="none"/>
              </w:rPr>
            </w:pPr>
          </w:p>
        </w:tc>
        <w:tc>
          <w:tcPr>
            <w:tcW w:w="1181" w:type="dxa"/>
            <w:noWrap w:val="0"/>
            <w:vAlign w:val="center"/>
          </w:tcPr>
          <w:p w14:paraId="00450DEC">
            <w:pPr>
              <w:tabs>
                <w:tab w:val="left" w:pos="3780"/>
              </w:tabs>
              <w:adjustRightInd w:val="0"/>
              <w:jc w:val="center"/>
              <w:rPr>
                <w:rFonts w:hint="eastAsia" w:ascii="宋体" w:hAnsi="宋体" w:eastAsia="宋体" w:cs="宋体"/>
                <w:color w:val="auto"/>
                <w:highlight w:val="none"/>
              </w:rPr>
            </w:pPr>
          </w:p>
        </w:tc>
        <w:tc>
          <w:tcPr>
            <w:tcW w:w="996" w:type="dxa"/>
            <w:noWrap w:val="0"/>
            <w:vAlign w:val="center"/>
          </w:tcPr>
          <w:p w14:paraId="48569302">
            <w:pPr>
              <w:tabs>
                <w:tab w:val="left" w:pos="3780"/>
              </w:tabs>
              <w:adjustRightInd w:val="0"/>
              <w:jc w:val="center"/>
              <w:rPr>
                <w:rFonts w:hint="eastAsia" w:ascii="宋体" w:hAnsi="宋体" w:eastAsia="宋体" w:cs="宋体"/>
                <w:color w:val="auto"/>
                <w:highlight w:val="none"/>
              </w:rPr>
            </w:pPr>
          </w:p>
        </w:tc>
        <w:tc>
          <w:tcPr>
            <w:tcW w:w="1113" w:type="dxa"/>
            <w:gridSpan w:val="2"/>
            <w:noWrap w:val="0"/>
            <w:vAlign w:val="center"/>
          </w:tcPr>
          <w:p w14:paraId="47B8D8BF">
            <w:pPr>
              <w:tabs>
                <w:tab w:val="left" w:pos="3780"/>
              </w:tabs>
              <w:adjustRightInd w:val="0"/>
              <w:jc w:val="center"/>
              <w:rPr>
                <w:rFonts w:hint="eastAsia" w:ascii="宋体" w:hAnsi="宋体" w:eastAsia="宋体" w:cs="宋体"/>
                <w:color w:val="auto"/>
                <w:highlight w:val="none"/>
              </w:rPr>
            </w:pPr>
          </w:p>
        </w:tc>
      </w:tr>
      <w:tr w14:paraId="3FA5F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13360" w:type="dxa"/>
            <w:gridSpan w:val="13"/>
            <w:noWrap w:val="0"/>
            <w:vAlign w:val="center"/>
          </w:tcPr>
          <w:p w14:paraId="2C178601">
            <w:pPr>
              <w:tabs>
                <w:tab w:val="left" w:pos="378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  计：</w:t>
            </w:r>
          </w:p>
        </w:tc>
        <w:tc>
          <w:tcPr>
            <w:tcW w:w="1113" w:type="dxa"/>
            <w:gridSpan w:val="2"/>
            <w:noWrap w:val="0"/>
            <w:vAlign w:val="center"/>
          </w:tcPr>
          <w:p w14:paraId="3FEFE40A">
            <w:pPr>
              <w:tabs>
                <w:tab w:val="left" w:pos="3780"/>
              </w:tabs>
              <w:adjustRightInd w:val="0"/>
              <w:jc w:val="center"/>
              <w:rPr>
                <w:rFonts w:hint="eastAsia" w:ascii="宋体" w:hAnsi="宋体" w:eastAsia="宋体" w:cs="宋体"/>
                <w:color w:val="auto"/>
                <w:highlight w:val="none"/>
              </w:rPr>
            </w:pPr>
          </w:p>
        </w:tc>
      </w:tr>
    </w:tbl>
    <w:p w14:paraId="75354BD7">
      <w:pPr>
        <w:widowControl/>
        <w:tabs>
          <w:tab w:val="center" w:pos="4755"/>
          <w:tab w:val="right" w:pos="9070"/>
        </w:tabs>
        <w:adjustRightInd w:val="0"/>
        <w:ind w:left="-91" w:leftChars="-171" w:hanging="268" w:hangingChars="128"/>
        <w:rPr>
          <w:rFonts w:hint="eastAsia" w:ascii="宋体" w:hAnsi="宋体" w:eastAsia="宋体" w:cs="宋体"/>
          <w:color w:val="auto"/>
          <w:highlight w:val="none"/>
        </w:rPr>
      </w:pPr>
      <w:r>
        <w:rPr>
          <w:rFonts w:hint="eastAsia" w:ascii="宋体" w:hAnsi="宋体" w:eastAsia="宋体" w:cs="宋体"/>
          <w:color w:val="auto"/>
          <w:highlight w:val="none"/>
        </w:rPr>
        <w:t>注：  表（1）、（2）栏中清单编号和措施项目清单名称由招标人按需要提出。</w:t>
      </w:r>
    </w:p>
    <w:p w14:paraId="53E3D86C">
      <w:pPr>
        <w:widowControl/>
        <w:tabs>
          <w:tab w:val="center" w:pos="4755"/>
          <w:tab w:val="right" w:pos="9070"/>
        </w:tabs>
        <w:spacing w:before="100" w:beforeAutospacing="1" w:after="100" w:afterAutospacing="1"/>
        <w:ind w:firstLine="211" w:firstLineChars="100"/>
        <w:rPr>
          <w:rFonts w:hint="eastAsia" w:ascii="宋体" w:hAnsi="宋体" w:eastAsia="宋体" w:cs="宋体"/>
          <w:b/>
          <w:color w:val="auto"/>
          <w:highlight w:val="none"/>
        </w:rPr>
        <w:sectPr>
          <w:pgSz w:w="15840" w:h="12240" w:orient="landscape"/>
          <w:pgMar w:top="1531" w:right="1304" w:bottom="964" w:left="964" w:header="720" w:footer="720" w:gutter="0"/>
          <w:cols w:space="720" w:num="1"/>
          <w:docGrid w:linePitch="312" w:charSpace="0"/>
        </w:sectPr>
      </w:pPr>
    </w:p>
    <w:p w14:paraId="6809E1BE">
      <w:pPr>
        <w:widowControl/>
        <w:tabs>
          <w:tab w:val="center" w:pos="4755"/>
          <w:tab w:val="right" w:pos="9070"/>
        </w:tabs>
        <w:adjustRightInd w:val="0"/>
        <w:jc w:val="center"/>
        <w:rPr>
          <w:rFonts w:hint="eastAsia" w:ascii="宋体" w:hAnsi="宋体" w:eastAsia="宋体" w:cs="宋体"/>
          <w:b/>
          <w:bCs/>
          <w:color w:val="auto"/>
          <w:sz w:val="32"/>
          <w:szCs w:val="28"/>
          <w:highlight w:val="none"/>
        </w:rPr>
      </w:pPr>
      <w:r>
        <w:rPr>
          <w:rFonts w:hint="eastAsia" w:ascii="宋体" w:hAnsi="宋体" w:eastAsia="宋体" w:cs="宋体"/>
          <w:b/>
          <w:bCs/>
          <w:color w:val="auto"/>
          <w:sz w:val="32"/>
          <w:szCs w:val="28"/>
          <w:highlight w:val="none"/>
        </w:rPr>
        <w:t>表2-3  综合单价工料机分析表</w:t>
      </w:r>
    </w:p>
    <w:p w14:paraId="2BED34AC">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项目编码：                                                   计量单位：</w:t>
      </w:r>
    </w:p>
    <w:p w14:paraId="51B61258">
      <w:pPr>
        <w:widowControl/>
        <w:tabs>
          <w:tab w:val="center" w:pos="4755"/>
          <w:tab w:val="right" w:pos="9070"/>
        </w:tabs>
        <w:adjustRightIn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项目名称：                                                第   页共  页</w:t>
      </w:r>
    </w:p>
    <w:tbl>
      <w:tblPr>
        <w:tblStyle w:val="1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6543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noWrap w:val="0"/>
            <w:vAlign w:val="center"/>
          </w:tcPr>
          <w:p w14:paraId="497EADCB">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08D2E0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名称及规格</w:t>
            </w:r>
          </w:p>
        </w:tc>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14:paraId="321D8A1E">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440" w:type="dxa"/>
            <w:vMerge w:val="restart"/>
            <w:tcBorders>
              <w:top w:val="single" w:color="auto" w:sz="4" w:space="0"/>
              <w:left w:val="single" w:color="auto" w:sz="4" w:space="0"/>
              <w:bottom w:val="single" w:color="auto" w:sz="4" w:space="0"/>
              <w:right w:val="single" w:color="auto" w:sz="4" w:space="0"/>
            </w:tcBorders>
            <w:noWrap w:val="0"/>
            <w:vAlign w:val="center"/>
          </w:tcPr>
          <w:p w14:paraId="13F1681B">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3060" w:type="dxa"/>
            <w:gridSpan w:val="2"/>
            <w:tcBorders>
              <w:top w:val="single" w:color="auto" w:sz="4" w:space="0"/>
              <w:left w:val="single" w:color="auto" w:sz="4" w:space="0"/>
              <w:bottom w:val="single" w:color="auto" w:sz="4" w:space="0"/>
              <w:right w:val="single" w:color="auto" w:sz="4" w:space="0"/>
            </w:tcBorders>
            <w:noWrap w:val="0"/>
            <w:vAlign w:val="center"/>
          </w:tcPr>
          <w:p w14:paraId="410DFD71">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r>
      <w:tr w14:paraId="4ED2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55B92C96">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21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16EF768">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503AC6C1">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440" w:type="dxa"/>
            <w:vMerge w:val="continue"/>
            <w:tcBorders>
              <w:top w:val="single" w:color="auto" w:sz="4" w:space="0"/>
              <w:left w:val="single" w:color="auto" w:sz="4" w:space="0"/>
              <w:bottom w:val="single" w:color="auto" w:sz="4" w:space="0"/>
              <w:right w:val="single" w:color="auto" w:sz="4" w:space="0"/>
            </w:tcBorders>
            <w:noWrap w:val="0"/>
            <w:vAlign w:val="center"/>
          </w:tcPr>
          <w:p w14:paraId="421AB8BA">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4690316">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ACC0D20">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合价</w:t>
            </w:r>
          </w:p>
        </w:tc>
      </w:tr>
      <w:tr w14:paraId="3573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noWrap w:val="0"/>
            <w:vAlign w:val="top"/>
          </w:tcPr>
          <w:p w14:paraId="3D62B627">
            <w:pPr>
              <w:keepNext/>
              <w:keepLines/>
              <w:widowControl/>
              <w:tabs>
                <w:tab w:val="center" w:pos="4755"/>
                <w:tab w:val="right" w:pos="9070"/>
              </w:tabs>
              <w:adjustRightInd w:val="0"/>
              <w:spacing w:before="340" w:after="330" w:line="576" w:lineRule="auto"/>
              <w:outlineLvl w:val="0"/>
              <w:rPr>
                <w:rFonts w:hint="eastAsia" w:ascii="宋体" w:hAnsi="宋体" w:eastAsia="宋体" w:cs="宋体"/>
                <w:color w:val="auto"/>
                <w:highlight w:val="none"/>
              </w:rPr>
            </w:pPr>
          </w:p>
        </w:tc>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14:paraId="724B8CD7">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人工</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BA85EDF">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一类</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C9F993D">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7992AED6">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DB2DE74">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4C63D9B9">
            <w:pPr>
              <w:widowControl/>
              <w:tabs>
                <w:tab w:val="center" w:pos="4755"/>
                <w:tab w:val="right" w:pos="9070"/>
              </w:tabs>
              <w:adjustRightInd w:val="0"/>
              <w:rPr>
                <w:rFonts w:hint="eastAsia" w:ascii="宋体" w:hAnsi="宋体" w:eastAsia="宋体" w:cs="宋体"/>
                <w:color w:val="auto"/>
                <w:highlight w:val="none"/>
              </w:rPr>
            </w:pPr>
          </w:p>
        </w:tc>
      </w:tr>
      <w:tr w14:paraId="6F06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2B9BAD6E">
            <w:pPr>
              <w:widowControl/>
              <w:adjustRightInd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6BF0EADE">
            <w:pPr>
              <w:widowControl/>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E729F2A">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二类</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3BA25F1">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756E288B">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F6D6DE6">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A5ABE51">
            <w:pPr>
              <w:widowControl/>
              <w:tabs>
                <w:tab w:val="center" w:pos="4755"/>
                <w:tab w:val="right" w:pos="9070"/>
              </w:tabs>
              <w:adjustRightInd w:val="0"/>
              <w:rPr>
                <w:rFonts w:hint="eastAsia" w:ascii="宋体" w:hAnsi="宋体" w:eastAsia="宋体" w:cs="宋体"/>
                <w:color w:val="auto"/>
                <w:highlight w:val="none"/>
              </w:rPr>
            </w:pPr>
          </w:p>
        </w:tc>
      </w:tr>
      <w:tr w14:paraId="16F4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1EABEC67">
            <w:pPr>
              <w:widowControl/>
              <w:adjustRightInd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48D00849">
            <w:pPr>
              <w:widowControl/>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09B1D3A">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三类</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472B996">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440" w:type="dxa"/>
            <w:tcBorders>
              <w:top w:val="single" w:color="auto" w:sz="4" w:space="0"/>
              <w:left w:val="single" w:color="auto" w:sz="4" w:space="0"/>
              <w:bottom w:val="single" w:color="auto" w:sz="4" w:space="0"/>
              <w:right w:val="single" w:color="auto" w:sz="4" w:space="0"/>
            </w:tcBorders>
            <w:noWrap w:val="0"/>
            <w:vAlign w:val="top"/>
          </w:tcPr>
          <w:p w14:paraId="0AC3B584">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E410FE2">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CD8B3D1">
            <w:pPr>
              <w:widowControl/>
              <w:tabs>
                <w:tab w:val="center" w:pos="4755"/>
                <w:tab w:val="right" w:pos="9070"/>
              </w:tabs>
              <w:adjustRightInd w:val="0"/>
              <w:rPr>
                <w:rFonts w:hint="eastAsia" w:ascii="宋体" w:hAnsi="宋体" w:eastAsia="宋体" w:cs="宋体"/>
                <w:color w:val="auto"/>
                <w:highlight w:val="none"/>
              </w:rPr>
            </w:pPr>
          </w:p>
        </w:tc>
      </w:tr>
      <w:tr w14:paraId="198EC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B01EE22">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4DD6A519">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人工费小计</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A393C0C">
            <w:pPr>
              <w:widowControl/>
              <w:tabs>
                <w:tab w:val="center" w:pos="4755"/>
                <w:tab w:val="right" w:pos="9070"/>
              </w:tabs>
              <w:adjustRightInd w:val="0"/>
              <w:rPr>
                <w:rFonts w:hint="eastAsia" w:ascii="宋体" w:hAnsi="宋体" w:eastAsia="宋体" w:cs="宋体"/>
                <w:color w:val="auto"/>
                <w:highlight w:val="none"/>
              </w:rPr>
            </w:pPr>
          </w:p>
        </w:tc>
      </w:tr>
      <w:tr w14:paraId="56D9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noWrap w:val="0"/>
            <w:vAlign w:val="top"/>
          </w:tcPr>
          <w:p w14:paraId="34FB7133">
            <w:pPr>
              <w:widowControl/>
              <w:tabs>
                <w:tab w:val="center" w:pos="4755"/>
                <w:tab w:val="right" w:pos="9070"/>
              </w:tabs>
              <w:adjustRightInd w:val="0"/>
              <w:jc w:val="center"/>
              <w:rPr>
                <w:rFonts w:hint="eastAsia" w:ascii="宋体" w:hAnsi="宋体" w:eastAsia="宋体" w:cs="宋体"/>
                <w:color w:val="auto"/>
                <w:highlight w:val="none"/>
              </w:rPr>
            </w:pPr>
          </w:p>
        </w:tc>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14:paraId="471468D2">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主要</w:t>
            </w:r>
          </w:p>
          <w:p w14:paraId="5E66725F">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材料</w:t>
            </w:r>
          </w:p>
        </w:tc>
        <w:tc>
          <w:tcPr>
            <w:tcW w:w="1260" w:type="dxa"/>
            <w:tcBorders>
              <w:top w:val="single" w:color="auto" w:sz="4" w:space="0"/>
              <w:left w:val="single" w:color="auto" w:sz="4" w:space="0"/>
              <w:bottom w:val="single" w:color="auto" w:sz="4" w:space="0"/>
              <w:right w:val="single" w:color="auto" w:sz="4" w:space="0"/>
            </w:tcBorders>
            <w:noWrap w:val="0"/>
            <w:vAlign w:val="top"/>
          </w:tcPr>
          <w:p w14:paraId="2F6D5D54">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28490B7">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4D235DFC">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DECA23C">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78C31B2">
            <w:pPr>
              <w:widowControl/>
              <w:tabs>
                <w:tab w:val="center" w:pos="4755"/>
                <w:tab w:val="right" w:pos="9070"/>
              </w:tabs>
              <w:adjustRightInd w:val="0"/>
              <w:rPr>
                <w:rFonts w:hint="eastAsia" w:ascii="宋体" w:hAnsi="宋体" w:eastAsia="宋体" w:cs="宋体"/>
                <w:color w:val="auto"/>
                <w:highlight w:val="none"/>
              </w:rPr>
            </w:pPr>
          </w:p>
        </w:tc>
      </w:tr>
      <w:tr w14:paraId="58B7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2A59539F">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5C0B224C">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157423C">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51839E0D">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5BF16A8B">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2D5A5E3">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24296172">
            <w:pPr>
              <w:widowControl/>
              <w:tabs>
                <w:tab w:val="center" w:pos="4755"/>
                <w:tab w:val="right" w:pos="9070"/>
              </w:tabs>
              <w:adjustRightInd w:val="0"/>
              <w:rPr>
                <w:rFonts w:hint="eastAsia" w:ascii="宋体" w:hAnsi="宋体" w:eastAsia="宋体" w:cs="宋体"/>
                <w:color w:val="auto"/>
                <w:highlight w:val="none"/>
              </w:rPr>
            </w:pPr>
          </w:p>
        </w:tc>
      </w:tr>
      <w:tr w14:paraId="23C7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0284E4A3">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61F1B888">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3776461">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9B82D3D">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29F0A330">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B2D9E06">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8E0317C">
            <w:pPr>
              <w:widowControl/>
              <w:tabs>
                <w:tab w:val="center" w:pos="4755"/>
                <w:tab w:val="right" w:pos="9070"/>
              </w:tabs>
              <w:adjustRightInd w:val="0"/>
              <w:rPr>
                <w:rFonts w:hint="eastAsia" w:ascii="宋体" w:hAnsi="宋体" w:eastAsia="宋体" w:cs="宋体"/>
                <w:color w:val="auto"/>
                <w:highlight w:val="none"/>
              </w:rPr>
            </w:pPr>
          </w:p>
        </w:tc>
      </w:tr>
      <w:tr w14:paraId="7998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36E73037">
            <w:pPr>
              <w:keepNext/>
              <w:keepLines/>
              <w:widowControl/>
              <w:adjustRightInd w:val="0"/>
              <w:spacing w:before="340" w:after="330" w:line="576" w:lineRule="auto"/>
              <w:jc w:val="center"/>
              <w:outlineLvl w:val="0"/>
              <w:rPr>
                <w:rFonts w:hint="eastAsia" w:ascii="宋体" w:hAnsi="宋体" w:eastAsia="宋体" w:cs="宋体"/>
                <w:color w:val="auto"/>
                <w:highlight w:val="none"/>
              </w:rPr>
            </w:pP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61B6E66B">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其他材料费</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66889FFC">
            <w:pPr>
              <w:widowControl/>
              <w:tabs>
                <w:tab w:val="center" w:pos="4755"/>
                <w:tab w:val="right" w:pos="9070"/>
              </w:tabs>
              <w:adjustRightInd w:val="0"/>
              <w:rPr>
                <w:rFonts w:hint="eastAsia" w:ascii="宋体" w:hAnsi="宋体" w:eastAsia="宋体" w:cs="宋体"/>
                <w:color w:val="auto"/>
                <w:highlight w:val="none"/>
              </w:rPr>
            </w:pPr>
          </w:p>
        </w:tc>
      </w:tr>
      <w:tr w14:paraId="04AF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EF7D3E8">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03EDA4EE">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材料费小计</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997FD39">
            <w:pPr>
              <w:widowControl/>
              <w:tabs>
                <w:tab w:val="center" w:pos="4755"/>
                <w:tab w:val="right" w:pos="9070"/>
              </w:tabs>
              <w:adjustRightInd w:val="0"/>
              <w:rPr>
                <w:rFonts w:hint="eastAsia" w:ascii="宋体" w:hAnsi="宋体" w:eastAsia="宋体" w:cs="宋体"/>
                <w:color w:val="auto"/>
                <w:highlight w:val="none"/>
              </w:rPr>
            </w:pPr>
          </w:p>
        </w:tc>
      </w:tr>
      <w:tr w14:paraId="4C42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noWrap w:val="0"/>
            <w:vAlign w:val="center"/>
          </w:tcPr>
          <w:p w14:paraId="4ADF7018">
            <w:pPr>
              <w:widowControl/>
              <w:tabs>
                <w:tab w:val="center" w:pos="4755"/>
                <w:tab w:val="right" w:pos="9070"/>
              </w:tabs>
              <w:adjustRightInd w:val="0"/>
              <w:jc w:val="center"/>
              <w:rPr>
                <w:rFonts w:hint="eastAsia" w:ascii="宋体" w:hAnsi="宋体" w:eastAsia="宋体" w:cs="宋体"/>
                <w:color w:val="auto"/>
                <w:highlight w:val="none"/>
              </w:rPr>
            </w:pPr>
          </w:p>
        </w:tc>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14:paraId="08EE0533">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主要</w:t>
            </w:r>
          </w:p>
          <w:p w14:paraId="291112E8">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机械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B598600">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40E8DF3">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E2B9C09">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F926C35">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C36F39D">
            <w:pPr>
              <w:widowControl/>
              <w:tabs>
                <w:tab w:val="center" w:pos="4755"/>
                <w:tab w:val="right" w:pos="9070"/>
              </w:tabs>
              <w:adjustRightInd w:val="0"/>
              <w:rPr>
                <w:rFonts w:hint="eastAsia" w:ascii="宋体" w:hAnsi="宋体" w:eastAsia="宋体" w:cs="宋体"/>
                <w:color w:val="auto"/>
                <w:highlight w:val="none"/>
              </w:rPr>
            </w:pPr>
          </w:p>
        </w:tc>
      </w:tr>
      <w:tr w14:paraId="200E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5CD2B67F">
            <w:pPr>
              <w:keepNext/>
              <w:keepLines/>
              <w:widowControl/>
              <w:adjustRightInd w:val="0"/>
              <w:spacing w:before="340" w:after="330" w:line="576" w:lineRule="auto"/>
              <w:jc w:val="center"/>
              <w:outlineLvl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23AA19F7">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6A61F2B">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76E860C">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AC041CA">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5EEBE05">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4A2864E">
            <w:pPr>
              <w:widowControl/>
              <w:tabs>
                <w:tab w:val="center" w:pos="4755"/>
                <w:tab w:val="right" w:pos="9070"/>
              </w:tabs>
              <w:adjustRightInd w:val="0"/>
              <w:rPr>
                <w:rFonts w:hint="eastAsia" w:ascii="宋体" w:hAnsi="宋体" w:eastAsia="宋体" w:cs="宋体"/>
                <w:color w:val="auto"/>
                <w:highlight w:val="none"/>
              </w:rPr>
            </w:pPr>
          </w:p>
        </w:tc>
      </w:tr>
      <w:tr w14:paraId="0CD6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69DF2AB7">
            <w:pPr>
              <w:keepNext/>
              <w:keepLines/>
              <w:widowControl/>
              <w:adjustRightInd w:val="0"/>
              <w:spacing w:before="340" w:after="330" w:line="576" w:lineRule="auto"/>
              <w:jc w:val="center"/>
              <w:outlineLvl w:val="0"/>
              <w:rPr>
                <w:rFonts w:hint="eastAsia" w:ascii="宋体" w:hAnsi="宋体" w:eastAsia="宋体" w:cs="宋体"/>
                <w:color w:val="auto"/>
                <w:highlight w:val="none"/>
              </w:rPr>
            </w:pPr>
          </w:p>
        </w:tc>
        <w:tc>
          <w:tcPr>
            <w:tcW w:w="900" w:type="dxa"/>
            <w:vMerge w:val="continue"/>
            <w:tcBorders>
              <w:top w:val="single" w:color="auto" w:sz="4" w:space="0"/>
              <w:left w:val="single" w:color="auto" w:sz="4" w:space="0"/>
              <w:bottom w:val="single" w:color="auto" w:sz="4" w:space="0"/>
              <w:right w:val="single" w:color="auto" w:sz="4" w:space="0"/>
            </w:tcBorders>
            <w:noWrap w:val="0"/>
            <w:vAlign w:val="center"/>
          </w:tcPr>
          <w:p w14:paraId="07399156">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D393975">
            <w:pPr>
              <w:widowControl/>
              <w:tabs>
                <w:tab w:val="center" w:pos="4755"/>
                <w:tab w:val="right" w:pos="9070"/>
              </w:tabs>
              <w:adjustRightInd w:val="0"/>
              <w:rPr>
                <w:rFonts w:hint="eastAsia" w:ascii="宋体" w:hAnsi="宋体" w:eastAsia="宋体" w:cs="宋体"/>
                <w:color w:val="auto"/>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1A730FD">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7BE55D2">
            <w:pPr>
              <w:widowControl/>
              <w:tabs>
                <w:tab w:val="center" w:pos="4755"/>
                <w:tab w:val="right" w:pos="9070"/>
              </w:tabs>
              <w:adjustRightInd w:val="0"/>
              <w:rPr>
                <w:rFonts w:hint="eastAsia" w:ascii="宋体" w:hAnsi="宋体" w:eastAsia="宋体" w:cs="宋体"/>
                <w:color w:val="auto"/>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2BE9009">
            <w:pPr>
              <w:widowControl/>
              <w:tabs>
                <w:tab w:val="center" w:pos="4755"/>
                <w:tab w:val="right" w:pos="9070"/>
              </w:tabs>
              <w:adjustRightInd w:val="0"/>
              <w:rPr>
                <w:rFonts w:hint="eastAsia" w:ascii="宋体" w:hAnsi="宋体" w:eastAsia="宋体" w:cs="宋体"/>
                <w:color w:val="auto"/>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03F63B4">
            <w:pPr>
              <w:widowControl/>
              <w:tabs>
                <w:tab w:val="center" w:pos="4755"/>
                <w:tab w:val="right" w:pos="9070"/>
              </w:tabs>
              <w:adjustRightInd w:val="0"/>
              <w:rPr>
                <w:rFonts w:hint="eastAsia" w:ascii="宋体" w:hAnsi="宋体" w:eastAsia="宋体" w:cs="宋体"/>
                <w:color w:val="auto"/>
                <w:highlight w:val="none"/>
              </w:rPr>
            </w:pPr>
          </w:p>
        </w:tc>
      </w:tr>
      <w:tr w14:paraId="2F19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noWrap w:val="0"/>
            <w:vAlign w:val="center"/>
          </w:tcPr>
          <w:p w14:paraId="2BAA1851">
            <w:pPr>
              <w:keepNext/>
              <w:keepLines/>
              <w:widowControl/>
              <w:adjustRightInd w:val="0"/>
              <w:spacing w:before="340" w:after="330" w:line="576" w:lineRule="auto"/>
              <w:jc w:val="center"/>
              <w:outlineLvl w:val="0"/>
              <w:rPr>
                <w:rFonts w:hint="eastAsia" w:ascii="宋体" w:hAnsi="宋体" w:eastAsia="宋体" w:cs="宋体"/>
                <w:color w:val="auto"/>
                <w:highlight w:val="none"/>
              </w:rPr>
            </w:pP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6BDFEDA2">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其他机械费</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5BC4B20">
            <w:pPr>
              <w:widowControl/>
              <w:tabs>
                <w:tab w:val="center" w:pos="4755"/>
                <w:tab w:val="right" w:pos="9070"/>
              </w:tabs>
              <w:adjustRightInd w:val="0"/>
              <w:rPr>
                <w:rFonts w:hint="eastAsia" w:ascii="宋体" w:hAnsi="宋体" w:eastAsia="宋体" w:cs="宋体"/>
                <w:color w:val="auto"/>
                <w:highlight w:val="none"/>
              </w:rPr>
            </w:pPr>
          </w:p>
        </w:tc>
      </w:tr>
      <w:tr w14:paraId="79A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0650F594">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41DA4B88">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机械费小计</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5EC091C6">
            <w:pPr>
              <w:widowControl/>
              <w:tabs>
                <w:tab w:val="center" w:pos="4755"/>
                <w:tab w:val="right" w:pos="9070"/>
              </w:tabs>
              <w:adjustRightInd w:val="0"/>
              <w:rPr>
                <w:rFonts w:hint="eastAsia" w:ascii="宋体" w:hAnsi="宋体" w:eastAsia="宋体" w:cs="宋体"/>
                <w:color w:val="auto"/>
                <w:highlight w:val="none"/>
              </w:rPr>
            </w:pPr>
          </w:p>
        </w:tc>
      </w:tr>
      <w:tr w14:paraId="6657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45F7131">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432C81A7">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直接工程费(1+2+3)</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78DECE5D">
            <w:pPr>
              <w:widowControl/>
              <w:tabs>
                <w:tab w:val="center" w:pos="4755"/>
                <w:tab w:val="right" w:pos="9070"/>
              </w:tabs>
              <w:adjustRightInd w:val="0"/>
              <w:rPr>
                <w:rFonts w:hint="eastAsia" w:ascii="宋体" w:hAnsi="宋体" w:eastAsia="宋体" w:cs="宋体"/>
                <w:color w:val="auto"/>
                <w:highlight w:val="none"/>
              </w:rPr>
            </w:pPr>
          </w:p>
        </w:tc>
      </w:tr>
      <w:tr w14:paraId="4D87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BBE366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48CBFC93">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569C629A">
            <w:pPr>
              <w:widowControl/>
              <w:tabs>
                <w:tab w:val="center" w:pos="4755"/>
                <w:tab w:val="right" w:pos="9070"/>
              </w:tabs>
              <w:adjustRightInd w:val="0"/>
              <w:rPr>
                <w:rFonts w:hint="eastAsia" w:ascii="宋体" w:hAnsi="宋体" w:eastAsia="宋体" w:cs="宋体"/>
                <w:color w:val="auto"/>
                <w:highlight w:val="none"/>
              </w:rPr>
            </w:pPr>
          </w:p>
        </w:tc>
      </w:tr>
      <w:tr w14:paraId="2333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C1C36F4">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3E96403E">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利润</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3E1648FC">
            <w:pPr>
              <w:widowControl/>
              <w:tabs>
                <w:tab w:val="center" w:pos="4755"/>
                <w:tab w:val="right" w:pos="9070"/>
              </w:tabs>
              <w:adjustRightInd w:val="0"/>
              <w:rPr>
                <w:rFonts w:hint="eastAsia" w:ascii="宋体" w:hAnsi="宋体" w:eastAsia="宋体" w:cs="宋体"/>
                <w:color w:val="auto"/>
                <w:highlight w:val="none"/>
              </w:rPr>
            </w:pPr>
          </w:p>
        </w:tc>
      </w:tr>
      <w:tr w14:paraId="1758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EB712A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07830077">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风险费用</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197F1974">
            <w:pPr>
              <w:widowControl/>
              <w:tabs>
                <w:tab w:val="center" w:pos="4755"/>
                <w:tab w:val="right" w:pos="9070"/>
              </w:tabs>
              <w:adjustRightInd w:val="0"/>
              <w:rPr>
                <w:rFonts w:hint="eastAsia" w:ascii="宋体" w:hAnsi="宋体" w:eastAsia="宋体" w:cs="宋体"/>
                <w:color w:val="auto"/>
                <w:highlight w:val="none"/>
              </w:rPr>
            </w:pPr>
          </w:p>
        </w:tc>
      </w:tr>
      <w:tr w14:paraId="7FF1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16CD871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6300" w:type="dxa"/>
            <w:gridSpan w:val="5"/>
            <w:tcBorders>
              <w:top w:val="single" w:color="auto" w:sz="4" w:space="0"/>
              <w:left w:val="single" w:color="auto" w:sz="4" w:space="0"/>
              <w:bottom w:val="single" w:color="auto" w:sz="4" w:space="0"/>
              <w:right w:val="single" w:color="auto" w:sz="4" w:space="0"/>
            </w:tcBorders>
            <w:noWrap w:val="0"/>
            <w:vAlign w:val="center"/>
          </w:tcPr>
          <w:p w14:paraId="34717C00">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综合单价（4+5+6+7）</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3D174E73">
            <w:pPr>
              <w:widowControl/>
              <w:tabs>
                <w:tab w:val="center" w:pos="4755"/>
                <w:tab w:val="right" w:pos="9070"/>
              </w:tabs>
              <w:adjustRightInd w:val="0"/>
              <w:rPr>
                <w:rFonts w:hint="eastAsia" w:ascii="宋体" w:hAnsi="宋体" w:eastAsia="宋体" w:cs="宋体"/>
                <w:color w:val="auto"/>
                <w:highlight w:val="none"/>
              </w:rPr>
            </w:pPr>
          </w:p>
        </w:tc>
      </w:tr>
    </w:tbl>
    <w:p w14:paraId="071963AF">
      <w:pPr>
        <w:widowControl/>
        <w:tabs>
          <w:tab w:val="center" w:pos="4755"/>
          <w:tab w:val="right" w:pos="9070"/>
        </w:tabs>
        <w:rPr>
          <w:rFonts w:hint="eastAsia" w:ascii="宋体" w:hAnsi="宋体" w:eastAsia="宋体" w:cs="宋体"/>
          <w:color w:val="auto"/>
          <w:highlight w:val="none"/>
        </w:rPr>
        <w:sectPr>
          <w:pgSz w:w="12240" w:h="15840"/>
          <w:pgMar w:top="1304" w:right="964" w:bottom="964" w:left="1531" w:header="720" w:footer="720" w:gutter="0"/>
          <w:cols w:space="720" w:num="1"/>
          <w:docGrid w:linePitch="312" w:charSpace="0"/>
        </w:sectPr>
      </w:pPr>
      <w:r>
        <w:rPr>
          <w:rFonts w:hint="eastAsia" w:ascii="宋体" w:hAnsi="宋体" w:eastAsia="宋体" w:cs="宋体"/>
          <w:color w:val="auto"/>
          <w:highlight w:val="none"/>
        </w:rPr>
        <w:t>注：本表由招标人按需要提出</w:t>
      </w:r>
    </w:p>
    <w:p w14:paraId="30DBB52D">
      <w:pPr>
        <w:widowControl/>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表2-4  措施项目工料机分析表</w:t>
      </w:r>
    </w:p>
    <w:p w14:paraId="3019687B">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项目编码：                                                   计量单位：</w:t>
      </w:r>
    </w:p>
    <w:p w14:paraId="54996398">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项目名称：                                                   第   页 共  页</w:t>
      </w:r>
    </w:p>
    <w:tbl>
      <w:tblPr>
        <w:tblStyle w:val="16"/>
        <w:tblW w:w="931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958"/>
        <w:gridCol w:w="1343"/>
        <w:gridCol w:w="1342"/>
        <w:gridCol w:w="1534"/>
        <w:gridCol w:w="1534"/>
        <w:gridCol w:w="1726"/>
      </w:tblGrid>
      <w:tr w14:paraId="4E736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882" w:type="dxa"/>
            <w:vMerge w:val="restart"/>
            <w:tcBorders>
              <w:top w:val="single" w:color="auto" w:sz="4" w:space="0"/>
              <w:left w:val="single" w:color="auto" w:sz="4" w:space="0"/>
              <w:bottom w:val="single" w:color="auto" w:sz="4" w:space="0"/>
              <w:right w:val="single" w:color="auto" w:sz="4" w:space="0"/>
            </w:tcBorders>
            <w:noWrap w:val="0"/>
            <w:vAlign w:val="center"/>
          </w:tcPr>
          <w:p w14:paraId="62709E12">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30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B0CFA5D">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名称及规格</w:t>
            </w:r>
          </w:p>
        </w:tc>
        <w:tc>
          <w:tcPr>
            <w:tcW w:w="1342" w:type="dxa"/>
            <w:vMerge w:val="restart"/>
            <w:tcBorders>
              <w:top w:val="single" w:color="auto" w:sz="4" w:space="0"/>
              <w:left w:val="single" w:color="auto" w:sz="4" w:space="0"/>
              <w:bottom w:val="single" w:color="auto" w:sz="4" w:space="0"/>
              <w:right w:val="single" w:color="auto" w:sz="4" w:space="0"/>
            </w:tcBorders>
            <w:noWrap w:val="0"/>
            <w:vAlign w:val="center"/>
          </w:tcPr>
          <w:p w14:paraId="0B356142">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534" w:type="dxa"/>
            <w:vMerge w:val="restart"/>
            <w:tcBorders>
              <w:top w:val="single" w:color="auto" w:sz="4" w:space="0"/>
              <w:left w:val="single" w:color="auto" w:sz="4" w:space="0"/>
              <w:bottom w:val="single" w:color="auto" w:sz="4" w:space="0"/>
              <w:right w:val="single" w:color="auto" w:sz="4" w:space="0"/>
            </w:tcBorders>
            <w:noWrap w:val="0"/>
            <w:vAlign w:val="center"/>
          </w:tcPr>
          <w:p w14:paraId="270094B0">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3260" w:type="dxa"/>
            <w:gridSpan w:val="2"/>
            <w:tcBorders>
              <w:top w:val="single" w:color="auto" w:sz="4" w:space="0"/>
              <w:left w:val="single" w:color="auto" w:sz="4" w:space="0"/>
              <w:bottom w:val="single" w:color="auto" w:sz="4" w:space="0"/>
              <w:right w:val="single" w:color="auto" w:sz="4" w:space="0"/>
            </w:tcBorders>
            <w:noWrap w:val="0"/>
            <w:vAlign w:val="center"/>
          </w:tcPr>
          <w:p w14:paraId="6E4202B6">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金额(元)</w:t>
            </w:r>
          </w:p>
        </w:tc>
      </w:tr>
      <w:tr w14:paraId="716D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38693CB6">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230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964F8B9">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342" w:type="dxa"/>
            <w:vMerge w:val="continue"/>
            <w:tcBorders>
              <w:top w:val="single" w:color="auto" w:sz="4" w:space="0"/>
              <w:left w:val="single" w:color="auto" w:sz="4" w:space="0"/>
              <w:bottom w:val="single" w:color="auto" w:sz="4" w:space="0"/>
              <w:right w:val="single" w:color="auto" w:sz="4" w:space="0"/>
            </w:tcBorders>
            <w:noWrap w:val="0"/>
            <w:vAlign w:val="center"/>
          </w:tcPr>
          <w:p w14:paraId="063C2AE0">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534" w:type="dxa"/>
            <w:vMerge w:val="continue"/>
            <w:tcBorders>
              <w:top w:val="single" w:color="auto" w:sz="4" w:space="0"/>
              <w:left w:val="single" w:color="auto" w:sz="4" w:space="0"/>
              <w:bottom w:val="single" w:color="auto" w:sz="4" w:space="0"/>
              <w:right w:val="single" w:color="auto" w:sz="4" w:space="0"/>
            </w:tcBorders>
            <w:noWrap w:val="0"/>
            <w:vAlign w:val="center"/>
          </w:tcPr>
          <w:p w14:paraId="7680F892">
            <w:pPr>
              <w:keepNext/>
              <w:keepLines/>
              <w:widowControl/>
              <w:adjustRightInd w:val="0"/>
              <w:spacing w:before="340" w:after="330" w:line="576" w:lineRule="auto"/>
              <w:outlineLvl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07F3F997">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6F3DFAF3">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合价</w:t>
            </w:r>
          </w:p>
        </w:tc>
      </w:tr>
      <w:tr w14:paraId="3A90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restart"/>
            <w:tcBorders>
              <w:top w:val="single" w:color="auto" w:sz="4" w:space="0"/>
              <w:left w:val="single" w:color="auto" w:sz="4" w:space="0"/>
              <w:bottom w:val="single" w:color="auto" w:sz="4" w:space="0"/>
              <w:right w:val="single" w:color="auto" w:sz="4" w:space="0"/>
            </w:tcBorders>
            <w:noWrap w:val="0"/>
            <w:vAlign w:val="center"/>
          </w:tcPr>
          <w:p w14:paraId="7B4687AE">
            <w:pPr>
              <w:keepNext/>
              <w:keepLines/>
              <w:widowControl/>
              <w:tabs>
                <w:tab w:val="center" w:pos="4755"/>
                <w:tab w:val="right" w:pos="9070"/>
              </w:tabs>
              <w:adjustRightInd w:val="0"/>
              <w:spacing w:before="340" w:after="330" w:line="576" w:lineRule="auto"/>
              <w:outlineLvl w:val="0"/>
              <w:rPr>
                <w:rFonts w:hint="eastAsia" w:ascii="宋体" w:hAnsi="宋体" w:eastAsia="宋体" w:cs="宋体"/>
                <w:color w:val="auto"/>
                <w:highlight w:val="none"/>
              </w:rPr>
            </w:pP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2477CF09">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人工</w:t>
            </w:r>
          </w:p>
        </w:tc>
        <w:tc>
          <w:tcPr>
            <w:tcW w:w="1343" w:type="dxa"/>
            <w:tcBorders>
              <w:top w:val="single" w:color="auto" w:sz="4" w:space="0"/>
              <w:left w:val="single" w:color="auto" w:sz="4" w:space="0"/>
              <w:bottom w:val="single" w:color="auto" w:sz="4" w:space="0"/>
              <w:right w:val="single" w:color="auto" w:sz="4" w:space="0"/>
            </w:tcBorders>
            <w:noWrap w:val="0"/>
            <w:vAlign w:val="center"/>
          </w:tcPr>
          <w:p w14:paraId="04CA34B5">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一类</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46F6E01F">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534" w:type="dxa"/>
            <w:tcBorders>
              <w:top w:val="single" w:color="auto" w:sz="4" w:space="0"/>
              <w:left w:val="single" w:color="auto" w:sz="4" w:space="0"/>
              <w:bottom w:val="single" w:color="auto" w:sz="4" w:space="0"/>
              <w:right w:val="single" w:color="auto" w:sz="4" w:space="0"/>
            </w:tcBorders>
            <w:noWrap w:val="0"/>
            <w:vAlign w:val="center"/>
          </w:tcPr>
          <w:p w14:paraId="2319CAD3">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3C70A177">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EAAFEA5">
            <w:pPr>
              <w:widowControl/>
              <w:tabs>
                <w:tab w:val="center" w:pos="4755"/>
                <w:tab w:val="right" w:pos="9070"/>
              </w:tabs>
              <w:adjustRightInd w:val="0"/>
              <w:rPr>
                <w:rFonts w:hint="eastAsia" w:ascii="宋体" w:hAnsi="宋体" w:eastAsia="宋体" w:cs="宋体"/>
                <w:color w:val="auto"/>
                <w:highlight w:val="none"/>
              </w:rPr>
            </w:pPr>
          </w:p>
        </w:tc>
      </w:tr>
      <w:tr w14:paraId="116F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1393D06F">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24E98102">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54BD9EAF">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二类</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20BF0E04">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534" w:type="dxa"/>
            <w:tcBorders>
              <w:top w:val="single" w:color="auto" w:sz="4" w:space="0"/>
              <w:left w:val="single" w:color="auto" w:sz="4" w:space="0"/>
              <w:bottom w:val="single" w:color="auto" w:sz="4" w:space="0"/>
              <w:right w:val="single" w:color="auto" w:sz="4" w:space="0"/>
            </w:tcBorders>
            <w:noWrap w:val="0"/>
            <w:vAlign w:val="center"/>
          </w:tcPr>
          <w:p w14:paraId="465C2613">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6FC75F72">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77213F03">
            <w:pPr>
              <w:widowControl/>
              <w:tabs>
                <w:tab w:val="center" w:pos="4755"/>
                <w:tab w:val="right" w:pos="9070"/>
              </w:tabs>
              <w:adjustRightInd w:val="0"/>
              <w:rPr>
                <w:rFonts w:hint="eastAsia" w:ascii="宋体" w:hAnsi="宋体" w:eastAsia="宋体" w:cs="宋体"/>
                <w:color w:val="auto"/>
                <w:highlight w:val="none"/>
              </w:rPr>
            </w:pPr>
          </w:p>
        </w:tc>
      </w:tr>
      <w:tr w14:paraId="1DFF3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232188AE">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4F930037">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309B5CB7">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三类</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15D543C9">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工日</w:t>
            </w:r>
          </w:p>
        </w:tc>
        <w:tc>
          <w:tcPr>
            <w:tcW w:w="1534" w:type="dxa"/>
            <w:tcBorders>
              <w:top w:val="single" w:color="auto" w:sz="4" w:space="0"/>
              <w:left w:val="single" w:color="auto" w:sz="4" w:space="0"/>
              <w:bottom w:val="single" w:color="auto" w:sz="4" w:space="0"/>
              <w:right w:val="single" w:color="auto" w:sz="4" w:space="0"/>
            </w:tcBorders>
            <w:noWrap w:val="0"/>
            <w:vAlign w:val="center"/>
          </w:tcPr>
          <w:p w14:paraId="05263B11">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7933E5C3">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694A3BBF">
            <w:pPr>
              <w:widowControl/>
              <w:tabs>
                <w:tab w:val="center" w:pos="4755"/>
                <w:tab w:val="right" w:pos="9070"/>
              </w:tabs>
              <w:adjustRightInd w:val="0"/>
              <w:rPr>
                <w:rFonts w:hint="eastAsia" w:ascii="宋体" w:hAnsi="宋体" w:eastAsia="宋体" w:cs="宋体"/>
                <w:color w:val="auto"/>
                <w:highlight w:val="none"/>
              </w:rPr>
            </w:pPr>
          </w:p>
        </w:tc>
      </w:tr>
      <w:tr w14:paraId="1111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3BDB2891">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21CEF337">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人工费小计</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65F54722">
            <w:pPr>
              <w:widowControl/>
              <w:tabs>
                <w:tab w:val="center" w:pos="4755"/>
                <w:tab w:val="right" w:pos="9070"/>
              </w:tabs>
              <w:adjustRightInd w:val="0"/>
              <w:rPr>
                <w:rFonts w:hint="eastAsia" w:ascii="宋体" w:hAnsi="宋体" w:eastAsia="宋体" w:cs="宋体"/>
                <w:color w:val="auto"/>
                <w:highlight w:val="none"/>
              </w:rPr>
            </w:pPr>
          </w:p>
        </w:tc>
      </w:tr>
      <w:tr w14:paraId="292B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restart"/>
            <w:tcBorders>
              <w:top w:val="single" w:color="auto" w:sz="4" w:space="0"/>
              <w:left w:val="single" w:color="auto" w:sz="4" w:space="0"/>
              <w:bottom w:val="single" w:color="auto" w:sz="4" w:space="0"/>
              <w:right w:val="single" w:color="auto" w:sz="4" w:space="0"/>
            </w:tcBorders>
            <w:noWrap w:val="0"/>
            <w:vAlign w:val="center"/>
          </w:tcPr>
          <w:p w14:paraId="07F13739">
            <w:pPr>
              <w:widowControl/>
              <w:tabs>
                <w:tab w:val="center" w:pos="4755"/>
                <w:tab w:val="right" w:pos="9070"/>
              </w:tabs>
              <w:adjustRightInd w:val="0"/>
              <w:rPr>
                <w:rFonts w:hint="eastAsia" w:ascii="宋体" w:hAnsi="宋体" w:eastAsia="宋体" w:cs="宋体"/>
                <w:color w:val="auto"/>
                <w:highlight w:val="none"/>
              </w:rPr>
            </w:pP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42A572CB">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主要材料</w:t>
            </w:r>
          </w:p>
        </w:tc>
        <w:tc>
          <w:tcPr>
            <w:tcW w:w="1343" w:type="dxa"/>
            <w:tcBorders>
              <w:top w:val="single" w:color="auto" w:sz="4" w:space="0"/>
              <w:left w:val="single" w:color="auto" w:sz="4" w:space="0"/>
              <w:bottom w:val="single" w:color="auto" w:sz="4" w:space="0"/>
              <w:right w:val="single" w:color="auto" w:sz="4" w:space="0"/>
            </w:tcBorders>
            <w:noWrap w:val="0"/>
            <w:vAlign w:val="center"/>
          </w:tcPr>
          <w:p w14:paraId="7F4BD9E4">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333543F8">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7E16BA36">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78310131">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0EB3C3EE">
            <w:pPr>
              <w:widowControl/>
              <w:tabs>
                <w:tab w:val="center" w:pos="4755"/>
                <w:tab w:val="right" w:pos="9070"/>
              </w:tabs>
              <w:adjustRightInd w:val="0"/>
              <w:rPr>
                <w:rFonts w:hint="eastAsia" w:ascii="宋体" w:hAnsi="宋体" w:eastAsia="宋体" w:cs="宋体"/>
                <w:color w:val="auto"/>
                <w:highlight w:val="none"/>
              </w:rPr>
            </w:pPr>
          </w:p>
        </w:tc>
      </w:tr>
      <w:tr w14:paraId="1F01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5F8768F6">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54D4EB15">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5CE6B4C7">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1A39728B">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54F57F57">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65D80BCA">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158DEA2">
            <w:pPr>
              <w:widowControl/>
              <w:tabs>
                <w:tab w:val="center" w:pos="4755"/>
                <w:tab w:val="right" w:pos="9070"/>
              </w:tabs>
              <w:adjustRightInd w:val="0"/>
              <w:rPr>
                <w:rFonts w:hint="eastAsia" w:ascii="宋体" w:hAnsi="宋体" w:eastAsia="宋体" w:cs="宋体"/>
                <w:color w:val="auto"/>
                <w:highlight w:val="none"/>
              </w:rPr>
            </w:pPr>
          </w:p>
        </w:tc>
      </w:tr>
      <w:tr w14:paraId="45C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47BE1BD0">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41D5D8A7">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1EF4E4B5">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2FB23E0B">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4E0310AF">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2CE8E3C2">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01E4D47F">
            <w:pPr>
              <w:widowControl/>
              <w:tabs>
                <w:tab w:val="center" w:pos="4755"/>
                <w:tab w:val="right" w:pos="9070"/>
              </w:tabs>
              <w:adjustRightInd w:val="0"/>
              <w:rPr>
                <w:rFonts w:hint="eastAsia" w:ascii="宋体" w:hAnsi="宋体" w:eastAsia="宋体" w:cs="宋体"/>
                <w:color w:val="auto"/>
                <w:highlight w:val="none"/>
              </w:rPr>
            </w:pPr>
          </w:p>
        </w:tc>
      </w:tr>
      <w:tr w14:paraId="01CE5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66651704">
            <w:pPr>
              <w:widowControl/>
              <w:adjustRightInd w:val="0"/>
              <w:rPr>
                <w:rFonts w:hint="eastAsia" w:ascii="宋体" w:hAnsi="宋体" w:eastAsia="宋体" w:cs="宋体"/>
                <w:color w:val="auto"/>
                <w:highlight w:val="none"/>
              </w:rPr>
            </w:pP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543FE9AE">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其他材料费</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0F4A8BC">
            <w:pPr>
              <w:widowControl/>
              <w:tabs>
                <w:tab w:val="center" w:pos="4755"/>
                <w:tab w:val="right" w:pos="9070"/>
              </w:tabs>
              <w:adjustRightInd w:val="0"/>
              <w:rPr>
                <w:rFonts w:hint="eastAsia" w:ascii="宋体" w:hAnsi="宋体" w:eastAsia="宋体" w:cs="宋体"/>
                <w:color w:val="auto"/>
                <w:highlight w:val="none"/>
              </w:rPr>
            </w:pPr>
          </w:p>
        </w:tc>
      </w:tr>
      <w:tr w14:paraId="7A822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16BA4F1F">
            <w:pPr>
              <w:widowControl/>
              <w:tabs>
                <w:tab w:val="center" w:pos="4755"/>
                <w:tab w:val="right" w:pos="9070"/>
              </w:tabs>
              <w:adjustRightInd w:val="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17D4E8DF">
            <w:pPr>
              <w:widowControl/>
              <w:tabs>
                <w:tab w:val="left" w:pos="4627"/>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材料费小计</w:t>
            </w:r>
            <w:r>
              <w:rPr>
                <w:rFonts w:hint="eastAsia" w:ascii="宋体" w:hAnsi="宋体" w:eastAsia="宋体" w:cs="宋体"/>
                <w:color w:val="auto"/>
                <w:highlight w:val="none"/>
              </w:rPr>
              <w:tab/>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7C93AAF7">
            <w:pPr>
              <w:widowControl/>
              <w:tabs>
                <w:tab w:val="center" w:pos="4755"/>
                <w:tab w:val="right" w:pos="9070"/>
              </w:tabs>
              <w:adjustRightInd w:val="0"/>
              <w:rPr>
                <w:rFonts w:hint="eastAsia" w:ascii="宋体" w:hAnsi="宋体" w:eastAsia="宋体" w:cs="宋体"/>
                <w:color w:val="auto"/>
                <w:highlight w:val="none"/>
              </w:rPr>
            </w:pPr>
          </w:p>
        </w:tc>
      </w:tr>
      <w:tr w14:paraId="31A0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restart"/>
            <w:tcBorders>
              <w:top w:val="single" w:color="auto" w:sz="4" w:space="0"/>
              <w:left w:val="single" w:color="auto" w:sz="4" w:space="0"/>
              <w:bottom w:val="single" w:color="auto" w:sz="4" w:space="0"/>
              <w:right w:val="single" w:color="auto" w:sz="4" w:space="0"/>
            </w:tcBorders>
            <w:noWrap w:val="0"/>
            <w:vAlign w:val="center"/>
          </w:tcPr>
          <w:p w14:paraId="08804CC8">
            <w:pPr>
              <w:widowControl/>
              <w:tabs>
                <w:tab w:val="center" w:pos="4755"/>
                <w:tab w:val="right" w:pos="9070"/>
              </w:tabs>
              <w:adjustRightInd w:val="0"/>
              <w:rPr>
                <w:rFonts w:hint="eastAsia" w:ascii="宋体" w:hAnsi="宋体" w:eastAsia="宋体" w:cs="宋体"/>
                <w:color w:val="auto"/>
                <w:highlight w:val="none"/>
              </w:rPr>
            </w:pP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61A79EE1">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主要机械</w:t>
            </w:r>
          </w:p>
        </w:tc>
        <w:tc>
          <w:tcPr>
            <w:tcW w:w="1343" w:type="dxa"/>
            <w:tcBorders>
              <w:top w:val="single" w:color="auto" w:sz="4" w:space="0"/>
              <w:left w:val="single" w:color="auto" w:sz="4" w:space="0"/>
              <w:bottom w:val="single" w:color="auto" w:sz="4" w:space="0"/>
              <w:right w:val="single" w:color="auto" w:sz="4" w:space="0"/>
            </w:tcBorders>
            <w:noWrap w:val="0"/>
            <w:vAlign w:val="center"/>
          </w:tcPr>
          <w:p w14:paraId="4F33E42D">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5E339E85">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65C90C10">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567A806D">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A474260">
            <w:pPr>
              <w:widowControl/>
              <w:tabs>
                <w:tab w:val="center" w:pos="4755"/>
                <w:tab w:val="right" w:pos="9070"/>
              </w:tabs>
              <w:adjustRightInd w:val="0"/>
              <w:rPr>
                <w:rFonts w:hint="eastAsia" w:ascii="宋体" w:hAnsi="宋体" w:eastAsia="宋体" w:cs="宋体"/>
                <w:color w:val="auto"/>
                <w:highlight w:val="none"/>
              </w:rPr>
            </w:pPr>
          </w:p>
        </w:tc>
      </w:tr>
      <w:tr w14:paraId="6136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7FF291B4">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27B11FC8">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24F636F5">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0AEF9151">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3F95BA1E">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7F7D07B9">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075558D7">
            <w:pPr>
              <w:widowControl/>
              <w:tabs>
                <w:tab w:val="center" w:pos="4755"/>
                <w:tab w:val="right" w:pos="9070"/>
              </w:tabs>
              <w:adjustRightInd w:val="0"/>
              <w:rPr>
                <w:rFonts w:hint="eastAsia" w:ascii="宋体" w:hAnsi="宋体" w:eastAsia="宋体" w:cs="宋体"/>
                <w:color w:val="auto"/>
                <w:highlight w:val="none"/>
              </w:rPr>
            </w:pPr>
          </w:p>
        </w:tc>
      </w:tr>
      <w:tr w14:paraId="0E29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394A5542">
            <w:pPr>
              <w:widowControl/>
              <w:adjustRightInd w:val="0"/>
              <w:rPr>
                <w:rFonts w:hint="eastAsia" w:ascii="宋体" w:hAnsi="宋体" w:eastAsia="宋体" w:cs="宋体"/>
                <w:color w:val="auto"/>
                <w:highlight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23108F79">
            <w:pPr>
              <w:widowControl/>
              <w:adjustRightInd w:val="0"/>
              <w:rPr>
                <w:rFonts w:hint="eastAsia" w:ascii="宋体" w:hAnsi="宋体" w:eastAsia="宋体" w:cs="宋体"/>
                <w:color w:val="auto"/>
                <w:highlight w:val="none"/>
              </w:rPr>
            </w:pPr>
          </w:p>
        </w:tc>
        <w:tc>
          <w:tcPr>
            <w:tcW w:w="1343" w:type="dxa"/>
            <w:tcBorders>
              <w:top w:val="single" w:color="auto" w:sz="4" w:space="0"/>
              <w:left w:val="single" w:color="auto" w:sz="4" w:space="0"/>
              <w:bottom w:val="single" w:color="auto" w:sz="4" w:space="0"/>
              <w:right w:val="single" w:color="auto" w:sz="4" w:space="0"/>
            </w:tcBorders>
            <w:noWrap w:val="0"/>
            <w:vAlign w:val="center"/>
          </w:tcPr>
          <w:p w14:paraId="510640AF">
            <w:pPr>
              <w:widowControl/>
              <w:tabs>
                <w:tab w:val="center" w:pos="4755"/>
                <w:tab w:val="right" w:pos="9070"/>
              </w:tabs>
              <w:adjustRightInd w:val="0"/>
              <w:rPr>
                <w:rFonts w:hint="eastAsia" w:ascii="宋体" w:hAnsi="宋体" w:eastAsia="宋体" w:cs="宋体"/>
                <w:color w:val="auto"/>
                <w:highlight w:val="none"/>
              </w:rPr>
            </w:pPr>
          </w:p>
        </w:tc>
        <w:tc>
          <w:tcPr>
            <w:tcW w:w="1342" w:type="dxa"/>
            <w:tcBorders>
              <w:top w:val="single" w:color="auto" w:sz="4" w:space="0"/>
              <w:left w:val="single" w:color="auto" w:sz="4" w:space="0"/>
              <w:bottom w:val="single" w:color="auto" w:sz="4" w:space="0"/>
              <w:right w:val="single" w:color="auto" w:sz="4" w:space="0"/>
            </w:tcBorders>
            <w:noWrap w:val="0"/>
            <w:vAlign w:val="center"/>
          </w:tcPr>
          <w:p w14:paraId="05B4026F">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3D25623D">
            <w:pPr>
              <w:widowControl/>
              <w:tabs>
                <w:tab w:val="center" w:pos="4755"/>
                <w:tab w:val="right" w:pos="9070"/>
              </w:tabs>
              <w:adjustRightInd w:val="0"/>
              <w:rPr>
                <w:rFonts w:hint="eastAsia" w:ascii="宋体" w:hAnsi="宋体" w:eastAsia="宋体" w:cs="宋体"/>
                <w:color w:val="auto"/>
                <w:highlight w:val="none"/>
              </w:rPr>
            </w:pPr>
          </w:p>
        </w:tc>
        <w:tc>
          <w:tcPr>
            <w:tcW w:w="1534" w:type="dxa"/>
            <w:tcBorders>
              <w:top w:val="single" w:color="auto" w:sz="4" w:space="0"/>
              <w:left w:val="single" w:color="auto" w:sz="4" w:space="0"/>
              <w:bottom w:val="single" w:color="auto" w:sz="4" w:space="0"/>
              <w:right w:val="single" w:color="auto" w:sz="4" w:space="0"/>
            </w:tcBorders>
            <w:noWrap w:val="0"/>
            <w:vAlign w:val="center"/>
          </w:tcPr>
          <w:p w14:paraId="18E99470">
            <w:pPr>
              <w:widowControl/>
              <w:tabs>
                <w:tab w:val="center" w:pos="4755"/>
                <w:tab w:val="right" w:pos="9070"/>
              </w:tabs>
              <w:adjustRightInd w:val="0"/>
              <w:rPr>
                <w:rFonts w:hint="eastAsia" w:ascii="宋体" w:hAnsi="宋体" w:eastAsia="宋体" w:cs="宋体"/>
                <w:color w:val="auto"/>
                <w:highlight w:val="none"/>
              </w:rPr>
            </w:pPr>
          </w:p>
        </w:tc>
        <w:tc>
          <w:tcPr>
            <w:tcW w:w="1726" w:type="dxa"/>
            <w:tcBorders>
              <w:top w:val="single" w:color="auto" w:sz="4" w:space="0"/>
              <w:left w:val="single" w:color="auto" w:sz="4" w:space="0"/>
              <w:bottom w:val="single" w:color="auto" w:sz="4" w:space="0"/>
              <w:right w:val="single" w:color="auto" w:sz="4" w:space="0"/>
            </w:tcBorders>
            <w:noWrap w:val="0"/>
            <w:vAlign w:val="center"/>
          </w:tcPr>
          <w:p w14:paraId="58C5FF23">
            <w:pPr>
              <w:widowControl/>
              <w:tabs>
                <w:tab w:val="center" w:pos="4755"/>
                <w:tab w:val="right" w:pos="9070"/>
              </w:tabs>
              <w:adjustRightInd w:val="0"/>
              <w:rPr>
                <w:rFonts w:hint="eastAsia" w:ascii="宋体" w:hAnsi="宋体" w:eastAsia="宋体" w:cs="宋体"/>
                <w:color w:val="auto"/>
                <w:highlight w:val="none"/>
              </w:rPr>
            </w:pPr>
          </w:p>
        </w:tc>
      </w:tr>
      <w:tr w14:paraId="4403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vMerge w:val="continue"/>
            <w:tcBorders>
              <w:top w:val="single" w:color="auto" w:sz="4" w:space="0"/>
              <w:left w:val="single" w:color="auto" w:sz="4" w:space="0"/>
              <w:bottom w:val="single" w:color="auto" w:sz="4" w:space="0"/>
              <w:right w:val="single" w:color="auto" w:sz="4" w:space="0"/>
            </w:tcBorders>
            <w:noWrap w:val="0"/>
            <w:vAlign w:val="center"/>
          </w:tcPr>
          <w:p w14:paraId="528BAD48">
            <w:pPr>
              <w:widowControl/>
              <w:adjustRightInd w:val="0"/>
              <w:rPr>
                <w:rFonts w:hint="eastAsia" w:ascii="宋体" w:hAnsi="宋体" w:eastAsia="宋体" w:cs="宋体"/>
                <w:color w:val="auto"/>
                <w:highlight w:val="none"/>
              </w:rPr>
            </w:pP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50F0CDA9">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其他机械费</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166B14F0">
            <w:pPr>
              <w:widowControl/>
              <w:tabs>
                <w:tab w:val="center" w:pos="4755"/>
                <w:tab w:val="right" w:pos="9070"/>
              </w:tabs>
              <w:adjustRightInd w:val="0"/>
              <w:rPr>
                <w:rFonts w:hint="eastAsia" w:ascii="宋体" w:hAnsi="宋体" w:eastAsia="宋体" w:cs="宋体"/>
                <w:color w:val="auto"/>
                <w:highlight w:val="none"/>
              </w:rPr>
            </w:pPr>
          </w:p>
        </w:tc>
      </w:tr>
      <w:tr w14:paraId="4C6F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664783B6">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10AC1BFC">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机械费小计</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9008477">
            <w:pPr>
              <w:widowControl/>
              <w:tabs>
                <w:tab w:val="center" w:pos="4755"/>
                <w:tab w:val="right" w:pos="9070"/>
              </w:tabs>
              <w:adjustRightInd w:val="0"/>
              <w:rPr>
                <w:rFonts w:hint="eastAsia" w:ascii="宋体" w:hAnsi="宋体" w:eastAsia="宋体" w:cs="宋体"/>
                <w:color w:val="auto"/>
                <w:highlight w:val="none"/>
              </w:rPr>
            </w:pPr>
          </w:p>
        </w:tc>
      </w:tr>
      <w:tr w14:paraId="1F9C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23DEA17C">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1FC48E08">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直接工程费(1+2+3)</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58EA5B8C">
            <w:pPr>
              <w:widowControl/>
              <w:tabs>
                <w:tab w:val="center" w:pos="4755"/>
                <w:tab w:val="right" w:pos="9070"/>
              </w:tabs>
              <w:adjustRightInd w:val="0"/>
              <w:rPr>
                <w:rFonts w:hint="eastAsia" w:ascii="宋体" w:hAnsi="宋体" w:eastAsia="宋体" w:cs="宋体"/>
                <w:color w:val="auto"/>
                <w:highlight w:val="none"/>
              </w:rPr>
            </w:pPr>
          </w:p>
        </w:tc>
      </w:tr>
      <w:tr w14:paraId="5F24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0EE6855F">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016EE194">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管理费</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A8B0332">
            <w:pPr>
              <w:widowControl/>
              <w:tabs>
                <w:tab w:val="center" w:pos="4755"/>
                <w:tab w:val="right" w:pos="9070"/>
              </w:tabs>
              <w:adjustRightInd w:val="0"/>
              <w:rPr>
                <w:rFonts w:hint="eastAsia" w:ascii="宋体" w:hAnsi="宋体" w:eastAsia="宋体" w:cs="宋体"/>
                <w:color w:val="auto"/>
                <w:highlight w:val="none"/>
              </w:rPr>
            </w:pPr>
          </w:p>
        </w:tc>
      </w:tr>
      <w:tr w14:paraId="759AB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1EFDC9A1">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4228BFC3">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利润</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569301B7">
            <w:pPr>
              <w:widowControl/>
              <w:tabs>
                <w:tab w:val="center" w:pos="4755"/>
                <w:tab w:val="right" w:pos="9070"/>
              </w:tabs>
              <w:adjustRightInd w:val="0"/>
              <w:rPr>
                <w:rFonts w:hint="eastAsia" w:ascii="宋体" w:hAnsi="宋体" w:eastAsia="宋体" w:cs="宋体"/>
                <w:color w:val="auto"/>
                <w:highlight w:val="none"/>
              </w:rPr>
            </w:pPr>
          </w:p>
        </w:tc>
      </w:tr>
      <w:tr w14:paraId="2812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25217C8A">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26CBF489">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风险费用</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794A9241">
            <w:pPr>
              <w:widowControl/>
              <w:tabs>
                <w:tab w:val="center" w:pos="4755"/>
                <w:tab w:val="right" w:pos="9070"/>
              </w:tabs>
              <w:adjustRightInd w:val="0"/>
              <w:rPr>
                <w:rFonts w:hint="eastAsia" w:ascii="宋体" w:hAnsi="宋体" w:eastAsia="宋体" w:cs="宋体"/>
                <w:color w:val="auto"/>
                <w:highlight w:val="none"/>
              </w:rPr>
            </w:pPr>
          </w:p>
        </w:tc>
      </w:tr>
      <w:tr w14:paraId="1E9A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exact"/>
        </w:trPr>
        <w:tc>
          <w:tcPr>
            <w:tcW w:w="882" w:type="dxa"/>
            <w:tcBorders>
              <w:top w:val="single" w:color="auto" w:sz="4" w:space="0"/>
              <w:left w:val="single" w:color="auto" w:sz="4" w:space="0"/>
              <w:bottom w:val="single" w:color="auto" w:sz="4" w:space="0"/>
              <w:right w:val="single" w:color="auto" w:sz="4" w:space="0"/>
            </w:tcBorders>
            <w:noWrap w:val="0"/>
            <w:vAlign w:val="center"/>
          </w:tcPr>
          <w:p w14:paraId="17FF7788">
            <w:pPr>
              <w:widowControl/>
              <w:tabs>
                <w:tab w:val="center" w:pos="4755"/>
                <w:tab w:val="right" w:pos="9070"/>
              </w:tabs>
              <w:adjustRightInd w:val="0"/>
              <w:jc w:val="center"/>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6711" w:type="dxa"/>
            <w:gridSpan w:val="5"/>
            <w:tcBorders>
              <w:top w:val="single" w:color="auto" w:sz="4" w:space="0"/>
              <w:left w:val="single" w:color="auto" w:sz="4" w:space="0"/>
              <w:bottom w:val="single" w:color="auto" w:sz="4" w:space="0"/>
              <w:right w:val="single" w:color="auto" w:sz="4" w:space="0"/>
            </w:tcBorders>
            <w:noWrap w:val="0"/>
            <w:vAlign w:val="center"/>
          </w:tcPr>
          <w:p w14:paraId="4B595EB0">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合计（4+5+6+7）</w:t>
            </w:r>
          </w:p>
        </w:tc>
        <w:tc>
          <w:tcPr>
            <w:tcW w:w="1726" w:type="dxa"/>
            <w:tcBorders>
              <w:top w:val="single" w:color="auto" w:sz="4" w:space="0"/>
              <w:left w:val="single" w:color="auto" w:sz="4" w:space="0"/>
              <w:bottom w:val="single" w:color="auto" w:sz="4" w:space="0"/>
              <w:right w:val="single" w:color="auto" w:sz="4" w:space="0"/>
            </w:tcBorders>
            <w:noWrap w:val="0"/>
            <w:vAlign w:val="center"/>
          </w:tcPr>
          <w:p w14:paraId="3BFE7704">
            <w:pPr>
              <w:widowControl/>
              <w:tabs>
                <w:tab w:val="center" w:pos="4755"/>
                <w:tab w:val="right" w:pos="9070"/>
              </w:tabs>
              <w:adjustRightInd w:val="0"/>
              <w:rPr>
                <w:rFonts w:hint="eastAsia" w:ascii="宋体" w:hAnsi="宋体" w:eastAsia="宋体" w:cs="宋体"/>
                <w:color w:val="auto"/>
                <w:highlight w:val="none"/>
              </w:rPr>
            </w:pPr>
          </w:p>
        </w:tc>
      </w:tr>
    </w:tbl>
    <w:p w14:paraId="61F1E5F0">
      <w:pPr>
        <w:widowControl/>
        <w:tabs>
          <w:tab w:val="center" w:pos="4755"/>
          <w:tab w:val="right" w:pos="907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注：本表由招标人按需要提出</w:t>
      </w:r>
    </w:p>
    <w:p w14:paraId="04895DC6">
      <w:pPr>
        <w:tabs>
          <w:tab w:val="left" w:pos="2310"/>
        </w:tabs>
        <w:adjustRightInd w:val="0"/>
        <w:rPr>
          <w:rFonts w:hint="eastAsia" w:ascii="宋体" w:hAnsi="宋体" w:eastAsia="宋体" w:cs="宋体"/>
          <w:color w:val="auto"/>
          <w:highlight w:val="none"/>
        </w:rPr>
      </w:pPr>
      <w:r>
        <w:rPr>
          <w:rFonts w:hint="eastAsia" w:ascii="宋体" w:hAnsi="宋体" w:eastAsia="宋体" w:cs="宋体"/>
          <w:color w:val="auto"/>
          <w:highlight w:val="none"/>
        </w:rPr>
        <w:tab/>
      </w:r>
    </w:p>
    <w:p w14:paraId="28F8A38F">
      <w:pPr>
        <w:tabs>
          <w:tab w:val="left" w:pos="2310"/>
        </w:tabs>
        <w:adjustRightInd w:val="0"/>
        <w:rPr>
          <w:rFonts w:hint="eastAsia" w:ascii="宋体" w:hAnsi="宋体" w:eastAsia="宋体" w:cs="宋体"/>
          <w:color w:val="auto"/>
          <w:highlight w:val="none"/>
        </w:rPr>
      </w:pPr>
    </w:p>
    <w:p w14:paraId="5CC28D55">
      <w:pPr>
        <w:widowControl/>
        <w:adjustRightInd w:val="0"/>
        <w:jc w:val="center"/>
        <w:rPr>
          <w:rFonts w:hint="eastAsia" w:ascii="宋体" w:hAnsi="宋体" w:eastAsia="宋体" w:cs="宋体"/>
          <w:b/>
          <w:color w:val="auto"/>
          <w:sz w:val="32"/>
          <w:szCs w:val="32"/>
          <w:highlight w:val="none"/>
        </w:rPr>
      </w:pPr>
      <w:r>
        <w:rPr>
          <w:rFonts w:hint="eastAsia" w:ascii="宋体" w:hAnsi="宋体" w:eastAsia="宋体" w:cs="宋体"/>
          <w:b/>
          <w:color w:val="auto"/>
          <w:highlight w:val="none"/>
        </w:rPr>
        <w:br w:type="page"/>
      </w:r>
      <w:r>
        <w:rPr>
          <w:rFonts w:hint="eastAsia" w:ascii="宋体" w:hAnsi="宋体" w:eastAsia="宋体" w:cs="宋体"/>
          <w:b/>
          <w:color w:val="auto"/>
          <w:sz w:val="32"/>
          <w:szCs w:val="32"/>
          <w:highlight w:val="none"/>
        </w:rPr>
        <w:t>表2-5  现场监控、临时宿舍取暖降温费用分析表</w:t>
      </w:r>
    </w:p>
    <w:p w14:paraId="784D7008">
      <w:pPr>
        <w:widowControl/>
        <w:tabs>
          <w:tab w:val="center" w:pos="4755"/>
          <w:tab w:val="right" w:pos="9070"/>
        </w:tabs>
        <w:adjustRightInd w:val="0"/>
        <w:ind w:left="210" w:leftChars="100"/>
        <w:rPr>
          <w:rFonts w:hint="eastAsia" w:ascii="宋体" w:hAnsi="宋体" w:eastAsia="宋体" w:cs="宋体"/>
          <w:color w:val="auto"/>
          <w:highlight w:val="none"/>
        </w:rPr>
      </w:pPr>
      <w:r>
        <w:rPr>
          <w:rFonts w:hint="eastAsia" w:ascii="宋体" w:hAnsi="宋体" w:eastAsia="宋体" w:cs="宋体"/>
          <w:color w:val="auto"/>
          <w:highlight w:val="none"/>
        </w:rPr>
        <w:t xml:space="preserve">工程名称：                                                   </w:t>
      </w:r>
    </w:p>
    <w:p w14:paraId="52D70B7A">
      <w:pPr>
        <w:widowControl/>
        <w:tabs>
          <w:tab w:val="center" w:pos="4755"/>
          <w:tab w:val="right" w:pos="9070"/>
        </w:tabs>
        <w:adjustRightInd w:val="0"/>
        <w:ind w:left="210" w:leftChars="100"/>
        <w:jc w:val="left"/>
        <w:rPr>
          <w:rFonts w:hint="eastAsia" w:ascii="宋体" w:hAnsi="宋体" w:eastAsia="宋体" w:cs="宋体"/>
          <w:color w:val="auto"/>
          <w:highlight w:val="none"/>
        </w:rPr>
      </w:pPr>
      <w:r>
        <w:rPr>
          <w:rFonts w:hint="eastAsia" w:ascii="宋体" w:hAnsi="宋体" w:eastAsia="宋体" w:cs="宋体"/>
          <w:color w:val="auto"/>
          <w:highlight w:val="none"/>
        </w:rPr>
        <w:t>第  页 共  页</w:t>
      </w:r>
    </w:p>
    <w:p w14:paraId="43EE7C41">
      <w:pPr>
        <w:widowControl/>
        <w:tabs>
          <w:tab w:val="center" w:pos="4755"/>
          <w:tab w:val="right" w:pos="9070"/>
        </w:tabs>
        <w:adjustRightInd w:val="0"/>
        <w:ind w:left="212" w:leftChars="101"/>
        <w:rPr>
          <w:rFonts w:hint="eastAsia" w:ascii="宋体" w:hAnsi="宋体" w:eastAsia="宋体" w:cs="宋体"/>
          <w:color w:val="auto"/>
          <w:sz w:val="18"/>
          <w:szCs w:val="18"/>
          <w:highlight w:val="none"/>
        </w:rPr>
      </w:pPr>
    </w:p>
    <w:tbl>
      <w:tblPr>
        <w:tblStyle w:val="16"/>
        <w:tblW w:w="8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3182"/>
        <w:gridCol w:w="884"/>
        <w:gridCol w:w="996"/>
        <w:gridCol w:w="1524"/>
        <w:gridCol w:w="1362"/>
      </w:tblGrid>
      <w:tr w14:paraId="21CF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1ECB4831">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182" w:type="dxa"/>
            <w:noWrap w:val="0"/>
            <w:vAlign w:val="center"/>
          </w:tcPr>
          <w:p w14:paraId="7B759A3C">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费用名称</w:t>
            </w:r>
          </w:p>
        </w:tc>
        <w:tc>
          <w:tcPr>
            <w:tcW w:w="884" w:type="dxa"/>
            <w:noWrap w:val="0"/>
            <w:vAlign w:val="center"/>
          </w:tcPr>
          <w:p w14:paraId="23FEF2EF">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w:t>
            </w:r>
          </w:p>
        </w:tc>
        <w:tc>
          <w:tcPr>
            <w:tcW w:w="996" w:type="dxa"/>
            <w:noWrap w:val="0"/>
            <w:vAlign w:val="center"/>
          </w:tcPr>
          <w:p w14:paraId="25FCE492">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数量</w:t>
            </w:r>
          </w:p>
        </w:tc>
        <w:tc>
          <w:tcPr>
            <w:tcW w:w="1524" w:type="dxa"/>
            <w:noWrap w:val="0"/>
            <w:vAlign w:val="center"/>
          </w:tcPr>
          <w:p w14:paraId="2DD2E143">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单价（元）</w:t>
            </w:r>
          </w:p>
        </w:tc>
        <w:tc>
          <w:tcPr>
            <w:tcW w:w="1362" w:type="dxa"/>
            <w:noWrap w:val="0"/>
            <w:vAlign w:val="center"/>
          </w:tcPr>
          <w:p w14:paraId="393B12CF">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合价（元）</w:t>
            </w:r>
          </w:p>
        </w:tc>
      </w:tr>
      <w:tr w14:paraId="2B25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3025055A">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w:t>
            </w:r>
          </w:p>
        </w:tc>
        <w:tc>
          <w:tcPr>
            <w:tcW w:w="3182" w:type="dxa"/>
            <w:noWrap w:val="0"/>
            <w:vAlign w:val="center"/>
          </w:tcPr>
          <w:p w14:paraId="62C6B27C">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b/>
                <w:color w:val="auto"/>
                <w:szCs w:val="21"/>
                <w:highlight w:val="none"/>
              </w:rPr>
              <w:t>现场临时宿舍空调设施</w:t>
            </w:r>
          </w:p>
        </w:tc>
        <w:tc>
          <w:tcPr>
            <w:tcW w:w="884" w:type="dxa"/>
            <w:noWrap w:val="0"/>
            <w:vAlign w:val="center"/>
          </w:tcPr>
          <w:p w14:paraId="188B915E">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1F2927AB">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74E113F2">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54AD4354">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360E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74A3FA56">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139B8907">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04F3696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7605F23A">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1A501512">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20AF51D9">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1732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22A5DFA9">
            <w:pPr>
              <w:widowControl/>
              <w:tabs>
                <w:tab w:val="center" w:pos="4755"/>
                <w:tab w:val="right" w:pos="9070"/>
              </w:tabs>
              <w:spacing w:line="320" w:lineRule="exact"/>
              <w:ind w:left="-53" w:leftChars="-25" w:right="-53" w:rightChars="-2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w:t>
            </w:r>
          </w:p>
        </w:tc>
        <w:tc>
          <w:tcPr>
            <w:tcW w:w="3182" w:type="dxa"/>
            <w:noWrap w:val="0"/>
            <w:vAlign w:val="center"/>
          </w:tcPr>
          <w:p w14:paraId="7589EB2A">
            <w:pPr>
              <w:widowControl/>
              <w:tabs>
                <w:tab w:val="center" w:pos="4755"/>
                <w:tab w:val="right" w:pos="9070"/>
              </w:tabs>
              <w:spacing w:line="320" w:lineRule="exact"/>
              <w:ind w:left="-53" w:leftChars="-25" w:right="-53" w:rightChars="-2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安全生产责任保险</w:t>
            </w:r>
          </w:p>
        </w:tc>
        <w:tc>
          <w:tcPr>
            <w:tcW w:w="884" w:type="dxa"/>
            <w:noWrap w:val="0"/>
            <w:vAlign w:val="center"/>
          </w:tcPr>
          <w:p w14:paraId="554333AC">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7E0EB525">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7777B4D8">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065AEF7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3D26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0C40926F">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236BAFA3">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30FFE9DF">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0DB70362">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4E16A1F1">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41B1F921">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530F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7F87DB7E">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54AE70EA">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71DB861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4BE898DF">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7F720894">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387704FA">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7A40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3FDB5C4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46E674C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6C4DF745">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176F319D">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4DA04C33">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65CF5B29">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6C25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5F8EC4E5">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60B82AD5">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422D73DC">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38DBD963">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7F27F90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61BC5579">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14F4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6CDCD191">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66C90778">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01A55562">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57201C7D">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01EA913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6DA6B735">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7700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043E57F0">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16BDF224">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884" w:type="dxa"/>
            <w:noWrap w:val="0"/>
            <w:vAlign w:val="center"/>
          </w:tcPr>
          <w:p w14:paraId="01CBC8C7">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38C2B19A">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6EB5F3DC">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53FB54C1">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r w14:paraId="205F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noWrap w:val="0"/>
            <w:vAlign w:val="center"/>
          </w:tcPr>
          <w:p w14:paraId="02433D59">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3182" w:type="dxa"/>
            <w:noWrap w:val="0"/>
            <w:vAlign w:val="center"/>
          </w:tcPr>
          <w:p w14:paraId="5768B9A7">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合计</w:t>
            </w:r>
          </w:p>
        </w:tc>
        <w:tc>
          <w:tcPr>
            <w:tcW w:w="884" w:type="dxa"/>
            <w:noWrap w:val="0"/>
            <w:vAlign w:val="center"/>
          </w:tcPr>
          <w:p w14:paraId="7EFD42B7">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996" w:type="dxa"/>
            <w:noWrap w:val="0"/>
            <w:vAlign w:val="center"/>
          </w:tcPr>
          <w:p w14:paraId="685820EB">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524" w:type="dxa"/>
            <w:noWrap w:val="0"/>
            <w:vAlign w:val="center"/>
          </w:tcPr>
          <w:p w14:paraId="45FDE333">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c>
          <w:tcPr>
            <w:tcW w:w="1362" w:type="dxa"/>
            <w:noWrap w:val="0"/>
            <w:vAlign w:val="center"/>
          </w:tcPr>
          <w:p w14:paraId="0DEF8C94">
            <w:pPr>
              <w:widowControl/>
              <w:tabs>
                <w:tab w:val="center" w:pos="4755"/>
                <w:tab w:val="right" w:pos="9070"/>
              </w:tabs>
              <w:spacing w:line="320" w:lineRule="exact"/>
              <w:ind w:left="-53" w:leftChars="-25" w:right="-53" w:rightChars="-25"/>
              <w:jc w:val="center"/>
              <w:rPr>
                <w:rFonts w:hint="eastAsia" w:ascii="宋体" w:hAnsi="宋体" w:eastAsia="宋体" w:cs="宋体"/>
                <w:color w:val="auto"/>
                <w:kern w:val="0"/>
                <w:szCs w:val="21"/>
                <w:highlight w:val="none"/>
              </w:rPr>
            </w:pPr>
          </w:p>
        </w:tc>
      </w:tr>
    </w:tbl>
    <w:p w14:paraId="2D4489D4">
      <w:pPr>
        <w:widowControl/>
        <w:tabs>
          <w:tab w:val="center" w:pos="4755"/>
          <w:tab w:val="right" w:pos="9070"/>
        </w:tabs>
        <w:adjustRightInd w:val="0"/>
        <w:ind w:left="212" w:leftChars="101"/>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注：</w:t>
      </w:r>
      <w:r>
        <w:rPr>
          <w:rFonts w:hint="eastAsia" w:ascii="宋体" w:hAnsi="宋体" w:eastAsia="宋体" w:cs="宋体"/>
          <w:color w:val="auto"/>
          <w:szCs w:val="21"/>
          <w:highlight w:val="none"/>
        </w:rPr>
        <w:t>本表为企业管理费部分内容的报价分析表，由投标人根据市政府、市建设行政主管部门颁发的有关文件对于</w:t>
      </w:r>
      <w:r>
        <w:rPr>
          <w:rFonts w:hint="eastAsia" w:ascii="宋体" w:hAnsi="宋体" w:eastAsia="宋体" w:cs="宋体"/>
          <w:color w:val="auto"/>
          <w:kern w:val="0"/>
          <w:szCs w:val="21"/>
          <w:highlight w:val="none"/>
        </w:rPr>
        <w:t>现场民工宿舍空调</w:t>
      </w:r>
      <w:r>
        <w:rPr>
          <w:rFonts w:hint="eastAsia" w:ascii="宋体" w:hAnsi="宋体" w:eastAsia="宋体" w:cs="宋体"/>
          <w:color w:val="auto"/>
          <w:szCs w:val="21"/>
          <w:highlight w:val="none"/>
        </w:rPr>
        <w:t>的设置要求或标准、安责险等规定进行相应数量和费用的报价。</w:t>
      </w:r>
    </w:p>
    <w:p w14:paraId="05B1103E">
      <w:pPr>
        <w:snapToGrid w:val="0"/>
        <w:spacing w:before="50" w:after="50" w:line="360" w:lineRule="auto"/>
        <w:ind w:left="2" w:leftChars="-15" w:right="-817" w:rightChars="-389" w:hanging="33" w:hangingChars="12"/>
        <w:rPr>
          <w:rFonts w:hint="eastAsia" w:ascii="宋体" w:hAnsi="宋体" w:eastAsia="宋体" w:cs="宋体"/>
          <w:color w:val="auto"/>
          <w:spacing w:val="20"/>
          <w:sz w:val="24"/>
          <w:highlight w:val="none"/>
          <w:u w:val="single"/>
        </w:rPr>
      </w:pPr>
    </w:p>
    <w:p w14:paraId="6F78C19E">
      <w:pPr>
        <w:snapToGrid w:val="0"/>
        <w:spacing w:before="50" w:after="50" w:line="360" w:lineRule="auto"/>
        <w:ind w:left="2" w:leftChars="-15" w:right="-817" w:rightChars="-389" w:hanging="33" w:hangingChars="12"/>
        <w:rPr>
          <w:rFonts w:hint="eastAsia" w:ascii="宋体" w:hAnsi="宋体" w:eastAsia="宋体" w:cs="宋体"/>
          <w:color w:val="auto"/>
          <w:spacing w:val="20"/>
          <w:sz w:val="24"/>
          <w:highlight w:val="none"/>
          <w:u w:val="single"/>
        </w:rPr>
      </w:pPr>
    </w:p>
    <w:p w14:paraId="2B2CBF82">
      <w:pPr>
        <w:adjustRightInd w:val="0"/>
        <w:snapToGrid w:val="0"/>
        <w:spacing w:line="360" w:lineRule="auto"/>
        <w:rPr>
          <w:rFonts w:hint="eastAsia" w:ascii="宋体" w:hAnsi="宋体" w:eastAsia="宋体" w:cs="宋体"/>
          <w:color w:val="auto"/>
          <w:highlight w:val="none"/>
        </w:rPr>
      </w:pPr>
    </w:p>
    <w:p w14:paraId="4719C126">
      <w:pPr>
        <w:rPr>
          <w:rFonts w:hint="eastAsia" w:ascii="宋体" w:hAnsi="宋体" w:eastAsia="宋体" w:cs="宋体"/>
        </w:rPr>
      </w:pPr>
    </w:p>
    <w:sectPr>
      <w:footerReference r:id="rId15" w:type="default"/>
      <w:footerReference r:id="rId16" w:type="even"/>
      <w:pgSz w:w="11906" w:h="16838"/>
      <w:pgMar w:top="1440" w:right="1803" w:bottom="1440" w:left="1803" w:header="794" w:footer="79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ì.">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39350">
    <w:pPr>
      <w:pStyle w:val="10"/>
      <w:ind w:right="360"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8259CC">
                          <w:pPr>
                            <w:pStyle w:val="1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118259CC">
                    <w:pPr>
                      <w:pStyle w:val="10"/>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84C5D">
    <w:pPr>
      <w:snapToGrid w:val="0"/>
      <w:jc w:val="left"/>
      <w:rPr>
        <w:rFonts w:eastAsia="黑体"/>
        <w:snapToGrid w:val="0"/>
        <w:kern w:val="0"/>
        <w:sz w:val="18"/>
        <w:szCs w:val="18"/>
      </w:rPr>
    </w:pPr>
    <w:r>
      <w:rPr>
        <w:rFonts w:eastAsia="黑体"/>
        <w:snapToGrid w:val="0"/>
        <w:kern w:val="0"/>
        <w:sz w:val="18"/>
        <w:szCs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67640" cy="13144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67640" cy="131445"/>
                      </a:xfrm>
                      <a:prstGeom prst="rect">
                        <a:avLst/>
                      </a:prstGeom>
                      <a:noFill/>
                      <a:ln>
                        <a:noFill/>
                      </a:ln>
                    </wps:spPr>
                    <wps:txbx>
                      <w:txbxContent>
                        <w:p w14:paraId="507BD4E3">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3.2pt;mso-position-horizontal:center;mso-position-horizontal-relative:margin;mso-wrap-style:none;z-index:251662336;mso-width-relative:page;mso-height-relative:page;" filled="f" stroked="f" coordsize="21600,21600" o:gfxdata="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jRio69EAAAADAQAADwAAAAAAAAABACAAAAAiAAAAZHJzL2Rvd25y&#10;ZXYueG1sUEsBAhQAFAAAAAgAh07iQETCpZ7MAQAAlwMAAA4AAAAAAAAAAQAgAAAAIAEAAGRycy9l&#10;Mm9Eb2MueG1sUEsFBgAAAAAGAAYAWQEAAF4FAAAAAA==&#10;">
              <v:fill on="f" focussize="0,0"/>
              <v:stroke on="f"/>
              <v:imagedata o:title=""/>
              <o:lock v:ext="edit" aspectratio="f"/>
              <v:textbox inset="0mm,0mm,0mm,0mm" style="mso-fit-shape-to-text:t;">
                <w:txbxContent>
                  <w:p w14:paraId="507BD4E3">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8DD3">
    <w:pPr>
      <w:framePr w:wrap="around" w:vAnchor="text" w:hAnchor="margin" w:xAlign="outside" w:y="1"/>
      <w:snapToGrid w:val="0"/>
      <w:jc w:val="left"/>
      <w:rPr>
        <w:rStyle w:val="19"/>
        <w:rFonts w:eastAsia="黑体"/>
        <w:snapToGrid w:val="0"/>
        <w:kern w:val="0"/>
        <w:sz w:val="18"/>
        <w:szCs w:val="18"/>
      </w:rPr>
    </w:pPr>
    <w:r>
      <w:rPr>
        <w:rFonts w:eastAsia="黑体"/>
        <w:snapToGrid w:val="0"/>
        <w:kern w:val="0"/>
        <w:sz w:val="18"/>
        <w:szCs w:val="18"/>
      </w:rPr>
      <w:fldChar w:fldCharType="begin"/>
    </w:r>
    <w:r>
      <w:rPr>
        <w:rStyle w:val="19"/>
        <w:snapToGrid w:val="0"/>
      </w:rPr>
      <w:instrText xml:space="preserve">PAGE  </w:instrText>
    </w:r>
    <w:r>
      <w:rPr>
        <w:rFonts w:eastAsia="黑体"/>
        <w:snapToGrid w:val="0"/>
        <w:kern w:val="0"/>
        <w:sz w:val="18"/>
        <w:szCs w:val="18"/>
      </w:rPr>
      <w:fldChar w:fldCharType="separate"/>
    </w:r>
    <w:r>
      <w:rPr>
        <w:rStyle w:val="19"/>
        <w:snapToGrid w:val="0"/>
      </w:rPr>
      <w:t>55</w:t>
    </w:r>
    <w:r>
      <w:rPr>
        <w:rFonts w:eastAsia="黑体"/>
        <w:snapToGrid w:val="0"/>
        <w:kern w:val="0"/>
        <w:sz w:val="18"/>
        <w:szCs w:val="18"/>
      </w:rPr>
      <w:fldChar w:fldCharType="end"/>
    </w:r>
  </w:p>
  <w:p w14:paraId="484AB50B">
    <w:pPr>
      <w:snapToGrid w:val="0"/>
      <w:ind w:right="360" w:firstLine="360"/>
      <w:jc w:val="left"/>
      <w:rPr>
        <w:rFonts w:eastAsia="黑体"/>
        <w:snapToGrid w:val="0"/>
        <w:kern w:val="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7A50F">
    <w:pPr>
      <w:pStyle w:val="10"/>
      <w:framePr w:wrap="around" w:vAnchor="text" w:hAnchor="margin" w:xAlign="outside" w:y="1"/>
      <w:rPr>
        <w:rStyle w:val="19"/>
      </w:rPr>
    </w:pPr>
    <w:r>
      <w:fldChar w:fldCharType="begin"/>
    </w:r>
    <w:r>
      <w:rPr>
        <w:rStyle w:val="19"/>
      </w:rPr>
      <w:instrText xml:space="preserve">PAGE  </w:instrText>
    </w:r>
    <w:r>
      <w:fldChar w:fldCharType="end"/>
    </w:r>
  </w:p>
  <w:p w14:paraId="3C26DEDD">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EDF5">
    <w:pPr>
      <w:snapToGrid w:val="0"/>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60E3A">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64</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5060E3A">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64</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85F7D">
    <w:pPr>
      <w:snapToGrid w:val="0"/>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E30E01">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66</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AE30E01">
                    <w:pPr>
                      <w:snapToGrid w:val="0"/>
                      <w:jc w:val="left"/>
                      <w:rPr>
                        <w:rFonts w:eastAsia="黑体"/>
                        <w:snapToGrid w:val="0"/>
                        <w:kern w:val="0"/>
                        <w:sz w:val="18"/>
                        <w:szCs w:val="18"/>
                      </w:rPr>
                    </w:pPr>
                    <w:r>
                      <w:rPr>
                        <w:rFonts w:eastAsia="黑体"/>
                        <w:snapToGrid w:val="0"/>
                        <w:kern w:val="0"/>
                        <w:sz w:val="18"/>
                        <w:szCs w:val="18"/>
                      </w:rPr>
                      <w:t xml:space="preserve">第 </w:t>
                    </w:r>
                    <w:r>
                      <w:rPr>
                        <w:rFonts w:eastAsia="黑体"/>
                        <w:snapToGrid w:val="0"/>
                        <w:kern w:val="0"/>
                        <w:sz w:val="18"/>
                        <w:szCs w:val="18"/>
                      </w:rPr>
                      <w:fldChar w:fldCharType="begin"/>
                    </w:r>
                    <w:r>
                      <w:rPr>
                        <w:rFonts w:eastAsia="黑体"/>
                        <w:snapToGrid w:val="0"/>
                        <w:kern w:val="0"/>
                        <w:sz w:val="18"/>
                        <w:szCs w:val="18"/>
                      </w:rPr>
                      <w:instrText xml:space="preserve"> PAGE  \* MERGEFORMAT </w:instrText>
                    </w:r>
                    <w:r>
                      <w:rPr>
                        <w:rFonts w:eastAsia="黑体"/>
                        <w:snapToGrid w:val="0"/>
                        <w:kern w:val="0"/>
                        <w:sz w:val="18"/>
                        <w:szCs w:val="18"/>
                      </w:rPr>
                      <w:fldChar w:fldCharType="separate"/>
                    </w:r>
                    <w:r>
                      <w:rPr>
                        <w:rFonts w:eastAsia="黑体"/>
                        <w:snapToGrid w:val="0"/>
                        <w:kern w:val="0"/>
                        <w:sz w:val="18"/>
                        <w:szCs w:val="18"/>
                      </w:rPr>
                      <w:t>66</w:t>
                    </w:r>
                    <w:r>
                      <w:rPr>
                        <w:rFonts w:eastAsia="黑体"/>
                        <w:snapToGrid w:val="0"/>
                        <w:kern w:val="0"/>
                        <w:sz w:val="18"/>
                        <w:szCs w:val="18"/>
                      </w:rPr>
                      <w:fldChar w:fldCharType="end"/>
                    </w:r>
                    <w:r>
                      <w:rPr>
                        <w:rFonts w:eastAsia="黑体"/>
                        <w:snapToGrid w:val="0"/>
                        <w:kern w:val="0"/>
                        <w:sz w:val="18"/>
                        <w:szCs w:val="18"/>
                      </w:rPr>
                      <w:t xml:space="preserve"> 页 共 </w:t>
                    </w:r>
                    <w:r>
                      <w:rPr>
                        <w:rFonts w:eastAsia="黑体"/>
                        <w:snapToGrid w:val="0"/>
                        <w:kern w:val="0"/>
                        <w:sz w:val="18"/>
                        <w:szCs w:val="18"/>
                      </w:rPr>
                      <w:fldChar w:fldCharType="begin"/>
                    </w:r>
                    <w:r>
                      <w:rPr>
                        <w:rFonts w:eastAsia="黑体"/>
                        <w:snapToGrid w:val="0"/>
                        <w:kern w:val="0"/>
                        <w:sz w:val="18"/>
                        <w:szCs w:val="18"/>
                      </w:rPr>
                      <w:instrText xml:space="preserve"> NUMPAGES  \* MERGEFORMAT </w:instrText>
                    </w:r>
                    <w:r>
                      <w:rPr>
                        <w:rFonts w:eastAsia="黑体"/>
                        <w:snapToGrid w:val="0"/>
                        <w:kern w:val="0"/>
                        <w:sz w:val="18"/>
                        <w:szCs w:val="18"/>
                      </w:rPr>
                      <w:fldChar w:fldCharType="separate"/>
                    </w:r>
                    <w:r>
                      <w:rPr>
                        <w:rFonts w:eastAsia="黑体"/>
                        <w:snapToGrid w:val="0"/>
                        <w:kern w:val="0"/>
                        <w:sz w:val="18"/>
                        <w:szCs w:val="18"/>
                      </w:rPr>
                      <w:t>116</w:t>
                    </w:r>
                    <w:r>
                      <w:rPr>
                        <w:rFonts w:eastAsia="黑体"/>
                        <w:snapToGrid w:val="0"/>
                        <w:kern w:val="0"/>
                        <w:sz w:val="18"/>
                        <w:szCs w:val="18"/>
                      </w:rPr>
                      <w:fldChar w:fldCharType="end"/>
                    </w:r>
                    <w:r>
                      <w:rPr>
                        <w:rFonts w:eastAsia="黑体"/>
                        <w:snapToGrid w:val="0"/>
                        <w:kern w:val="0"/>
                        <w:sz w:val="18"/>
                        <w:szCs w:val="18"/>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87A7D">
    <w:pPr>
      <w:pStyle w:val="10"/>
      <w:ind w:right="360" w:firstLine="36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A84987">
                          <w:pPr>
                            <w:pStyle w:val="10"/>
                          </w:pPr>
                          <w:r>
                            <w:t xml:space="preserve">第 </w:t>
                          </w:r>
                          <w:r>
                            <w:fldChar w:fldCharType="begin"/>
                          </w:r>
                          <w:r>
                            <w:instrText xml:space="preserve"> PAGE  \* MERGEFORMAT </w:instrText>
                          </w:r>
                          <w:r>
                            <w:fldChar w:fldCharType="separate"/>
                          </w:r>
                          <w:r>
                            <w:t>96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5A84987">
                    <w:pPr>
                      <w:pStyle w:val="10"/>
                    </w:pPr>
                    <w:r>
                      <w:t xml:space="preserve">第 </w:t>
                    </w:r>
                    <w:r>
                      <w:fldChar w:fldCharType="begin"/>
                    </w:r>
                    <w:r>
                      <w:instrText xml:space="preserve"> PAGE  \* MERGEFORMAT </w:instrText>
                    </w:r>
                    <w:r>
                      <w:fldChar w:fldCharType="separate"/>
                    </w:r>
                    <w:r>
                      <w:t>96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9192E">
    <w:pPr>
      <w:pStyle w:val="10"/>
      <w:framePr w:wrap="around" w:vAnchor="text" w:hAnchor="margin" w:xAlign="outside" w:y="1"/>
      <w:rPr>
        <w:rStyle w:val="19"/>
      </w:rPr>
    </w:pPr>
    <w:r>
      <w:fldChar w:fldCharType="begin"/>
    </w:r>
    <w:r>
      <w:rPr>
        <w:rStyle w:val="19"/>
      </w:rPr>
      <w:instrText xml:space="preserve">PAGE  </w:instrText>
    </w:r>
    <w:r>
      <w:fldChar w:fldCharType="end"/>
    </w:r>
  </w:p>
  <w:p w14:paraId="6B2C0689">
    <w:pPr>
      <w:pStyle w:val="10"/>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C87B9">
    <w:pPr>
      <w:pStyle w:val="10"/>
      <w:jc w:val="center"/>
      <w:rPr>
        <w:rFonts w:hint="eastAsia"/>
      </w:rPr>
    </w:pP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068A3">
    <w:pPr>
      <w:adjustRightInd w:val="0"/>
      <w:snapToGrid w:val="0"/>
      <w:jc w:val="left"/>
      <w:rPr>
        <w:sz w:val="18"/>
        <w:szCs w:val="18"/>
      </w:rPr>
    </w:pPr>
    <w:r>
      <w:rPr>
        <w:sz w:val="18"/>
        <w:szCs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67640" cy="1314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67640" cy="131445"/>
                      </a:xfrm>
                      <a:prstGeom prst="rect">
                        <a:avLst/>
                      </a:prstGeom>
                      <a:noFill/>
                      <a:ln>
                        <a:noFill/>
                      </a:ln>
                    </wps:spPr>
                    <wps:txbx>
                      <w:txbxContent>
                        <w:p w14:paraId="6BE60AE5">
                          <w:pPr>
                            <w:adjustRightInd w:val="0"/>
                            <w:snapToGrid w:val="0"/>
                            <w:jc w:val="left"/>
                            <w:rPr>
                              <w:sz w:val="18"/>
                              <w:szCs w:val="18"/>
                            </w:rPr>
                          </w:pPr>
                          <w:r>
                            <w:rPr>
                              <w:sz w:val="18"/>
                              <w:szCs w:val="18"/>
                            </w:rPr>
                            <w:t xml:space="preserve">第 </w:t>
                          </w:r>
                          <w:r>
                            <w:rPr>
                              <w:sz w:val="18"/>
                              <w:szCs w:val="18"/>
                            </w:rPr>
                            <w:fldChar w:fldCharType="begin"/>
                          </w:r>
                          <w:r>
                            <w:rPr>
                              <w:sz w:val="18"/>
                              <w:szCs w:val="18"/>
                            </w:rPr>
                            <w:instrText xml:space="preserve"> PAGE  \* MERGEFORMAT </w:instrText>
                          </w:r>
                          <w:r>
                            <w:rPr>
                              <w:sz w:val="18"/>
                              <w:szCs w:val="18"/>
                            </w:rPr>
                            <w:fldChar w:fldCharType="separate"/>
                          </w:r>
                          <w:r>
                            <w:rPr>
                              <w:sz w:val="18"/>
                              <w:szCs w:val="18"/>
                            </w:rPr>
                            <w:t>102</w:t>
                          </w:r>
                          <w:r>
                            <w:rPr>
                              <w:sz w:val="18"/>
                              <w:szCs w:val="18"/>
                            </w:rPr>
                            <w:fldChar w:fldCharType="end"/>
                          </w:r>
                          <w:r>
                            <w:rPr>
                              <w:sz w:val="18"/>
                              <w:szCs w:val="18"/>
                            </w:rPr>
                            <w:t xml:space="preserve"> 页 共 </w:t>
                          </w:r>
                          <w:r>
                            <w:rPr>
                              <w:sz w:val="18"/>
                              <w:szCs w:val="18"/>
                            </w:rPr>
                            <w:fldChar w:fldCharType="begin"/>
                          </w:r>
                          <w:r>
                            <w:rPr>
                              <w:sz w:val="18"/>
                              <w:szCs w:val="18"/>
                            </w:rPr>
                            <w:instrText xml:space="preserve"> NUMPAGES  \* MERGEFORMAT </w:instrText>
                          </w:r>
                          <w:r>
                            <w:rPr>
                              <w:sz w:val="18"/>
                              <w:szCs w:val="18"/>
                            </w:rPr>
                            <w:fldChar w:fldCharType="separate"/>
                          </w:r>
                          <w:r>
                            <w:rPr>
                              <w:sz w:val="18"/>
                              <w:szCs w:val="18"/>
                            </w:rPr>
                            <w:t>116</w:t>
                          </w:r>
                          <w:r>
                            <w:rPr>
                              <w:sz w:val="18"/>
                              <w:szCs w:val="18"/>
                            </w:rPr>
                            <w:fldChar w:fldCharType="end"/>
                          </w:r>
                          <w:r>
                            <w:rPr>
                              <w:sz w:val="18"/>
                              <w:szCs w:val="18"/>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3.2pt;mso-position-horizontal:center;mso-position-horizontal-relative:margin;mso-wrap-style:none;z-index:251661312;mso-width-relative:page;mso-height-relative:page;" filled="f" stroked="f" coordsize="21600,21600" o:gfxdata="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NGKjr0QAAAAMBAAAPAAAAAAAAAAEAIAAAACIAAABkcnMvZG93&#10;bnJldi54bWxQSwECFAAUAAAACACHTuJAf9tNcs4BAACXAwAADgAAAAAAAAABACAAAAAgAQAAZHJz&#10;L2Uyb0RvYy54bWxQSwUGAAAAAAYABgBZAQAAYAUAAAAA&#10;">
              <v:fill on="f" focussize="0,0"/>
              <v:stroke on="f"/>
              <v:imagedata o:title=""/>
              <o:lock v:ext="edit" aspectratio="f"/>
              <v:textbox inset="0mm,0mm,0mm,0mm" style="mso-fit-shape-to-text:t;">
                <w:txbxContent>
                  <w:p w14:paraId="6BE60AE5">
                    <w:pPr>
                      <w:adjustRightInd w:val="0"/>
                      <w:snapToGrid w:val="0"/>
                      <w:jc w:val="left"/>
                      <w:rPr>
                        <w:sz w:val="18"/>
                        <w:szCs w:val="18"/>
                      </w:rPr>
                    </w:pPr>
                    <w:r>
                      <w:rPr>
                        <w:sz w:val="18"/>
                        <w:szCs w:val="18"/>
                      </w:rPr>
                      <w:t xml:space="preserve">第 </w:t>
                    </w:r>
                    <w:r>
                      <w:rPr>
                        <w:sz w:val="18"/>
                        <w:szCs w:val="18"/>
                      </w:rPr>
                      <w:fldChar w:fldCharType="begin"/>
                    </w:r>
                    <w:r>
                      <w:rPr>
                        <w:sz w:val="18"/>
                        <w:szCs w:val="18"/>
                      </w:rPr>
                      <w:instrText xml:space="preserve"> PAGE  \* MERGEFORMAT </w:instrText>
                    </w:r>
                    <w:r>
                      <w:rPr>
                        <w:sz w:val="18"/>
                        <w:szCs w:val="18"/>
                      </w:rPr>
                      <w:fldChar w:fldCharType="separate"/>
                    </w:r>
                    <w:r>
                      <w:rPr>
                        <w:sz w:val="18"/>
                        <w:szCs w:val="18"/>
                      </w:rPr>
                      <w:t>102</w:t>
                    </w:r>
                    <w:r>
                      <w:rPr>
                        <w:sz w:val="18"/>
                        <w:szCs w:val="18"/>
                      </w:rPr>
                      <w:fldChar w:fldCharType="end"/>
                    </w:r>
                    <w:r>
                      <w:rPr>
                        <w:sz w:val="18"/>
                        <w:szCs w:val="18"/>
                      </w:rPr>
                      <w:t xml:space="preserve"> 页 共 </w:t>
                    </w:r>
                    <w:r>
                      <w:rPr>
                        <w:sz w:val="18"/>
                        <w:szCs w:val="18"/>
                      </w:rPr>
                      <w:fldChar w:fldCharType="begin"/>
                    </w:r>
                    <w:r>
                      <w:rPr>
                        <w:sz w:val="18"/>
                        <w:szCs w:val="18"/>
                      </w:rPr>
                      <w:instrText xml:space="preserve"> NUMPAGES  \* MERGEFORMAT </w:instrText>
                    </w:r>
                    <w:r>
                      <w:rPr>
                        <w:sz w:val="18"/>
                        <w:szCs w:val="18"/>
                      </w:rPr>
                      <w:fldChar w:fldCharType="separate"/>
                    </w:r>
                    <w:r>
                      <w:rPr>
                        <w:sz w:val="18"/>
                        <w:szCs w:val="18"/>
                      </w:rPr>
                      <w:t>116</w:t>
                    </w:r>
                    <w:r>
                      <w:rPr>
                        <w:sz w:val="18"/>
                        <w:szCs w:val="18"/>
                      </w:rPr>
                      <w:fldChar w:fldCharType="end"/>
                    </w:r>
                    <w:r>
                      <w:rPr>
                        <w:sz w:val="18"/>
                        <w:szCs w:val="18"/>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04A9">
    <w:pPr>
      <w:framePr w:wrap="around" w:vAnchor="text" w:hAnchor="margin" w:xAlign="center" w:y="3"/>
      <w:adjustRightInd w:val="0"/>
      <w:snapToGrid w:val="0"/>
      <w:jc w:val="left"/>
      <w:rPr>
        <w:sz w:val="18"/>
        <w:szCs w:val="18"/>
      </w:rPr>
    </w:pPr>
    <w:r>
      <w:rPr>
        <w:sz w:val="18"/>
        <w:szCs w:val="18"/>
      </w:rPr>
      <w:fldChar w:fldCharType="begin"/>
    </w:r>
    <w:r>
      <w:rPr>
        <w:rFonts w:ascii="Arial" w:hAnsi="Arial" w:eastAsia="黑体" w:cs="Arial"/>
        <w:snapToGrid w:val="0"/>
        <w:kern w:val="0"/>
        <w:szCs w:val="21"/>
      </w:rPr>
      <w:instrText xml:space="preserve">PAGE  </w:instrText>
    </w:r>
    <w:r>
      <w:rPr>
        <w:sz w:val="18"/>
        <w:szCs w:val="18"/>
      </w:rPr>
      <w:fldChar w:fldCharType="separate"/>
    </w:r>
    <w:r>
      <w:rPr>
        <w:rFonts w:ascii="Arial" w:hAnsi="Arial" w:eastAsia="黑体" w:cs="Arial"/>
        <w:snapToGrid w:val="0"/>
        <w:kern w:val="0"/>
        <w:szCs w:val="21"/>
      </w:rPr>
      <w:t>28</w:t>
    </w:r>
    <w:r>
      <w:rPr>
        <w:sz w:val="18"/>
        <w:szCs w:val="18"/>
      </w:rPr>
      <w:fldChar w:fldCharType="end"/>
    </w:r>
  </w:p>
  <w:p w14:paraId="57F6EA49">
    <w:pPr>
      <w:adjustRightInd w:val="0"/>
      <w:snapToGrid w:val="0"/>
      <w:jc w:val="lef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715D1C0C">
      <w:pPr>
        <w:pStyle w:val="14"/>
        <w:rPr>
          <w:rFonts w:hint="eastAsia" w:ascii="仿宋" w:hAnsi="仿宋" w:eastAsia="仿宋" w:cs="仿宋"/>
        </w:rPr>
      </w:pPr>
      <w:r>
        <w:rPr>
          <w:rStyle w:val="20"/>
          <w:rFonts w:hint="eastAsia" w:ascii="仿宋" w:hAnsi="仿宋" w:eastAsia="仿宋" w:cs="仿宋"/>
        </w:rPr>
        <w:footnoteRef/>
      </w:r>
      <w:r>
        <w:rPr>
          <w:rFonts w:hint="eastAsia" w:ascii="仿宋" w:hAnsi="仿宋" w:eastAsia="仿宋" w:cs="仿宋"/>
          <w:sz w:val="21"/>
          <w:szCs w:val="21"/>
        </w:rPr>
        <w:t>从业人员、营业收入、资产总额填报上一年度数据，无上一年度数据的新成立企业可不填报。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06B30">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D0BCF">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D49BDF"/>
    <w:multiLevelType w:val="singleLevel"/>
    <w:tmpl w:val="BBD49BDF"/>
    <w:lvl w:ilvl="0" w:tentative="0">
      <w:start w:val="2"/>
      <w:numFmt w:val="chineseCounting"/>
      <w:suff w:val="nothing"/>
      <w:lvlText w:val="%1、"/>
      <w:lvlJc w:val="left"/>
      <w:rPr>
        <w:rFonts w:hint="eastAsia"/>
      </w:rPr>
    </w:lvl>
  </w:abstractNum>
  <w:abstractNum w:abstractNumId="1">
    <w:nsid w:val="E8A23366"/>
    <w:multiLevelType w:val="singleLevel"/>
    <w:tmpl w:val="E8A23366"/>
    <w:lvl w:ilvl="0" w:tentative="0">
      <w:start w:val="1"/>
      <w:numFmt w:val="decimal"/>
      <w:pStyle w:val="3"/>
      <w:lvlText w:val="%1."/>
      <w:lvlJc w:val="left"/>
      <w:pPr>
        <w:tabs>
          <w:tab w:val="left" w:pos="360"/>
        </w:tabs>
        <w:ind w:left="360" w:hanging="360"/>
      </w:pPr>
    </w:lvl>
  </w:abstractNum>
  <w:abstractNum w:abstractNumId="2">
    <w:nsid w:val="1376ADA4"/>
    <w:multiLevelType w:val="singleLevel"/>
    <w:tmpl w:val="1376ADA4"/>
    <w:lvl w:ilvl="0" w:tentative="0">
      <w:start w:val="1"/>
      <w:numFmt w:val="decimal"/>
      <w:suff w:val="nothing"/>
      <w:lvlText w:val="（%1）"/>
      <w:lvlJc w:val="left"/>
    </w:lvl>
  </w:abstractNum>
  <w:abstractNum w:abstractNumId="3">
    <w:nsid w:val="157AD0E1"/>
    <w:multiLevelType w:val="singleLevel"/>
    <w:tmpl w:val="157AD0E1"/>
    <w:lvl w:ilvl="0" w:tentative="0">
      <w:start w:val="13"/>
      <w:numFmt w:val="decimal"/>
      <w:lvlText w:val="%1."/>
      <w:lvlJc w:val="left"/>
      <w:pPr>
        <w:tabs>
          <w:tab w:val="left" w:pos="312"/>
        </w:tabs>
      </w:pPr>
    </w:lvl>
  </w:abstractNum>
  <w:abstractNum w:abstractNumId="4">
    <w:nsid w:val="28AE544A"/>
    <w:multiLevelType w:val="singleLevel"/>
    <w:tmpl w:val="28AE544A"/>
    <w:lvl w:ilvl="0" w:tentative="0">
      <w:start w:val="1"/>
      <w:numFmt w:val="decimal"/>
      <w:suff w:val="nothing"/>
      <w:lvlText w:val="（%1）"/>
      <w:lvlJc w:val="left"/>
    </w:lvl>
  </w:abstractNum>
  <w:abstractNum w:abstractNumId="5">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7">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8">
    <w:nsid w:val="6D24840C"/>
    <w:multiLevelType w:val="singleLevel"/>
    <w:tmpl w:val="6D24840C"/>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4"/>
  </w:num>
  <w:num w:numId="4">
    <w:abstractNumId w:val="8"/>
  </w:num>
  <w:num w:numId="5">
    <w:abstractNumId w:val="6"/>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535D7"/>
    <w:rsid w:val="0A0E619C"/>
    <w:rsid w:val="0A845004"/>
    <w:rsid w:val="10C1473A"/>
    <w:rsid w:val="161D0664"/>
    <w:rsid w:val="26E6382E"/>
    <w:rsid w:val="299D7219"/>
    <w:rsid w:val="2CBA67B5"/>
    <w:rsid w:val="302F391C"/>
    <w:rsid w:val="3D0C0967"/>
    <w:rsid w:val="45F752E8"/>
    <w:rsid w:val="461B3B13"/>
    <w:rsid w:val="4EAF3848"/>
    <w:rsid w:val="4EE23C1E"/>
    <w:rsid w:val="63692937"/>
    <w:rsid w:val="697414BE"/>
    <w:rsid w:val="6D4527A9"/>
    <w:rsid w:val="6D463172"/>
    <w:rsid w:val="7060200C"/>
    <w:rsid w:val="7113647A"/>
    <w:rsid w:val="79B002F1"/>
    <w:rsid w:val="7AB5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3">
    <w:name w:val="List Number"/>
    <w:basedOn w:val="1"/>
    <w:qFormat/>
    <w:uiPriority w:val="0"/>
    <w:pPr>
      <w:numPr>
        <w:ilvl w:val="0"/>
        <w:numId w:val="1"/>
      </w:numPr>
    </w:pPr>
  </w:style>
  <w:style w:type="paragraph" w:styleId="4">
    <w:name w:val="Normal Indent"/>
    <w:basedOn w:val="1"/>
    <w:next w:val="1"/>
    <w:qFormat/>
    <w:uiPriority w:val="0"/>
    <w:pPr>
      <w:ind w:firstLine="420"/>
    </w:pPr>
    <w:rPr>
      <w:szCs w:val="20"/>
    </w:rPr>
  </w:style>
  <w:style w:type="paragraph" w:styleId="5">
    <w:name w:val="Body Text"/>
    <w:basedOn w:val="1"/>
    <w:qFormat/>
    <w:uiPriority w:val="0"/>
    <w:pPr>
      <w:spacing w:after="120"/>
    </w:pPr>
    <w:rPr>
      <w:sz w:val="28"/>
    </w:rPr>
  </w:style>
  <w:style w:type="paragraph" w:styleId="6">
    <w:name w:val="Body Text Indent"/>
    <w:basedOn w:val="1"/>
    <w:uiPriority w:val="0"/>
    <w:pPr>
      <w:spacing w:line="200" w:lineRule="exact"/>
      <w:ind w:firstLine="301"/>
    </w:pPr>
    <w:rPr>
      <w:rFonts w:ascii="宋体" w:hAnsi="Courier New"/>
      <w:spacing w:val="-4"/>
      <w:sz w:val="18"/>
      <w:szCs w:val="20"/>
    </w:rPr>
  </w:style>
  <w:style w:type="paragraph" w:styleId="7">
    <w:name w:val="List 2"/>
    <w:basedOn w:val="1"/>
    <w:qFormat/>
    <w:uiPriority w:val="0"/>
    <w:pPr>
      <w:ind w:left="100" w:leftChars="200" w:hanging="200" w:hangingChars="200"/>
    </w:pPr>
    <w:rPr>
      <w:sz w:val="28"/>
    </w:rPr>
  </w:style>
  <w:style w:type="paragraph" w:styleId="8">
    <w:name w:val="Plain Text"/>
    <w:basedOn w:val="1"/>
    <w:next w:val="1"/>
    <w:qFormat/>
    <w:uiPriority w:val="0"/>
    <w:pPr>
      <w:spacing w:before="156" w:beforeLines="50" w:after="156" w:afterLines="50" w:line="400" w:lineRule="exact"/>
    </w:pPr>
    <w:rPr>
      <w:rFonts w:ascii="宋体" w:hAnsi="Courier New"/>
      <w:sz w:val="24"/>
    </w:rPr>
  </w:style>
  <w:style w:type="paragraph" w:styleId="9">
    <w:name w:val="Date"/>
    <w:basedOn w:val="1"/>
    <w:next w:val="1"/>
    <w:qFormat/>
    <w:uiPriority w:val="0"/>
    <w:pPr>
      <w:ind w:leftChars="2500"/>
    </w:pPr>
    <w:rPr>
      <w:rFonts w:eastAsia="楷体_GB2312"/>
      <w:sz w:val="32"/>
      <w:szCs w:val="20"/>
    </w:rPr>
  </w:style>
  <w:style w:type="paragraph" w:styleId="10">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11">
    <w:name w:val="envelope return"/>
    <w:basedOn w:val="1"/>
    <w:qFormat/>
    <w:uiPriority w:val="0"/>
    <w:pPr>
      <w:snapToGrid w:val="0"/>
    </w:pPr>
    <w:rPr>
      <w:rFonts w:ascii="Arial" w:hAnsi="Arial"/>
    </w:rPr>
  </w:style>
  <w:style w:type="paragraph" w:styleId="12">
    <w:name w:val="header"/>
    <w:basedOn w:val="1"/>
    <w:qFormat/>
    <w:uiPriority w:val="0"/>
    <w:pPr>
      <w:pBdr>
        <w:bottom w:val="single" w:color="auto" w:sz="6" w:space="1"/>
      </w:pBdr>
      <w:tabs>
        <w:tab w:val="center" w:pos="4153"/>
        <w:tab w:val="right" w:pos="8306"/>
      </w:tabs>
      <w:snapToGrid w:val="0"/>
      <w:jc w:val="center"/>
    </w:pPr>
    <w:rPr>
      <w:rFonts w:eastAsia="仿宋_GB2312"/>
      <w:sz w:val="18"/>
      <w:szCs w:val="20"/>
    </w:rPr>
  </w:style>
  <w:style w:type="paragraph" w:styleId="13">
    <w:name w:val="toc 1"/>
    <w:basedOn w:val="1"/>
    <w:next w:val="1"/>
    <w:semiHidden/>
    <w:qFormat/>
    <w:uiPriority w:val="0"/>
  </w:style>
  <w:style w:type="paragraph" w:styleId="14">
    <w:name w:val="footnote text"/>
    <w:basedOn w:val="1"/>
    <w:unhideWhenUsed/>
    <w:qFormat/>
    <w:uiPriority w:val="0"/>
    <w:pPr>
      <w:snapToGrid w:val="0"/>
      <w:jc w:val="left"/>
    </w:pPr>
    <w:rPr>
      <w:sz w:val="18"/>
      <w:szCs w:val="18"/>
    </w:rPr>
  </w:style>
  <w:style w:type="paragraph" w:styleId="15">
    <w:name w:val="Body Text First Indent 2"/>
    <w:basedOn w:val="6"/>
    <w:next w:val="1"/>
    <w:qFormat/>
    <w:uiPriority w:val="0"/>
    <w:pPr>
      <w:spacing w:after="120" w:line="240" w:lineRule="auto"/>
      <w:ind w:left="420" w:leftChars="200" w:firstLine="420" w:firstLineChars="200"/>
    </w:pPr>
    <w:rPr>
      <w:rFonts w:ascii="Times New Roman" w:hAnsi="Times New Roman"/>
      <w:spacing w:val="0"/>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style>
  <w:style w:type="character" w:styleId="20">
    <w:name w:val="footnote reference"/>
    <w:unhideWhenUsed/>
    <w:qFormat/>
    <w:uiPriority w:val="0"/>
    <w:rPr>
      <w:rFonts w:cs="Times New Roman"/>
      <w:vertAlign w:val="superscript"/>
    </w:rPr>
  </w:style>
  <w:style w:type="paragraph" w:customStyle="1" w:styleId="21">
    <w:name w:val="Normal Indent1"/>
    <w:basedOn w:val="1"/>
    <w:qFormat/>
    <w:uiPriority w:val="0"/>
    <w:pPr>
      <w:ind w:firstLine="420" w:firstLineChars="200"/>
    </w:pPr>
  </w:style>
  <w:style w:type="paragraph" w:customStyle="1" w:styleId="22">
    <w:name w:val="Body Text First Indent1"/>
    <w:basedOn w:val="5"/>
    <w:qFormat/>
    <w:uiPriority w:val="0"/>
    <w:pPr>
      <w:spacing w:line="312" w:lineRule="auto"/>
      <w:ind w:firstLine="420"/>
    </w:pPr>
    <w:rPr>
      <w:rFonts w:ascii="Calibri" w:hAnsi="Calibri" w:eastAsia="宋体" w:cs="Times New Roman"/>
      <w:sz w:val="32"/>
      <w:szCs w:val="24"/>
    </w:rPr>
  </w:style>
  <w:style w:type="paragraph" w:customStyle="1" w:styleId="23">
    <w:name w:val="List Paragraph"/>
    <w:basedOn w:val="1"/>
    <w:qFormat/>
    <w:uiPriority w:val="0"/>
    <w:pPr>
      <w:ind w:firstLine="420" w:firstLineChars="200"/>
    </w:pPr>
  </w:style>
  <w:style w:type="paragraph" w:customStyle="1" w:styleId="24">
    <w:name w:val="正文2"/>
    <w:qFormat/>
    <w:uiPriority w:val="0"/>
    <w:pPr>
      <w:widowControl w:val="0"/>
      <w:adjustRightInd w:val="0"/>
      <w:spacing w:before="156" w:line="360" w:lineRule="auto"/>
      <w:ind w:firstLine="510" w:firstLineChars="200"/>
      <w:jc w:val="both"/>
    </w:pPr>
    <w:rPr>
      <w:rFonts w:ascii="Times New Roman" w:hAnsi="Times New Roman" w:eastAsia="宋体" w:cs="Times New Roman"/>
      <w:kern w:val="2"/>
      <w:sz w:val="24"/>
      <w:lang w:val="en-US" w:eastAsia="zh-CN" w:bidi="ar-SA"/>
    </w:rPr>
  </w:style>
  <w:style w:type="paragraph" w:customStyle="1" w:styleId="25">
    <w:name w:val="表内文字"/>
    <w:basedOn w:val="1"/>
    <w:qFormat/>
    <w:uiPriority w:val="0"/>
    <w:pPr>
      <w:tabs>
        <w:tab w:val="left" w:pos="1418"/>
      </w:tabs>
      <w:spacing w:line="360" w:lineRule="auto"/>
      <w:jc w:val="center"/>
    </w:pPr>
    <w:rPr>
      <w:rFonts w:ascii="仿宋_GB2312" w:eastAsia="仿宋_GB2312"/>
      <w:spacing w:val="-20"/>
      <w:kern w:val="0"/>
      <w:sz w:val="24"/>
    </w:rPr>
  </w:style>
  <w:style w:type="paragraph" w:customStyle="1" w:styleId="26">
    <w:name w:val="Default"/>
    <w:next w:val="27"/>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27">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8">
    <w:name w:val="纯文本_0_0"/>
    <w:qFormat/>
    <w:uiPriority w:val="0"/>
    <w:pPr>
      <w:widowControl w:val="0"/>
      <w:jc w:val="both"/>
    </w:pPr>
    <w:rPr>
      <w:rFonts w:ascii="宋体" w:hAnsi="Courier New" w:eastAsia="宋体" w:cs="Times New Roman"/>
      <w:kern w:val="2"/>
      <w:sz w:val="21"/>
      <w:szCs w:val="21"/>
      <w:lang w:val="en-US" w:eastAsia="zh-CN" w:bidi="ar-SA"/>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30">
    <w:name w:val="font61"/>
    <w:basedOn w:val="18"/>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eader" Target="header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111</Pages>
  <Words>16453</Words>
  <Characters>17286</Characters>
  <Lines>0</Lines>
  <Paragraphs>0</Paragraphs>
  <TotalTime>3</TotalTime>
  <ScaleCrop>false</ScaleCrop>
  <LinksUpToDate>false</LinksUpToDate>
  <CharactersWithSpaces>17428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2025-06-30T04:19:00Z</dcterms:created>
  <dc:creator>菁</dc:creator>
  <cp:lastModifiedBy>菁</cp:lastModifiedBy>
  <dcterms:modified xsi:type="dcterms:W3CDTF">2025-07-05T07:23:31Z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3ED212FEB98A4FFCA8DCD74D2339F325_13</vt:lpwstr>
  </property>
  <property fmtid="{D5CDD505-2E9C-101B-9397-08002B2CF9AE}" pid="4" name="KSOTemplateDocerSaveRecord">
    <vt:lpwstr>eyJoZGlkIjoiYjkxNWQ0MDllNjM4ZDMwZGJkNjI5OGU2Y2Q3N2YwZWEiLCJ1c2VySWQiOiI0NzYwMTIyNDUifQ==</vt:lpwstr>
  </property>
</Properties>
</file>